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color w:val="auto"/>
          <w:sz w:val="36"/>
          <w:szCs w:val="36"/>
        </w:rPr>
      </w:pPr>
    </w:p>
    <w:p>
      <w:pPr>
        <w:rPr>
          <w:rFonts w:ascii="仿宋_GB2312" w:hAnsi="仿宋_GB2312" w:eastAsia="仿宋_GB2312" w:cs="仿宋_GB2312"/>
          <w:color w:val="auto"/>
          <w:sz w:val="36"/>
          <w:szCs w:val="36"/>
        </w:rPr>
      </w:pPr>
    </w:p>
    <w:p>
      <w:pPr>
        <w:rPr>
          <w:rFonts w:ascii="仿宋_GB2312" w:hAnsi="仿宋_GB2312" w:eastAsia="仿宋_GB2312" w:cs="仿宋_GB2312"/>
          <w:color w:val="auto"/>
          <w:sz w:val="36"/>
          <w:szCs w:val="36"/>
        </w:rPr>
      </w:pPr>
    </w:p>
    <w:p>
      <w:pPr>
        <w:rPr>
          <w:rFonts w:ascii="仿宋_GB2312" w:hAnsi="仿宋_GB2312" w:eastAsia="仿宋_GB2312" w:cs="仿宋_GB2312"/>
          <w:color w:val="auto"/>
          <w:sz w:val="36"/>
          <w:szCs w:val="36"/>
        </w:rPr>
      </w:pPr>
    </w:p>
    <w:p>
      <w:pPr>
        <w:rPr>
          <w:rFonts w:ascii="仿宋_GB2312" w:hAnsi="仿宋_GB2312" w:eastAsia="仿宋_GB2312" w:cs="仿宋_GB2312"/>
          <w:color w:val="auto"/>
          <w:sz w:val="36"/>
          <w:szCs w:val="36"/>
        </w:rPr>
      </w:pPr>
    </w:p>
    <w:p>
      <w:pPr>
        <w:rPr>
          <w:rFonts w:ascii="仿宋_GB2312" w:hAnsi="仿宋_GB2312" w:eastAsia="仿宋_GB2312" w:cs="仿宋_GB2312"/>
          <w:color w:val="auto"/>
          <w:sz w:val="36"/>
          <w:szCs w:val="36"/>
        </w:rPr>
      </w:pPr>
    </w:p>
    <w:p>
      <w:pPr>
        <w:adjustRightInd w:val="0"/>
        <w:snapToGrid w:val="0"/>
        <w:jc w:val="center"/>
        <w:rPr>
          <w:bCs/>
          <w:color w:val="auto"/>
          <w:sz w:val="72"/>
          <w:szCs w:val="72"/>
        </w:rPr>
      </w:pPr>
      <w:r>
        <w:rPr>
          <w:bCs/>
          <w:color w:val="auto"/>
          <w:sz w:val="72"/>
          <w:szCs w:val="72"/>
        </w:rPr>
        <w:t>建设项目环境影响报告表</w:t>
      </w:r>
    </w:p>
    <w:p>
      <w:pPr>
        <w:adjustRightInd w:val="0"/>
        <w:snapToGrid w:val="0"/>
        <w:spacing w:before="192" w:beforeLines="80"/>
        <w:jc w:val="center"/>
        <w:rPr>
          <w:bCs/>
          <w:color w:val="auto"/>
          <w:sz w:val="48"/>
          <w:szCs w:val="48"/>
        </w:rPr>
      </w:pPr>
      <w:r>
        <w:rPr>
          <w:bCs/>
          <w:color w:val="auto"/>
          <w:sz w:val="48"/>
          <w:szCs w:val="48"/>
        </w:rPr>
        <w:t>（污染影响类）</w:t>
      </w:r>
    </w:p>
    <w:p>
      <w:pPr>
        <w:adjustRightInd w:val="0"/>
        <w:snapToGrid w:val="0"/>
        <w:spacing w:line="288" w:lineRule="auto"/>
        <w:jc w:val="center"/>
        <w:rPr>
          <w:color w:val="auto"/>
          <w:kern w:val="44"/>
          <w:sz w:val="44"/>
          <w:szCs w:val="44"/>
        </w:rPr>
      </w:pPr>
    </w:p>
    <w:p>
      <w:pPr>
        <w:jc w:val="center"/>
        <w:rPr>
          <w:color w:val="auto"/>
          <w:sz w:val="52"/>
          <w:szCs w:val="52"/>
        </w:rPr>
      </w:pPr>
    </w:p>
    <w:p>
      <w:pPr>
        <w:ind w:firstLine="1040"/>
        <w:rPr>
          <w:color w:val="auto"/>
          <w:sz w:val="44"/>
          <w:szCs w:val="44"/>
        </w:rPr>
      </w:pPr>
    </w:p>
    <w:p>
      <w:pPr>
        <w:ind w:firstLine="1040"/>
        <w:rPr>
          <w:color w:val="auto"/>
          <w:sz w:val="44"/>
          <w:szCs w:val="44"/>
        </w:rPr>
      </w:pPr>
    </w:p>
    <w:p>
      <w:pPr>
        <w:ind w:firstLine="1040"/>
        <w:rPr>
          <w:color w:val="auto"/>
          <w:sz w:val="44"/>
          <w:szCs w:val="44"/>
        </w:rPr>
      </w:pPr>
    </w:p>
    <w:p>
      <w:pPr>
        <w:adjustRightInd w:val="0"/>
        <w:snapToGrid w:val="0"/>
        <w:spacing w:line="288" w:lineRule="auto"/>
        <w:jc w:val="left"/>
        <w:rPr>
          <w:color w:val="auto"/>
          <w:sz w:val="36"/>
          <w:szCs w:val="36"/>
          <w:u w:val="single"/>
        </w:rPr>
      </w:pPr>
      <w:r>
        <w:rPr>
          <w:color w:val="auto"/>
          <w:sz w:val="36"/>
          <w:szCs w:val="36"/>
        </w:rPr>
        <w:t>项目名称：</w:t>
      </w:r>
      <w:r>
        <w:rPr>
          <w:color w:val="auto"/>
          <w:sz w:val="36"/>
          <w:szCs w:val="36"/>
          <w:u w:val="single"/>
        </w:rPr>
        <w:t>惠州</w:t>
      </w:r>
      <w:r>
        <w:rPr>
          <w:rFonts w:hint="eastAsia"/>
          <w:color w:val="auto"/>
          <w:sz w:val="36"/>
          <w:szCs w:val="36"/>
          <w:u w:val="single"/>
        </w:rPr>
        <w:t>市领跑力新材料</w:t>
      </w:r>
      <w:r>
        <w:rPr>
          <w:color w:val="auto"/>
          <w:sz w:val="36"/>
          <w:szCs w:val="36"/>
          <w:u w:val="single"/>
        </w:rPr>
        <w:t xml:space="preserve">有限公司建设项目                          </w:t>
      </w:r>
    </w:p>
    <w:p>
      <w:pPr>
        <w:adjustRightInd w:val="0"/>
        <w:snapToGrid w:val="0"/>
        <w:spacing w:line="288" w:lineRule="auto"/>
        <w:jc w:val="left"/>
        <w:rPr>
          <w:color w:val="auto"/>
          <w:sz w:val="36"/>
          <w:szCs w:val="36"/>
          <w:u w:val="single"/>
        </w:rPr>
      </w:pPr>
      <w:r>
        <w:rPr>
          <w:color w:val="auto"/>
          <w:sz w:val="36"/>
          <w:szCs w:val="36"/>
        </w:rPr>
        <w:t>建设单位（盖章）：</w:t>
      </w:r>
      <w:r>
        <w:rPr>
          <w:color w:val="auto"/>
          <w:sz w:val="36"/>
          <w:szCs w:val="36"/>
          <w:u w:val="single"/>
        </w:rPr>
        <w:t>惠州</w:t>
      </w:r>
      <w:r>
        <w:rPr>
          <w:rFonts w:hint="eastAsia"/>
          <w:color w:val="auto"/>
          <w:sz w:val="36"/>
          <w:szCs w:val="36"/>
          <w:u w:val="single"/>
        </w:rPr>
        <w:t>市领跑力新材料</w:t>
      </w:r>
      <w:r>
        <w:rPr>
          <w:color w:val="auto"/>
          <w:sz w:val="36"/>
          <w:szCs w:val="36"/>
          <w:u w:val="single"/>
        </w:rPr>
        <w:t xml:space="preserve">有限公司                          </w:t>
      </w:r>
    </w:p>
    <w:p>
      <w:pPr>
        <w:adjustRightInd w:val="0"/>
        <w:snapToGrid w:val="0"/>
        <w:spacing w:line="288" w:lineRule="auto"/>
        <w:jc w:val="left"/>
        <w:rPr>
          <w:color w:val="auto"/>
          <w:sz w:val="36"/>
          <w:szCs w:val="36"/>
          <w:u w:val="single"/>
        </w:rPr>
      </w:pPr>
      <w:r>
        <w:rPr>
          <w:color w:val="auto"/>
          <w:sz w:val="36"/>
          <w:szCs w:val="36"/>
        </w:rPr>
        <w:t>编制日期：</w:t>
      </w:r>
      <w:r>
        <w:rPr>
          <w:color w:val="auto"/>
          <w:sz w:val="36"/>
          <w:szCs w:val="36"/>
          <w:u w:val="single"/>
        </w:rPr>
        <w:t xml:space="preserve">          </w:t>
      </w:r>
      <w:r>
        <w:rPr>
          <w:rFonts w:hint="eastAsia"/>
          <w:color w:val="auto"/>
          <w:sz w:val="36"/>
          <w:szCs w:val="36"/>
          <w:u w:val="single"/>
          <w:lang w:val="en-US" w:eastAsia="zh-CN"/>
        </w:rPr>
        <w:t>2023</w:t>
      </w:r>
      <w:r>
        <w:rPr>
          <w:color w:val="auto"/>
          <w:sz w:val="36"/>
          <w:szCs w:val="36"/>
          <w:u w:val="single"/>
        </w:rPr>
        <w:t>年</w:t>
      </w:r>
      <w:r>
        <w:rPr>
          <w:rFonts w:hint="eastAsia"/>
          <w:color w:val="auto"/>
          <w:sz w:val="36"/>
          <w:szCs w:val="36"/>
          <w:u w:val="single"/>
          <w:lang w:val="en-US" w:eastAsia="zh-CN"/>
        </w:rPr>
        <w:t>4</w:t>
      </w:r>
      <w:r>
        <w:rPr>
          <w:color w:val="auto"/>
          <w:sz w:val="36"/>
          <w:szCs w:val="36"/>
          <w:u w:val="single"/>
        </w:rPr>
        <w:t xml:space="preserve">月              </w:t>
      </w:r>
    </w:p>
    <w:p>
      <w:pPr>
        <w:adjustRightInd w:val="0"/>
        <w:snapToGrid w:val="0"/>
        <w:spacing w:line="288" w:lineRule="auto"/>
        <w:ind w:firstLine="1040"/>
        <w:rPr>
          <w:color w:val="auto"/>
          <w:sz w:val="36"/>
          <w:szCs w:val="36"/>
          <w:u w:val="single"/>
        </w:rPr>
      </w:pPr>
      <w:bookmarkStart w:id="0" w:name="_Hlk57884087"/>
    </w:p>
    <w:p>
      <w:pPr>
        <w:adjustRightInd w:val="0"/>
        <w:snapToGrid w:val="0"/>
        <w:spacing w:line="288" w:lineRule="auto"/>
        <w:ind w:firstLine="1040"/>
        <w:rPr>
          <w:color w:val="auto"/>
          <w:sz w:val="36"/>
          <w:szCs w:val="36"/>
        </w:rPr>
      </w:pPr>
    </w:p>
    <w:p>
      <w:pPr>
        <w:adjustRightInd w:val="0"/>
        <w:snapToGrid w:val="0"/>
        <w:spacing w:line="288" w:lineRule="auto"/>
        <w:ind w:firstLine="1040"/>
        <w:rPr>
          <w:color w:val="auto"/>
          <w:sz w:val="36"/>
          <w:szCs w:val="36"/>
        </w:rPr>
      </w:pPr>
    </w:p>
    <w:p>
      <w:pPr>
        <w:pStyle w:val="41"/>
        <w:rPr>
          <w:rFonts w:hint="default" w:ascii="Times New Roman" w:hAnsi="Times New Roman" w:cs="Times New Roman"/>
          <w:color w:val="auto"/>
          <w:sz w:val="36"/>
          <w:szCs w:val="36"/>
        </w:rPr>
      </w:pPr>
    </w:p>
    <w:p>
      <w:pPr>
        <w:pStyle w:val="11"/>
        <w:rPr>
          <w:color w:val="auto"/>
          <w:sz w:val="36"/>
          <w:szCs w:val="36"/>
        </w:rPr>
      </w:pPr>
    </w:p>
    <w:p>
      <w:pPr>
        <w:rPr>
          <w:color w:val="auto"/>
        </w:rPr>
      </w:pPr>
      <w:bookmarkStart w:id="3" w:name="_GoBack"/>
      <w:bookmarkEnd w:id="3"/>
    </w:p>
    <w:p>
      <w:pPr>
        <w:adjustRightInd w:val="0"/>
        <w:snapToGrid w:val="0"/>
        <w:spacing w:line="288" w:lineRule="auto"/>
        <w:ind w:firstLine="1040"/>
        <w:rPr>
          <w:color w:val="auto"/>
          <w:sz w:val="36"/>
          <w:szCs w:val="36"/>
        </w:rPr>
      </w:pPr>
    </w:p>
    <w:bookmarkEnd w:id="0"/>
    <w:p>
      <w:pPr>
        <w:adjustRightInd w:val="0"/>
        <w:snapToGrid w:val="0"/>
        <w:spacing w:line="288" w:lineRule="auto"/>
        <w:jc w:val="center"/>
        <w:rPr>
          <w:color w:val="auto"/>
          <w:sz w:val="36"/>
          <w:szCs w:val="36"/>
        </w:rPr>
      </w:pPr>
      <w:r>
        <w:rPr>
          <w:color w:val="auto"/>
          <w:sz w:val="36"/>
          <w:szCs w:val="36"/>
        </w:rPr>
        <w:t>中华人民共和国生态环境部制</w:t>
      </w:r>
    </w:p>
    <w:p>
      <w:pPr>
        <w:adjustRightInd w:val="0"/>
        <w:snapToGrid w:val="0"/>
        <w:spacing w:line="288" w:lineRule="auto"/>
        <w:ind w:firstLine="1040"/>
        <w:rPr>
          <w:color w:val="auto"/>
          <w:sz w:val="36"/>
          <w:szCs w:val="36"/>
        </w:rPr>
        <w:sectPr>
          <w:footerReference r:id="rId3" w:type="default"/>
          <w:footerReference r:id="rId4" w:type="even"/>
          <w:pgSz w:w="11906" w:h="16838"/>
          <w:pgMar w:top="1701" w:right="1531" w:bottom="1701" w:left="1531" w:header="851" w:footer="1077" w:gutter="0"/>
          <w:pgNumType w:start="3"/>
          <w:cols w:space="720" w:num="1"/>
          <w:docGrid w:linePitch="312" w:charSpace="0"/>
        </w:sectPr>
      </w:pPr>
    </w:p>
    <w:p>
      <w:pPr>
        <w:pStyle w:val="33"/>
        <w:jc w:val="center"/>
        <w:rPr>
          <w:rFonts w:ascii="黑体" w:hAnsi="黑体" w:eastAsia="黑体"/>
          <w:snapToGrid w:val="0"/>
          <w:color w:val="auto"/>
          <w:sz w:val="30"/>
          <w:szCs w:val="30"/>
        </w:rPr>
      </w:pPr>
    </w:p>
    <w:p>
      <w:pPr>
        <w:pStyle w:val="33"/>
        <w:jc w:val="center"/>
        <w:rPr>
          <w:rFonts w:ascii="黑体" w:hAnsi="黑体" w:eastAsia="黑体"/>
          <w:snapToGrid w:val="0"/>
          <w:color w:val="auto"/>
          <w:sz w:val="30"/>
          <w:szCs w:val="30"/>
        </w:rPr>
      </w:pPr>
    </w:p>
    <w:p>
      <w:pPr>
        <w:pStyle w:val="33"/>
        <w:jc w:val="center"/>
        <w:rPr>
          <w:rFonts w:ascii="黑体" w:hAnsi="黑体" w:eastAsia="黑体"/>
          <w:snapToGrid w:val="0"/>
          <w:color w:val="auto"/>
          <w:sz w:val="30"/>
          <w:szCs w:val="30"/>
        </w:rPr>
      </w:pPr>
    </w:p>
    <w:p>
      <w:pPr>
        <w:pStyle w:val="33"/>
        <w:jc w:val="center"/>
        <w:rPr>
          <w:rFonts w:ascii="黑体" w:hAnsi="黑体" w:eastAsia="黑体"/>
          <w:snapToGrid w:val="0"/>
          <w:color w:val="auto"/>
          <w:sz w:val="30"/>
          <w:szCs w:val="30"/>
        </w:rPr>
      </w:pPr>
    </w:p>
    <w:p>
      <w:pPr>
        <w:pStyle w:val="33"/>
        <w:jc w:val="center"/>
        <w:rPr>
          <w:rFonts w:ascii="黑体" w:hAnsi="黑体" w:eastAsia="黑体"/>
          <w:snapToGrid w:val="0"/>
          <w:color w:val="auto"/>
          <w:sz w:val="30"/>
          <w:szCs w:val="30"/>
        </w:rPr>
      </w:pPr>
    </w:p>
    <w:p>
      <w:pPr>
        <w:pStyle w:val="33"/>
        <w:jc w:val="center"/>
        <w:rPr>
          <w:rFonts w:ascii="黑体" w:hAnsi="黑体" w:eastAsia="黑体"/>
          <w:snapToGrid w:val="0"/>
          <w:color w:val="auto"/>
          <w:sz w:val="30"/>
          <w:szCs w:val="30"/>
        </w:rPr>
      </w:pPr>
    </w:p>
    <w:p>
      <w:pPr>
        <w:pStyle w:val="33"/>
        <w:jc w:val="center"/>
        <w:rPr>
          <w:rFonts w:ascii="黑体" w:hAnsi="黑体" w:eastAsia="黑体"/>
          <w:snapToGrid w:val="0"/>
          <w:color w:val="auto"/>
          <w:sz w:val="30"/>
          <w:szCs w:val="30"/>
        </w:rPr>
      </w:pPr>
    </w:p>
    <w:p>
      <w:pPr>
        <w:pStyle w:val="33"/>
        <w:jc w:val="center"/>
        <w:rPr>
          <w:rFonts w:ascii="黑体" w:hAnsi="黑体" w:eastAsia="黑体"/>
          <w:snapToGrid w:val="0"/>
          <w:color w:val="auto"/>
          <w:sz w:val="30"/>
          <w:szCs w:val="30"/>
        </w:rPr>
      </w:pPr>
    </w:p>
    <w:p>
      <w:pPr>
        <w:pStyle w:val="33"/>
        <w:jc w:val="center"/>
        <w:rPr>
          <w:rFonts w:ascii="黑体" w:hAnsi="黑体" w:eastAsia="黑体"/>
          <w:snapToGrid w:val="0"/>
          <w:color w:val="auto"/>
          <w:sz w:val="30"/>
          <w:szCs w:val="30"/>
        </w:rPr>
      </w:pPr>
    </w:p>
    <w:p>
      <w:pPr>
        <w:pStyle w:val="33"/>
        <w:jc w:val="center"/>
        <w:rPr>
          <w:rFonts w:ascii="黑体" w:hAnsi="黑体" w:eastAsia="黑体"/>
          <w:snapToGrid w:val="0"/>
          <w:color w:val="auto"/>
          <w:sz w:val="30"/>
          <w:szCs w:val="30"/>
        </w:rPr>
      </w:pPr>
    </w:p>
    <w:p>
      <w:pPr>
        <w:pStyle w:val="33"/>
        <w:jc w:val="center"/>
        <w:rPr>
          <w:rFonts w:ascii="黑体" w:hAnsi="黑体" w:eastAsia="黑体"/>
          <w:snapToGrid w:val="0"/>
          <w:color w:val="auto"/>
          <w:sz w:val="30"/>
          <w:szCs w:val="30"/>
        </w:rPr>
      </w:pPr>
    </w:p>
    <w:p>
      <w:pPr>
        <w:pStyle w:val="33"/>
        <w:jc w:val="center"/>
        <w:rPr>
          <w:rFonts w:ascii="黑体" w:hAnsi="黑体" w:eastAsia="黑体"/>
          <w:snapToGrid w:val="0"/>
          <w:color w:val="auto"/>
          <w:sz w:val="30"/>
          <w:szCs w:val="30"/>
        </w:rPr>
      </w:pPr>
    </w:p>
    <w:p>
      <w:pPr>
        <w:pStyle w:val="33"/>
        <w:jc w:val="center"/>
        <w:rPr>
          <w:rFonts w:ascii="黑体" w:hAnsi="黑体" w:eastAsia="黑体"/>
          <w:snapToGrid w:val="0"/>
          <w:color w:val="auto"/>
          <w:sz w:val="30"/>
          <w:szCs w:val="30"/>
        </w:rPr>
      </w:pPr>
    </w:p>
    <w:p>
      <w:pPr>
        <w:pStyle w:val="33"/>
        <w:jc w:val="center"/>
        <w:rPr>
          <w:rFonts w:ascii="黑体" w:hAnsi="黑体" w:eastAsia="黑体"/>
          <w:snapToGrid w:val="0"/>
          <w:color w:val="auto"/>
          <w:sz w:val="30"/>
          <w:szCs w:val="30"/>
        </w:rPr>
      </w:pPr>
    </w:p>
    <w:p>
      <w:pPr>
        <w:pStyle w:val="33"/>
        <w:jc w:val="center"/>
        <w:rPr>
          <w:rFonts w:ascii="黑体" w:hAnsi="黑体" w:eastAsia="黑体"/>
          <w:snapToGrid w:val="0"/>
          <w:color w:val="auto"/>
          <w:sz w:val="30"/>
          <w:szCs w:val="30"/>
        </w:rPr>
      </w:pPr>
    </w:p>
    <w:p>
      <w:pPr>
        <w:pStyle w:val="33"/>
        <w:jc w:val="center"/>
        <w:rPr>
          <w:rFonts w:ascii="黑体" w:hAnsi="黑体" w:eastAsia="黑体"/>
          <w:snapToGrid w:val="0"/>
          <w:color w:val="auto"/>
          <w:sz w:val="30"/>
          <w:szCs w:val="30"/>
        </w:rPr>
      </w:pPr>
    </w:p>
    <w:p>
      <w:pPr>
        <w:pStyle w:val="33"/>
        <w:jc w:val="center"/>
        <w:rPr>
          <w:rFonts w:ascii="黑体" w:hAnsi="黑体" w:eastAsia="黑体"/>
          <w:snapToGrid w:val="0"/>
          <w:color w:val="auto"/>
          <w:sz w:val="30"/>
          <w:szCs w:val="30"/>
        </w:rPr>
      </w:pPr>
    </w:p>
    <w:p>
      <w:pPr>
        <w:pStyle w:val="33"/>
        <w:jc w:val="center"/>
        <w:rPr>
          <w:rFonts w:ascii="黑体" w:hAnsi="黑体" w:eastAsia="黑体"/>
          <w:snapToGrid w:val="0"/>
          <w:color w:val="auto"/>
          <w:sz w:val="30"/>
          <w:szCs w:val="30"/>
        </w:rPr>
      </w:pPr>
    </w:p>
    <w:p>
      <w:pPr>
        <w:pStyle w:val="33"/>
        <w:jc w:val="center"/>
        <w:rPr>
          <w:rFonts w:ascii="黑体" w:hAnsi="黑体" w:eastAsia="黑体"/>
          <w:snapToGrid w:val="0"/>
          <w:color w:val="auto"/>
          <w:sz w:val="30"/>
          <w:szCs w:val="30"/>
        </w:rPr>
      </w:pPr>
    </w:p>
    <w:p>
      <w:pPr>
        <w:pStyle w:val="33"/>
        <w:jc w:val="center"/>
        <w:rPr>
          <w:rFonts w:ascii="黑体" w:hAnsi="黑体" w:eastAsia="黑体"/>
          <w:snapToGrid w:val="0"/>
          <w:color w:val="auto"/>
          <w:sz w:val="30"/>
          <w:szCs w:val="30"/>
        </w:rPr>
      </w:pPr>
    </w:p>
    <w:p>
      <w:pPr>
        <w:pStyle w:val="33"/>
        <w:jc w:val="center"/>
        <w:outlineLvl w:val="0"/>
        <w:rPr>
          <w:rFonts w:ascii="黑体" w:hAnsi="黑体" w:eastAsia="黑体"/>
          <w:snapToGrid w:val="0"/>
          <w:color w:val="auto"/>
          <w:sz w:val="30"/>
          <w:szCs w:val="30"/>
        </w:rPr>
        <w:sectPr>
          <w:footerReference r:id="rId5" w:type="default"/>
          <w:pgSz w:w="11906" w:h="16838"/>
          <w:pgMar w:top="1701" w:right="1531" w:bottom="1701" w:left="1531" w:header="851" w:footer="1077" w:gutter="0"/>
          <w:pgNumType w:start="1"/>
          <w:cols w:space="720" w:num="1"/>
          <w:docGrid w:linePitch="312" w:charSpace="0"/>
        </w:sectPr>
      </w:pPr>
    </w:p>
    <w:p>
      <w:pPr>
        <w:pStyle w:val="33"/>
        <w:numPr>
          <w:ilvl w:val="0"/>
          <w:numId w:val="2"/>
        </w:numPr>
        <w:jc w:val="center"/>
        <w:outlineLvl w:val="0"/>
        <w:rPr>
          <w:rFonts w:cs="宋体"/>
          <w:snapToGrid w:val="0"/>
          <w:color w:val="auto"/>
          <w:sz w:val="30"/>
          <w:szCs w:val="30"/>
        </w:rPr>
      </w:pPr>
      <w:r>
        <w:rPr>
          <w:rFonts w:hint="eastAsia" w:cs="宋体"/>
          <w:snapToGrid w:val="0"/>
          <w:color w:val="auto"/>
          <w:sz w:val="30"/>
          <w:szCs w:val="30"/>
        </w:rPr>
        <w:t>建设项目基本情况</w:t>
      </w:r>
    </w:p>
    <w:tbl>
      <w:tblPr>
        <w:tblStyle w:val="3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978"/>
        <w:gridCol w:w="2929"/>
        <w:gridCol w:w="2233"/>
        <w:gridCol w:w="273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13" w:hRule="atLeast"/>
          <w:jc w:val="center"/>
        </w:trPr>
        <w:tc>
          <w:tcPr>
            <w:tcW w:w="0" w:type="auto"/>
            <w:tcMar>
              <w:top w:w="16" w:type="dxa"/>
              <w:left w:w="16" w:type="dxa"/>
              <w:right w:w="16" w:type="dxa"/>
            </w:tcMar>
            <w:vAlign w:val="center"/>
          </w:tcPr>
          <w:p>
            <w:pPr>
              <w:adjustRightInd w:val="0"/>
              <w:snapToGrid w:val="0"/>
              <w:jc w:val="center"/>
              <w:rPr>
                <w:color w:val="auto"/>
                <w:highlight w:val="none"/>
              </w:rPr>
            </w:pPr>
            <w:r>
              <w:rPr>
                <w:color w:val="auto"/>
                <w:highlight w:val="none"/>
              </w:rPr>
              <w:t>建设项目名称</w:t>
            </w:r>
          </w:p>
        </w:tc>
        <w:tc>
          <w:tcPr>
            <w:tcW w:w="0" w:type="auto"/>
            <w:gridSpan w:val="3"/>
            <w:vAlign w:val="center"/>
          </w:tcPr>
          <w:p>
            <w:pPr>
              <w:adjustRightInd w:val="0"/>
              <w:snapToGrid w:val="0"/>
              <w:jc w:val="center"/>
              <w:rPr>
                <w:color w:val="auto"/>
                <w:highlight w:val="none"/>
              </w:rPr>
            </w:pPr>
            <w:r>
              <w:rPr>
                <w:color w:val="auto"/>
                <w:highlight w:val="none"/>
              </w:rPr>
              <w:t>惠州市</w:t>
            </w:r>
            <w:r>
              <w:rPr>
                <w:rFonts w:hint="eastAsia"/>
                <w:color w:val="auto"/>
                <w:highlight w:val="none"/>
              </w:rPr>
              <w:t>领跑力新材料</w:t>
            </w:r>
            <w:r>
              <w:rPr>
                <w:color w:val="auto"/>
                <w:highlight w:val="none"/>
              </w:rPr>
              <w:t>有限公司建设项目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3" w:hRule="atLeast"/>
          <w:jc w:val="center"/>
        </w:trPr>
        <w:tc>
          <w:tcPr>
            <w:tcW w:w="0" w:type="auto"/>
            <w:tcMar>
              <w:top w:w="16" w:type="dxa"/>
              <w:left w:w="16" w:type="dxa"/>
              <w:right w:w="16" w:type="dxa"/>
            </w:tcMar>
            <w:vAlign w:val="center"/>
          </w:tcPr>
          <w:p>
            <w:pPr>
              <w:adjustRightInd w:val="0"/>
              <w:snapToGrid w:val="0"/>
              <w:jc w:val="center"/>
              <w:rPr>
                <w:color w:val="auto"/>
                <w:highlight w:val="none"/>
              </w:rPr>
            </w:pPr>
            <w:r>
              <w:rPr>
                <w:color w:val="auto"/>
                <w:highlight w:val="none"/>
              </w:rPr>
              <w:t>项目代码</w:t>
            </w:r>
          </w:p>
        </w:tc>
        <w:tc>
          <w:tcPr>
            <w:tcW w:w="0" w:type="auto"/>
            <w:gridSpan w:val="3"/>
            <w:vAlign w:val="center"/>
          </w:tcPr>
          <w:p>
            <w:pPr>
              <w:adjustRightInd w:val="0"/>
              <w:snapToGrid w:val="0"/>
              <w:jc w:val="center"/>
              <w:rPr>
                <w:color w:val="auto"/>
                <w:highlight w:val="none"/>
              </w:rPr>
            </w:pPr>
            <w:r>
              <w:rPr>
                <w:rFonts w:hint="eastAsia"/>
                <w:color w:val="auto"/>
                <w:highlight w:val="none"/>
              </w:rPr>
              <w:t>2212-441322-04-01-737365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73" w:hRule="atLeast"/>
          <w:jc w:val="center"/>
        </w:trPr>
        <w:tc>
          <w:tcPr>
            <w:tcW w:w="0" w:type="auto"/>
            <w:tcMar>
              <w:top w:w="16" w:type="dxa"/>
              <w:left w:w="16" w:type="dxa"/>
              <w:right w:w="16" w:type="dxa"/>
            </w:tcMar>
            <w:vAlign w:val="center"/>
          </w:tcPr>
          <w:p>
            <w:pPr>
              <w:adjustRightInd w:val="0"/>
              <w:snapToGrid w:val="0"/>
              <w:jc w:val="center"/>
              <w:rPr>
                <w:color w:val="auto"/>
                <w:highlight w:val="none"/>
              </w:rPr>
            </w:pPr>
            <w:r>
              <w:rPr>
                <w:color w:val="auto"/>
                <w:highlight w:val="none"/>
              </w:rPr>
              <w:t>建设单位联系人</w:t>
            </w:r>
          </w:p>
        </w:tc>
        <w:tc>
          <w:tcPr>
            <w:tcW w:w="0" w:type="auto"/>
            <w:vAlign w:val="center"/>
          </w:tcPr>
          <w:p>
            <w:pPr>
              <w:adjustRightInd w:val="0"/>
              <w:snapToGrid w:val="0"/>
              <w:jc w:val="center"/>
              <w:rPr>
                <w:color w:val="auto"/>
                <w:highlight w:val="none"/>
              </w:rPr>
            </w:pPr>
          </w:p>
        </w:tc>
        <w:tc>
          <w:tcPr>
            <w:tcW w:w="0" w:type="auto"/>
            <w:vAlign w:val="center"/>
          </w:tcPr>
          <w:p>
            <w:pPr>
              <w:adjustRightInd w:val="0"/>
              <w:snapToGrid w:val="0"/>
              <w:jc w:val="center"/>
              <w:rPr>
                <w:color w:val="auto"/>
                <w:highlight w:val="none"/>
              </w:rPr>
            </w:pPr>
            <w:r>
              <w:rPr>
                <w:color w:val="auto"/>
                <w:highlight w:val="none"/>
              </w:rPr>
              <w:t>联系方式</w:t>
            </w:r>
          </w:p>
        </w:tc>
        <w:tc>
          <w:tcPr>
            <w:tcW w:w="0" w:type="auto"/>
            <w:vAlign w:val="center"/>
          </w:tcPr>
          <w:p>
            <w:pPr>
              <w:adjustRightInd w:val="0"/>
              <w:snapToGrid w:val="0"/>
              <w:jc w:val="center"/>
              <w:rPr>
                <w:color w:val="auto"/>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0" w:type="auto"/>
            <w:tcMar>
              <w:top w:w="16" w:type="dxa"/>
              <w:left w:w="16" w:type="dxa"/>
              <w:right w:w="16" w:type="dxa"/>
            </w:tcMar>
            <w:vAlign w:val="center"/>
          </w:tcPr>
          <w:p>
            <w:pPr>
              <w:adjustRightInd w:val="0"/>
              <w:snapToGrid w:val="0"/>
              <w:jc w:val="center"/>
              <w:rPr>
                <w:color w:val="auto"/>
                <w:highlight w:val="none"/>
              </w:rPr>
            </w:pPr>
            <w:r>
              <w:rPr>
                <w:color w:val="auto"/>
                <w:highlight w:val="none"/>
              </w:rPr>
              <w:t>建设地点</w:t>
            </w:r>
          </w:p>
        </w:tc>
        <w:tc>
          <w:tcPr>
            <w:tcW w:w="0" w:type="auto"/>
            <w:gridSpan w:val="3"/>
            <w:vAlign w:val="center"/>
          </w:tcPr>
          <w:p>
            <w:pPr>
              <w:adjustRightInd w:val="0"/>
              <w:snapToGrid w:val="0"/>
              <w:jc w:val="center"/>
              <w:rPr>
                <w:rFonts w:hint="default" w:eastAsia="宋体"/>
                <w:color w:val="auto"/>
                <w:highlight w:val="none"/>
                <w:lang w:val="en-US" w:eastAsia="zh-CN"/>
              </w:rPr>
            </w:pPr>
            <w:r>
              <w:rPr>
                <w:color w:val="auto"/>
                <w:highlight w:val="none"/>
                <w:u w:val="single"/>
              </w:rPr>
              <w:t>广东</w:t>
            </w:r>
            <w:r>
              <w:rPr>
                <w:color w:val="auto"/>
                <w:highlight w:val="none"/>
              </w:rPr>
              <w:t>省</w:t>
            </w:r>
            <w:r>
              <w:rPr>
                <w:color w:val="auto"/>
                <w:highlight w:val="none"/>
                <w:u w:val="single"/>
              </w:rPr>
              <w:t>惠州</w:t>
            </w:r>
            <w:r>
              <w:rPr>
                <w:color w:val="auto"/>
                <w:highlight w:val="none"/>
              </w:rPr>
              <w:t>市</w:t>
            </w:r>
            <w:r>
              <w:rPr>
                <w:color w:val="0000FF"/>
                <w:highlight w:val="none"/>
                <w:u w:val="single"/>
              </w:rPr>
              <w:t>博罗</w:t>
            </w:r>
            <w:r>
              <w:rPr>
                <w:color w:val="0000FF"/>
                <w:highlight w:val="none"/>
              </w:rPr>
              <w:t>县</w:t>
            </w:r>
            <w:r>
              <w:rPr>
                <w:color w:val="0000FF"/>
                <w:highlight w:val="none"/>
                <w:u w:val="single"/>
              </w:rPr>
              <w:t>园洲</w:t>
            </w:r>
            <w:r>
              <w:rPr>
                <w:color w:val="0000FF"/>
                <w:highlight w:val="none"/>
              </w:rPr>
              <w:t>镇</w:t>
            </w:r>
            <w:r>
              <w:rPr>
                <w:rFonts w:hint="eastAsia"/>
                <w:color w:val="0000FF"/>
                <w:highlight w:val="none"/>
                <w:u w:val="single"/>
              </w:rPr>
              <w:t>田头</w:t>
            </w:r>
            <w:r>
              <w:rPr>
                <w:rFonts w:hint="eastAsia"/>
                <w:color w:val="0000FF"/>
                <w:highlight w:val="none"/>
                <w:u w:val="single"/>
                <w:lang w:val="en-US" w:eastAsia="zh-CN"/>
              </w:rPr>
              <w:t>村红边田（土名）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0" w:type="auto"/>
            <w:tcMar>
              <w:top w:w="16" w:type="dxa"/>
              <w:left w:w="16" w:type="dxa"/>
              <w:right w:w="16" w:type="dxa"/>
            </w:tcMar>
            <w:vAlign w:val="center"/>
          </w:tcPr>
          <w:p>
            <w:pPr>
              <w:adjustRightInd w:val="0"/>
              <w:snapToGrid w:val="0"/>
              <w:jc w:val="center"/>
              <w:rPr>
                <w:color w:val="auto"/>
                <w:highlight w:val="none"/>
              </w:rPr>
            </w:pPr>
            <w:r>
              <w:rPr>
                <w:color w:val="auto"/>
                <w:highlight w:val="none"/>
              </w:rPr>
              <w:t>地理坐标</w:t>
            </w:r>
          </w:p>
        </w:tc>
        <w:tc>
          <w:tcPr>
            <w:tcW w:w="0" w:type="auto"/>
            <w:gridSpan w:val="3"/>
            <w:vAlign w:val="center"/>
          </w:tcPr>
          <w:p>
            <w:pPr>
              <w:jc w:val="center"/>
              <w:rPr>
                <w:color w:val="auto"/>
                <w:highlight w:val="none"/>
              </w:rPr>
            </w:pPr>
            <w:r>
              <w:rPr>
                <w:color w:val="0000FF"/>
                <w:highlight w:val="none"/>
              </w:rPr>
              <w:t>（东经</w:t>
            </w:r>
            <w:r>
              <w:rPr>
                <w:color w:val="0000FF"/>
                <w:highlight w:val="none"/>
                <w:u w:val="single"/>
              </w:rPr>
              <w:t xml:space="preserve"> 11</w:t>
            </w:r>
            <w:r>
              <w:rPr>
                <w:rFonts w:hint="eastAsia"/>
                <w:color w:val="0000FF"/>
                <w:highlight w:val="none"/>
                <w:u w:val="single"/>
              </w:rPr>
              <w:t>4</w:t>
            </w:r>
            <w:r>
              <w:rPr>
                <w:color w:val="0000FF"/>
                <w:highlight w:val="none"/>
                <w:u w:val="single"/>
              </w:rPr>
              <w:t xml:space="preserve"> </w:t>
            </w:r>
            <w:r>
              <w:rPr>
                <w:color w:val="0000FF"/>
                <w:highlight w:val="none"/>
              </w:rPr>
              <w:t>度</w:t>
            </w:r>
            <w:r>
              <w:rPr>
                <w:color w:val="0000FF"/>
                <w:highlight w:val="none"/>
                <w:u w:val="single"/>
              </w:rPr>
              <w:t xml:space="preserve"> </w:t>
            </w:r>
            <w:r>
              <w:rPr>
                <w:rFonts w:hint="eastAsia"/>
                <w:color w:val="0000FF"/>
                <w:highlight w:val="none"/>
                <w:u w:val="single"/>
              </w:rPr>
              <w:t>1</w:t>
            </w:r>
            <w:r>
              <w:rPr>
                <w:color w:val="0000FF"/>
                <w:highlight w:val="none"/>
                <w:u w:val="single"/>
              </w:rPr>
              <w:t xml:space="preserve"> </w:t>
            </w:r>
            <w:r>
              <w:rPr>
                <w:color w:val="0000FF"/>
                <w:highlight w:val="none"/>
              </w:rPr>
              <w:t>分</w:t>
            </w:r>
            <w:r>
              <w:rPr>
                <w:color w:val="0000FF"/>
                <w:highlight w:val="none"/>
                <w:u w:val="single"/>
              </w:rPr>
              <w:t xml:space="preserve"> </w:t>
            </w:r>
            <w:r>
              <w:rPr>
                <w:rFonts w:hint="eastAsia"/>
                <w:color w:val="0000FF"/>
                <w:highlight w:val="none"/>
                <w:u w:val="single"/>
              </w:rPr>
              <w:t>1</w:t>
            </w:r>
            <w:r>
              <w:rPr>
                <w:rFonts w:hint="eastAsia"/>
                <w:color w:val="0000FF"/>
                <w:highlight w:val="none"/>
                <w:u w:val="single"/>
                <w:lang w:val="en-US" w:eastAsia="zh-CN"/>
              </w:rPr>
              <w:t>6.536</w:t>
            </w:r>
            <w:r>
              <w:rPr>
                <w:color w:val="0000FF"/>
                <w:highlight w:val="none"/>
                <w:u w:val="single"/>
              </w:rPr>
              <w:t xml:space="preserve"> </w:t>
            </w:r>
            <w:r>
              <w:rPr>
                <w:color w:val="0000FF"/>
                <w:highlight w:val="none"/>
              </w:rPr>
              <w:t>秒，北纬</w:t>
            </w:r>
            <w:r>
              <w:rPr>
                <w:color w:val="0000FF"/>
                <w:highlight w:val="none"/>
                <w:u w:val="single"/>
              </w:rPr>
              <w:t xml:space="preserve"> 23 </w:t>
            </w:r>
            <w:r>
              <w:rPr>
                <w:color w:val="0000FF"/>
                <w:highlight w:val="none"/>
              </w:rPr>
              <w:t>度</w:t>
            </w:r>
            <w:r>
              <w:rPr>
                <w:color w:val="0000FF"/>
                <w:highlight w:val="none"/>
                <w:u w:val="single"/>
              </w:rPr>
              <w:t xml:space="preserve"> </w:t>
            </w:r>
            <w:r>
              <w:rPr>
                <w:rFonts w:hint="eastAsia"/>
                <w:color w:val="0000FF"/>
                <w:highlight w:val="none"/>
                <w:u w:val="single"/>
              </w:rPr>
              <w:t>7</w:t>
            </w:r>
            <w:r>
              <w:rPr>
                <w:color w:val="0000FF"/>
                <w:highlight w:val="none"/>
                <w:u w:val="single"/>
              </w:rPr>
              <w:t xml:space="preserve"> </w:t>
            </w:r>
            <w:r>
              <w:rPr>
                <w:color w:val="0000FF"/>
                <w:highlight w:val="none"/>
              </w:rPr>
              <w:t>分</w:t>
            </w:r>
            <w:r>
              <w:rPr>
                <w:color w:val="0000FF"/>
                <w:highlight w:val="none"/>
                <w:u w:val="single"/>
              </w:rPr>
              <w:t xml:space="preserve"> </w:t>
            </w:r>
            <w:r>
              <w:rPr>
                <w:rFonts w:hint="eastAsia"/>
                <w:color w:val="0000FF"/>
                <w:highlight w:val="none"/>
                <w:u w:val="single"/>
              </w:rPr>
              <w:t>2</w:t>
            </w:r>
            <w:r>
              <w:rPr>
                <w:rFonts w:hint="eastAsia"/>
                <w:color w:val="0000FF"/>
                <w:highlight w:val="none"/>
                <w:u w:val="single"/>
                <w:lang w:val="en-US" w:eastAsia="zh-CN"/>
              </w:rPr>
              <w:t>0.976</w:t>
            </w:r>
            <w:r>
              <w:rPr>
                <w:color w:val="0000FF"/>
                <w:highlight w:val="none"/>
                <w:u w:val="single"/>
              </w:rPr>
              <w:t xml:space="preserve"> </w:t>
            </w:r>
            <w:r>
              <w:rPr>
                <w:color w:val="0000FF"/>
                <w:highlight w:val="none"/>
              </w:rPr>
              <w:t>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0" w:type="auto"/>
            <w:tcMar>
              <w:top w:w="16" w:type="dxa"/>
              <w:left w:w="16" w:type="dxa"/>
              <w:right w:w="16" w:type="dxa"/>
            </w:tcMar>
            <w:vAlign w:val="center"/>
          </w:tcPr>
          <w:p>
            <w:pPr>
              <w:adjustRightInd w:val="0"/>
              <w:snapToGrid w:val="0"/>
              <w:jc w:val="center"/>
              <w:rPr>
                <w:color w:val="auto"/>
                <w:highlight w:val="none"/>
              </w:rPr>
            </w:pPr>
            <w:r>
              <w:rPr>
                <w:color w:val="auto"/>
                <w:highlight w:val="none"/>
              </w:rPr>
              <w:t>国民经济</w:t>
            </w:r>
          </w:p>
          <w:p>
            <w:pPr>
              <w:adjustRightInd w:val="0"/>
              <w:snapToGrid w:val="0"/>
              <w:jc w:val="center"/>
              <w:rPr>
                <w:color w:val="auto"/>
                <w:highlight w:val="none"/>
              </w:rPr>
            </w:pPr>
            <w:r>
              <w:rPr>
                <w:color w:val="auto"/>
                <w:highlight w:val="none"/>
              </w:rPr>
              <w:t>行业类别</w:t>
            </w:r>
          </w:p>
        </w:tc>
        <w:tc>
          <w:tcPr>
            <w:tcW w:w="0" w:type="auto"/>
            <w:vAlign w:val="center"/>
          </w:tcPr>
          <w:p>
            <w:pPr>
              <w:adjustRightInd w:val="0"/>
              <w:snapToGrid w:val="0"/>
              <w:jc w:val="center"/>
              <w:rPr>
                <w:color w:val="auto"/>
                <w:highlight w:val="none"/>
              </w:rPr>
            </w:pPr>
            <w:r>
              <w:rPr>
                <w:color w:val="auto"/>
                <w:highlight w:val="none"/>
              </w:rPr>
              <w:t>C</w:t>
            </w:r>
            <w:r>
              <w:rPr>
                <w:rFonts w:hint="eastAsia"/>
                <w:color w:val="auto"/>
                <w:szCs w:val="21"/>
                <w:highlight w:val="none"/>
              </w:rPr>
              <w:t>2916 运动场地用塑胶制造</w:t>
            </w:r>
          </w:p>
        </w:tc>
        <w:tc>
          <w:tcPr>
            <w:tcW w:w="0" w:type="auto"/>
            <w:vAlign w:val="center"/>
          </w:tcPr>
          <w:p>
            <w:pPr>
              <w:adjustRightInd w:val="0"/>
              <w:snapToGrid w:val="0"/>
              <w:jc w:val="center"/>
              <w:rPr>
                <w:color w:val="auto"/>
                <w:szCs w:val="21"/>
                <w:highlight w:val="none"/>
              </w:rPr>
            </w:pPr>
            <w:r>
              <w:rPr>
                <w:color w:val="auto"/>
                <w:szCs w:val="21"/>
                <w:highlight w:val="none"/>
              </w:rPr>
              <w:t>建设项目</w:t>
            </w:r>
          </w:p>
          <w:p>
            <w:pPr>
              <w:adjustRightInd w:val="0"/>
              <w:snapToGrid w:val="0"/>
              <w:jc w:val="center"/>
              <w:rPr>
                <w:color w:val="auto"/>
                <w:szCs w:val="21"/>
                <w:highlight w:val="none"/>
              </w:rPr>
            </w:pPr>
            <w:r>
              <w:rPr>
                <w:color w:val="auto"/>
                <w:szCs w:val="21"/>
                <w:highlight w:val="none"/>
              </w:rPr>
              <w:t>行业类别</w:t>
            </w:r>
          </w:p>
        </w:tc>
        <w:tc>
          <w:tcPr>
            <w:tcW w:w="0" w:type="auto"/>
            <w:vAlign w:val="center"/>
          </w:tcPr>
          <w:p>
            <w:pPr>
              <w:adjustRightInd w:val="0"/>
              <w:snapToGrid w:val="0"/>
              <w:jc w:val="center"/>
              <w:rPr>
                <w:color w:val="auto"/>
                <w:highlight w:val="none"/>
              </w:rPr>
            </w:pPr>
            <w:r>
              <w:rPr>
                <w:rFonts w:hint="eastAsia"/>
                <w:color w:val="auto"/>
                <w:szCs w:val="21"/>
                <w:highlight w:val="none"/>
              </w:rPr>
              <w:t>52 橡胶制品业 291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0" w:type="auto"/>
            <w:tcMar>
              <w:top w:w="16" w:type="dxa"/>
              <w:left w:w="16" w:type="dxa"/>
              <w:right w:w="16" w:type="dxa"/>
            </w:tcMar>
            <w:vAlign w:val="center"/>
          </w:tcPr>
          <w:p>
            <w:pPr>
              <w:adjustRightInd w:val="0"/>
              <w:snapToGrid w:val="0"/>
              <w:jc w:val="center"/>
              <w:rPr>
                <w:color w:val="auto"/>
                <w:highlight w:val="none"/>
              </w:rPr>
            </w:pPr>
            <w:r>
              <w:rPr>
                <w:color w:val="auto"/>
                <w:highlight w:val="none"/>
              </w:rPr>
              <w:t>建设性质</w:t>
            </w:r>
          </w:p>
        </w:tc>
        <w:tc>
          <w:tcPr>
            <w:tcW w:w="0" w:type="auto"/>
            <w:vAlign w:val="center"/>
          </w:tcPr>
          <w:p>
            <w:pPr>
              <w:jc w:val="left"/>
              <w:rPr>
                <w:color w:val="auto"/>
                <w:highlight w:val="none"/>
              </w:rPr>
            </w:pPr>
            <w:r>
              <w:rPr>
                <w:color w:val="auto"/>
                <w:highlight w:val="none"/>
              </w:rPr>
              <w:sym w:font="Wingdings 2" w:char="0052"/>
            </w:r>
            <w:r>
              <w:rPr>
                <w:color w:val="auto"/>
                <w:highlight w:val="none"/>
              </w:rPr>
              <w:t>新建（迁建）</w:t>
            </w:r>
          </w:p>
          <w:p>
            <w:pPr>
              <w:jc w:val="left"/>
              <w:rPr>
                <w:color w:val="auto"/>
                <w:highlight w:val="none"/>
              </w:rPr>
            </w:pPr>
            <w:r>
              <w:rPr>
                <w:color w:val="auto"/>
                <w:highlight w:val="none"/>
              </w:rPr>
              <w:sym w:font="Wingdings 2" w:char="00A3"/>
            </w:r>
            <w:r>
              <w:rPr>
                <w:color w:val="auto"/>
                <w:highlight w:val="none"/>
              </w:rPr>
              <w:t>改建</w:t>
            </w:r>
          </w:p>
          <w:p>
            <w:pPr>
              <w:jc w:val="left"/>
              <w:rPr>
                <w:color w:val="auto"/>
                <w:highlight w:val="none"/>
              </w:rPr>
            </w:pPr>
            <w:r>
              <w:rPr>
                <w:color w:val="auto"/>
                <w:highlight w:val="none"/>
              </w:rPr>
              <w:sym w:font="Wingdings 2" w:char="00A3"/>
            </w:r>
            <w:r>
              <w:rPr>
                <w:color w:val="auto"/>
                <w:highlight w:val="none"/>
              </w:rPr>
              <w:t>扩建</w:t>
            </w:r>
          </w:p>
          <w:p>
            <w:pPr>
              <w:jc w:val="left"/>
              <w:rPr>
                <w:color w:val="auto"/>
                <w:highlight w:val="none"/>
              </w:rPr>
            </w:pPr>
            <w:r>
              <w:rPr>
                <w:color w:val="auto"/>
                <w:highlight w:val="none"/>
              </w:rPr>
              <w:sym w:font="Wingdings 2" w:char="00A3"/>
            </w:r>
            <w:r>
              <w:rPr>
                <w:color w:val="auto"/>
                <w:highlight w:val="none"/>
              </w:rPr>
              <w:t>技术改造</w:t>
            </w:r>
          </w:p>
        </w:tc>
        <w:tc>
          <w:tcPr>
            <w:tcW w:w="0" w:type="auto"/>
            <w:vAlign w:val="center"/>
          </w:tcPr>
          <w:p>
            <w:pPr>
              <w:adjustRightInd w:val="0"/>
              <w:snapToGrid w:val="0"/>
              <w:jc w:val="center"/>
              <w:rPr>
                <w:color w:val="auto"/>
                <w:highlight w:val="none"/>
              </w:rPr>
            </w:pPr>
            <w:r>
              <w:rPr>
                <w:color w:val="auto"/>
                <w:highlight w:val="none"/>
              </w:rPr>
              <w:t>建设项目</w:t>
            </w:r>
          </w:p>
          <w:p>
            <w:pPr>
              <w:adjustRightInd w:val="0"/>
              <w:snapToGrid w:val="0"/>
              <w:jc w:val="center"/>
              <w:rPr>
                <w:color w:val="auto"/>
                <w:highlight w:val="none"/>
              </w:rPr>
            </w:pPr>
            <w:r>
              <w:rPr>
                <w:color w:val="auto"/>
                <w:highlight w:val="none"/>
              </w:rPr>
              <w:t>申报情形</w:t>
            </w:r>
          </w:p>
        </w:tc>
        <w:tc>
          <w:tcPr>
            <w:tcW w:w="0" w:type="auto"/>
            <w:vAlign w:val="center"/>
          </w:tcPr>
          <w:p>
            <w:pPr>
              <w:jc w:val="left"/>
              <w:rPr>
                <w:color w:val="auto"/>
                <w:highlight w:val="none"/>
              </w:rPr>
            </w:pPr>
            <w:r>
              <w:rPr>
                <w:color w:val="auto"/>
                <w:highlight w:val="none"/>
              </w:rPr>
              <w:sym w:font="Wingdings 2" w:char="0052"/>
            </w:r>
            <w:r>
              <w:rPr>
                <w:color w:val="auto"/>
                <w:highlight w:val="none"/>
              </w:rPr>
              <w:t xml:space="preserve">首次申报项目             </w:t>
            </w:r>
          </w:p>
          <w:p>
            <w:pPr>
              <w:jc w:val="left"/>
              <w:rPr>
                <w:color w:val="auto"/>
                <w:highlight w:val="none"/>
              </w:rPr>
            </w:pPr>
            <w:r>
              <w:rPr>
                <w:color w:val="auto"/>
                <w:highlight w:val="none"/>
              </w:rPr>
              <w:sym w:font="Wingdings 2" w:char="00A3"/>
            </w:r>
            <w:r>
              <w:rPr>
                <w:color w:val="auto"/>
                <w:highlight w:val="none"/>
              </w:rPr>
              <w:t>不予批准后再次申报项目</w:t>
            </w:r>
          </w:p>
          <w:p>
            <w:pPr>
              <w:jc w:val="left"/>
              <w:rPr>
                <w:color w:val="auto"/>
                <w:highlight w:val="none"/>
              </w:rPr>
            </w:pPr>
            <w:r>
              <w:rPr>
                <w:color w:val="auto"/>
                <w:highlight w:val="none"/>
              </w:rPr>
              <w:sym w:font="Wingdings 2" w:char="00A3"/>
            </w:r>
            <w:r>
              <w:rPr>
                <w:color w:val="auto"/>
                <w:highlight w:val="none"/>
              </w:rPr>
              <w:t xml:space="preserve">超五年重新审核项目     </w:t>
            </w:r>
          </w:p>
          <w:p>
            <w:pPr>
              <w:jc w:val="left"/>
              <w:rPr>
                <w:color w:val="auto"/>
                <w:highlight w:val="none"/>
              </w:rPr>
            </w:pPr>
            <w:r>
              <w:rPr>
                <w:color w:val="auto"/>
                <w:highlight w:val="none"/>
              </w:rPr>
              <w:sym w:font="Wingdings 2" w:char="00A3"/>
            </w:r>
            <w:r>
              <w:rPr>
                <w:color w:val="auto"/>
                <w:highlight w:val="none"/>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37" w:hRule="atLeast"/>
          <w:jc w:val="center"/>
        </w:trPr>
        <w:tc>
          <w:tcPr>
            <w:tcW w:w="0" w:type="auto"/>
            <w:tcMar>
              <w:top w:w="16" w:type="dxa"/>
              <w:left w:w="16" w:type="dxa"/>
              <w:right w:w="16" w:type="dxa"/>
            </w:tcMar>
            <w:vAlign w:val="center"/>
          </w:tcPr>
          <w:p>
            <w:pPr>
              <w:adjustRightInd w:val="0"/>
              <w:snapToGrid w:val="0"/>
              <w:jc w:val="center"/>
              <w:rPr>
                <w:color w:val="auto"/>
                <w:highlight w:val="none"/>
              </w:rPr>
            </w:pPr>
            <w:r>
              <w:rPr>
                <w:color w:val="auto"/>
                <w:highlight w:val="none"/>
              </w:rPr>
              <w:t>项目审批（核准/</w:t>
            </w:r>
          </w:p>
          <w:p>
            <w:pPr>
              <w:adjustRightInd w:val="0"/>
              <w:snapToGrid w:val="0"/>
              <w:jc w:val="center"/>
              <w:rPr>
                <w:color w:val="auto"/>
                <w:highlight w:val="none"/>
              </w:rPr>
            </w:pPr>
            <w:r>
              <w:rPr>
                <w:color w:val="auto"/>
                <w:highlight w:val="none"/>
              </w:rPr>
              <w:t>备案）部门</w:t>
            </w:r>
          </w:p>
        </w:tc>
        <w:tc>
          <w:tcPr>
            <w:tcW w:w="0" w:type="auto"/>
            <w:vAlign w:val="center"/>
          </w:tcPr>
          <w:p>
            <w:pPr>
              <w:adjustRightInd w:val="0"/>
              <w:snapToGrid w:val="0"/>
              <w:jc w:val="center"/>
              <w:rPr>
                <w:color w:val="auto"/>
                <w:highlight w:val="none"/>
              </w:rPr>
            </w:pPr>
            <w:r>
              <w:rPr>
                <w:rFonts w:hint="eastAsia"/>
                <w:color w:val="auto"/>
                <w:highlight w:val="none"/>
              </w:rPr>
              <w:t>博罗县发展和改革局</w:t>
            </w:r>
          </w:p>
        </w:tc>
        <w:tc>
          <w:tcPr>
            <w:tcW w:w="0" w:type="auto"/>
            <w:vAlign w:val="center"/>
          </w:tcPr>
          <w:p>
            <w:pPr>
              <w:adjustRightInd w:val="0"/>
              <w:snapToGrid w:val="0"/>
              <w:jc w:val="center"/>
              <w:rPr>
                <w:color w:val="auto"/>
                <w:highlight w:val="none"/>
              </w:rPr>
            </w:pPr>
            <w:r>
              <w:rPr>
                <w:color w:val="auto"/>
                <w:highlight w:val="none"/>
              </w:rPr>
              <w:t>项目审批（核准/</w:t>
            </w:r>
          </w:p>
          <w:p>
            <w:pPr>
              <w:adjustRightInd w:val="0"/>
              <w:snapToGrid w:val="0"/>
              <w:jc w:val="center"/>
              <w:rPr>
                <w:color w:val="auto"/>
                <w:highlight w:val="none"/>
              </w:rPr>
            </w:pPr>
            <w:r>
              <w:rPr>
                <w:color w:val="auto"/>
                <w:highlight w:val="none"/>
              </w:rPr>
              <w:t>备案）文号</w:t>
            </w:r>
          </w:p>
        </w:tc>
        <w:tc>
          <w:tcPr>
            <w:tcW w:w="0" w:type="auto"/>
            <w:vAlign w:val="center"/>
          </w:tcPr>
          <w:p>
            <w:pPr>
              <w:adjustRightInd w:val="0"/>
              <w:snapToGrid w:val="0"/>
              <w:jc w:val="center"/>
              <w:rPr>
                <w:color w:val="auto"/>
                <w:highlight w:val="none"/>
              </w:rPr>
            </w:pPr>
            <w:r>
              <w:rPr>
                <w:color w:val="auto"/>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3" w:hRule="atLeast"/>
          <w:jc w:val="center"/>
        </w:trPr>
        <w:tc>
          <w:tcPr>
            <w:tcW w:w="0" w:type="auto"/>
            <w:tcMar>
              <w:top w:w="16" w:type="dxa"/>
              <w:left w:w="16" w:type="dxa"/>
              <w:right w:w="16" w:type="dxa"/>
            </w:tcMar>
            <w:vAlign w:val="center"/>
          </w:tcPr>
          <w:p>
            <w:pPr>
              <w:adjustRightInd w:val="0"/>
              <w:snapToGrid w:val="0"/>
              <w:jc w:val="center"/>
              <w:rPr>
                <w:color w:val="auto"/>
                <w:highlight w:val="none"/>
              </w:rPr>
            </w:pPr>
            <w:r>
              <w:rPr>
                <w:color w:val="auto"/>
                <w:highlight w:val="none"/>
              </w:rPr>
              <w:t>总投资（万元）</w:t>
            </w:r>
          </w:p>
        </w:tc>
        <w:tc>
          <w:tcPr>
            <w:tcW w:w="0" w:type="auto"/>
            <w:vAlign w:val="center"/>
          </w:tcPr>
          <w:p>
            <w:pPr>
              <w:adjustRightInd w:val="0"/>
              <w:snapToGrid w:val="0"/>
              <w:jc w:val="center"/>
              <w:rPr>
                <w:color w:val="auto"/>
                <w:highlight w:val="none"/>
              </w:rPr>
            </w:pPr>
            <w:r>
              <w:rPr>
                <w:rFonts w:hint="eastAsia"/>
                <w:color w:val="auto"/>
                <w:highlight w:val="none"/>
                <w:lang w:val="en-US" w:eastAsia="zh-CN"/>
              </w:rPr>
              <w:t>5</w:t>
            </w:r>
            <w:r>
              <w:rPr>
                <w:rFonts w:hint="eastAsia"/>
                <w:color w:val="auto"/>
                <w:highlight w:val="none"/>
              </w:rPr>
              <w:t>0.00</w:t>
            </w:r>
          </w:p>
        </w:tc>
        <w:tc>
          <w:tcPr>
            <w:tcW w:w="0" w:type="auto"/>
            <w:tcMar>
              <w:top w:w="16" w:type="dxa"/>
              <w:left w:w="16" w:type="dxa"/>
              <w:right w:w="16" w:type="dxa"/>
            </w:tcMar>
            <w:vAlign w:val="center"/>
          </w:tcPr>
          <w:p>
            <w:pPr>
              <w:adjustRightInd w:val="0"/>
              <w:snapToGrid w:val="0"/>
              <w:jc w:val="center"/>
              <w:rPr>
                <w:color w:val="auto"/>
                <w:highlight w:val="none"/>
              </w:rPr>
            </w:pPr>
            <w:r>
              <w:rPr>
                <w:color w:val="auto"/>
                <w:highlight w:val="none"/>
              </w:rPr>
              <w:t>环保投资（万元）</w:t>
            </w:r>
          </w:p>
        </w:tc>
        <w:tc>
          <w:tcPr>
            <w:tcW w:w="0" w:type="auto"/>
            <w:vAlign w:val="center"/>
          </w:tcPr>
          <w:p>
            <w:pPr>
              <w:adjustRightInd w:val="0"/>
              <w:snapToGrid w:val="0"/>
              <w:jc w:val="center"/>
              <w:rPr>
                <w:color w:val="auto"/>
                <w:highlight w:val="none"/>
              </w:rPr>
            </w:pPr>
            <w:r>
              <w:rPr>
                <w:rFonts w:hint="eastAsia"/>
                <w:color w:val="auto"/>
                <w:highlight w:val="none"/>
                <w:lang w:val="en-US" w:eastAsia="zh-CN"/>
              </w:rPr>
              <w:t>1</w:t>
            </w:r>
            <w:r>
              <w:rPr>
                <w:color w:val="auto"/>
                <w:highlight w:val="none"/>
              </w:rPr>
              <w:t>0</w:t>
            </w:r>
            <w:r>
              <w:rPr>
                <w:rFonts w:hint="eastAsia"/>
                <w:color w:val="auto"/>
                <w:highlight w:val="none"/>
              </w:rPr>
              <w:t>.00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53" w:hRule="atLeast"/>
          <w:jc w:val="center"/>
        </w:trPr>
        <w:tc>
          <w:tcPr>
            <w:tcW w:w="0" w:type="auto"/>
            <w:tcMar>
              <w:top w:w="16" w:type="dxa"/>
              <w:left w:w="16" w:type="dxa"/>
              <w:right w:w="16" w:type="dxa"/>
            </w:tcMar>
            <w:vAlign w:val="center"/>
          </w:tcPr>
          <w:p>
            <w:pPr>
              <w:adjustRightInd w:val="0"/>
              <w:snapToGrid w:val="0"/>
              <w:jc w:val="center"/>
              <w:rPr>
                <w:color w:val="auto"/>
                <w:highlight w:val="none"/>
              </w:rPr>
            </w:pPr>
            <w:r>
              <w:rPr>
                <w:color w:val="auto"/>
                <w:highlight w:val="none"/>
              </w:rPr>
              <w:t>环保投资占比（%）</w:t>
            </w:r>
          </w:p>
        </w:tc>
        <w:tc>
          <w:tcPr>
            <w:tcW w:w="0" w:type="auto"/>
            <w:vAlign w:val="center"/>
          </w:tcPr>
          <w:p>
            <w:pPr>
              <w:adjustRightInd w:val="0"/>
              <w:snapToGrid w:val="0"/>
              <w:jc w:val="center"/>
              <w:rPr>
                <w:color w:val="auto"/>
                <w:highlight w:val="none"/>
              </w:rPr>
            </w:pPr>
            <w:r>
              <w:rPr>
                <w:rFonts w:hint="eastAsia"/>
                <w:color w:val="auto"/>
                <w:highlight w:val="none"/>
              </w:rPr>
              <w:t>2</w:t>
            </w:r>
            <w:r>
              <w:rPr>
                <w:rFonts w:hint="eastAsia"/>
                <w:color w:val="auto"/>
                <w:highlight w:val="none"/>
                <w:lang w:val="en-US" w:eastAsia="zh-CN"/>
              </w:rPr>
              <w:t>0</w:t>
            </w:r>
            <w:r>
              <w:rPr>
                <w:rFonts w:hint="eastAsia"/>
                <w:color w:val="auto"/>
                <w:highlight w:val="none"/>
              </w:rPr>
              <w:t>.0</w:t>
            </w:r>
          </w:p>
        </w:tc>
        <w:tc>
          <w:tcPr>
            <w:tcW w:w="0" w:type="auto"/>
            <w:tcMar>
              <w:top w:w="16" w:type="dxa"/>
              <w:left w:w="16" w:type="dxa"/>
              <w:right w:w="16" w:type="dxa"/>
            </w:tcMar>
            <w:vAlign w:val="center"/>
          </w:tcPr>
          <w:p>
            <w:pPr>
              <w:adjustRightInd w:val="0"/>
              <w:snapToGrid w:val="0"/>
              <w:jc w:val="center"/>
              <w:rPr>
                <w:color w:val="auto"/>
                <w:highlight w:val="none"/>
              </w:rPr>
            </w:pPr>
            <w:r>
              <w:rPr>
                <w:color w:val="auto"/>
                <w:highlight w:val="none"/>
              </w:rPr>
              <w:t>施工工期</w:t>
            </w:r>
          </w:p>
        </w:tc>
        <w:tc>
          <w:tcPr>
            <w:tcW w:w="0" w:type="auto"/>
            <w:vAlign w:val="center"/>
          </w:tcPr>
          <w:p>
            <w:pPr>
              <w:adjustRightInd w:val="0"/>
              <w:snapToGrid w:val="0"/>
              <w:jc w:val="center"/>
              <w:rPr>
                <w:color w:val="auto"/>
                <w:highlight w:val="none"/>
              </w:rPr>
            </w:pPr>
            <w:r>
              <w:rPr>
                <w:color w:val="auto"/>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697" w:hRule="atLeast"/>
          <w:jc w:val="center"/>
        </w:trPr>
        <w:tc>
          <w:tcPr>
            <w:tcW w:w="0" w:type="auto"/>
            <w:tcMar>
              <w:top w:w="16" w:type="dxa"/>
              <w:left w:w="16" w:type="dxa"/>
              <w:right w:w="16" w:type="dxa"/>
            </w:tcMar>
            <w:vAlign w:val="center"/>
          </w:tcPr>
          <w:p>
            <w:pPr>
              <w:adjustRightInd w:val="0"/>
              <w:snapToGrid w:val="0"/>
              <w:jc w:val="center"/>
              <w:rPr>
                <w:color w:val="auto"/>
                <w:highlight w:val="none"/>
              </w:rPr>
            </w:pPr>
            <w:r>
              <w:rPr>
                <w:color w:val="auto"/>
                <w:highlight w:val="none"/>
              </w:rPr>
              <w:t>是否开工建设</w:t>
            </w:r>
          </w:p>
        </w:tc>
        <w:tc>
          <w:tcPr>
            <w:tcW w:w="0" w:type="auto"/>
            <w:vAlign w:val="center"/>
          </w:tcPr>
          <w:p>
            <w:pPr>
              <w:adjustRightInd w:val="0"/>
              <w:snapToGrid w:val="0"/>
              <w:rPr>
                <w:color w:val="auto"/>
                <w:highlight w:val="none"/>
              </w:rPr>
            </w:pPr>
            <w:r>
              <w:rPr>
                <w:color w:val="auto"/>
                <w:highlight w:val="none"/>
                <w:shd w:val="clear" w:color="auto" w:fill="FFFFFF"/>
              </w:rPr>
              <w:t>√</w:t>
            </w:r>
            <w:r>
              <w:rPr>
                <w:color w:val="auto"/>
                <w:highlight w:val="none"/>
              </w:rPr>
              <w:t>否</w:t>
            </w:r>
          </w:p>
          <w:p>
            <w:pPr>
              <w:adjustRightInd w:val="0"/>
              <w:snapToGrid w:val="0"/>
              <w:rPr>
                <w:color w:val="auto"/>
                <w:highlight w:val="none"/>
              </w:rPr>
            </w:pPr>
            <w:r>
              <w:rPr>
                <w:color w:val="auto"/>
                <w:highlight w:val="none"/>
              </w:rPr>
              <w:sym w:font="Wingdings 2" w:char="00A3"/>
            </w:r>
            <w:r>
              <w:rPr>
                <w:color w:val="auto"/>
                <w:highlight w:val="none"/>
              </w:rPr>
              <w:t>是：</w:t>
            </w:r>
            <w:r>
              <w:rPr>
                <w:color w:val="auto"/>
                <w:highlight w:val="none"/>
                <w:u w:val="single"/>
              </w:rPr>
              <w:t xml:space="preserve">             </w:t>
            </w:r>
          </w:p>
        </w:tc>
        <w:tc>
          <w:tcPr>
            <w:tcW w:w="0" w:type="auto"/>
            <w:tcMar>
              <w:top w:w="16" w:type="dxa"/>
              <w:left w:w="16" w:type="dxa"/>
              <w:right w:w="16" w:type="dxa"/>
            </w:tcMar>
            <w:vAlign w:val="center"/>
          </w:tcPr>
          <w:p>
            <w:pPr>
              <w:adjustRightInd w:val="0"/>
              <w:snapToGrid w:val="0"/>
              <w:jc w:val="center"/>
              <w:rPr>
                <w:color w:val="auto"/>
                <w:highlight w:val="none"/>
              </w:rPr>
            </w:pPr>
            <w:r>
              <w:rPr>
                <w:color w:val="auto"/>
                <w:spacing w:val="-6"/>
                <w:highlight w:val="none"/>
              </w:rPr>
              <w:t>用地面积（m</w:t>
            </w:r>
            <w:r>
              <w:rPr>
                <w:color w:val="auto"/>
                <w:spacing w:val="-6"/>
                <w:highlight w:val="none"/>
                <w:vertAlign w:val="superscript"/>
              </w:rPr>
              <w:t>2</w:t>
            </w:r>
            <w:r>
              <w:rPr>
                <w:color w:val="auto"/>
                <w:spacing w:val="-6"/>
                <w:highlight w:val="none"/>
              </w:rPr>
              <w:t>）</w:t>
            </w:r>
          </w:p>
        </w:tc>
        <w:tc>
          <w:tcPr>
            <w:tcW w:w="0" w:type="auto"/>
            <w:vAlign w:val="center"/>
          </w:tcPr>
          <w:p>
            <w:pPr>
              <w:adjustRightInd w:val="0"/>
              <w:snapToGrid w:val="0"/>
              <w:jc w:val="center"/>
              <w:rPr>
                <w:color w:val="auto"/>
                <w:highlight w:val="none"/>
              </w:rPr>
            </w:pPr>
            <w:r>
              <w:rPr>
                <w:rFonts w:hint="eastAsia"/>
                <w:color w:val="auto"/>
                <w:highlight w:val="none"/>
              </w:rPr>
              <w:t>450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02" w:hRule="atLeast"/>
          <w:jc w:val="center"/>
        </w:trPr>
        <w:tc>
          <w:tcPr>
            <w:tcW w:w="0" w:type="auto"/>
            <w:vAlign w:val="center"/>
          </w:tcPr>
          <w:p>
            <w:pPr>
              <w:autoSpaceDE w:val="0"/>
              <w:autoSpaceDN w:val="0"/>
              <w:adjustRightInd w:val="0"/>
              <w:snapToGrid w:val="0"/>
              <w:jc w:val="center"/>
              <w:rPr>
                <w:color w:val="auto"/>
                <w:highlight w:val="none"/>
              </w:rPr>
            </w:pPr>
            <w:r>
              <w:rPr>
                <w:color w:val="auto"/>
                <w:highlight w:val="none"/>
              </w:rPr>
              <w:t>专项评价设置情况</w:t>
            </w:r>
          </w:p>
        </w:tc>
        <w:tc>
          <w:tcPr>
            <w:tcW w:w="0" w:type="auto"/>
            <w:gridSpan w:val="3"/>
            <w:vAlign w:val="center"/>
          </w:tcPr>
          <w:p>
            <w:pPr>
              <w:autoSpaceDE w:val="0"/>
              <w:autoSpaceDN w:val="0"/>
              <w:adjustRightInd w:val="0"/>
              <w:snapToGrid w:val="0"/>
              <w:jc w:val="center"/>
              <w:rPr>
                <w:color w:val="auto"/>
                <w:highlight w:val="none"/>
              </w:rPr>
            </w:pPr>
            <w:r>
              <w:rPr>
                <w:color w:val="auto"/>
                <w:highlight w:val="none"/>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07" w:hRule="atLeast"/>
          <w:jc w:val="center"/>
        </w:trPr>
        <w:tc>
          <w:tcPr>
            <w:tcW w:w="0" w:type="auto"/>
            <w:vAlign w:val="center"/>
          </w:tcPr>
          <w:p>
            <w:pPr>
              <w:autoSpaceDE w:val="0"/>
              <w:autoSpaceDN w:val="0"/>
              <w:adjustRightInd w:val="0"/>
              <w:snapToGrid w:val="0"/>
              <w:jc w:val="center"/>
              <w:rPr>
                <w:color w:val="auto"/>
                <w:highlight w:val="none"/>
              </w:rPr>
            </w:pPr>
            <w:r>
              <w:rPr>
                <w:color w:val="auto"/>
                <w:highlight w:val="none"/>
              </w:rPr>
              <w:t>规划情况</w:t>
            </w:r>
          </w:p>
        </w:tc>
        <w:tc>
          <w:tcPr>
            <w:tcW w:w="0" w:type="auto"/>
            <w:gridSpan w:val="3"/>
            <w:vAlign w:val="center"/>
          </w:tcPr>
          <w:p>
            <w:pPr>
              <w:autoSpaceDE w:val="0"/>
              <w:autoSpaceDN w:val="0"/>
              <w:adjustRightInd w:val="0"/>
              <w:snapToGrid w:val="0"/>
              <w:jc w:val="center"/>
              <w:rPr>
                <w:color w:val="auto"/>
                <w:highlight w:val="none"/>
              </w:rPr>
            </w:pPr>
            <w:r>
              <w:rPr>
                <w:color w:val="auto"/>
                <w:highlight w:val="none"/>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0" w:type="auto"/>
            <w:vAlign w:val="center"/>
          </w:tcPr>
          <w:p>
            <w:pPr>
              <w:adjustRightInd w:val="0"/>
              <w:snapToGrid w:val="0"/>
              <w:jc w:val="center"/>
              <w:rPr>
                <w:color w:val="auto"/>
                <w:highlight w:val="none"/>
              </w:rPr>
            </w:pPr>
            <w:r>
              <w:rPr>
                <w:color w:val="auto"/>
                <w:highlight w:val="none"/>
              </w:rPr>
              <w:t>规划环境影响评价情况</w:t>
            </w:r>
          </w:p>
        </w:tc>
        <w:tc>
          <w:tcPr>
            <w:tcW w:w="0" w:type="auto"/>
            <w:gridSpan w:val="3"/>
            <w:vAlign w:val="center"/>
          </w:tcPr>
          <w:p>
            <w:pPr>
              <w:autoSpaceDE w:val="0"/>
              <w:autoSpaceDN w:val="0"/>
              <w:adjustRightInd w:val="0"/>
              <w:snapToGrid w:val="0"/>
              <w:jc w:val="center"/>
              <w:rPr>
                <w:color w:val="auto"/>
                <w:highlight w:val="none"/>
              </w:rPr>
            </w:pPr>
            <w:r>
              <w:rPr>
                <w:color w:val="auto"/>
                <w:highlight w:val="none"/>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0" w:type="auto"/>
            <w:vAlign w:val="center"/>
          </w:tcPr>
          <w:p>
            <w:pPr>
              <w:autoSpaceDE w:val="0"/>
              <w:autoSpaceDN w:val="0"/>
              <w:adjustRightInd w:val="0"/>
              <w:snapToGrid w:val="0"/>
              <w:jc w:val="center"/>
              <w:rPr>
                <w:color w:val="auto"/>
                <w:highlight w:val="none"/>
              </w:rPr>
            </w:pPr>
            <w:r>
              <w:rPr>
                <w:color w:val="auto"/>
                <w:highlight w:val="none"/>
              </w:rPr>
              <w:t>规划及规划环境影响评价符合性分析</w:t>
            </w:r>
          </w:p>
        </w:tc>
        <w:tc>
          <w:tcPr>
            <w:tcW w:w="0" w:type="auto"/>
            <w:gridSpan w:val="3"/>
            <w:vAlign w:val="center"/>
          </w:tcPr>
          <w:p>
            <w:pPr>
              <w:autoSpaceDE w:val="0"/>
              <w:autoSpaceDN w:val="0"/>
              <w:adjustRightInd w:val="0"/>
              <w:snapToGrid w:val="0"/>
              <w:jc w:val="center"/>
              <w:rPr>
                <w:color w:val="auto"/>
                <w:highlight w:val="none"/>
              </w:rPr>
            </w:pPr>
            <w:r>
              <w:rPr>
                <w:color w:val="auto"/>
                <w:highlight w:val="none"/>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09" w:hRule="atLeast"/>
          <w:jc w:val="center"/>
        </w:trPr>
        <w:tc>
          <w:tcPr>
            <w:tcW w:w="0" w:type="auto"/>
            <w:vAlign w:val="center"/>
          </w:tcPr>
          <w:p>
            <w:pPr>
              <w:autoSpaceDE w:val="0"/>
              <w:autoSpaceDN w:val="0"/>
              <w:adjustRightInd w:val="0"/>
              <w:snapToGrid w:val="0"/>
              <w:jc w:val="center"/>
              <w:rPr>
                <w:color w:val="auto"/>
                <w:highlight w:val="none"/>
              </w:rPr>
            </w:pPr>
            <w:r>
              <w:rPr>
                <w:color w:val="auto"/>
                <w:highlight w:val="none"/>
              </w:rPr>
              <w:t>其他符合性分析</w:t>
            </w:r>
          </w:p>
        </w:tc>
        <w:tc>
          <w:tcPr>
            <w:tcW w:w="0" w:type="auto"/>
            <w:gridSpan w:val="3"/>
            <w:vAlign w:val="center"/>
          </w:tcPr>
          <w:p>
            <w:pPr>
              <w:widowControl/>
              <w:adjustRightInd w:val="0"/>
              <w:snapToGrid w:val="0"/>
              <w:spacing w:line="360" w:lineRule="auto"/>
              <w:ind w:firstLine="479" w:firstLineChars="227"/>
              <w:rPr>
                <w:b/>
                <w:bCs/>
                <w:color w:val="auto"/>
                <w:highlight w:val="none"/>
              </w:rPr>
            </w:pPr>
            <w:r>
              <w:rPr>
                <w:b/>
                <w:color w:val="auto"/>
                <w:highlight w:val="none"/>
              </w:rPr>
              <w:t>1、</w:t>
            </w:r>
            <w:r>
              <w:rPr>
                <w:b/>
                <w:bCs/>
                <w:color w:val="auto"/>
                <w:highlight w:val="none"/>
              </w:rPr>
              <w:t>与博罗县</w:t>
            </w:r>
            <w:r>
              <w:rPr>
                <w:rFonts w:hint="eastAsia"/>
                <w:b/>
                <w:bCs/>
                <w:color w:val="auto"/>
                <w:highlight w:val="none"/>
              </w:rPr>
              <w:t>“三线一单”</w:t>
            </w:r>
            <w:r>
              <w:rPr>
                <w:b/>
                <w:bCs/>
                <w:color w:val="auto"/>
                <w:highlight w:val="none"/>
              </w:rPr>
              <w:t>相符性分析</w:t>
            </w:r>
          </w:p>
          <w:p>
            <w:pPr>
              <w:pStyle w:val="119"/>
              <w:spacing w:line="360" w:lineRule="auto"/>
              <w:ind w:firstLine="420"/>
              <w:rPr>
                <w:rFonts w:cs="Times New Roman"/>
                <w:color w:val="auto"/>
                <w:highlight w:val="none"/>
                <w:lang w:eastAsia="zh-CN"/>
              </w:rPr>
            </w:pPr>
            <w:r>
              <w:rPr>
                <w:rFonts w:hint="eastAsia" w:cs="Times New Roman"/>
                <w:color w:val="auto"/>
                <w:highlight w:val="none"/>
                <w:lang w:eastAsia="zh-CN"/>
              </w:rPr>
              <w:t>根据《博罗县生态保护红线、环境质量底线、资源利用上线和环境准入清单研究报告》，</w:t>
            </w:r>
            <w:r>
              <w:rPr>
                <w:rFonts w:cs="Times New Roman"/>
                <w:color w:val="auto"/>
                <w:highlight w:val="none"/>
                <w:lang w:eastAsia="zh-CN"/>
              </w:rPr>
              <w:t>项目位于</w:t>
            </w:r>
            <w:r>
              <w:rPr>
                <w:rFonts w:cs="Times New Roman"/>
                <w:color w:val="0000FF"/>
                <w:highlight w:val="none"/>
                <w:lang w:eastAsia="zh-CN"/>
              </w:rPr>
              <w:t>广东省</w:t>
            </w:r>
            <w:r>
              <w:rPr>
                <w:rFonts w:cs="Times New Roman"/>
                <w:color w:val="0000FF"/>
                <w:highlight w:val="none"/>
              </w:rPr>
              <w:t>惠州市</w:t>
            </w:r>
            <w:r>
              <w:rPr>
                <w:rFonts w:hint="eastAsia" w:cs="Times New Roman"/>
                <w:color w:val="0000FF"/>
                <w:highlight w:val="none"/>
              </w:rPr>
              <w:t>博罗县园洲镇田头村红边田（土名）</w:t>
            </w:r>
            <w:r>
              <w:rPr>
                <w:rFonts w:cs="Times New Roman"/>
                <w:color w:val="auto"/>
                <w:highlight w:val="none"/>
                <w:lang w:eastAsia="zh-CN"/>
              </w:rPr>
              <w:t>，所在地属于重点管控单元，环境管控单元编码ZH44132220001，环境管控单元名称为博罗沙河流域重点管控单元，项目与</w:t>
            </w:r>
            <w:r>
              <w:rPr>
                <w:rFonts w:hint="eastAsia" w:cs="Times New Roman"/>
                <w:color w:val="auto"/>
                <w:highlight w:val="none"/>
                <w:lang w:eastAsia="zh-CN"/>
              </w:rPr>
              <w:t>其</w:t>
            </w:r>
            <w:r>
              <w:rPr>
                <w:rFonts w:cs="Times New Roman"/>
                <w:color w:val="auto"/>
                <w:highlight w:val="none"/>
              </w:rPr>
              <w:t>相符性分析见下表</w:t>
            </w:r>
            <w:r>
              <w:rPr>
                <w:rFonts w:hint="eastAsia" w:cs="Times New Roman"/>
                <w:color w:val="auto"/>
                <w:highlight w:val="none"/>
                <w:lang w:eastAsia="zh-CN"/>
              </w:rPr>
              <w:t>：</w:t>
            </w:r>
          </w:p>
          <w:p>
            <w:pPr>
              <w:adjustRightInd w:val="0"/>
              <w:snapToGrid w:val="0"/>
              <w:spacing w:line="360" w:lineRule="auto"/>
              <w:jc w:val="center"/>
              <w:rPr>
                <w:b/>
                <w:color w:val="auto"/>
                <w:highlight w:val="none"/>
              </w:rPr>
            </w:pPr>
            <w:r>
              <w:rPr>
                <w:b/>
                <w:color w:val="auto"/>
                <w:highlight w:val="none"/>
              </w:rPr>
              <w:t>表1-1 与</w:t>
            </w:r>
            <w:r>
              <w:rPr>
                <w:b/>
                <w:bCs/>
                <w:color w:val="auto"/>
                <w:highlight w:val="none"/>
              </w:rPr>
              <w:t>博罗县</w:t>
            </w:r>
            <w:r>
              <w:rPr>
                <w:rFonts w:hint="eastAsia"/>
                <w:b/>
                <w:bCs/>
                <w:color w:val="auto"/>
                <w:highlight w:val="none"/>
              </w:rPr>
              <w:t>“三线一单”</w:t>
            </w:r>
            <w:r>
              <w:rPr>
                <w:b/>
                <w:color w:val="auto"/>
                <w:highlight w:val="none"/>
              </w:rPr>
              <w:t>相符性分析</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5"/>
              <w:gridCol w:w="526"/>
              <w:gridCol w:w="3462"/>
              <w:gridCol w:w="32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gridSpan w:val="3"/>
                  <w:vAlign w:val="center"/>
                </w:tcPr>
                <w:p>
                  <w:pPr>
                    <w:jc w:val="center"/>
                    <w:rPr>
                      <w:b/>
                      <w:bCs/>
                      <w:color w:val="auto"/>
                      <w:sz w:val="18"/>
                      <w:szCs w:val="18"/>
                      <w:highlight w:val="none"/>
                    </w:rPr>
                  </w:pPr>
                  <w:r>
                    <w:rPr>
                      <w:b/>
                      <w:bCs/>
                      <w:color w:val="auto"/>
                      <w:sz w:val="18"/>
                      <w:szCs w:val="18"/>
                      <w:highlight w:val="none"/>
                    </w:rPr>
                    <w:t>管控要求</w:t>
                  </w:r>
                </w:p>
              </w:tc>
              <w:tc>
                <w:tcPr>
                  <w:tcW w:w="0" w:type="auto"/>
                  <w:vAlign w:val="center"/>
                </w:tcPr>
                <w:p>
                  <w:pPr>
                    <w:jc w:val="center"/>
                    <w:rPr>
                      <w:b/>
                      <w:bCs/>
                      <w:color w:val="auto"/>
                      <w:sz w:val="18"/>
                      <w:szCs w:val="18"/>
                      <w:highlight w:val="none"/>
                    </w:rPr>
                  </w:pPr>
                  <w:r>
                    <w:rPr>
                      <w:b/>
                      <w:bCs/>
                      <w:color w:val="auto"/>
                      <w:sz w:val="18"/>
                      <w:szCs w:val="18"/>
                      <w:highlight w:val="none"/>
                    </w:rPr>
                    <w:t>本项目</w:t>
                  </w:r>
                  <w:r>
                    <w:rPr>
                      <w:rFonts w:hint="eastAsia"/>
                      <w:b/>
                      <w:bCs/>
                      <w:color w:val="auto"/>
                      <w:sz w:val="18"/>
                      <w:szCs w:val="18"/>
                      <w:highlight w:val="none"/>
                    </w:rPr>
                    <w:t>相符性分析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gridSpan w:val="2"/>
                  <w:vAlign w:val="center"/>
                </w:tcPr>
                <w:p>
                  <w:pPr>
                    <w:jc w:val="center"/>
                    <w:rPr>
                      <w:color w:val="auto"/>
                      <w:sz w:val="18"/>
                      <w:szCs w:val="18"/>
                      <w:highlight w:val="none"/>
                    </w:rPr>
                  </w:pPr>
                  <w:r>
                    <w:rPr>
                      <w:rFonts w:hint="eastAsia"/>
                      <w:color w:val="auto"/>
                      <w:sz w:val="18"/>
                      <w:szCs w:val="18"/>
                      <w:highlight w:val="none"/>
                    </w:rPr>
                    <w:t>生态保护红线</w:t>
                  </w:r>
                </w:p>
              </w:tc>
              <w:tc>
                <w:tcPr>
                  <w:tcW w:w="0" w:type="auto"/>
                  <w:vAlign w:val="center"/>
                </w:tcPr>
                <w:p>
                  <w:pPr>
                    <w:jc w:val="center"/>
                    <w:rPr>
                      <w:b/>
                      <w:bCs/>
                      <w:color w:val="auto"/>
                      <w:sz w:val="18"/>
                      <w:szCs w:val="18"/>
                      <w:highlight w:val="none"/>
                    </w:rPr>
                  </w:pPr>
                  <w:r>
                    <w:rPr>
                      <w:rFonts w:hint="eastAsia"/>
                      <w:b/>
                      <w:bCs/>
                      <w:color w:val="auto"/>
                      <w:sz w:val="18"/>
                      <w:szCs w:val="18"/>
                      <w:highlight w:val="none"/>
                    </w:rPr>
                    <w:t>表1-1.1 园洲镇生态空间管控分区面积（平方公里）</w:t>
                  </w:r>
                </w:p>
                <w:tbl>
                  <w:tblPr>
                    <w:tblStyle w:val="3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4"/>
                    <w:gridCol w:w="1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6" w:type="pct"/>
                        <w:vAlign w:val="center"/>
                      </w:tcPr>
                      <w:p>
                        <w:pPr>
                          <w:jc w:val="center"/>
                          <w:rPr>
                            <w:color w:val="auto"/>
                            <w:sz w:val="18"/>
                            <w:szCs w:val="18"/>
                            <w:highlight w:val="none"/>
                          </w:rPr>
                        </w:pPr>
                        <w:r>
                          <w:rPr>
                            <w:rFonts w:hint="eastAsia"/>
                            <w:color w:val="auto"/>
                            <w:sz w:val="18"/>
                            <w:szCs w:val="18"/>
                            <w:highlight w:val="none"/>
                          </w:rPr>
                          <w:t>生态保护红线</w:t>
                        </w:r>
                      </w:p>
                    </w:tc>
                    <w:tc>
                      <w:tcPr>
                        <w:tcW w:w="2243" w:type="pct"/>
                        <w:vAlign w:val="center"/>
                      </w:tcPr>
                      <w:p>
                        <w:pPr>
                          <w:jc w:val="center"/>
                          <w:rPr>
                            <w:color w:val="auto"/>
                            <w:sz w:val="18"/>
                            <w:szCs w:val="18"/>
                            <w:highlight w:val="none"/>
                          </w:rPr>
                        </w:pPr>
                        <w:r>
                          <w:rPr>
                            <w:rFonts w:hint="eastAsia"/>
                            <w:color w:val="auto"/>
                            <w:sz w:val="18"/>
                            <w:szCs w:val="18"/>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6" w:type="pct"/>
                        <w:vAlign w:val="center"/>
                      </w:tcPr>
                      <w:p>
                        <w:pPr>
                          <w:jc w:val="center"/>
                          <w:rPr>
                            <w:color w:val="auto"/>
                            <w:sz w:val="18"/>
                            <w:szCs w:val="18"/>
                            <w:highlight w:val="none"/>
                          </w:rPr>
                        </w:pPr>
                        <w:r>
                          <w:rPr>
                            <w:rFonts w:hint="eastAsia"/>
                            <w:color w:val="auto"/>
                            <w:sz w:val="18"/>
                            <w:szCs w:val="18"/>
                            <w:highlight w:val="none"/>
                          </w:rPr>
                          <w:t>一般生态空间</w:t>
                        </w:r>
                      </w:p>
                    </w:tc>
                    <w:tc>
                      <w:tcPr>
                        <w:tcW w:w="2243" w:type="pct"/>
                        <w:vAlign w:val="center"/>
                      </w:tcPr>
                      <w:p>
                        <w:pPr>
                          <w:jc w:val="center"/>
                          <w:rPr>
                            <w:color w:val="auto"/>
                            <w:sz w:val="18"/>
                            <w:szCs w:val="18"/>
                            <w:highlight w:val="none"/>
                          </w:rPr>
                        </w:pPr>
                        <w:r>
                          <w:rPr>
                            <w:rFonts w:hint="eastAsia"/>
                            <w:color w:val="auto"/>
                            <w:sz w:val="18"/>
                            <w:szCs w:val="18"/>
                            <w:highlight w:val="none"/>
                          </w:rPr>
                          <w:t>3.086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6" w:type="pct"/>
                        <w:vAlign w:val="center"/>
                      </w:tcPr>
                      <w:p>
                        <w:pPr>
                          <w:jc w:val="center"/>
                          <w:rPr>
                            <w:color w:val="auto"/>
                            <w:sz w:val="18"/>
                            <w:szCs w:val="18"/>
                            <w:highlight w:val="none"/>
                          </w:rPr>
                        </w:pPr>
                        <w:r>
                          <w:rPr>
                            <w:rFonts w:hint="eastAsia"/>
                            <w:color w:val="auto"/>
                            <w:sz w:val="18"/>
                            <w:szCs w:val="18"/>
                            <w:highlight w:val="none"/>
                          </w:rPr>
                          <w:t>生态空间一般管控区</w:t>
                        </w:r>
                      </w:p>
                    </w:tc>
                    <w:tc>
                      <w:tcPr>
                        <w:tcW w:w="2243" w:type="pct"/>
                        <w:vAlign w:val="center"/>
                      </w:tcPr>
                      <w:p>
                        <w:pPr>
                          <w:jc w:val="center"/>
                          <w:rPr>
                            <w:color w:val="auto"/>
                            <w:sz w:val="18"/>
                            <w:szCs w:val="18"/>
                            <w:highlight w:val="none"/>
                          </w:rPr>
                        </w:pPr>
                        <w:r>
                          <w:rPr>
                            <w:rFonts w:hint="eastAsia"/>
                            <w:color w:val="auto"/>
                            <w:sz w:val="18"/>
                            <w:szCs w:val="18"/>
                            <w:highlight w:val="none"/>
                          </w:rPr>
                          <w:t>107.63</w:t>
                        </w:r>
                      </w:p>
                    </w:tc>
                  </w:tr>
                </w:tbl>
                <w:p>
                  <w:pPr>
                    <w:pStyle w:val="41"/>
                    <w:rPr>
                      <w:rFonts w:hint="default"/>
                      <w:color w:val="auto"/>
                      <w:highlight w:val="none"/>
                    </w:rPr>
                  </w:pPr>
                </w:p>
              </w:tc>
              <w:tc>
                <w:tcPr>
                  <w:tcW w:w="0" w:type="auto"/>
                  <w:vAlign w:val="center"/>
                </w:tcPr>
                <w:p>
                  <w:pPr>
                    <w:rPr>
                      <w:color w:val="auto"/>
                      <w:sz w:val="18"/>
                      <w:szCs w:val="18"/>
                      <w:highlight w:val="none"/>
                    </w:rPr>
                  </w:pPr>
                  <w:r>
                    <w:rPr>
                      <w:color w:val="auto"/>
                      <w:sz w:val="18"/>
                      <w:szCs w:val="18"/>
                      <w:highlight w:val="none"/>
                    </w:rPr>
                    <w:t>根据《博罗县</w:t>
                  </w:r>
                  <w:r>
                    <w:rPr>
                      <w:rFonts w:hint="eastAsia"/>
                      <w:color w:val="auto"/>
                      <w:sz w:val="18"/>
                      <w:szCs w:val="18"/>
                      <w:highlight w:val="none"/>
                    </w:rPr>
                    <w:t>“</w:t>
                  </w:r>
                  <w:r>
                    <w:rPr>
                      <w:color w:val="auto"/>
                      <w:sz w:val="18"/>
                      <w:szCs w:val="18"/>
                      <w:highlight w:val="none"/>
                    </w:rPr>
                    <w:t>三线一单</w:t>
                  </w:r>
                  <w:r>
                    <w:rPr>
                      <w:rFonts w:hint="eastAsia"/>
                      <w:color w:val="auto"/>
                      <w:sz w:val="18"/>
                      <w:szCs w:val="18"/>
                      <w:highlight w:val="none"/>
                    </w:rPr>
                    <w:t>”</w:t>
                  </w:r>
                  <w:r>
                    <w:rPr>
                      <w:color w:val="auto"/>
                      <w:sz w:val="18"/>
                      <w:szCs w:val="18"/>
                      <w:highlight w:val="none"/>
                    </w:rPr>
                    <w:t>生态环境分区管控</w:t>
                  </w:r>
                  <w:r>
                    <w:rPr>
                      <w:rFonts w:hint="eastAsia"/>
                      <w:color w:val="auto"/>
                      <w:sz w:val="18"/>
                      <w:szCs w:val="18"/>
                      <w:highlight w:val="none"/>
                    </w:rPr>
                    <w:t>图集</w:t>
                  </w:r>
                  <w:r>
                    <w:rPr>
                      <w:color w:val="auto"/>
                      <w:sz w:val="18"/>
                      <w:szCs w:val="18"/>
                      <w:highlight w:val="none"/>
                    </w:rPr>
                    <w:t>》</w:t>
                  </w:r>
                  <w:r>
                    <w:rPr>
                      <w:rFonts w:hint="eastAsia"/>
                      <w:color w:val="auto"/>
                      <w:sz w:val="18"/>
                      <w:szCs w:val="18"/>
                      <w:highlight w:val="none"/>
                    </w:rPr>
                    <w:t>（以下简称《图集》）中博罗县生态空间最终划定情况图（详见附图8），</w:t>
                  </w:r>
                  <w:r>
                    <w:rPr>
                      <w:color w:val="auto"/>
                      <w:sz w:val="18"/>
                      <w:szCs w:val="18"/>
                      <w:highlight w:val="none"/>
                    </w:rPr>
                    <w:t>项目不位于生态保护红线和一般生态空间内，属于生态空间一般管控区。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1" w:hRule="atLeast"/>
                <w:jc w:val="center"/>
              </w:trPr>
              <w:tc>
                <w:tcPr>
                  <w:tcW w:w="0" w:type="auto"/>
                  <w:vMerge w:val="restart"/>
                  <w:vAlign w:val="center"/>
                </w:tcPr>
                <w:p>
                  <w:pPr>
                    <w:jc w:val="center"/>
                    <w:rPr>
                      <w:color w:val="auto"/>
                      <w:sz w:val="18"/>
                      <w:szCs w:val="18"/>
                      <w:highlight w:val="none"/>
                    </w:rPr>
                  </w:pPr>
                  <w:r>
                    <w:rPr>
                      <w:rFonts w:hint="eastAsia"/>
                      <w:color w:val="auto"/>
                      <w:sz w:val="18"/>
                      <w:szCs w:val="18"/>
                      <w:highlight w:val="none"/>
                    </w:rPr>
                    <w:t>环境质量底线</w:t>
                  </w:r>
                </w:p>
              </w:tc>
              <w:tc>
                <w:tcPr>
                  <w:tcW w:w="0" w:type="auto"/>
                  <w:vAlign w:val="center"/>
                </w:tcPr>
                <w:p>
                  <w:pPr>
                    <w:jc w:val="center"/>
                    <w:rPr>
                      <w:color w:val="auto"/>
                      <w:sz w:val="18"/>
                      <w:szCs w:val="18"/>
                      <w:highlight w:val="none"/>
                    </w:rPr>
                  </w:pPr>
                  <w:r>
                    <w:rPr>
                      <w:rFonts w:hint="eastAsia"/>
                      <w:color w:val="auto"/>
                      <w:sz w:val="18"/>
                      <w:szCs w:val="18"/>
                      <w:highlight w:val="none"/>
                    </w:rPr>
                    <w:t>地表水环境质量底线及管控分区</w:t>
                  </w:r>
                </w:p>
              </w:tc>
              <w:tc>
                <w:tcPr>
                  <w:tcW w:w="0" w:type="auto"/>
                  <w:vAlign w:val="center"/>
                </w:tcPr>
                <w:p>
                  <w:pPr>
                    <w:jc w:val="center"/>
                    <w:rPr>
                      <w:b/>
                      <w:bCs/>
                      <w:color w:val="auto"/>
                      <w:sz w:val="18"/>
                      <w:szCs w:val="18"/>
                      <w:highlight w:val="none"/>
                    </w:rPr>
                  </w:pPr>
                  <w:r>
                    <w:rPr>
                      <w:rFonts w:hint="eastAsia"/>
                      <w:b/>
                      <w:bCs/>
                      <w:color w:val="auto"/>
                      <w:sz w:val="18"/>
                      <w:szCs w:val="18"/>
                      <w:highlight w:val="none"/>
                    </w:rPr>
                    <w:t>表1-1.2 园洲镇水环境质量底线（面积：km</w:t>
                  </w:r>
                  <w:r>
                    <w:rPr>
                      <w:rFonts w:hint="eastAsia"/>
                      <w:b/>
                      <w:bCs/>
                      <w:color w:val="auto"/>
                      <w:sz w:val="18"/>
                      <w:szCs w:val="18"/>
                      <w:highlight w:val="none"/>
                      <w:vertAlign w:val="superscript"/>
                    </w:rPr>
                    <w:t>2</w:t>
                  </w:r>
                  <w:r>
                    <w:rPr>
                      <w:rFonts w:hint="eastAsia"/>
                      <w:b/>
                      <w:bCs/>
                      <w:color w:val="auto"/>
                      <w:sz w:val="18"/>
                      <w:szCs w:val="18"/>
                      <w:highlight w:val="none"/>
                    </w:rPr>
                    <w:t>）</w:t>
                  </w:r>
                </w:p>
                <w:tbl>
                  <w:tblPr>
                    <w:tblStyle w:val="3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24"/>
                    <w:gridCol w:w="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8" w:type="pct"/>
                        <w:vAlign w:val="center"/>
                      </w:tcPr>
                      <w:p>
                        <w:pPr>
                          <w:jc w:val="center"/>
                          <w:rPr>
                            <w:color w:val="auto"/>
                            <w:sz w:val="18"/>
                            <w:szCs w:val="18"/>
                            <w:highlight w:val="none"/>
                          </w:rPr>
                        </w:pPr>
                        <w:r>
                          <w:rPr>
                            <w:rFonts w:hint="eastAsia"/>
                            <w:color w:val="auto"/>
                            <w:sz w:val="18"/>
                            <w:szCs w:val="18"/>
                            <w:highlight w:val="none"/>
                          </w:rPr>
                          <w:t>水环境优先保护区面积</w:t>
                        </w:r>
                      </w:p>
                    </w:tc>
                    <w:tc>
                      <w:tcPr>
                        <w:tcW w:w="1031" w:type="pct"/>
                        <w:vAlign w:val="center"/>
                      </w:tcPr>
                      <w:p>
                        <w:pPr>
                          <w:jc w:val="center"/>
                          <w:rPr>
                            <w:color w:val="auto"/>
                            <w:sz w:val="18"/>
                            <w:szCs w:val="18"/>
                            <w:highlight w:val="none"/>
                          </w:rPr>
                        </w:pPr>
                        <w:r>
                          <w:rPr>
                            <w:rFonts w:hint="eastAsia"/>
                            <w:color w:val="auto"/>
                            <w:sz w:val="18"/>
                            <w:szCs w:val="18"/>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8" w:type="pct"/>
                        <w:vAlign w:val="center"/>
                      </w:tcPr>
                      <w:p>
                        <w:pPr>
                          <w:jc w:val="center"/>
                          <w:rPr>
                            <w:color w:val="auto"/>
                            <w:sz w:val="18"/>
                            <w:szCs w:val="18"/>
                            <w:highlight w:val="none"/>
                          </w:rPr>
                        </w:pPr>
                        <w:r>
                          <w:rPr>
                            <w:rFonts w:hint="eastAsia"/>
                            <w:color w:val="auto"/>
                            <w:sz w:val="18"/>
                            <w:szCs w:val="18"/>
                            <w:highlight w:val="none"/>
                          </w:rPr>
                          <w:t>水环境生活污染重点管控区面积</w:t>
                        </w:r>
                      </w:p>
                    </w:tc>
                    <w:tc>
                      <w:tcPr>
                        <w:tcW w:w="1031" w:type="pct"/>
                        <w:vAlign w:val="center"/>
                      </w:tcPr>
                      <w:p>
                        <w:pPr>
                          <w:jc w:val="center"/>
                          <w:rPr>
                            <w:color w:val="auto"/>
                            <w:sz w:val="18"/>
                            <w:szCs w:val="18"/>
                            <w:highlight w:val="none"/>
                          </w:rPr>
                        </w:pPr>
                        <w:r>
                          <w:rPr>
                            <w:rFonts w:hint="eastAsia"/>
                            <w:color w:val="auto"/>
                            <w:sz w:val="18"/>
                            <w:szCs w:val="18"/>
                            <w:highlight w:val="none"/>
                          </w:rPr>
                          <w:t>45.964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8" w:type="pct"/>
                        <w:vAlign w:val="center"/>
                      </w:tcPr>
                      <w:p>
                        <w:pPr>
                          <w:jc w:val="center"/>
                          <w:rPr>
                            <w:color w:val="auto"/>
                            <w:sz w:val="18"/>
                            <w:szCs w:val="18"/>
                            <w:highlight w:val="none"/>
                          </w:rPr>
                        </w:pPr>
                        <w:r>
                          <w:rPr>
                            <w:rFonts w:hint="eastAsia"/>
                            <w:color w:val="auto"/>
                            <w:sz w:val="18"/>
                            <w:szCs w:val="18"/>
                            <w:highlight w:val="none"/>
                          </w:rPr>
                          <w:t>水环境工业污染重点管控区面积</w:t>
                        </w:r>
                      </w:p>
                    </w:tc>
                    <w:tc>
                      <w:tcPr>
                        <w:tcW w:w="1031" w:type="pct"/>
                        <w:vAlign w:val="center"/>
                      </w:tcPr>
                      <w:p>
                        <w:pPr>
                          <w:jc w:val="center"/>
                          <w:rPr>
                            <w:color w:val="auto"/>
                            <w:sz w:val="18"/>
                            <w:szCs w:val="18"/>
                            <w:highlight w:val="none"/>
                          </w:rPr>
                        </w:pPr>
                        <w:r>
                          <w:rPr>
                            <w:rFonts w:hint="eastAsia"/>
                            <w:color w:val="auto"/>
                            <w:sz w:val="18"/>
                            <w:szCs w:val="18"/>
                            <w:highlight w:val="none"/>
                          </w:rPr>
                          <w:t>28.062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8" w:type="pct"/>
                        <w:vAlign w:val="center"/>
                      </w:tcPr>
                      <w:p>
                        <w:pPr>
                          <w:jc w:val="center"/>
                          <w:rPr>
                            <w:color w:val="auto"/>
                            <w:sz w:val="18"/>
                            <w:szCs w:val="18"/>
                            <w:highlight w:val="none"/>
                          </w:rPr>
                        </w:pPr>
                        <w:r>
                          <w:rPr>
                            <w:rFonts w:hint="eastAsia"/>
                            <w:color w:val="auto"/>
                            <w:sz w:val="18"/>
                            <w:szCs w:val="18"/>
                            <w:highlight w:val="none"/>
                          </w:rPr>
                          <w:t>水环境一般管控区面积</w:t>
                        </w:r>
                      </w:p>
                    </w:tc>
                    <w:tc>
                      <w:tcPr>
                        <w:tcW w:w="1031" w:type="pct"/>
                        <w:vAlign w:val="center"/>
                      </w:tcPr>
                      <w:p>
                        <w:pPr>
                          <w:jc w:val="center"/>
                          <w:rPr>
                            <w:color w:val="auto"/>
                            <w:sz w:val="18"/>
                            <w:szCs w:val="18"/>
                            <w:highlight w:val="none"/>
                          </w:rPr>
                        </w:pPr>
                        <w:r>
                          <w:rPr>
                            <w:rFonts w:hint="eastAsia"/>
                            <w:color w:val="auto"/>
                            <w:sz w:val="18"/>
                            <w:szCs w:val="18"/>
                            <w:highlight w:val="none"/>
                          </w:rPr>
                          <w:t>36.69</w:t>
                        </w:r>
                      </w:p>
                    </w:tc>
                  </w:tr>
                </w:tbl>
                <w:p>
                  <w:pPr>
                    <w:pStyle w:val="41"/>
                    <w:rPr>
                      <w:rFonts w:hint="default"/>
                      <w:color w:val="auto"/>
                      <w:sz w:val="18"/>
                      <w:szCs w:val="18"/>
                      <w:highlight w:val="none"/>
                    </w:rPr>
                  </w:pPr>
                </w:p>
              </w:tc>
              <w:tc>
                <w:tcPr>
                  <w:tcW w:w="0" w:type="auto"/>
                  <w:vAlign w:val="center"/>
                </w:tcPr>
                <w:p>
                  <w:pPr>
                    <w:rPr>
                      <w:color w:val="auto"/>
                      <w:highlight w:val="none"/>
                    </w:rPr>
                  </w:pPr>
                  <w:r>
                    <w:rPr>
                      <w:rFonts w:hint="eastAsia"/>
                      <w:color w:val="auto"/>
                      <w:sz w:val="18"/>
                      <w:szCs w:val="18"/>
                      <w:highlight w:val="none"/>
                    </w:rPr>
                    <w:t>根据《博罗县“三线一单”生态环境分区管控图集》（以下简称《图集》）中博罗县水环境质量底线管控分区划定情况图（详见附图9），本项目位于水环境生活污染重点管控区内，本项目不产生生产废水，生活污水经三级化粪池预处理后经市政管网排入博罗县园洲镇第五生活污水处理厂处理达标后排放，不会突破水环境质量底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Merge w:val="continue"/>
                  <w:vAlign w:val="center"/>
                </w:tcPr>
                <w:p>
                  <w:pPr>
                    <w:jc w:val="center"/>
                    <w:rPr>
                      <w:color w:val="auto"/>
                      <w:sz w:val="18"/>
                      <w:szCs w:val="18"/>
                      <w:highlight w:val="none"/>
                    </w:rPr>
                  </w:pPr>
                </w:p>
              </w:tc>
              <w:tc>
                <w:tcPr>
                  <w:tcW w:w="0" w:type="auto"/>
                  <w:vAlign w:val="center"/>
                </w:tcPr>
                <w:p>
                  <w:pPr>
                    <w:jc w:val="center"/>
                    <w:rPr>
                      <w:color w:val="auto"/>
                      <w:sz w:val="18"/>
                      <w:szCs w:val="18"/>
                      <w:highlight w:val="none"/>
                    </w:rPr>
                  </w:pPr>
                  <w:r>
                    <w:rPr>
                      <w:color w:val="auto"/>
                      <w:sz w:val="18"/>
                      <w:szCs w:val="18"/>
                      <w:highlight w:val="none"/>
                    </w:rPr>
                    <w:t>大气环境</w:t>
                  </w:r>
                  <w:r>
                    <w:rPr>
                      <w:rFonts w:hint="eastAsia"/>
                      <w:color w:val="auto"/>
                      <w:sz w:val="18"/>
                      <w:szCs w:val="18"/>
                      <w:highlight w:val="none"/>
                    </w:rPr>
                    <w:t>质量底线及管控分区</w:t>
                  </w:r>
                </w:p>
              </w:tc>
              <w:tc>
                <w:tcPr>
                  <w:tcW w:w="0" w:type="auto"/>
                  <w:vAlign w:val="center"/>
                </w:tcPr>
                <w:p>
                  <w:pPr>
                    <w:jc w:val="center"/>
                    <w:rPr>
                      <w:b/>
                      <w:bCs/>
                      <w:color w:val="auto"/>
                      <w:sz w:val="18"/>
                      <w:szCs w:val="18"/>
                      <w:highlight w:val="none"/>
                    </w:rPr>
                  </w:pPr>
                  <w:r>
                    <w:rPr>
                      <w:rFonts w:hint="eastAsia"/>
                      <w:b/>
                      <w:bCs/>
                      <w:color w:val="auto"/>
                      <w:sz w:val="18"/>
                      <w:szCs w:val="18"/>
                      <w:highlight w:val="none"/>
                    </w:rPr>
                    <w:t>表1-1.3 园洲镇大气环境质量底线（面积：km</w:t>
                  </w:r>
                  <w:r>
                    <w:rPr>
                      <w:rFonts w:hint="eastAsia"/>
                      <w:b/>
                      <w:bCs/>
                      <w:color w:val="auto"/>
                      <w:sz w:val="18"/>
                      <w:szCs w:val="18"/>
                      <w:highlight w:val="none"/>
                      <w:vertAlign w:val="superscript"/>
                    </w:rPr>
                    <w:t>2</w:t>
                  </w:r>
                  <w:r>
                    <w:rPr>
                      <w:rFonts w:hint="eastAsia"/>
                      <w:b/>
                      <w:bCs/>
                      <w:color w:val="auto"/>
                      <w:sz w:val="18"/>
                      <w:szCs w:val="18"/>
                      <w:highlight w:val="none"/>
                    </w:rPr>
                    <w:t>）</w:t>
                  </w:r>
                </w:p>
                <w:tbl>
                  <w:tblPr>
                    <w:tblStyle w:val="3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39"/>
                    <w:gridCol w:w="7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92" w:type="pct"/>
                        <w:vAlign w:val="center"/>
                      </w:tcPr>
                      <w:p>
                        <w:pPr>
                          <w:jc w:val="center"/>
                          <w:rPr>
                            <w:color w:val="auto"/>
                            <w:sz w:val="18"/>
                            <w:szCs w:val="18"/>
                            <w:highlight w:val="none"/>
                          </w:rPr>
                        </w:pPr>
                        <w:r>
                          <w:rPr>
                            <w:rFonts w:hint="eastAsia"/>
                            <w:color w:val="auto"/>
                            <w:sz w:val="18"/>
                            <w:szCs w:val="18"/>
                            <w:highlight w:val="none"/>
                          </w:rPr>
                          <w:t>大气环境优先保护区面积</w:t>
                        </w:r>
                      </w:p>
                    </w:tc>
                    <w:tc>
                      <w:tcPr>
                        <w:tcW w:w="1107" w:type="pct"/>
                        <w:vAlign w:val="center"/>
                      </w:tcPr>
                      <w:p>
                        <w:pPr>
                          <w:jc w:val="center"/>
                          <w:rPr>
                            <w:color w:val="auto"/>
                            <w:sz w:val="18"/>
                            <w:szCs w:val="18"/>
                            <w:highlight w:val="none"/>
                          </w:rPr>
                        </w:pPr>
                        <w:r>
                          <w:rPr>
                            <w:rFonts w:hint="eastAsia"/>
                            <w:color w:val="auto"/>
                            <w:sz w:val="18"/>
                            <w:szCs w:val="18"/>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92" w:type="pct"/>
                        <w:vAlign w:val="center"/>
                      </w:tcPr>
                      <w:p>
                        <w:pPr>
                          <w:jc w:val="center"/>
                          <w:rPr>
                            <w:color w:val="auto"/>
                            <w:sz w:val="18"/>
                            <w:szCs w:val="18"/>
                            <w:highlight w:val="none"/>
                          </w:rPr>
                        </w:pPr>
                        <w:r>
                          <w:rPr>
                            <w:rFonts w:hint="eastAsia"/>
                            <w:color w:val="auto"/>
                            <w:sz w:val="18"/>
                            <w:szCs w:val="18"/>
                            <w:highlight w:val="none"/>
                          </w:rPr>
                          <w:t>大气环境布局敏感重点管控区面积</w:t>
                        </w:r>
                      </w:p>
                    </w:tc>
                    <w:tc>
                      <w:tcPr>
                        <w:tcW w:w="1107" w:type="pct"/>
                        <w:vAlign w:val="center"/>
                      </w:tcPr>
                      <w:p>
                        <w:pPr>
                          <w:jc w:val="center"/>
                          <w:rPr>
                            <w:color w:val="auto"/>
                            <w:sz w:val="18"/>
                            <w:szCs w:val="18"/>
                            <w:highlight w:val="none"/>
                          </w:rPr>
                        </w:pPr>
                        <w:r>
                          <w:rPr>
                            <w:rFonts w:hint="eastAsia"/>
                            <w:color w:val="auto"/>
                            <w:sz w:val="18"/>
                            <w:szCs w:val="18"/>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92" w:type="pct"/>
                        <w:vAlign w:val="center"/>
                      </w:tcPr>
                      <w:p>
                        <w:pPr>
                          <w:jc w:val="center"/>
                          <w:rPr>
                            <w:color w:val="auto"/>
                            <w:sz w:val="18"/>
                            <w:szCs w:val="18"/>
                            <w:highlight w:val="none"/>
                          </w:rPr>
                        </w:pPr>
                        <w:r>
                          <w:rPr>
                            <w:rFonts w:hint="eastAsia"/>
                            <w:color w:val="auto"/>
                            <w:sz w:val="18"/>
                            <w:szCs w:val="18"/>
                            <w:highlight w:val="none"/>
                          </w:rPr>
                          <w:t>大气环境高排放重点管控区面积</w:t>
                        </w:r>
                      </w:p>
                    </w:tc>
                    <w:tc>
                      <w:tcPr>
                        <w:tcW w:w="1107" w:type="pct"/>
                        <w:vAlign w:val="center"/>
                      </w:tcPr>
                      <w:p>
                        <w:pPr>
                          <w:jc w:val="center"/>
                          <w:rPr>
                            <w:color w:val="auto"/>
                            <w:sz w:val="18"/>
                            <w:szCs w:val="18"/>
                            <w:highlight w:val="none"/>
                          </w:rPr>
                        </w:pPr>
                        <w:r>
                          <w:rPr>
                            <w:rFonts w:hint="eastAsia"/>
                            <w:color w:val="auto"/>
                            <w:sz w:val="18"/>
                            <w:szCs w:val="18"/>
                            <w:highlight w:val="none"/>
                          </w:rPr>
                          <w:t>110.716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92" w:type="pct"/>
                        <w:vAlign w:val="center"/>
                      </w:tcPr>
                      <w:p>
                        <w:pPr>
                          <w:jc w:val="center"/>
                          <w:rPr>
                            <w:color w:val="auto"/>
                            <w:sz w:val="18"/>
                            <w:szCs w:val="18"/>
                            <w:highlight w:val="none"/>
                          </w:rPr>
                        </w:pPr>
                        <w:r>
                          <w:rPr>
                            <w:rFonts w:hint="eastAsia"/>
                            <w:color w:val="auto"/>
                            <w:sz w:val="18"/>
                            <w:szCs w:val="18"/>
                            <w:highlight w:val="none"/>
                          </w:rPr>
                          <w:t>大气环境弱扩散重点管控区面积</w:t>
                        </w:r>
                      </w:p>
                    </w:tc>
                    <w:tc>
                      <w:tcPr>
                        <w:tcW w:w="1107" w:type="pct"/>
                        <w:vAlign w:val="center"/>
                      </w:tcPr>
                      <w:p>
                        <w:pPr>
                          <w:jc w:val="center"/>
                          <w:rPr>
                            <w:color w:val="auto"/>
                            <w:sz w:val="18"/>
                            <w:szCs w:val="18"/>
                            <w:highlight w:val="none"/>
                          </w:rPr>
                        </w:pPr>
                        <w:r>
                          <w:rPr>
                            <w:rFonts w:hint="eastAsia"/>
                            <w:color w:val="auto"/>
                            <w:sz w:val="18"/>
                            <w:szCs w:val="18"/>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92" w:type="pct"/>
                        <w:vAlign w:val="center"/>
                      </w:tcPr>
                      <w:p>
                        <w:pPr>
                          <w:jc w:val="center"/>
                          <w:rPr>
                            <w:color w:val="auto"/>
                            <w:sz w:val="18"/>
                            <w:szCs w:val="18"/>
                            <w:highlight w:val="none"/>
                          </w:rPr>
                        </w:pPr>
                        <w:r>
                          <w:rPr>
                            <w:rFonts w:hint="eastAsia"/>
                            <w:color w:val="auto"/>
                            <w:sz w:val="18"/>
                            <w:szCs w:val="18"/>
                            <w:highlight w:val="none"/>
                          </w:rPr>
                          <w:t>大气环境一般管控区面积</w:t>
                        </w:r>
                      </w:p>
                    </w:tc>
                    <w:tc>
                      <w:tcPr>
                        <w:tcW w:w="1107" w:type="pct"/>
                        <w:vAlign w:val="center"/>
                      </w:tcPr>
                      <w:p>
                        <w:pPr>
                          <w:jc w:val="center"/>
                          <w:rPr>
                            <w:color w:val="auto"/>
                            <w:sz w:val="18"/>
                            <w:szCs w:val="18"/>
                            <w:highlight w:val="none"/>
                          </w:rPr>
                        </w:pPr>
                        <w:r>
                          <w:rPr>
                            <w:rFonts w:hint="eastAsia"/>
                            <w:color w:val="auto"/>
                            <w:sz w:val="18"/>
                            <w:szCs w:val="18"/>
                            <w:highlight w:val="none"/>
                          </w:rPr>
                          <w:t>0</w:t>
                        </w:r>
                      </w:p>
                    </w:tc>
                  </w:tr>
                </w:tbl>
                <w:p>
                  <w:pPr>
                    <w:rPr>
                      <w:b/>
                      <w:bCs/>
                      <w:color w:val="auto"/>
                      <w:highlight w:val="none"/>
                    </w:rPr>
                  </w:pPr>
                  <w:r>
                    <w:rPr>
                      <w:rFonts w:hint="eastAsia"/>
                      <w:b/>
                      <w:bCs/>
                      <w:color w:val="auto"/>
                      <w:highlight w:val="none"/>
                    </w:rPr>
                    <w:t>大气环境高排放重点管控区管控要求：</w:t>
                  </w:r>
                </w:p>
                <w:p>
                  <w:pPr>
                    <w:rPr>
                      <w:color w:val="auto"/>
                      <w:highlight w:val="none"/>
                    </w:rPr>
                  </w:pPr>
                  <w:r>
                    <w:rPr>
                      <w:color w:val="auto"/>
                      <w:sz w:val="18"/>
                      <w:szCs w:val="18"/>
                      <w:highlight w:val="none"/>
                    </w:rPr>
                    <w:t>现有源提标升级改造：①对大气环境高排放重点管控区进行环保集中整治，限期进行达标改造，减少工业集聚区污染；②鼓励大气环境高排放重点管控区建设集中的喷涂工程中心和有机废弃物回收再生利用中心，并配备高效治理设施。</w:t>
                  </w:r>
                </w:p>
              </w:tc>
              <w:tc>
                <w:tcPr>
                  <w:tcW w:w="0" w:type="auto"/>
                  <w:vAlign w:val="center"/>
                </w:tcPr>
                <w:p>
                  <w:pPr>
                    <w:rPr>
                      <w:color w:val="auto"/>
                      <w:sz w:val="18"/>
                      <w:szCs w:val="18"/>
                      <w:highlight w:val="none"/>
                    </w:rPr>
                  </w:pPr>
                  <w:r>
                    <w:rPr>
                      <w:rFonts w:hint="eastAsia"/>
                      <w:color w:val="auto"/>
                      <w:sz w:val="18"/>
                      <w:szCs w:val="18"/>
                      <w:highlight w:val="none"/>
                    </w:rPr>
                    <w:t>根据《博罗县“三线一单”生态环境分区管控图集》（以下简称《图集》）中博罗县大气环境质量底线管控分区划定情况图（详见附图10），项目位于大气环境高排放重点管控区。</w:t>
                  </w:r>
                </w:p>
                <w:p>
                  <w:pPr>
                    <w:rPr>
                      <w:color w:val="auto"/>
                      <w:sz w:val="18"/>
                      <w:szCs w:val="18"/>
                      <w:highlight w:val="none"/>
                    </w:rPr>
                  </w:pPr>
                  <w:r>
                    <w:rPr>
                      <w:rFonts w:hint="eastAsia"/>
                      <w:color w:val="auto"/>
                      <w:sz w:val="18"/>
                      <w:szCs w:val="18"/>
                      <w:highlight w:val="none"/>
                    </w:rPr>
                    <w:t>根据该管控区的管控要求，项目投料、混合搅拌工序产生的有机废气经一套“二级活性炭吸附装置”处理后经1根15m高的排气筒DA001排放，不会突破大气环境质量底线。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vMerge w:val="continue"/>
                  <w:vAlign w:val="center"/>
                </w:tcPr>
                <w:p>
                  <w:pPr>
                    <w:jc w:val="center"/>
                    <w:rPr>
                      <w:color w:val="auto"/>
                      <w:sz w:val="18"/>
                      <w:szCs w:val="18"/>
                      <w:highlight w:val="none"/>
                    </w:rPr>
                  </w:pPr>
                </w:p>
              </w:tc>
              <w:tc>
                <w:tcPr>
                  <w:tcW w:w="0" w:type="auto"/>
                  <w:vAlign w:val="center"/>
                </w:tcPr>
                <w:p>
                  <w:pPr>
                    <w:jc w:val="center"/>
                    <w:rPr>
                      <w:color w:val="auto"/>
                      <w:sz w:val="18"/>
                      <w:szCs w:val="18"/>
                      <w:highlight w:val="none"/>
                    </w:rPr>
                  </w:pPr>
                  <w:r>
                    <w:rPr>
                      <w:color w:val="auto"/>
                      <w:sz w:val="18"/>
                      <w:szCs w:val="18"/>
                      <w:highlight w:val="none"/>
                    </w:rPr>
                    <w:t>土壤环境</w:t>
                  </w:r>
                  <w:r>
                    <w:rPr>
                      <w:rFonts w:hint="eastAsia"/>
                      <w:color w:val="auto"/>
                      <w:sz w:val="18"/>
                      <w:szCs w:val="18"/>
                      <w:highlight w:val="none"/>
                    </w:rPr>
                    <w:t>质量底线及管控分区</w:t>
                  </w:r>
                </w:p>
              </w:tc>
              <w:tc>
                <w:tcPr>
                  <w:tcW w:w="0" w:type="auto"/>
                  <w:vAlign w:val="center"/>
                </w:tcPr>
                <w:p>
                  <w:pPr>
                    <w:jc w:val="center"/>
                    <w:rPr>
                      <w:b/>
                      <w:bCs/>
                      <w:color w:val="auto"/>
                      <w:sz w:val="18"/>
                      <w:szCs w:val="18"/>
                      <w:highlight w:val="none"/>
                    </w:rPr>
                  </w:pPr>
                  <w:r>
                    <w:rPr>
                      <w:rFonts w:hint="eastAsia"/>
                      <w:b/>
                      <w:bCs/>
                      <w:color w:val="auto"/>
                      <w:sz w:val="18"/>
                      <w:szCs w:val="18"/>
                      <w:highlight w:val="none"/>
                    </w:rPr>
                    <w:t>表1-1.4 土壤环境管控区（面积：km</w:t>
                  </w:r>
                  <w:r>
                    <w:rPr>
                      <w:rFonts w:hint="eastAsia"/>
                      <w:b/>
                      <w:bCs/>
                      <w:color w:val="auto"/>
                      <w:sz w:val="18"/>
                      <w:szCs w:val="18"/>
                      <w:highlight w:val="none"/>
                      <w:vertAlign w:val="superscript"/>
                    </w:rPr>
                    <w:t>2</w:t>
                  </w:r>
                  <w:r>
                    <w:rPr>
                      <w:rFonts w:hint="eastAsia"/>
                      <w:b/>
                      <w:bCs/>
                      <w:color w:val="auto"/>
                      <w:sz w:val="18"/>
                      <w:szCs w:val="18"/>
                      <w:highlight w:val="none"/>
                    </w:rPr>
                    <w:t>）</w:t>
                  </w:r>
                </w:p>
                <w:tbl>
                  <w:tblPr>
                    <w:tblStyle w:val="3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5"/>
                    <w:gridCol w:w="1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541" w:type="pct"/>
                        <w:vAlign w:val="center"/>
                      </w:tcPr>
                      <w:p>
                        <w:pPr>
                          <w:jc w:val="center"/>
                          <w:rPr>
                            <w:color w:val="auto"/>
                            <w:sz w:val="18"/>
                            <w:szCs w:val="18"/>
                            <w:highlight w:val="none"/>
                          </w:rPr>
                        </w:pPr>
                        <w:r>
                          <w:rPr>
                            <w:rFonts w:hint="eastAsia"/>
                            <w:color w:val="auto"/>
                            <w:sz w:val="18"/>
                            <w:szCs w:val="18"/>
                            <w:highlight w:val="none"/>
                          </w:rPr>
                          <w:t>博罗县建设用地土壤污染风险重点管控区面积</w:t>
                        </w:r>
                      </w:p>
                    </w:tc>
                    <w:tc>
                      <w:tcPr>
                        <w:tcW w:w="1458" w:type="pct"/>
                        <w:vAlign w:val="center"/>
                      </w:tcPr>
                      <w:p>
                        <w:pPr>
                          <w:jc w:val="center"/>
                          <w:rPr>
                            <w:color w:val="auto"/>
                            <w:sz w:val="18"/>
                            <w:szCs w:val="18"/>
                            <w:highlight w:val="none"/>
                          </w:rPr>
                        </w:pPr>
                        <w:r>
                          <w:rPr>
                            <w:rFonts w:hint="eastAsia"/>
                            <w:color w:val="auto"/>
                            <w:sz w:val="18"/>
                            <w:szCs w:val="18"/>
                            <w:highlight w:val="none"/>
                          </w:rPr>
                          <w:t>340.8688125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1" w:type="pct"/>
                        <w:vAlign w:val="center"/>
                      </w:tcPr>
                      <w:p>
                        <w:pPr>
                          <w:jc w:val="center"/>
                          <w:rPr>
                            <w:color w:val="auto"/>
                            <w:sz w:val="18"/>
                            <w:szCs w:val="18"/>
                            <w:highlight w:val="none"/>
                          </w:rPr>
                        </w:pPr>
                        <w:r>
                          <w:rPr>
                            <w:rFonts w:hint="eastAsia"/>
                            <w:color w:val="auto"/>
                            <w:sz w:val="18"/>
                            <w:szCs w:val="18"/>
                            <w:highlight w:val="none"/>
                          </w:rPr>
                          <w:t>园洲镇建设用地一般管控区面积</w:t>
                        </w:r>
                      </w:p>
                    </w:tc>
                    <w:tc>
                      <w:tcPr>
                        <w:tcW w:w="1458" w:type="pct"/>
                        <w:vAlign w:val="center"/>
                      </w:tcPr>
                      <w:p>
                        <w:pPr>
                          <w:jc w:val="center"/>
                          <w:rPr>
                            <w:color w:val="auto"/>
                            <w:sz w:val="18"/>
                            <w:szCs w:val="18"/>
                            <w:highlight w:val="none"/>
                          </w:rPr>
                        </w:pPr>
                        <w:r>
                          <w:rPr>
                            <w:rFonts w:hint="eastAsia"/>
                            <w:color w:val="auto"/>
                            <w:sz w:val="18"/>
                            <w:szCs w:val="18"/>
                            <w:highlight w:val="none"/>
                          </w:rPr>
                          <w:t>29.889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1" w:type="pct"/>
                        <w:vAlign w:val="center"/>
                      </w:tcPr>
                      <w:p>
                        <w:pPr>
                          <w:jc w:val="center"/>
                          <w:rPr>
                            <w:color w:val="auto"/>
                            <w:sz w:val="18"/>
                            <w:szCs w:val="18"/>
                            <w:highlight w:val="none"/>
                          </w:rPr>
                        </w:pPr>
                        <w:r>
                          <w:rPr>
                            <w:rFonts w:hint="eastAsia"/>
                            <w:color w:val="auto"/>
                            <w:sz w:val="18"/>
                            <w:szCs w:val="18"/>
                            <w:highlight w:val="none"/>
                          </w:rPr>
                          <w:t>园洲镇与龙华镇争议地未利用地一般管控区面积</w:t>
                        </w:r>
                      </w:p>
                    </w:tc>
                    <w:tc>
                      <w:tcPr>
                        <w:tcW w:w="1458" w:type="pct"/>
                        <w:vAlign w:val="center"/>
                      </w:tcPr>
                      <w:p>
                        <w:pPr>
                          <w:jc w:val="center"/>
                          <w:rPr>
                            <w:color w:val="auto"/>
                            <w:sz w:val="18"/>
                            <w:szCs w:val="18"/>
                            <w:highlight w:val="none"/>
                          </w:rPr>
                        </w:pPr>
                        <w:r>
                          <w:rPr>
                            <w:rFonts w:hint="eastAsia"/>
                            <w:color w:val="auto"/>
                            <w:sz w:val="18"/>
                            <w:szCs w:val="18"/>
                            <w:highlight w:val="none"/>
                          </w:rPr>
                          <w:t>0.015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1" w:type="pct"/>
                        <w:vAlign w:val="center"/>
                      </w:tcPr>
                      <w:p>
                        <w:pPr>
                          <w:jc w:val="center"/>
                          <w:rPr>
                            <w:color w:val="auto"/>
                            <w:sz w:val="18"/>
                            <w:szCs w:val="18"/>
                            <w:highlight w:val="none"/>
                          </w:rPr>
                        </w:pPr>
                        <w:r>
                          <w:rPr>
                            <w:rFonts w:hint="eastAsia"/>
                            <w:color w:val="auto"/>
                            <w:sz w:val="18"/>
                            <w:szCs w:val="18"/>
                            <w:highlight w:val="none"/>
                          </w:rPr>
                          <w:t>博罗县土壤环境一般管控区面积</w:t>
                        </w:r>
                      </w:p>
                    </w:tc>
                    <w:tc>
                      <w:tcPr>
                        <w:tcW w:w="1458" w:type="pct"/>
                        <w:vAlign w:val="center"/>
                      </w:tcPr>
                      <w:p>
                        <w:pPr>
                          <w:jc w:val="center"/>
                          <w:rPr>
                            <w:color w:val="auto"/>
                            <w:sz w:val="18"/>
                            <w:szCs w:val="18"/>
                            <w:highlight w:val="none"/>
                          </w:rPr>
                        </w:pPr>
                        <w:r>
                          <w:rPr>
                            <w:rFonts w:hint="eastAsia"/>
                            <w:color w:val="auto"/>
                            <w:sz w:val="18"/>
                            <w:szCs w:val="18"/>
                            <w:highlight w:val="none"/>
                          </w:rPr>
                          <w:t>26.089</w:t>
                        </w:r>
                      </w:p>
                    </w:tc>
                  </w:tr>
                </w:tbl>
                <w:p>
                  <w:pPr>
                    <w:rPr>
                      <w:color w:val="auto"/>
                      <w:sz w:val="18"/>
                      <w:szCs w:val="18"/>
                      <w:highlight w:val="none"/>
                    </w:rPr>
                  </w:pPr>
                </w:p>
              </w:tc>
              <w:tc>
                <w:tcPr>
                  <w:tcW w:w="0" w:type="auto"/>
                  <w:vAlign w:val="center"/>
                </w:tcPr>
                <w:p>
                  <w:pPr>
                    <w:rPr>
                      <w:color w:val="auto"/>
                      <w:sz w:val="18"/>
                      <w:szCs w:val="18"/>
                      <w:highlight w:val="none"/>
                    </w:rPr>
                  </w:pPr>
                  <w:r>
                    <w:rPr>
                      <w:rFonts w:hint="eastAsia"/>
                      <w:color w:val="auto"/>
                      <w:sz w:val="18"/>
                      <w:szCs w:val="18"/>
                      <w:highlight w:val="none"/>
                    </w:rPr>
                    <w:t>根据《博罗县“三线一单”生态环境分区管控图集》（以下简称《图集》）中博罗县建设用地土壤管控分区划定情况图（详见附图11），项目位于博罗县土壤环境一般管控区，生产过程产生的一般工业固体废物、危险废物妥善处置，不会污染土壤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gridSpan w:val="2"/>
                  <w:vMerge w:val="restart"/>
                  <w:vAlign w:val="center"/>
                </w:tcPr>
                <w:p>
                  <w:pPr>
                    <w:jc w:val="center"/>
                    <w:rPr>
                      <w:color w:val="auto"/>
                      <w:sz w:val="18"/>
                      <w:szCs w:val="18"/>
                      <w:highlight w:val="none"/>
                    </w:rPr>
                  </w:pPr>
                  <w:r>
                    <w:rPr>
                      <w:rFonts w:hint="eastAsia"/>
                      <w:color w:val="auto"/>
                      <w:sz w:val="18"/>
                      <w:szCs w:val="18"/>
                      <w:highlight w:val="none"/>
                    </w:rPr>
                    <w:t>资源利用上线</w:t>
                  </w:r>
                </w:p>
              </w:tc>
              <w:tc>
                <w:tcPr>
                  <w:tcW w:w="0" w:type="auto"/>
                  <w:vAlign w:val="center"/>
                </w:tcPr>
                <w:p>
                  <w:pPr>
                    <w:jc w:val="center"/>
                    <w:rPr>
                      <w:b/>
                      <w:bCs/>
                      <w:color w:val="auto"/>
                      <w:sz w:val="18"/>
                      <w:szCs w:val="18"/>
                      <w:highlight w:val="none"/>
                    </w:rPr>
                  </w:pPr>
                  <w:r>
                    <w:rPr>
                      <w:rFonts w:hint="eastAsia"/>
                      <w:b/>
                      <w:bCs/>
                      <w:color w:val="auto"/>
                      <w:sz w:val="18"/>
                      <w:szCs w:val="18"/>
                      <w:highlight w:val="none"/>
                    </w:rPr>
                    <w:t>表1-1.5 博罗县土地资源优先保护区面积统计（平方公里）</w:t>
                  </w:r>
                </w:p>
                <w:tbl>
                  <w:tblPr>
                    <w:tblStyle w:val="3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0"/>
                    <w:gridCol w:w="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63" w:type="pct"/>
                        <w:vAlign w:val="center"/>
                      </w:tcPr>
                      <w:p>
                        <w:pPr>
                          <w:jc w:val="center"/>
                          <w:rPr>
                            <w:color w:val="auto"/>
                            <w:sz w:val="18"/>
                            <w:szCs w:val="18"/>
                            <w:highlight w:val="none"/>
                          </w:rPr>
                        </w:pPr>
                        <w:r>
                          <w:rPr>
                            <w:rFonts w:hint="eastAsia"/>
                            <w:color w:val="auto"/>
                            <w:sz w:val="18"/>
                            <w:szCs w:val="18"/>
                            <w:highlight w:val="none"/>
                          </w:rPr>
                          <w:t>土地资源优先保护区面积</w:t>
                        </w:r>
                      </w:p>
                    </w:tc>
                    <w:tc>
                      <w:tcPr>
                        <w:tcW w:w="1336" w:type="pct"/>
                        <w:vAlign w:val="center"/>
                      </w:tcPr>
                      <w:p>
                        <w:pPr>
                          <w:jc w:val="center"/>
                          <w:rPr>
                            <w:color w:val="auto"/>
                            <w:sz w:val="18"/>
                            <w:szCs w:val="18"/>
                            <w:highlight w:val="none"/>
                          </w:rPr>
                        </w:pPr>
                        <w:r>
                          <w:rPr>
                            <w:rFonts w:hint="eastAsia"/>
                            <w:color w:val="auto"/>
                            <w:sz w:val="18"/>
                            <w:szCs w:val="18"/>
                            <w:highlight w:val="none"/>
                          </w:rPr>
                          <w:t>834.505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63" w:type="pct"/>
                        <w:vAlign w:val="center"/>
                      </w:tcPr>
                      <w:p>
                        <w:pPr>
                          <w:jc w:val="center"/>
                          <w:rPr>
                            <w:color w:val="auto"/>
                            <w:sz w:val="18"/>
                            <w:szCs w:val="18"/>
                            <w:highlight w:val="none"/>
                          </w:rPr>
                        </w:pPr>
                        <w:r>
                          <w:rPr>
                            <w:rFonts w:hint="eastAsia"/>
                            <w:color w:val="auto"/>
                            <w:sz w:val="18"/>
                            <w:szCs w:val="18"/>
                            <w:highlight w:val="none"/>
                          </w:rPr>
                          <w:t>土地资源优先保护区比例</w:t>
                        </w:r>
                      </w:p>
                    </w:tc>
                    <w:tc>
                      <w:tcPr>
                        <w:tcW w:w="1336" w:type="pct"/>
                        <w:vAlign w:val="center"/>
                      </w:tcPr>
                      <w:p>
                        <w:pPr>
                          <w:jc w:val="center"/>
                          <w:rPr>
                            <w:color w:val="auto"/>
                            <w:sz w:val="18"/>
                            <w:szCs w:val="18"/>
                            <w:highlight w:val="none"/>
                          </w:rPr>
                        </w:pPr>
                        <w:r>
                          <w:rPr>
                            <w:rFonts w:hint="eastAsia"/>
                            <w:color w:val="auto"/>
                            <w:sz w:val="18"/>
                            <w:szCs w:val="18"/>
                            <w:highlight w:val="none"/>
                          </w:rPr>
                          <w:t>29.23%</w:t>
                        </w:r>
                      </w:p>
                    </w:tc>
                  </w:tr>
                </w:tbl>
                <w:p>
                  <w:pPr>
                    <w:rPr>
                      <w:color w:val="auto"/>
                      <w:sz w:val="18"/>
                      <w:szCs w:val="18"/>
                      <w:highlight w:val="none"/>
                    </w:rPr>
                  </w:pPr>
                </w:p>
              </w:tc>
              <w:tc>
                <w:tcPr>
                  <w:tcW w:w="0" w:type="auto"/>
                  <w:vAlign w:val="center"/>
                </w:tcPr>
                <w:p>
                  <w:pPr>
                    <w:rPr>
                      <w:color w:val="auto"/>
                      <w:sz w:val="18"/>
                      <w:szCs w:val="18"/>
                      <w:highlight w:val="none"/>
                    </w:rPr>
                  </w:pPr>
                  <w:r>
                    <w:rPr>
                      <w:rFonts w:hint="eastAsia"/>
                      <w:color w:val="auto"/>
                      <w:sz w:val="18"/>
                      <w:szCs w:val="18"/>
                      <w:highlight w:val="none"/>
                    </w:rPr>
                    <w:t>根据《博罗县“三线一单”生态环境分区管控图集》中博罗县资源利用上线－土地资源优先保护区划定情况图（详见附图12），项目不在土壤资源优先保护区内。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gridSpan w:val="2"/>
                  <w:vMerge w:val="continue"/>
                  <w:vAlign w:val="center"/>
                </w:tcPr>
                <w:p>
                  <w:pPr>
                    <w:jc w:val="center"/>
                    <w:rPr>
                      <w:color w:val="auto"/>
                      <w:sz w:val="18"/>
                      <w:szCs w:val="18"/>
                      <w:highlight w:val="none"/>
                    </w:rPr>
                  </w:pPr>
                </w:p>
              </w:tc>
              <w:tc>
                <w:tcPr>
                  <w:tcW w:w="0" w:type="auto"/>
                  <w:vAlign w:val="center"/>
                </w:tcPr>
                <w:p>
                  <w:pPr>
                    <w:jc w:val="center"/>
                    <w:rPr>
                      <w:b/>
                      <w:bCs/>
                      <w:color w:val="auto"/>
                      <w:sz w:val="18"/>
                      <w:szCs w:val="18"/>
                      <w:highlight w:val="none"/>
                    </w:rPr>
                  </w:pPr>
                  <w:r>
                    <w:rPr>
                      <w:rFonts w:hint="eastAsia"/>
                      <w:b/>
                      <w:bCs/>
                      <w:color w:val="auto"/>
                      <w:sz w:val="18"/>
                      <w:szCs w:val="18"/>
                      <w:highlight w:val="none"/>
                    </w:rPr>
                    <w:t>表1-1.6博罗县能源（煤炭）重点管控区面积统计（平方公里）</w:t>
                  </w:r>
                </w:p>
                <w:tbl>
                  <w:tblPr>
                    <w:tblStyle w:val="3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15"/>
                    <w:gridCol w:w="9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78" w:type="pct"/>
                        <w:vAlign w:val="center"/>
                      </w:tcPr>
                      <w:p>
                        <w:pPr>
                          <w:jc w:val="center"/>
                          <w:rPr>
                            <w:color w:val="auto"/>
                            <w:sz w:val="18"/>
                            <w:szCs w:val="18"/>
                            <w:highlight w:val="none"/>
                          </w:rPr>
                        </w:pPr>
                        <w:r>
                          <w:rPr>
                            <w:rFonts w:hint="eastAsia"/>
                            <w:color w:val="auto"/>
                            <w:sz w:val="18"/>
                            <w:szCs w:val="18"/>
                            <w:highlight w:val="none"/>
                          </w:rPr>
                          <w:t>高污染燃料禁燃区面积</w:t>
                        </w:r>
                      </w:p>
                    </w:tc>
                    <w:tc>
                      <w:tcPr>
                        <w:tcW w:w="1421" w:type="pct"/>
                        <w:vAlign w:val="center"/>
                      </w:tcPr>
                      <w:p>
                        <w:pPr>
                          <w:jc w:val="center"/>
                          <w:rPr>
                            <w:color w:val="auto"/>
                            <w:sz w:val="18"/>
                            <w:szCs w:val="18"/>
                            <w:highlight w:val="none"/>
                          </w:rPr>
                        </w:pPr>
                        <w:r>
                          <w:rPr>
                            <w:rFonts w:hint="eastAsia"/>
                            <w:color w:val="auto"/>
                            <w:sz w:val="18"/>
                            <w:szCs w:val="18"/>
                            <w:highlight w:val="none"/>
                          </w:rPr>
                          <w:t>394.927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78" w:type="pct"/>
                        <w:vAlign w:val="center"/>
                      </w:tcPr>
                      <w:p>
                        <w:pPr>
                          <w:jc w:val="center"/>
                          <w:rPr>
                            <w:color w:val="auto"/>
                            <w:sz w:val="18"/>
                            <w:szCs w:val="18"/>
                            <w:highlight w:val="none"/>
                          </w:rPr>
                        </w:pPr>
                        <w:r>
                          <w:rPr>
                            <w:rFonts w:hint="eastAsia"/>
                            <w:color w:val="auto"/>
                            <w:sz w:val="18"/>
                            <w:szCs w:val="18"/>
                            <w:highlight w:val="none"/>
                          </w:rPr>
                          <w:t>高污染燃料禁燃区比例</w:t>
                        </w:r>
                      </w:p>
                    </w:tc>
                    <w:tc>
                      <w:tcPr>
                        <w:tcW w:w="1421" w:type="pct"/>
                        <w:vAlign w:val="center"/>
                      </w:tcPr>
                      <w:p>
                        <w:pPr>
                          <w:jc w:val="center"/>
                          <w:rPr>
                            <w:color w:val="auto"/>
                            <w:sz w:val="18"/>
                            <w:szCs w:val="18"/>
                            <w:highlight w:val="none"/>
                          </w:rPr>
                        </w:pPr>
                        <w:r>
                          <w:rPr>
                            <w:rFonts w:hint="eastAsia"/>
                            <w:color w:val="auto"/>
                            <w:sz w:val="18"/>
                            <w:szCs w:val="18"/>
                            <w:highlight w:val="none"/>
                          </w:rPr>
                          <w:t>13.83%</w:t>
                        </w:r>
                      </w:p>
                    </w:tc>
                  </w:tr>
                </w:tbl>
                <w:p>
                  <w:pPr>
                    <w:rPr>
                      <w:color w:val="auto"/>
                      <w:sz w:val="18"/>
                      <w:szCs w:val="18"/>
                      <w:highlight w:val="none"/>
                    </w:rPr>
                  </w:pPr>
                </w:p>
              </w:tc>
              <w:tc>
                <w:tcPr>
                  <w:tcW w:w="0" w:type="auto"/>
                  <w:vAlign w:val="center"/>
                </w:tcPr>
                <w:p>
                  <w:pPr>
                    <w:rPr>
                      <w:color w:val="auto"/>
                      <w:sz w:val="18"/>
                      <w:szCs w:val="18"/>
                      <w:highlight w:val="none"/>
                    </w:rPr>
                  </w:pPr>
                  <w:r>
                    <w:rPr>
                      <w:rFonts w:hint="eastAsia"/>
                      <w:color w:val="auto"/>
                      <w:sz w:val="18"/>
                      <w:szCs w:val="18"/>
                      <w:highlight w:val="none"/>
                    </w:rPr>
                    <w:t>根据《博罗县“三线一单”生态环境分区管控图集》博罗县资源利用上线-高污染燃料禁燃区划定情况图（详见附图14），本项目不在高污染燃料禁燃区内。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gridSpan w:val="2"/>
                  <w:vMerge w:val="continue"/>
                  <w:vAlign w:val="center"/>
                </w:tcPr>
                <w:p>
                  <w:pPr>
                    <w:jc w:val="center"/>
                    <w:rPr>
                      <w:color w:val="auto"/>
                      <w:sz w:val="18"/>
                      <w:szCs w:val="18"/>
                      <w:highlight w:val="none"/>
                    </w:rPr>
                  </w:pPr>
                </w:p>
              </w:tc>
              <w:tc>
                <w:tcPr>
                  <w:tcW w:w="0" w:type="auto"/>
                  <w:vAlign w:val="center"/>
                </w:tcPr>
                <w:p>
                  <w:pPr>
                    <w:jc w:val="center"/>
                    <w:rPr>
                      <w:b/>
                      <w:bCs/>
                      <w:color w:val="auto"/>
                      <w:sz w:val="18"/>
                      <w:szCs w:val="18"/>
                      <w:highlight w:val="none"/>
                    </w:rPr>
                  </w:pPr>
                  <w:r>
                    <w:rPr>
                      <w:rFonts w:hint="eastAsia"/>
                      <w:b/>
                      <w:bCs/>
                      <w:color w:val="auto"/>
                      <w:sz w:val="18"/>
                      <w:szCs w:val="18"/>
                      <w:highlight w:val="none"/>
                    </w:rPr>
                    <w:t>表1-1.7 博罗县矿产资源开采敏感区面积统计（平方公里）</w:t>
                  </w:r>
                </w:p>
                <w:tbl>
                  <w:tblPr>
                    <w:tblStyle w:val="3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0"/>
                    <w:gridCol w:w="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63" w:type="pct"/>
                        <w:vAlign w:val="center"/>
                      </w:tcPr>
                      <w:p>
                        <w:pPr>
                          <w:jc w:val="center"/>
                          <w:rPr>
                            <w:color w:val="auto"/>
                            <w:sz w:val="18"/>
                            <w:szCs w:val="18"/>
                            <w:highlight w:val="none"/>
                          </w:rPr>
                        </w:pPr>
                        <w:r>
                          <w:rPr>
                            <w:rFonts w:hint="eastAsia"/>
                            <w:color w:val="auto"/>
                            <w:sz w:val="18"/>
                            <w:szCs w:val="18"/>
                            <w:highlight w:val="none"/>
                          </w:rPr>
                          <w:t>矿产资源开采敏感区面积</w:t>
                        </w:r>
                      </w:p>
                    </w:tc>
                    <w:tc>
                      <w:tcPr>
                        <w:tcW w:w="1336" w:type="pct"/>
                        <w:vAlign w:val="center"/>
                      </w:tcPr>
                      <w:p>
                        <w:pPr>
                          <w:jc w:val="center"/>
                          <w:rPr>
                            <w:color w:val="auto"/>
                            <w:sz w:val="18"/>
                            <w:szCs w:val="18"/>
                            <w:highlight w:val="none"/>
                          </w:rPr>
                        </w:pPr>
                        <w:r>
                          <w:rPr>
                            <w:rFonts w:hint="eastAsia"/>
                            <w:color w:val="auto"/>
                            <w:sz w:val="18"/>
                            <w:szCs w:val="18"/>
                            <w:highlight w:val="none"/>
                          </w:rPr>
                          <w:t>633.776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63" w:type="pct"/>
                        <w:vAlign w:val="center"/>
                      </w:tcPr>
                      <w:p>
                        <w:pPr>
                          <w:jc w:val="center"/>
                          <w:rPr>
                            <w:color w:val="auto"/>
                            <w:sz w:val="18"/>
                            <w:szCs w:val="18"/>
                            <w:highlight w:val="none"/>
                          </w:rPr>
                        </w:pPr>
                        <w:r>
                          <w:rPr>
                            <w:rFonts w:hint="eastAsia"/>
                            <w:color w:val="auto"/>
                            <w:sz w:val="18"/>
                            <w:szCs w:val="18"/>
                            <w:highlight w:val="none"/>
                          </w:rPr>
                          <w:t>矿产资源开采敏感区比例</w:t>
                        </w:r>
                      </w:p>
                    </w:tc>
                    <w:tc>
                      <w:tcPr>
                        <w:tcW w:w="1336" w:type="pct"/>
                        <w:vAlign w:val="center"/>
                      </w:tcPr>
                      <w:p>
                        <w:pPr>
                          <w:jc w:val="center"/>
                          <w:rPr>
                            <w:color w:val="auto"/>
                            <w:sz w:val="18"/>
                            <w:szCs w:val="18"/>
                            <w:highlight w:val="none"/>
                          </w:rPr>
                        </w:pPr>
                        <w:r>
                          <w:rPr>
                            <w:rFonts w:hint="eastAsia"/>
                            <w:color w:val="auto"/>
                            <w:sz w:val="18"/>
                            <w:szCs w:val="18"/>
                            <w:highlight w:val="none"/>
                          </w:rPr>
                          <w:t>22.20%</w:t>
                        </w:r>
                      </w:p>
                    </w:tc>
                  </w:tr>
                </w:tbl>
                <w:p>
                  <w:pPr>
                    <w:rPr>
                      <w:color w:val="auto"/>
                      <w:sz w:val="18"/>
                      <w:szCs w:val="18"/>
                      <w:highlight w:val="none"/>
                    </w:rPr>
                  </w:pPr>
                </w:p>
              </w:tc>
              <w:tc>
                <w:tcPr>
                  <w:tcW w:w="0" w:type="auto"/>
                  <w:vAlign w:val="center"/>
                </w:tcPr>
                <w:p>
                  <w:pPr>
                    <w:rPr>
                      <w:color w:val="auto"/>
                      <w:sz w:val="18"/>
                      <w:szCs w:val="18"/>
                      <w:highlight w:val="none"/>
                    </w:rPr>
                  </w:pPr>
                  <w:r>
                    <w:rPr>
                      <w:rFonts w:hint="eastAsia"/>
                      <w:color w:val="auto"/>
                      <w:sz w:val="18"/>
                      <w:szCs w:val="18"/>
                      <w:highlight w:val="none"/>
                    </w:rPr>
                    <w:t>根据《博罗县“三线一单”生态环境分区管控图集》中博罗县资源利用上线-矿产资源开发敏感区划定情况图（详见附图13），本项目不在矿产资源开采敏感区内。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gridSpan w:val="2"/>
                  <w:vMerge w:val="continue"/>
                  <w:vAlign w:val="center"/>
                </w:tcPr>
                <w:p>
                  <w:pPr>
                    <w:jc w:val="center"/>
                    <w:rPr>
                      <w:color w:val="auto"/>
                      <w:sz w:val="18"/>
                      <w:szCs w:val="18"/>
                      <w:highlight w:val="none"/>
                    </w:rPr>
                  </w:pPr>
                </w:p>
              </w:tc>
              <w:tc>
                <w:tcPr>
                  <w:tcW w:w="0" w:type="auto"/>
                  <w:vAlign w:val="center"/>
                </w:tcPr>
                <w:p>
                  <w:pPr>
                    <w:rPr>
                      <w:color w:val="auto"/>
                      <w:sz w:val="18"/>
                      <w:szCs w:val="18"/>
                      <w:highlight w:val="none"/>
                    </w:rPr>
                  </w:pPr>
                  <w:r>
                    <w:rPr>
                      <w:color w:val="auto"/>
                      <w:sz w:val="18"/>
                      <w:szCs w:val="18"/>
                      <w:highlight w:val="none"/>
                    </w:rPr>
                    <w:t>资源利用管控要求：强化水资源节约集约利用。推动农业节水增效；推进工业节水减排；开展城镇节水降损；保障江河湖库生态流量。推进土地资源节约集约利用。科学划定生态保护红线、永久基本农田、城镇开发边界三条控制线，统筹布局生态、农业、城镇空间；按照“工业优先、以用为先”的原则，调整存量和扩大增量建设用地，优先保障“3+7”重点工业园区等重大平台、重大项目的用地需求。</w:t>
                  </w:r>
                </w:p>
              </w:tc>
              <w:tc>
                <w:tcPr>
                  <w:tcW w:w="0" w:type="auto"/>
                  <w:vAlign w:val="center"/>
                </w:tcPr>
                <w:p>
                  <w:pPr>
                    <w:rPr>
                      <w:color w:val="auto"/>
                      <w:sz w:val="18"/>
                      <w:szCs w:val="18"/>
                      <w:highlight w:val="none"/>
                    </w:rPr>
                  </w:pPr>
                  <w:r>
                    <w:rPr>
                      <w:rFonts w:hint="eastAsia"/>
                      <w:color w:val="auto"/>
                      <w:sz w:val="18"/>
                      <w:szCs w:val="18"/>
                      <w:highlight w:val="none"/>
                    </w:rPr>
                    <w:t>本项目</w:t>
                  </w:r>
                  <w:r>
                    <w:rPr>
                      <w:rFonts w:hint="eastAsia"/>
                      <w:color w:val="auto"/>
                      <w:sz w:val="18"/>
                      <w:szCs w:val="18"/>
                      <w:highlight w:val="none"/>
                      <w:lang w:val="en-US" w:eastAsia="zh-CN"/>
                    </w:rPr>
                    <w:t>无</w:t>
                  </w:r>
                  <w:r>
                    <w:rPr>
                      <w:rFonts w:hint="eastAsia"/>
                      <w:color w:val="auto"/>
                      <w:sz w:val="18"/>
                      <w:szCs w:val="18"/>
                      <w:highlight w:val="none"/>
                    </w:rPr>
                    <w:t>生产废水排放。根据《</w:t>
                  </w:r>
                  <w:r>
                    <w:rPr>
                      <w:bCs/>
                      <w:color w:val="auto"/>
                      <w:sz w:val="18"/>
                      <w:szCs w:val="18"/>
                      <w:highlight w:val="none"/>
                    </w:rPr>
                    <w:t>园洲镇</w:t>
                  </w:r>
                  <w:r>
                    <w:rPr>
                      <w:rFonts w:hint="eastAsia"/>
                      <w:bCs/>
                      <w:color w:val="auto"/>
                      <w:sz w:val="18"/>
                      <w:szCs w:val="18"/>
                      <w:highlight w:val="none"/>
                    </w:rPr>
                    <w:t>土地利用总体规划图</w:t>
                  </w:r>
                  <w:r>
                    <w:rPr>
                      <w:color w:val="auto"/>
                      <w:sz w:val="18"/>
                      <w:szCs w:val="18"/>
                      <w:highlight w:val="none"/>
                    </w:rPr>
                    <w:t>》</w:t>
                  </w:r>
                  <w:r>
                    <w:rPr>
                      <w:rFonts w:hint="eastAsia"/>
                      <w:color w:val="auto"/>
                      <w:sz w:val="18"/>
                      <w:szCs w:val="18"/>
                      <w:highlight w:val="none"/>
                    </w:rPr>
                    <w:t>（见附图1</w:t>
                  </w:r>
                  <w:r>
                    <w:rPr>
                      <w:rFonts w:hint="eastAsia"/>
                      <w:color w:val="auto"/>
                      <w:sz w:val="18"/>
                      <w:szCs w:val="18"/>
                      <w:highlight w:val="none"/>
                      <w:lang w:val="en-US" w:eastAsia="zh-CN"/>
                    </w:rPr>
                    <w:t>8</w:t>
                  </w:r>
                  <w:r>
                    <w:rPr>
                      <w:rFonts w:hint="eastAsia"/>
                      <w:color w:val="auto"/>
                      <w:sz w:val="18"/>
                      <w:szCs w:val="18"/>
                      <w:highlight w:val="none"/>
                    </w:rPr>
                    <w:t>），本项目为工业用地，满足建设用地要求。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gridSpan w:val="4"/>
                  <w:vAlign w:val="center"/>
                </w:tcPr>
                <w:p>
                  <w:pPr>
                    <w:jc w:val="center"/>
                    <w:rPr>
                      <w:color w:val="auto"/>
                      <w:sz w:val="18"/>
                      <w:szCs w:val="18"/>
                      <w:highlight w:val="none"/>
                    </w:rPr>
                  </w:pPr>
                  <w:r>
                    <w:rPr>
                      <w:rFonts w:hint="eastAsia"/>
                      <w:b/>
                      <w:bCs/>
                      <w:color w:val="auto"/>
                      <w:sz w:val="18"/>
                      <w:szCs w:val="18"/>
                      <w:highlight w:val="none"/>
                    </w:rPr>
                    <w:t>与ZH44132220001博罗沙河流域重点管控单元的相符性分析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gridSpan w:val="2"/>
                  <w:vAlign w:val="center"/>
                </w:tcPr>
                <w:p>
                  <w:pPr>
                    <w:jc w:val="center"/>
                    <w:rPr>
                      <w:color w:val="auto"/>
                      <w:sz w:val="18"/>
                      <w:szCs w:val="18"/>
                      <w:highlight w:val="none"/>
                    </w:rPr>
                  </w:pPr>
                  <w:r>
                    <w:rPr>
                      <w:rFonts w:hint="eastAsia"/>
                      <w:color w:val="auto"/>
                      <w:sz w:val="18"/>
                      <w:szCs w:val="18"/>
                      <w:highlight w:val="none"/>
                    </w:rPr>
                    <w:t>类别</w:t>
                  </w:r>
                </w:p>
              </w:tc>
              <w:tc>
                <w:tcPr>
                  <w:tcW w:w="0" w:type="auto"/>
                  <w:vAlign w:val="center"/>
                </w:tcPr>
                <w:p>
                  <w:pPr>
                    <w:jc w:val="center"/>
                    <w:rPr>
                      <w:color w:val="auto"/>
                      <w:sz w:val="18"/>
                      <w:szCs w:val="18"/>
                      <w:highlight w:val="none"/>
                    </w:rPr>
                  </w:pPr>
                  <w:r>
                    <w:rPr>
                      <w:rFonts w:hint="eastAsia"/>
                      <w:color w:val="auto"/>
                      <w:sz w:val="18"/>
                      <w:szCs w:val="18"/>
                      <w:highlight w:val="none"/>
                    </w:rPr>
                    <w:t>博罗沙河流域重点管控单元（ZH44132220001）</w:t>
                  </w:r>
                </w:p>
              </w:tc>
              <w:tc>
                <w:tcPr>
                  <w:tcW w:w="0" w:type="auto"/>
                  <w:vAlign w:val="center"/>
                </w:tcPr>
                <w:p>
                  <w:pPr>
                    <w:jc w:val="center"/>
                    <w:rPr>
                      <w:color w:val="auto"/>
                      <w:sz w:val="18"/>
                      <w:szCs w:val="18"/>
                      <w:highlight w:val="none"/>
                    </w:rPr>
                  </w:pPr>
                  <w:r>
                    <w:rPr>
                      <w:rFonts w:hint="eastAsia"/>
                      <w:color w:val="auto"/>
                      <w:sz w:val="18"/>
                      <w:szCs w:val="18"/>
                      <w:highlight w:val="none"/>
                    </w:rPr>
                    <w:t>对照分析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gridSpan w:val="2"/>
                  <w:vMerge w:val="restart"/>
                  <w:vAlign w:val="center"/>
                </w:tcPr>
                <w:p>
                  <w:pPr>
                    <w:jc w:val="center"/>
                    <w:rPr>
                      <w:color w:val="auto"/>
                      <w:sz w:val="18"/>
                      <w:szCs w:val="18"/>
                      <w:highlight w:val="none"/>
                    </w:rPr>
                  </w:pPr>
                  <w:r>
                    <w:rPr>
                      <w:rFonts w:hint="eastAsia"/>
                      <w:color w:val="auto"/>
                      <w:sz w:val="18"/>
                      <w:szCs w:val="18"/>
                      <w:highlight w:val="none"/>
                    </w:rPr>
                    <w:t>区域布局管控</w:t>
                  </w:r>
                </w:p>
              </w:tc>
              <w:tc>
                <w:tcPr>
                  <w:tcW w:w="0" w:type="auto"/>
                  <w:vAlign w:val="center"/>
                </w:tcPr>
                <w:p>
                  <w:pPr>
                    <w:jc w:val="left"/>
                    <w:rPr>
                      <w:color w:val="auto"/>
                      <w:sz w:val="18"/>
                      <w:szCs w:val="18"/>
                      <w:highlight w:val="none"/>
                    </w:rPr>
                  </w:pPr>
                  <w:r>
                    <w:rPr>
                      <w:rFonts w:hint="eastAsia"/>
                      <w:color w:val="auto"/>
                      <w:sz w:val="18"/>
                      <w:szCs w:val="18"/>
                      <w:highlight w:val="none"/>
                    </w:rPr>
                    <w:t>1-1.【产业/鼓励引导类】饮用水水源保护区外的区域，重点发展电子信息、智能家电、先进材料等产业。</w:t>
                  </w:r>
                </w:p>
              </w:tc>
              <w:tc>
                <w:tcPr>
                  <w:tcW w:w="0" w:type="auto"/>
                  <w:vAlign w:val="center"/>
                </w:tcPr>
                <w:p>
                  <w:pPr>
                    <w:rPr>
                      <w:color w:val="auto"/>
                      <w:sz w:val="18"/>
                      <w:szCs w:val="18"/>
                      <w:highlight w:val="none"/>
                    </w:rPr>
                  </w:pPr>
                  <w:r>
                    <w:rPr>
                      <w:color w:val="auto"/>
                      <w:sz w:val="18"/>
                      <w:szCs w:val="18"/>
                      <w:highlight w:val="none"/>
                    </w:rPr>
                    <w:t>1-1</w:t>
                  </w:r>
                  <w:r>
                    <w:rPr>
                      <w:rFonts w:hint="eastAsia"/>
                      <w:color w:val="auto"/>
                      <w:sz w:val="18"/>
                      <w:szCs w:val="18"/>
                      <w:highlight w:val="none"/>
                    </w:rPr>
                    <w:t xml:space="preserve">. </w:t>
                  </w:r>
                  <w:r>
                    <w:rPr>
                      <w:color w:val="auto"/>
                      <w:sz w:val="18"/>
                      <w:szCs w:val="18"/>
                      <w:highlight w:val="none"/>
                    </w:rPr>
                    <w:t>项目</w:t>
                  </w:r>
                  <w:r>
                    <w:rPr>
                      <w:rFonts w:hint="eastAsia"/>
                      <w:color w:val="auto"/>
                      <w:sz w:val="18"/>
                      <w:szCs w:val="18"/>
                      <w:highlight w:val="none"/>
                    </w:rPr>
                    <w:t>属于</w:t>
                  </w:r>
                  <w:r>
                    <w:rPr>
                      <w:color w:val="auto"/>
                      <w:sz w:val="18"/>
                      <w:szCs w:val="18"/>
                      <w:highlight w:val="none"/>
                    </w:rPr>
                    <w:t>C</w:t>
                  </w:r>
                  <w:r>
                    <w:rPr>
                      <w:rFonts w:hint="eastAsia"/>
                      <w:color w:val="auto"/>
                      <w:sz w:val="18"/>
                      <w:szCs w:val="18"/>
                      <w:highlight w:val="none"/>
                    </w:rPr>
                    <w:t>2916运动场地用塑胶制造</w:t>
                  </w:r>
                  <w:r>
                    <w:rPr>
                      <w:color w:val="auto"/>
                      <w:sz w:val="18"/>
                      <w:szCs w:val="18"/>
                      <w:highlight w:val="none"/>
                    </w:rPr>
                    <w:t>，不属于《产业结构调整指导目录（2019年本）》（中华人民共和国国家发展和改革委员会令第29号）中鼓励类、限制类、淘汰类项目，属于允许类项目</w:t>
                  </w:r>
                  <w:r>
                    <w:rPr>
                      <w:rFonts w:hint="eastAsia"/>
                      <w:color w:val="auto"/>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gridSpan w:val="2"/>
                  <w:vMerge w:val="continue"/>
                  <w:vAlign w:val="center"/>
                </w:tcPr>
                <w:p>
                  <w:pPr>
                    <w:jc w:val="center"/>
                    <w:rPr>
                      <w:color w:val="auto"/>
                      <w:sz w:val="18"/>
                      <w:szCs w:val="18"/>
                      <w:highlight w:val="none"/>
                    </w:rPr>
                  </w:pPr>
                </w:p>
              </w:tc>
              <w:tc>
                <w:tcPr>
                  <w:tcW w:w="0" w:type="auto"/>
                  <w:vAlign w:val="center"/>
                </w:tcPr>
                <w:p>
                  <w:pPr>
                    <w:jc w:val="left"/>
                    <w:rPr>
                      <w:color w:val="auto"/>
                      <w:sz w:val="18"/>
                      <w:szCs w:val="18"/>
                      <w:highlight w:val="none"/>
                    </w:rPr>
                  </w:pPr>
                  <w:r>
                    <w:rPr>
                      <w:rFonts w:hint="eastAsia"/>
                      <w:color w:val="auto"/>
                      <w:sz w:val="18"/>
                      <w:szCs w:val="18"/>
                      <w:highlight w:val="none"/>
                    </w:rPr>
                    <w:t>1-2.【产业/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tc>
              <w:tc>
                <w:tcPr>
                  <w:tcW w:w="0" w:type="auto"/>
                  <w:vAlign w:val="center"/>
                </w:tcPr>
                <w:p>
                  <w:pPr>
                    <w:rPr>
                      <w:color w:val="auto"/>
                      <w:sz w:val="18"/>
                      <w:szCs w:val="18"/>
                      <w:highlight w:val="none"/>
                    </w:rPr>
                  </w:pPr>
                  <w:r>
                    <w:rPr>
                      <w:color w:val="auto"/>
                      <w:sz w:val="18"/>
                      <w:szCs w:val="18"/>
                      <w:highlight w:val="none"/>
                    </w:rPr>
                    <w:t>1-2. 项目</w:t>
                  </w:r>
                  <w:r>
                    <w:rPr>
                      <w:rFonts w:hint="eastAsia"/>
                      <w:color w:val="auto"/>
                      <w:sz w:val="18"/>
                      <w:szCs w:val="18"/>
                      <w:highlight w:val="none"/>
                    </w:rPr>
                    <w:t>属于</w:t>
                  </w:r>
                  <w:r>
                    <w:rPr>
                      <w:color w:val="auto"/>
                      <w:sz w:val="18"/>
                      <w:szCs w:val="18"/>
                      <w:highlight w:val="none"/>
                    </w:rPr>
                    <w:t>C</w:t>
                  </w:r>
                  <w:r>
                    <w:rPr>
                      <w:rFonts w:hint="eastAsia"/>
                      <w:color w:val="auto"/>
                      <w:sz w:val="18"/>
                      <w:szCs w:val="18"/>
                      <w:highlight w:val="none"/>
                    </w:rPr>
                    <w:t>2916运动场地用塑胶制造，不属于以上禁止类项目。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gridSpan w:val="2"/>
                  <w:vMerge w:val="continue"/>
                  <w:vAlign w:val="center"/>
                </w:tcPr>
                <w:p>
                  <w:pPr>
                    <w:jc w:val="center"/>
                    <w:rPr>
                      <w:color w:val="auto"/>
                      <w:sz w:val="18"/>
                      <w:szCs w:val="18"/>
                      <w:highlight w:val="none"/>
                    </w:rPr>
                  </w:pPr>
                </w:p>
              </w:tc>
              <w:tc>
                <w:tcPr>
                  <w:tcW w:w="0" w:type="auto"/>
                  <w:vAlign w:val="center"/>
                </w:tcPr>
                <w:p>
                  <w:pPr>
                    <w:jc w:val="left"/>
                    <w:rPr>
                      <w:color w:val="auto"/>
                      <w:sz w:val="18"/>
                      <w:szCs w:val="18"/>
                      <w:highlight w:val="none"/>
                    </w:rPr>
                  </w:pPr>
                  <w:r>
                    <w:rPr>
                      <w:rFonts w:hint="eastAsia"/>
                      <w:color w:val="auto"/>
                      <w:sz w:val="18"/>
                      <w:szCs w:val="18"/>
                      <w:highlight w:val="none"/>
                    </w:rPr>
                    <w:t>1-3.【产业/限制类】严格限制化工、包装印刷、工业涂装等高VOCs排放建设项目。</w:t>
                  </w:r>
                </w:p>
              </w:tc>
              <w:tc>
                <w:tcPr>
                  <w:tcW w:w="0" w:type="auto"/>
                  <w:vAlign w:val="center"/>
                </w:tcPr>
                <w:p>
                  <w:pPr>
                    <w:rPr>
                      <w:color w:val="auto"/>
                      <w:sz w:val="18"/>
                      <w:szCs w:val="18"/>
                      <w:highlight w:val="none"/>
                    </w:rPr>
                  </w:pPr>
                  <w:r>
                    <w:rPr>
                      <w:color w:val="auto"/>
                      <w:sz w:val="18"/>
                      <w:szCs w:val="18"/>
                      <w:highlight w:val="none"/>
                    </w:rPr>
                    <w:t xml:space="preserve">1-3. </w:t>
                  </w:r>
                  <w:r>
                    <w:rPr>
                      <w:rFonts w:hint="eastAsia"/>
                      <w:color w:val="auto"/>
                      <w:sz w:val="18"/>
                      <w:szCs w:val="18"/>
                      <w:highlight w:val="none"/>
                    </w:rPr>
                    <w:t>项目为C2916 运动场地用塑胶制造，不属于高VOCs排放建设项目。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gridSpan w:val="2"/>
                  <w:vMerge w:val="continue"/>
                  <w:vAlign w:val="center"/>
                </w:tcPr>
                <w:p>
                  <w:pPr>
                    <w:jc w:val="center"/>
                    <w:rPr>
                      <w:color w:val="auto"/>
                      <w:sz w:val="18"/>
                      <w:szCs w:val="18"/>
                      <w:highlight w:val="none"/>
                    </w:rPr>
                  </w:pPr>
                </w:p>
              </w:tc>
              <w:tc>
                <w:tcPr>
                  <w:tcW w:w="0" w:type="auto"/>
                  <w:vAlign w:val="center"/>
                </w:tcPr>
                <w:p>
                  <w:pPr>
                    <w:jc w:val="left"/>
                    <w:rPr>
                      <w:color w:val="auto"/>
                      <w:sz w:val="18"/>
                      <w:szCs w:val="18"/>
                      <w:highlight w:val="none"/>
                    </w:rPr>
                  </w:pPr>
                  <w:r>
                    <w:rPr>
                      <w:rFonts w:hint="eastAsia"/>
                      <w:color w:val="auto"/>
                      <w:sz w:val="18"/>
                      <w:szCs w:val="18"/>
                      <w:highlight w:val="none"/>
                    </w:rPr>
                    <w:t>1-4.【生态/限制类】一般生态空间内可开展生态保护红线内允许的活动，在不影响主导生态功能的前提下，还可开展国家和省规定不纳入环评管理的项目建设，以及生态旅游、基础设施建设、村庄建设等人为活动。</w:t>
                  </w:r>
                </w:p>
              </w:tc>
              <w:tc>
                <w:tcPr>
                  <w:tcW w:w="0" w:type="auto"/>
                  <w:vAlign w:val="center"/>
                </w:tcPr>
                <w:p>
                  <w:pPr>
                    <w:rPr>
                      <w:color w:val="auto"/>
                      <w:sz w:val="18"/>
                      <w:szCs w:val="18"/>
                      <w:highlight w:val="none"/>
                    </w:rPr>
                  </w:pPr>
                  <w:r>
                    <w:rPr>
                      <w:color w:val="auto"/>
                      <w:sz w:val="18"/>
                      <w:szCs w:val="18"/>
                      <w:highlight w:val="none"/>
                    </w:rPr>
                    <w:t>1-4. 项目不在一般生态空间内。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gridSpan w:val="2"/>
                  <w:vMerge w:val="continue"/>
                  <w:vAlign w:val="center"/>
                </w:tcPr>
                <w:p>
                  <w:pPr>
                    <w:jc w:val="center"/>
                    <w:rPr>
                      <w:color w:val="auto"/>
                      <w:sz w:val="18"/>
                      <w:szCs w:val="18"/>
                      <w:highlight w:val="none"/>
                    </w:rPr>
                  </w:pPr>
                </w:p>
              </w:tc>
              <w:tc>
                <w:tcPr>
                  <w:tcW w:w="0" w:type="auto"/>
                  <w:vAlign w:val="center"/>
                </w:tcPr>
                <w:p>
                  <w:pPr>
                    <w:jc w:val="left"/>
                    <w:rPr>
                      <w:color w:val="auto"/>
                      <w:sz w:val="18"/>
                      <w:szCs w:val="18"/>
                      <w:highlight w:val="none"/>
                    </w:rPr>
                  </w:pPr>
                  <w:r>
                    <w:rPr>
                      <w:rFonts w:hint="eastAsia"/>
                      <w:color w:val="auto"/>
                      <w:sz w:val="18"/>
                      <w:szCs w:val="18"/>
                      <w:highlight w:val="none"/>
                    </w:rPr>
                    <w:t>1-5.【水/禁止类】饮用水水源保护区涉及园洲镇东江饮用水水源保护区，饮用水水源保护区按照《广东省水污染防治条例》“第五章 饮用水水源保护和流域特别规定”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w:t>
                  </w:r>
                </w:p>
              </w:tc>
              <w:tc>
                <w:tcPr>
                  <w:tcW w:w="0" w:type="auto"/>
                  <w:vAlign w:val="center"/>
                </w:tcPr>
                <w:p>
                  <w:pPr>
                    <w:rPr>
                      <w:color w:val="auto"/>
                      <w:sz w:val="18"/>
                      <w:szCs w:val="18"/>
                      <w:highlight w:val="none"/>
                    </w:rPr>
                  </w:pPr>
                  <w:r>
                    <w:rPr>
                      <w:color w:val="auto"/>
                      <w:sz w:val="18"/>
                      <w:szCs w:val="18"/>
                      <w:highlight w:val="none"/>
                    </w:rPr>
                    <w:t xml:space="preserve">1-5. </w:t>
                  </w:r>
                  <w:r>
                    <w:rPr>
                      <w:rFonts w:hint="eastAsia"/>
                      <w:color w:val="auto"/>
                      <w:sz w:val="18"/>
                      <w:szCs w:val="18"/>
                      <w:highlight w:val="none"/>
                    </w:rPr>
                    <w:t>项目不在饮用水水源保护区域内，不属于水禁止类项目。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gridSpan w:val="2"/>
                  <w:vMerge w:val="continue"/>
                  <w:vAlign w:val="center"/>
                </w:tcPr>
                <w:p>
                  <w:pPr>
                    <w:jc w:val="center"/>
                    <w:rPr>
                      <w:color w:val="auto"/>
                      <w:sz w:val="18"/>
                      <w:szCs w:val="18"/>
                      <w:highlight w:val="none"/>
                    </w:rPr>
                  </w:pPr>
                </w:p>
              </w:tc>
              <w:tc>
                <w:tcPr>
                  <w:tcW w:w="0" w:type="auto"/>
                  <w:vAlign w:val="center"/>
                </w:tcPr>
                <w:p>
                  <w:pPr>
                    <w:jc w:val="left"/>
                    <w:rPr>
                      <w:color w:val="auto"/>
                      <w:sz w:val="18"/>
                      <w:szCs w:val="18"/>
                      <w:highlight w:val="none"/>
                    </w:rPr>
                  </w:pPr>
                  <w:r>
                    <w:rPr>
                      <w:rFonts w:hint="eastAsia"/>
                      <w:color w:val="auto"/>
                      <w:sz w:val="18"/>
                      <w:szCs w:val="18"/>
                      <w:highlight w:val="none"/>
                    </w:rPr>
                    <w:t>1-6.【水/禁止类】禁止在东江干流和沙河干流两岸最高水位线外延五百米范围内新建废弃物堆放场和处理场。已有的堆放场和处理场需采取有效的防治污染措施，危及水体水质安全的，由县级以上人民政府责令限期搬迁。</w:t>
                  </w:r>
                </w:p>
              </w:tc>
              <w:tc>
                <w:tcPr>
                  <w:tcW w:w="0" w:type="auto"/>
                  <w:vAlign w:val="center"/>
                </w:tcPr>
                <w:p>
                  <w:pPr>
                    <w:rPr>
                      <w:color w:val="auto"/>
                      <w:sz w:val="18"/>
                      <w:szCs w:val="18"/>
                      <w:highlight w:val="none"/>
                    </w:rPr>
                  </w:pPr>
                  <w:r>
                    <w:rPr>
                      <w:color w:val="auto"/>
                      <w:sz w:val="18"/>
                      <w:szCs w:val="18"/>
                      <w:highlight w:val="none"/>
                    </w:rPr>
                    <w:t>1-6. 项目不属于新建废弃物堆放场和处理厂项目。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gridSpan w:val="2"/>
                  <w:vMerge w:val="continue"/>
                  <w:vAlign w:val="center"/>
                </w:tcPr>
                <w:p>
                  <w:pPr>
                    <w:jc w:val="center"/>
                    <w:rPr>
                      <w:color w:val="auto"/>
                      <w:sz w:val="18"/>
                      <w:szCs w:val="18"/>
                      <w:highlight w:val="none"/>
                    </w:rPr>
                  </w:pPr>
                </w:p>
              </w:tc>
              <w:tc>
                <w:tcPr>
                  <w:tcW w:w="0" w:type="auto"/>
                  <w:vAlign w:val="center"/>
                </w:tcPr>
                <w:p>
                  <w:pPr>
                    <w:jc w:val="left"/>
                    <w:rPr>
                      <w:color w:val="auto"/>
                      <w:sz w:val="18"/>
                      <w:szCs w:val="18"/>
                      <w:highlight w:val="none"/>
                    </w:rPr>
                  </w:pPr>
                  <w:r>
                    <w:rPr>
                      <w:rFonts w:hint="eastAsia"/>
                      <w:color w:val="auto"/>
                      <w:sz w:val="18"/>
                      <w:szCs w:val="18"/>
                      <w:highlight w:val="none"/>
                    </w:rPr>
                    <w:t>1-7.【水/禁止类】畜禽禁养区内不得从事畜禽养殖业。</w:t>
                  </w:r>
                </w:p>
              </w:tc>
              <w:tc>
                <w:tcPr>
                  <w:tcW w:w="0" w:type="auto"/>
                  <w:vAlign w:val="center"/>
                </w:tcPr>
                <w:p>
                  <w:pPr>
                    <w:rPr>
                      <w:color w:val="auto"/>
                      <w:sz w:val="18"/>
                      <w:szCs w:val="18"/>
                      <w:highlight w:val="none"/>
                    </w:rPr>
                  </w:pPr>
                  <w:r>
                    <w:rPr>
                      <w:color w:val="auto"/>
                      <w:sz w:val="18"/>
                      <w:szCs w:val="18"/>
                      <w:highlight w:val="none"/>
                    </w:rPr>
                    <w:t>1-7</w:t>
                  </w:r>
                  <w:r>
                    <w:rPr>
                      <w:rFonts w:hint="eastAsia"/>
                      <w:color w:val="auto"/>
                      <w:sz w:val="18"/>
                      <w:szCs w:val="18"/>
                      <w:highlight w:val="none"/>
                    </w:rPr>
                    <w:t xml:space="preserve">. </w:t>
                  </w:r>
                  <w:r>
                    <w:rPr>
                      <w:color w:val="auto"/>
                      <w:sz w:val="18"/>
                      <w:szCs w:val="18"/>
                      <w:highlight w:val="none"/>
                    </w:rPr>
                    <w:t>项目不属于畜禽养殖业。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gridSpan w:val="2"/>
                  <w:vMerge w:val="continue"/>
                  <w:vAlign w:val="center"/>
                </w:tcPr>
                <w:p>
                  <w:pPr>
                    <w:jc w:val="center"/>
                    <w:rPr>
                      <w:color w:val="auto"/>
                      <w:sz w:val="18"/>
                      <w:szCs w:val="18"/>
                      <w:highlight w:val="none"/>
                    </w:rPr>
                  </w:pPr>
                </w:p>
              </w:tc>
              <w:tc>
                <w:tcPr>
                  <w:tcW w:w="0" w:type="auto"/>
                  <w:vAlign w:val="center"/>
                </w:tcPr>
                <w:p>
                  <w:pPr>
                    <w:jc w:val="left"/>
                    <w:rPr>
                      <w:color w:val="auto"/>
                      <w:sz w:val="18"/>
                      <w:szCs w:val="18"/>
                      <w:highlight w:val="none"/>
                    </w:rPr>
                  </w:pPr>
                  <w:r>
                    <w:rPr>
                      <w:rFonts w:hint="eastAsia"/>
                      <w:color w:val="auto"/>
                      <w:sz w:val="18"/>
                      <w:szCs w:val="18"/>
                      <w:highlight w:val="none"/>
                    </w:rPr>
                    <w:t>1-8.【水/综合类】积极引导“散养户”自觉维护生态环境，规范养殖或主动退出畜禽养殖。“散户养殖”按照“小组统一监管、从严控制数量、配套相应设施、防渗收集粪便、科学处理还田”的原则，加强全程监管。加快推进流域内粪污塘的处理处置，降低养殖业对水环境的影响。</w:t>
                  </w:r>
                </w:p>
              </w:tc>
              <w:tc>
                <w:tcPr>
                  <w:tcW w:w="0" w:type="auto"/>
                  <w:vAlign w:val="center"/>
                </w:tcPr>
                <w:p>
                  <w:pPr>
                    <w:rPr>
                      <w:color w:val="auto"/>
                      <w:sz w:val="18"/>
                      <w:szCs w:val="18"/>
                      <w:highlight w:val="none"/>
                    </w:rPr>
                  </w:pPr>
                  <w:r>
                    <w:rPr>
                      <w:color w:val="auto"/>
                      <w:sz w:val="18"/>
                      <w:szCs w:val="18"/>
                      <w:highlight w:val="none"/>
                    </w:rPr>
                    <w:t>1-8. 项目不属于畜禽养殖业。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gridSpan w:val="2"/>
                  <w:vMerge w:val="continue"/>
                  <w:vAlign w:val="center"/>
                </w:tcPr>
                <w:p>
                  <w:pPr>
                    <w:jc w:val="center"/>
                    <w:rPr>
                      <w:color w:val="auto"/>
                      <w:sz w:val="18"/>
                      <w:szCs w:val="18"/>
                      <w:highlight w:val="none"/>
                    </w:rPr>
                  </w:pPr>
                </w:p>
              </w:tc>
              <w:tc>
                <w:tcPr>
                  <w:tcW w:w="0" w:type="auto"/>
                  <w:vAlign w:val="center"/>
                </w:tcPr>
                <w:p>
                  <w:pPr>
                    <w:jc w:val="left"/>
                    <w:rPr>
                      <w:color w:val="auto"/>
                      <w:sz w:val="18"/>
                      <w:szCs w:val="18"/>
                      <w:highlight w:val="none"/>
                    </w:rPr>
                  </w:pPr>
                  <w:r>
                    <w:rPr>
                      <w:rFonts w:hint="eastAsia"/>
                      <w:color w:val="auto"/>
                      <w:sz w:val="18"/>
                      <w:szCs w:val="18"/>
                      <w:highlight w:val="none"/>
                    </w:rPr>
                    <w:t>1-9.【大气/限制类】大气环境受体敏感重点管控区内严格限制新建储油库项目、产生和排放有毒有害大气污染物的建设项目以及使用溶剂型油墨、涂料、清洗剂、胶黏剂等高挥发性有机物原辅材料项目，鼓励现有该类项目搬迁退出。</w:t>
                  </w:r>
                </w:p>
              </w:tc>
              <w:tc>
                <w:tcPr>
                  <w:tcW w:w="0" w:type="auto"/>
                  <w:vAlign w:val="center"/>
                </w:tcPr>
                <w:p>
                  <w:pPr>
                    <w:rPr>
                      <w:color w:val="auto"/>
                      <w:sz w:val="18"/>
                      <w:szCs w:val="18"/>
                      <w:highlight w:val="none"/>
                    </w:rPr>
                  </w:pPr>
                  <w:r>
                    <w:rPr>
                      <w:color w:val="auto"/>
                      <w:sz w:val="18"/>
                      <w:szCs w:val="18"/>
                      <w:highlight w:val="none"/>
                    </w:rPr>
                    <w:t>1-9. 项目不属于新建储油库项目、不产生和排放有毒有害大气污染物、不使用高挥发性有机物原辅材料。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gridSpan w:val="2"/>
                  <w:vMerge w:val="continue"/>
                  <w:vAlign w:val="center"/>
                </w:tcPr>
                <w:p>
                  <w:pPr>
                    <w:jc w:val="center"/>
                    <w:rPr>
                      <w:color w:val="auto"/>
                      <w:sz w:val="18"/>
                      <w:szCs w:val="18"/>
                      <w:highlight w:val="none"/>
                    </w:rPr>
                  </w:pPr>
                </w:p>
              </w:tc>
              <w:tc>
                <w:tcPr>
                  <w:tcW w:w="0" w:type="auto"/>
                  <w:vAlign w:val="center"/>
                </w:tcPr>
                <w:p>
                  <w:pPr>
                    <w:jc w:val="left"/>
                    <w:rPr>
                      <w:color w:val="auto"/>
                      <w:sz w:val="18"/>
                      <w:szCs w:val="18"/>
                      <w:highlight w:val="none"/>
                    </w:rPr>
                  </w:pPr>
                  <w:r>
                    <w:rPr>
                      <w:rFonts w:hint="eastAsia"/>
                      <w:color w:val="auto"/>
                      <w:sz w:val="18"/>
                      <w:szCs w:val="18"/>
                      <w:highlight w:val="none"/>
                    </w:rPr>
                    <w:t>1-10.【大气/鼓励引导类】大气环境高排放重点管控区内，强化达标监管，引导工业项目落地集聚发展，有序推进区域内行业企业提标改造。</w:t>
                  </w:r>
                </w:p>
              </w:tc>
              <w:tc>
                <w:tcPr>
                  <w:tcW w:w="0" w:type="auto"/>
                  <w:vAlign w:val="center"/>
                </w:tcPr>
                <w:p>
                  <w:pPr>
                    <w:rPr>
                      <w:color w:val="auto"/>
                      <w:sz w:val="18"/>
                      <w:szCs w:val="18"/>
                      <w:highlight w:val="none"/>
                    </w:rPr>
                  </w:pPr>
                  <w:r>
                    <w:rPr>
                      <w:color w:val="auto"/>
                      <w:sz w:val="18"/>
                      <w:szCs w:val="18"/>
                      <w:highlight w:val="none"/>
                    </w:rPr>
                    <w:t>1-10</w:t>
                  </w:r>
                  <w:r>
                    <w:rPr>
                      <w:rFonts w:hint="eastAsia"/>
                      <w:color w:val="auto"/>
                      <w:sz w:val="18"/>
                      <w:szCs w:val="18"/>
                      <w:highlight w:val="none"/>
                    </w:rPr>
                    <w:t>. 本项目产生的废气经收集至废气处理设施处理达标后高空排放，项目建成后将按要求定期开展自行监测，确保废气达标排放</w:t>
                  </w:r>
                  <w:r>
                    <w:rPr>
                      <w:color w:val="auto"/>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gridSpan w:val="2"/>
                  <w:vMerge w:val="continue"/>
                  <w:vAlign w:val="center"/>
                </w:tcPr>
                <w:p>
                  <w:pPr>
                    <w:jc w:val="center"/>
                    <w:rPr>
                      <w:color w:val="auto"/>
                      <w:sz w:val="18"/>
                      <w:szCs w:val="18"/>
                      <w:highlight w:val="none"/>
                    </w:rPr>
                  </w:pPr>
                </w:p>
              </w:tc>
              <w:tc>
                <w:tcPr>
                  <w:tcW w:w="0" w:type="auto"/>
                  <w:vAlign w:val="center"/>
                </w:tcPr>
                <w:p>
                  <w:pPr>
                    <w:jc w:val="left"/>
                    <w:rPr>
                      <w:color w:val="auto"/>
                      <w:sz w:val="18"/>
                      <w:szCs w:val="18"/>
                      <w:highlight w:val="none"/>
                    </w:rPr>
                  </w:pPr>
                  <w:r>
                    <w:rPr>
                      <w:rFonts w:hint="eastAsia"/>
                      <w:color w:val="auto"/>
                      <w:sz w:val="18"/>
                      <w:szCs w:val="18"/>
                      <w:highlight w:val="none"/>
                    </w:rPr>
                    <w:t>1-11.【土壤/禁止类】禁止在重金属重点防控区域内新建、改建、扩建增加重金属污染物排放总量的建设项目。</w:t>
                  </w:r>
                </w:p>
              </w:tc>
              <w:tc>
                <w:tcPr>
                  <w:tcW w:w="0" w:type="auto"/>
                  <w:vAlign w:val="center"/>
                </w:tcPr>
                <w:p>
                  <w:pPr>
                    <w:rPr>
                      <w:color w:val="auto"/>
                      <w:sz w:val="18"/>
                      <w:szCs w:val="18"/>
                      <w:highlight w:val="none"/>
                    </w:rPr>
                  </w:pPr>
                  <w:r>
                    <w:rPr>
                      <w:color w:val="auto"/>
                      <w:sz w:val="18"/>
                      <w:szCs w:val="18"/>
                      <w:highlight w:val="none"/>
                    </w:rPr>
                    <w:t>1-11. 项目不涉及重金属排放。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gridSpan w:val="2"/>
                  <w:vMerge w:val="continue"/>
                  <w:vAlign w:val="center"/>
                </w:tcPr>
                <w:p>
                  <w:pPr>
                    <w:jc w:val="center"/>
                    <w:rPr>
                      <w:color w:val="auto"/>
                      <w:sz w:val="18"/>
                      <w:szCs w:val="18"/>
                      <w:highlight w:val="none"/>
                    </w:rPr>
                  </w:pPr>
                </w:p>
              </w:tc>
              <w:tc>
                <w:tcPr>
                  <w:tcW w:w="0" w:type="auto"/>
                  <w:vAlign w:val="center"/>
                </w:tcPr>
                <w:p>
                  <w:pPr>
                    <w:jc w:val="left"/>
                    <w:rPr>
                      <w:color w:val="auto"/>
                      <w:sz w:val="18"/>
                      <w:szCs w:val="18"/>
                      <w:highlight w:val="none"/>
                    </w:rPr>
                  </w:pPr>
                  <w:r>
                    <w:rPr>
                      <w:rFonts w:hint="eastAsia"/>
                      <w:color w:val="auto"/>
                      <w:sz w:val="18"/>
                      <w:szCs w:val="18"/>
                      <w:highlight w:val="none"/>
                    </w:rPr>
                    <w:t>1-12.【土壤/限制类】重金属污染防控非重点区新建、改扩建重金属排放项目，应严格落实重金属总量替代与削减要求，严格控制重点行业发展规模。强化涉重金属污染行业建设项目环评审批管理，严格执行环保“三同时”制度。</w:t>
                  </w:r>
                </w:p>
              </w:tc>
              <w:tc>
                <w:tcPr>
                  <w:tcW w:w="0" w:type="auto"/>
                  <w:vAlign w:val="center"/>
                </w:tcPr>
                <w:p>
                  <w:pPr>
                    <w:rPr>
                      <w:color w:val="auto"/>
                      <w:sz w:val="18"/>
                      <w:szCs w:val="18"/>
                      <w:highlight w:val="none"/>
                    </w:rPr>
                  </w:pPr>
                  <w:r>
                    <w:rPr>
                      <w:color w:val="auto"/>
                      <w:sz w:val="18"/>
                      <w:szCs w:val="18"/>
                      <w:highlight w:val="none"/>
                    </w:rPr>
                    <w:t>1-11. 项目不涉及重金属排放。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gridSpan w:val="2"/>
                  <w:vMerge w:val="restart"/>
                  <w:vAlign w:val="center"/>
                </w:tcPr>
                <w:p>
                  <w:pPr>
                    <w:jc w:val="center"/>
                    <w:rPr>
                      <w:color w:val="auto"/>
                      <w:sz w:val="18"/>
                      <w:szCs w:val="18"/>
                      <w:highlight w:val="none"/>
                    </w:rPr>
                  </w:pPr>
                  <w:r>
                    <w:rPr>
                      <w:color w:val="auto"/>
                      <w:sz w:val="18"/>
                      <w:szCs w:val="18"/>
                      <w:highlight w:val="none"/>
                    </w:rPr>
                    <w:t>能源资源利用</w:t>
                  </w:r>
                </w:p>
              </w:tc>
              <w:tc>
                <w:tcPr>
                  <w:tcW w:w="0" w:type="auto"/>
                  <w:vAlign w:val="center"/>
                </w:tcPr>
                <w:p>
                  <w:pPr>
                    <w:jc w:val="left"/>
                    <w:rPr>
                      <w:color w:val="auto"/>
                      <w:sz w:val="18"/>
                      <w:szCs w:val="18"/>
                      <w:highlight w:val="none"/>
                    </w:rPr>
                  </w:pPr>
                  <w:r>
                    <w:rPr>
                      <w:rFonts w:hint="eastAsia"/>
                      <w:color w:val="auto"/>
                      <w:sz w:val="18"/>
                      <w:szCs w:val="18"/>
                      <w:highlight w:val="none"/>
                    </w:rPr>
                    <w:t>2-1.【能源/鼓励引导类】鼓励降低煤炭消耗、能源消耗，引导光伏等多种形式的新能源利用。</w:t>
                  </w:r>
                </w:p>
              </w:tc>
              <w:tc>
                <w:tcPr>
                  <w:tcW w:w="0" w:type="auto"/>
                  <w:vAlign w:val="center"/>
                </w:tcPr>
                <w:p>
                  <w:pPr>
                    <w:rPr>
                      <w:color w:val="auto"/>
                      <w:sz w:val="18"/>
                      <w:szCs w:val="18"/>
                      <w:highlight w:val="none"/>
                    </w:rPr>
                  </w:pPr>
                  <w:r>
                    <w:rPr>
                      <w:rFonts w:hint="eastAsia"/>
                      <w:color w:val="auto"/>
                      <w:sz w:val="18"/>
                      <w:szCs w:val="18"/>
                      <w:highlight w:val="none"/>
                    </w:rPr>
                    <w:t xml:space="preserve">2-1. </w:t>
                  </w:r>
                  <w:r>
                    <w:rPr>
                      <w:color w:val="auto"/>
                      <w:sz w:val="18"/>
                      <w:szCs w:val="18"/>
                      <w:highlight w:val="none"/>
                    </w:rPr>
                    <w:t>项目</w:t>
                  </w:r>
                  <w:r>
                    <w:rPr>
                      <w:rFonts w:hint="eastAsia"/>
                      <w:color w:val="auto"/>
                      <w:sz w:val="18"/>
                      <w:szCs w:val="18"/>
                      <w:highlight w:val="none"/>
                    </w:rPr>
                    <w:t>不消耗</w:t>
                  </w:r>
                  <w:r>
                    <w:rPr>
                      <w:color w:val="auto"/>
                      <w:sz w:val="18"/>
                      <w:szCs w:val="18"/>
                      <w:highlight w:val="none"/>
                    </w:rPr>
                    <w:t>煤炭，所用能源主要为电能。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gridSpan w:val="2"/>
                  <w:vMerge w:val="continue"/>
                  <w:vAlign w:val="center"/>
                </w:tcPr>
                <w:p>
                  <w:pPr>
                    <w:jc w:val="center"/>
                    <w:rPr>
                      <w:color w:val="auto"/>
                      <w:sz w:val="18"/>
                      <w:szCs w:val="18"/>
                      <w:highlight w:val="none"/>
                    </w:rPr>
                  </w:pPr>
                </w:p>
              </w:tc>
              <w:tc>
                <w:tcPr>
                  <w:tcW w:w="0" w:type="auto"/>
                  <w:vAlign w:val="center"/>
                </w:tcPr>
                <w:p>
                  <w:pPr>
                    <w:jc w:val="left"/>
                    <w:rPr>
                      <w:color w:val="auto"/>
                      <w:sz w:val="18"/>
                      <w:szCs w:val="18"/>
                      <w:highlight w:val="none"/>
                    </w:rPr>
                  </w:pPr>
                  <w:r>
                    <w:rPr>
                      <w:rFonts w:hint="eastAsia"/>
                      <w:color w:val="auto"/>
                      <w:sz w:val="18"/>
                      <w:szCs w:val="18"/>
                      <w:highlight w:val="none"/>
                    </w:rPr>
                    <w:t>2-2.【能源/综合类】根据本地区大气环境质量改善要求逐步扩大高污染燃料禁燃区范围。</w:t>
                  </w:r>
                </w:p>
              </w:tc>
              <w:tc>
                <w:tcPr>
                  <w:tcW w:w="0" w:type="auto"/>
                  <w:vAlign w:val="center"/>
                </w:tcPr>
                <w:p>
                  <w:pPr>
                    <w:rPr>
                      <w:color w:val="auto"/>
                      <w:sz w:val="18"/>
                      <w:szCs w:val="18"/>
                      <w:highlight w:val="none"/>
                    </w:rPr>
                  </w:pPr>
                  <w:r>
                    <w:rPr>
                      <w:rFonts w:hint="eastAsia"/>
                      <w:color w:val="auto"/>
                      <w:sz w:val="18"/>
                      <w:szCs w:val="18"/>
                      <w:highlight w:val="none"/>
                    </w:rPr>
                    <w:t>2-2. 本</w:t>
                  </w:r>
                  <w:r>
                    <w:rPr>
                      <w:color w:val="auto"/>
                      <w:sz w:val="18"/>
                      <w:szCs w:val="18"/>
                      <w:highlight w:val="none"/>
                    </w:rPr>
                    <w:t>项目</w:t>
                  </w:r>
                  <w:r>
                    <w:rPr>
                      <w:bCs/>
                      <w:iCs/>
                      <w:color w:val="auto"/>
                      <w:sz w:val="18"/>
                      <w:szCs w:val="18"/>
                      <w:highlight w:val="none"/>
                    </w:rPr>
                    <w:t>不涉及高污染燃料使用。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gridSpan w:val="2"/>
                  <w:vMerge w:val="restart"/>
                  <w:vAlign w:val="center"/>
                </w:tcPr>
                <w:p>
                  <w:pPr>
                    <w:jc w:val="center"/>
                    <w:rPr>
                      <w:color w:val="auto"/>
                      <w:sz w:val="18"/>
                      <w:szCs w:val="18"/>
                      <w:highlight w:val="none"/>
                    </w:rPr>
                  </w:pPr>
                  <w:r>
                    <w:rPr>
                      <w:color w:val="auto"/>
                      <w:sz w:val="18"/>
                      <w:szCs w:val="18"/>
                      <w:highlight w:val="none"/>
                    </w:rPr>
                    <w:t>污染物排放管控</w:t>
                  </w:r>
                </w:p>
              </w:tc>
              <w:tc>
                <w:tcPr>
                  <w:tcW w:w="0" w:type="auto"/>
                  <w:vAlign w:val="center"/>
                </w:tcPr>
                <w:p>
                  <w:pPr>
                    <w:pStyle w:val="119"/>
                    <w:ind w:firstLine="0" w:firstLineChars="0"/>
                    <w:rPr>
                      <w:rFonts w:cs="Times New Roman"/>
                      <w:color w:val="auto"/>
                      <w:sz w:val="18"/>
                      <w:szCs w:val="18"/>
                      <w:highlight w:val="none"/>
                    </w:rPr>
                  </w:pPr>
                  <w:r>
                    <w:rPr>
                      <w:rFonts w:hint="eastAsia" w:cs="Times New Roman"/>
                      <w:color w:val="auto"/>
                      <w:sz w:val="18"/>
                      <w:szCs w:val="18"/>
                      <w:highlight w:val="none"/>
                    </w:rPr>
                    <w:t>3-1.【水/限制类】单元内城镇生活污水处理厂出水水质COD、氨氮、总磷排放执行国家《地表水环境质量》（GB3838-2002）Ⅴ类标准，其余指标执行国家《城镇污水处理厂污染物排放标》（GB18918-2002）一级A标准与广东省《水污染物排放限值》较严值的标准。</w:t>
                  </w:r>
                </w:p>
              </w:tc>
              <w:tc>
                <w:tcPr>
                  <w:tcW w:w="0" w:type="auto"/>
                  <w:vAlign w:val="center"/>
                </w:tcPr>
                <w:p>
                  <w:pPr>
                    <w:rPr>
                      <w:color w:val="auto"/>
                      <w:sz w:val="18"/>
                      <w:szCs w:val="18"/>
                      <w:highlight w:val="none"/>
                    </w:rPr>
                  </w:pPr>
                  <w:r>
                    <w:rPr>
                      <w:rFonts w:hint="eastAsia"/>
                      <w:color w:val="auto"/>
                      <w:sz w:val="18"/>
                      <w:szCs w:val="18"/>
                      <w:highlight w:val="none"/>
                    </w:rPr>
                    <w:t>3-1. 项目不产生生产废水，生活污水经三级化粪池预处理后经市政管网排入博罗县园洲镇第五生活污水处理厂进行处理，污水厂尾水排放</w:t>
                  </w:r>
                  <w:r>
                    <w:rPr>
                      <w:color w:val="auto"/>
                      <w:sz w:val="18"/>
                      <w:szCs w:val="18"/>
                      <w:highlight w:val="none"/>
                    </w:rPr>
                    <w:t>执行</w:t>
                  </w:r>
                  <w:r>
                    <w:rPr>
                      <w:rFonts w:hint="eastAsia"/>
                      <w:color w:val="auto"/>
                      <w:sz w:val="18"/>
                      <w:szCs w:val="18"/>
                      <w:highlight w:val="none"/>
                    </w:rPr>
                    <w:t>《城镇污水处理厂污染物排放标准》（</w:t>
                  </w:r>
                  <w:r>
                    <w:rPr>
                      <w:color w:val="auto"/>
                      <w:sz w:val="18"/>
                      <w:szCs w:val="18"/>
                      <w:highlight w:val="none"/>
                    </w:rPr>
                    <w:t>GB18918-2002</w:t>
                  </w:r>
                  <w:r>
                    <w:rPr>
                      <w:rFonts w:hint="eastAsia"/>
                      <w:color w:val="auto"/>
                      <w:sz w:val="18"/>
                      <w:szCs w:val="18"/>
                      <w:highlight w:val="none"/>
                    </w:rPr>
                    <w:t>）一级</w:t>
                  </w:r>
                  <w:r>
                    <w:rPr>
                      <w:color w:val="auto"/>
                      <w:sz w:val="18"/>
                      <w:szCs w:val="18"/>
                      <w:highlight w:val="none"/>
                    </w:rPr>
                    <w:t>A</w:t>
                  </w:r>
                  <w:r>
                    <w:rPr>
                      <w:rFonts w:hint="eastAsia"/>
                      <w:color w:val="auto"/>
                      <w:sz w:val="18"/>
                      <w:szCs w:val="18"/>
                      <w:highlight w:val="none"/>
                    </w:rPr>
                    <w:t>标准及广东省《水污染物排放限值》（</w:t>
                  </w:r>
                  <w:r>
                    <w:rPr>
                      <w:color w:val="auto"/>
                      <w:sz w:val="18"/>
                      <w:szCs w:val="18"/>
                      <w:highlight w:val="none"/>
                    </w:rPr>
                    <w:t>DB44/26-2001</w:t>
                  </w:r>
                  <w:r>
                    <w:rPr>
                      <w:rFonts w:hint="eastAsia"/>
                      <w:color w:val="auto"/>
                      <w:sz w:val="18"/>
                      <w:szCs w:val="18"/>
                      <w:highlight w:val="none"/>
                    </w:rPr>
                    <w:t>）第二时段一级标准中的较严者，其中氨氮、总磷指标优于《地表水环境质量标准》（</w:t>
                  </w:r>
                  <w:r>
                    <w:rPr>
                      <w:color w:val="auto"/>
                      <w:sz w:val="18"/>
                      <w:szCs w:val="18"/>
                      <w:highlight w:val="none"/>
                    </w:rPr>
                    <w:t>GB3838-2002</w:t>
                  </w:r>
                  <w:r>
                    <w:rPr>
                      <w:rFonts w:hint="eastAsia"/>
                      <w:color w:val="auto"/>
                      <w:sz w:val="18"/>
                      <w:szCs w:val="18"/>
                      <w:highlight w:val="none"/>
                    </w:rPr>
                    <w:t>）</w:t>
                  </w:r>
                  <w:r>
                    <w:rPr>
                      <w:color w:val="auto"/>
                      <w:sz w:val="18"/>
                      <w:szCs w:val="18"/>
                      <w:highlight w:val="none"/>
                    </w:rPr>
                    <w:t>V</w:t>
                  </w:r>
                  <w:r>
                    <w:rPr>
                      <w:rFonts w:hint="eastAsia"/>
                      <w:color w:val="auto"/>
                      <w:sz w:val="18"/>
                      <w:szCs w:val="18"/>
                      <w:highlight w:val="none"/>
                    </w:rPr>
                    <w:t>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gridSpan w:val="2"/>
                  <w:vMerge w:val="continue"/>
                  <w:vAlign w:val="center"/>
                </w:tcPr>
                <w:p>
                  <w:pPr>
                    <w:jc w:val="center"/>
                    <w:rPr>
                      <w:color w:val="auto"/>
                      <w:sz w:val="18"/>
                      <w:szCs w:val="18"/>
                      <w:highlight w:val="none"/>
                    </w:rPr>
                  </w:pPr>
                </w:p>
              </w:tc>
              <w:tc>
                <w:tcPr>
                  <w:tcW w:w="0" w:type="auto"/>
                  <w:vAlign w:val="center"/>
                </w:tcPr>
                <w:p>
                  <w:pPr>
                    <w:pStyle w:val="119"/>
                    <w:ind w:firstLine="0" w:firstLineChars="0"/>
                    <w:rPr>
                      <w:rFonts w:cs="Times New Roman"/>
                      <w:color w:val="auto"/>
                      <w:sz w:val="18"/>
                      <w:szCs w:val="18"/>
                      <w:highlight w:val="none"/>
                    </w:rPr>
                  </w:pPr>
                  <w:r>
                    <w:rPr>
                      <w:rFonts w:hint="eastAsia" w:cs="Times New Roman"/>
                      <w:color w:val="auto"/>
                      <w:sz w:val="18"/>
                      <w:szCs w:val="18"/>
                      <w:highlight w:val="none"/>
                    </w:rPr>
                    <w:t>3-2.【水/限制类】严格控制流域内增加水污染物排放或对东江水质、水环境安全构成影响的项目。</w:t>
                  </w:r>
                </w:p>
              </w:tc>
              <w:tc>
                <w:tcPr>
                  <w:tcW w:w="0" w:type="auto"/>
                  <w:vAlign w:val="center"/>
                </w:tcPr>
                <w:p>
                  <w:pPr>
                    <w:rPr>
                      <w:color w:val="auto"/>
                      <w:sz w:val="18"/>
                      <w:szCs w:val="18"/>
                      <w:highlight w:val="none"/>
                    </w:rPr>
                  </w:pPr>
                  <w:r>
                    <w:rPr>
                      <w:rFonts w:hint="eastAsia"/>
                      <w:color w:val="auto"/>
                      <w:sz w:val="18"/>
                      <w:szCs w:val="18"/>
                      <w:highlight w:val="none"/>
                    </w:rPr>
                    <w:t>3-2. 项目不产生生产废水，</w:t>
                  </w:r>
                  <w:r>
                    <w:rPr>
                      <w:color w:val="auto"/>
                      <w:sz w:val="18"/>
                      <w:szCs w:val="18"/>
                      <w:highlight w:val="none"/>
                    </w:rPr>
                    <w:t>生活污水经三级化粪池预处理后纳入市政污水管网，排入</w:t>
                  </w:r>
                  <w:r>
                    <w:rPr>
                      <w:rFonts w:hint="eastAsia"/>
                      <w:color w:val="auto"/>
                      <w:sz w:val="18"/>
                      <w:szCs w:val="18"/>
                      <w:highlight w:val="none"/>
                    </w:rPr>
                    <w:t>博罗县</w:t>
                  </w:r>
                  <w:r>
                    <w:rPr>
                      <w:color w:val="auto"/>
                      <w:sz w:val="18"/>
                      <w:szCs w:val="18"/>
                      <w:highlight w:val="none"/>
                    </w:rPr>
                    <w:t>园洲镇第</w:t>
                  </w:r>
                  <w:r>
                    <w:rPr>
                      <w:rFonts w:hint="eastAsia"/>
                      <w:color w:val="auto"/>
                      <w:sz w:val="18"/>
                      <w:szCs w:val="18"/>
                      <w:highlight w:val="none"/>
                    </w:rPr>
                    <w:t>五生活</w:t>
                  </w:r>
                  <w:r>
                    <w:rPr>
                      <w:color w:val="auto"/>
                      <w:sz w:val="18"/>
                      <w:szCs w:val="18"/>
                      <w:highlight w:val="none"/>
                    </w:rPr>
                    <w:t>污水处理厂进行深度处理，</w:t>
                  </w:r>
                  <w:r>
                    <w:rPr>
                      <w:bCs/>
                      <w:color w:val="auto"/>
                      <w:sz w:val="18"/>
                      <w:szCs w:val="18"/>
                      <w:highlight w:val="none"/>
                    </w:rPr>
                    <w:t>不会对东江水质、水环境安全构成影响</w:t>
                  </w:r>
                  <w:r>
                    <w:rPr>
                      <w:rFonts w:hint="eastAsia"/>
                      <w:color w:val="auto"/>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gridSpan w:val="2"/>
                  <w:vMerge w:val="continue"/>
                  <w:vAlign w:val="center"/>
                </w:tcPr>
                <w:p>
                  <w:pPr>
                    <w:jc w:val="center"/>
                    <w:rPr>
                      <w:color w:val="auto"/>
                      <w:sz w:val="18"/>
                      <w:szCs w:val="18"/>
                      <w:highlight w:val="none"/>
                    </w:rPr>
                  </w:pPr>
                </w:p>
              </w:tc>
              <w:tc>
                <w:tcPr>
                  <w:tcW w:w="0" w:type="auto"/>
                  <w:vAlign w:val="center"/>
                </w:tcPr>
                <w:p>
                  <w:pPr>
                    <w:pStyle w:val="119"/>
                    <w:ind w:firstLine="0" w:firstLineChars="0"/>
                    <w:rPr>
                      <w:rFonts w:cs="Times New Roman"/>
                      <w:color w:val="auto"/>
                      <w:sz w:val="18"/>
                      <w:szCs w:val="18"/>
                      <w:highlight w:val="none"/>
                      <w:lang w:eastAsia="zh-CN"/>
                    </w:rPr>
                  </w:pPr>
                  <w:r>
                    <w:rPr>
                      <w:rFonts w:hint="eastAsia" w:cs="Times New Roman"/>
                      <w:color w:val="auto"/>
                      <w:sz w:val="18"/>
                      <w:szCs w:val="18"/>
                      <w:highlight w:val="none"/>
                      <w:lang w:eastAsia="zh-CN"/>
                    </w:rPr>
                    <w:t>3.3.【水/综合类】统筹规划农村环境基础设施建设，</w:t>
                  </w:r>
                  <w:r>
                    <w:rPr>
                      <w:rFonts w:hint="eastAsia" w:cs="Times New Roman"/>
                      <w:color w:val="auto"/>
                      <w:sz w:val="18"/>
                      <w:szCs w:val="18"/>
                      <w:highlight w:val="none"/>
                    </w:rPr>
                    <w:t>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p>
              </w:tc>
              <w:tc>
                <w:tcPr>
                  <w:tcW w:w="0" w:type="auto"/>
                  <w:vAlign w:val="center"/>
                </w:tcPr>
                <w:p>
                  <w:pPr>
                    <w:rPr>
                      <w:color w:val="auto"/>
                      <w:sz w:val="18"/>
                      <w:szCs w:val="18"/>
                      <w:highlight w:val="none"/>
                    </w:rPr>
                  </w:pPr>
                  <w:r>
                    <w:rPr>
                      <w:color w:val="auto"/>
                      <w:sz w:val="18"/>
                      <w:szCs w:val="18"/>
                      <w:highlight w:val="none"/>
                    </w:rPr>
                    <w:t>3-3. 项目实施雨污分流，且管网建成纳入污水处理厂处理后方进行生产工作，生活垃圾、一般固体废物、危险废物分开收集处理。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gridSpan w:val="2"/>
                  <w:vMerge w:val="continue"/>
                  <w:vAlign w:val="center"/>
                </w:tcPr>
                <w:p>
                  <w:pPr>
                    <w:jc w:val="center"/>
                    <w:rPr>
                      <w:color w:val="auto"/>
                      <w:sz w:val="18"/>
                      <w:szCs w:val="18"/>
                      <w:highlight w:val="none"/>
                    </w:rPr>
                  </w:pPr>
                </w:p>
              </w:tc>
              <w:tc>
                <w:tcPr>
                  <w:tcW w:w="0" w:type="auto"/>
                  <w:vAlign w:val="center"/>
                </w:tcPr>
                <w:p>
                  <w:pPr>
                    <w:pStyle w:val="119"/>
                    <w:ind w:firstLine="0" w:firstLineChars="0"/>
                    <w:rPr>
                      <w:rFonts w:cs="Times New Roman"/>
                      <w:color w:val="auto"/>
                      <w:sz w:val="18"/>
                      <w:szCs w:val="18"/>
                      <w:highlight w:val="none"/>
                    </w:rPr>
                  </w:pPr>
                  <w:r>
                    <w:rPr>
                      <w:rFonts w:hint="eastAsia" w:cs="Times New Roman"/>
                      <w:color w:val="auto"/>
                      <w:sz w:val="18"/>
                      <w:szCs w:val="18"/>
                      <w:highlight w:val="none"/>
                    </w:rPr>
                    <w:t>3-4.【水/综合类】强化农业面源污染治理，控制农药化肥使用量。</w:t>
                  </w:r>
                </w:p>
              </w:tc>
              <w:tc>
                <w:tcPr>
                  <w:tcW w:w="0" w:type="auto"/>
                  <w:vAlign w:val="center"/>
                </w:tcPr>
                <w:p>
                  <w:pPr>
                    <w:rPr>
                      <w:color w:val="auto"/>
                      <w:sz w:val="18"/>
                      <w:szCs w:val="18"/>
                      <w:highlight w:val="none"/>
                    </w:rPr>
                  </w:pPr>
                  <w:r>
                    <w:rPr>
                      <w:color w:val="auto"/>
                      <w:sz w:val="18"/>
                      <w:szCs w:val="18"/>
                      <w:highlight w:val="none"/>
                    </w:rPr>
                    <w:t>3-4. 项目不</w:t>
                  </w:r>
                  <w:r>
                    <w:rPr>
                      <w:rFonts w:hint="eastAsia"/>
                      <w:color w:val="auto"/>
                      <w:sz w:val="18"/>
                      <w:szCs w:val="18"/>
                      <w:highlight w:val="none"/>
                    </w:rPr>
                    <w:t>涉及农业源污染</w:t>
                  </w:r>
                  <w:r>
                    <w:rPr>
                      <w:color w:val="auto"/>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gridSpan w:val="2"/>
                  <w:vMerge w:val="continue"/>
                  <w:vAlign w:val="center"/>
                </w:tcPr>
                <w:p>
                  <w:pPr>
                    <w:jc w:val="center"/>
                    <w:rPr>
                      <w:color w:val="auto"/>
                      <w:sz w:val="18"/>
                      <w:szCs w:val="18"/>
                      <w:highlight w:val="none"/>
                    </w:rPr>
                  </w:pPr>
                </w:p>
              </w:tc>
              <w:tc>
                <w:tcPr>
                  <w:tcW w:w="0" w:type="auto"/>
                  <w:vAlign w:val="center"/>
                </w:tcPr>
                <w:p>
                  <w:pPr>
                    <w:pStyle w:val="119"/>
                    <w:ind w:firstLine="0" w:firstLineChars="0"/>
                    <w:rPr>
                      <w:rFonts w:cs="Times New Roman"/>
                      <w:color w:val="auto"/>
                      <w:sz w:val="18"/>
                      <w:szCs w:val="18"/>
                      <w:highlight w:val="none"/>
                    </w:rPr>
                  </w:pPr>
                  <w:r>
                    <w:rPr>
                      <w:rFonts w:hint="eastAsia" w:cs="Times New Roman"/>
                      <w:color w:val="auto"/>
                      <w:sz w:val="18"/>
                      <w:szCs w:val="18"/>
                      <w:highlight w:val="none"/>
                    </w:rPr>
                    <w:t>3-5.【大气/限制类】重点行业新建涉VOCs排放的工业企业原则上应入园进区。新建项目VOCs实施倍量替代。</w:t>
                  </w:r>
                </w:p>
              </w:tc>
              <w:tc>
                <w:tcPr>
                  <w:tcW w:w="0" w:type="auto"/>
                  <w:vAlign w:val="center"/>
                </w:tcPr>
                <w:p>
                  <w:pPr>
                    <w:rPr>
                      <w:color w:val="auto"/>
                      <w:sz w:val="18"/>
                      <w:szCs w:val="18"/>
                      <w:highlight w:val="none"/>
                    </w:rPr>
                  </w:pPr>
                  <w:r>
                    <w:rPr>
                      <w:color w:val="auto"/>
                      <w:sz w:val="18"/>
                      <w:szCs w:val="18"/>
                      <w:highlight w:val="none"/>
                    </w:rPr>
                    <w:t xml:space="preserve">3-5. </w:t>
                  </w:r>
                  <w:r>
                    <w:rPr>
                      <w:rFonts w:hint="eastAsia"/>
                      <w:color w:val="auto"/>
                      <w:sz w:val="18"/>
                      <w:szCs w:val="18"/>
                      <w:highlight w:val="none"/>
                    </w:rPr>
                    <w:t>项目不属于重点行业，</w:t>
                  </w:r>
                  <w:r>
                    <w:rPr>
                      <w:color w:val="auto"/>
                      <w:sz w:val="18"/>
                      <w:szCs w:val="18"/>
                      <w:highlight w:val="none"/>
                    </w:rPr>
                    <w:t>本项目VOCs由惠州市生态环境局博罗分局分配。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gridSpan w:val="2"/>
                  <w:vMerge w:val="continue"/>
                  <w:vAlign w:val="center"/>
                </w:tcPr>
                <w:p>
                  <w:pPr>
                    <w:jc w:val="center"/>
                    <w:rPr>
                      <w:color w:val="auto"/>
                      <w:sz w:val="18"/>
                      <w:szCs w:val="18"/>
                      <w:highlight w:val="none"/>
                    </w:rPr>
                  </w:pPr>
                </w:p>
              </w:tc>
              <w:tc>
                <w:tcPr>
                  <w:tcW w:w="0" w:type="auto"/>
                  <w:vAlign w:val="center"/>
                </w:tcPr>
                <w:p>
                  <w:pPr>
                    <w:pStyle w:val="119"/>
                    <w:ind w:firstLine="0" w:firstLineChars="0"/>
                    <w:rPr>
                      <w:rFonts w:cs="Times New Roman"/>
                      <w:color w:val="auto"/>
                      <w:sz w:val="18"/>
                      <w:szCs w:val="18"/>
                      <w:highlight w:val="none"/>
                    </w:rPr>
                  </w:pPr>
                  <w:r>
                    <w:rPr>
                      <w:rFonts w:hint="eastAsia" w:cs="Times New Roman"/>
                      <w:color w:val="auto"/>
                      <w:sz w:val="18"/>
                      <w:szCs w:val="18"/>
                      <w:highlight w:val="none"/>
                    </w:rPr>
                    <w:t>3-6.【土壤/禁止类】禁止向农用地排放重金属或者其他有毒有害物质含量超标的污水、污泥，以及可能造成土壤污染的清淤底泥、尾矿、矿渣等。</w:t>
                  </w:r>
                </w:p>
              </w:tc>
              <w:tc>
                <w:tcPr>
                  <w:tcW w:w="0" w:type="auto"/>
                  <w:vAlign w:val="center"/>
                </w:tcPr>
                <w:p>
                  <w:pPr>
                    <w:rPr>
                      <w:color w:val="auto"/>
                      <w:sz w:val="18"/>
                      <w:szCs w:val="18"/>
                      <w:highlight w:val="none"/>
                    </w:rPr>
                  </w:pPr>
                  <w:r>
                    <w:rPr>
                      <w:color w:val="auto"/>
                      <w:sz w:val="18"/>
                      <w:szCs w:val="18"/>
                      <w:highlight w:val="none"/>
                    </w:rPr>
                    <w:t>3.6 本项目不排放</w:t>
                  </w:r>
                  <w:r>
                    <w:rPr>
                      <w:rFonts w:hint="eastAsia"/>
                      <w:color w:val="auto"/>
                      <w:sz w:val="18"/>
                      <w:szCs w:val="18"/>
                      <w:highlight w:val="none"/>
                    </w:rPr>
                    <w:t>重金属或者其他有毒有害物质含量超标的污水、污泥，以及可能造成土壤污染的清淤底泥、尾矿、矿渣等</w:t>
                  </w:r>
                  <w:r>
                    <w:rPr>
                      <w:color w:val="auto"/>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gridSpan w:val="2"/>
                  <w:vMerge w:val="restart"/>
                  <w:vAlign w:val="center"/>
                </w:tcPr>
                <w:p>
                  <w:pPr>
                    <w:jc w:val="center"/>
                    <w:rPr>
                      <w:color w:val="auto"/>
                      <w:sz w:val="18"/>
                      <w:szCs w:val="18"/>
                      <w:highlight w:val="none"/>
                    </w:rPr>
                  </w:pPr>
                  <w:r>
                    <w:rPr>
                      <w:color w:val="auto"/>
                      <w:sz w:val="18"/>
                      <w:szCs w:val="18"/>
                      <w:highlight w:val="none"/>
                    </w:rPr>
                    <w:t>环境风险防控</w:t>
                  </w:r>
                </w:p>
              </w:tc>
              <w:tc>
                <w:tcPr>
                  <w:tcW w:w="0" w:type="auto"/>
                  <w:vAlign w:val="center"/>
                </w:tcPr>
                <w:p>
                  <w:pPr>
                    <w:jc w:val="left"/>
                    <w:rPr>
                      <w:color w:val="auto"/>
                      <w:sz w:val="18"/>
                      <w:szCs w:val="18"/>
                      <w:highlight w:val="none"/>
                    </w:rPr>
                  </w:pPr>
                  <w:r>
                    <w:rPr>
                      <w:rFonts w:hint="eastAsia"/>
                      <w:color w:val="auto"/>
                      <w:sz w:val="18"/>
                      <w:szCs w:val="18"/>
                      <w:highlight w:val="none"/>
                    </w:rPr>
                    <w:t>4-1.【水/综合类】城镇污水处理厂、涉水企业应采取有效措施，防止事故废水直接排入水体。</w:t>
                  </w:r>
                </w:p>
              </w:tc>
              <w:tc>
                <w:tcPr>
                  <w:tcW w:w="0" w:type="auto"/>
                  <w:vAlign w:val="center"/>
                </w:tcPr>
                <w:p>
                  <w:pPr>
                    <w:rPr>
                      <w:color w:val="auto"/>
                      <w:sz w:val="18"/>
                      <w:szCs w:val="18"/>
                      <w:highlight w:val="none"/>
                    </w:rPr>
                  </w:pPr>
                  <w:r>
                    <w:rPr>
                      <w:color w:val="auto"/>
                      <w:sz w:val="18"/>
                      <w:szCs w:val="18"/>
                      <w:highlight w:val="none"/>
                    </w:rPr>
                    <w:t>4-1. 项目不属于城镇污水处理厂。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0" w:type="auto"/>
                  <w:gridSpan w:val="2"/>
                  <w:vMerge w:val="continue"/>
                  <w:vAlign w:val="center"/>
                </w:tcPr>
                <w:p>
                  <w:pPr>
                    <w:jc w:val="center"/>
                    <w:rPr>
                      <w:color w:val="auto"/>
                      <w:sz w:val="18"/>
                      <w:szCs w:val="18"/>
                      <w:highlight w:val="none"/>
                    </w:rPr>
                  </w:pPr>
                </w:p>
              </w:tc>
              <w:tc>
                <w:tcPr>
                  <w:tcW w:w="0" w:type="auto"/>
                  <w:vAlign w:val="center"/>
                </w:tcPr>
                <w:p>
                  <w:pPr>
                    <w:jc w:val="left"/>
                    <w:rPr>
                      <w:color w:val="auto"/>
                      <w:sz w:val="18"/>
                      <w:szCs w:val="18"/>
                      <w:highlight w:val="none"/>
                    </w:rPr>
                  </w:pPr>
                  <w:r>
                    <w:rPr>
                      <w:rFonts w:hint="eastAsia"/>
                      <w:color w:val="auto"/>
                      <w:sz w:val="18"/>
                      <w:szCs w:val="18"/>
                      <w:highlight w:val="none"/>
                    </w:rPr>
                    <w:t>4-2.【水/综合类】加强饮用水水源保护区内环境风险排查，开展风险评估及水环境预警监测。</w:t>
                  </w:r>
                </w:p>
              </w:tc>
              <w:tc>
                <w:tcPr>
                  <w:tcW w:w="0" w:type="auto"/>
                  <w:vAlign w:val="center"/>
                </w:tcPr>
                <w:p>
                  <w:pPr>
                    <w:rPr>
                      <w:color w:val="auto"/>
                      <w:sz w:val="18"/>
                      <w:szCs w:val="18"/>
                      <w:highlight w:val="none"/>
                    </w:rPr>
                  </w:pPr>
                  <w:r>
                    <w:rPr>
                      <w:color w:val="auto"/>
                      <w:sz w:val="18"/>
                      <w:szCs w:val="18"/>
                      <w:highlight w:val="none"/>
                    </w:rPr>
                    <w:t>4-2. 项目不在饮用水水源保护区内。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gridSpan w:val="2"/>
                  <w:vMerge w:val="continue"/>
                  <w:vAlign w:val="center"/>
                </w:tcPr>
                <w:p>
                  <w:pPr>
                    <w:jc w:val="center"/>
                    <w:rPr>
                      <w:color w:val="auto"/>
                      <w:sz w:val="18"/>
                      <w:szCs w:val="18"/>
                      <w:highlight w:val="none"/>
                    </w:rPr>
                  </w:pPr>
                </w:p>
              </w:tc>
              <w:tc>
                <w:tcPr>
                  <w:tcW w:w="0" w:type="auto"/>
                  <w:vAlign w:val="center"/>
                </w:tcPr>
                <w:p>
                  <w:pPr>
                    <w:jc w:val="left"/>
                    <w:rPr>
                      <w:color w:val="auto"/>
                      <w:sz w:val="18"/>
                      <w:szCs w:val="18"/>
                      <w:highlight w:val="none"/>
                    </w:rPr>
                  </w:pPr>
                  <w:r>
                    <w:rPr>
                      <w:rFonts w:hint="eastAsia"/>
                      <w:color w:val="auto"/>
                      <w:sz w:val="18"/>
                      <w:szCs w:val="18"/>
                      <w:highlight w:val="none"/>
                    </w:rPr>
                    <w:t>4-3.【大气/综合类】建立环境监测预警制度，加强污染天气预警预报；生产、储存和使用有毒有害气体的企业（有毒有害气体的企业指列入《有毒有害大气污染物名录》的、以及其他对人体健康和生态环境造成危害的气体），需建立有毒有害气体环境风险预警体系。</w:t>
                  </w:r>
                </w:p>
              </w:tc>
              <w:tc>
                <w:tcPr>
                  <w:tcW w:w="0" w:type="auto"/>
                  <w:vAlign w:val="center"/>
                </w:tcPr>
                <w:p>
                  <w:pPr>
                    <w:rPr>
                      <w:color w:val="auto"/>
                      <w:sz w:val="18"/>
                      <w:szCs w:val="18"/>
                      <w:highlight w:val="none"/>
                    </w:rPr>
                  </w:pPr>
                  <w:r>
                    <w:rPr>
                      <w:color w:val="auto"/>
                      <w:sz w:val="18"/>
                      <w:szCs w:val="18"/>
                      <w:highlight w:val="none"/>
                    </w:rPr>
                    <w:t xml:space="preserve">4-3. </w:t>
                  </w:r>
                  <w:r>
                    <w:rPr>
                      <w:rFonts w:hint="eastAsia"/>
                      <w:color w:val="auto"/>
                      <w:sz w:val="18"/>
                      <w:szCs w:val="18"/>
                      <w:highlight w:val="none"/>
                    </w:rPr>
                    <w:t>项目不属于生产、储存和使用有毒有害气体的企业。</w:t>
                  </w:r>
                </w:p>
              </w:tc>
            </w:tr>
          </w:tbl>
          <w:p>
            <w:pPr>
              <w:adjustRightInd w:val="0"/>
              <w:snapToGrid w:val="0"/>
              <w:spacing w:before="120" w:beforeLines="50" w:line="360" w:lineRule="auto"/>
              <w:ind w:firstLine="422" w:firstLineChars="200"/>
              <w:textAlignment w:val="baseline"/>
              <w:rPr>
                <w:b/>
                <w:iCs/>
                <w:color w:val="auto"/>
                <w:highlight w:val="none"/>
              </w:rPr>
            </w:pPr>
            <w:r>
              <w:rPr>
                <w:b/>
                <w:iCs/>
                <w:color w:val="auto"/>
                <w:highlight w:val="none"/>
              </w:rPr>
              <w:t>2、产业政策相符性</w:t>
            </w:r>
          </w:p>
          <w:p>
            <w:pPr>
              <w:widowControl/>
              <w:adjustRightInd w:val="0"/>
              <w:snapToGrid w:val="0"/>
              <w:spacing w:line="360" w:lineRule="auto"/>
              <w:ind w:firstLine="420" w:firstLineChars="200"/>
              <w:rPr>
                <w:color w:val="auto"/>
                <w:highlight w:val="none"/>
              </w:rPr>
            </w:pPr>
            <w:r>
              <w:rPr>
                <w:color w:val="auto"/>
                <w:highlight w:val="none"/>
              </w:rPr>
              <w:t>本项目属于C</w:t>
            </w:r>
            <w:r>
              <w:rPr>
                <w:rFonts w:hint="eastAsia"/>
                <w:color w:val="auto"/>
                <w:highlight w:val="none"/>
              </w:rPr>
              <w:t>2916运动场地用塑胶制造</w:t>
            </w:r>
            <w:r>
              <w:rPr>
                <w:color w:val="auto"/>
                <w:highlight w:val="none"/>
              </w:rPr>
              <w:t>，根据《产业结构调整指导目录（2019年本）》（中华人民共和国国家发展和改革委员会令第29号）以及《国家发展改革委关于修改&lt;产业结构调整指导目录（2019年本）&gt;的决定》（中华人民共和国国家发展和改革委员会令第49号），项目不属于明文规定的限制类或淘汰类项目，生产过程中不涉及禁止的项目、工艺和设备；根据《市场准入负面清单（2022年版）》（发改体改规〔2022〕397号），项目不属于所列的禁止准入事项和许可准入事项。因此，本项目符合国家和地方的有关产业政策规定。</w:t>
            </w:r>
          </w:p>
          <w:p>
            <w:pPr>
              <w:widowControl/>
              <w:adjustRightInd w:val="0"/>
              <w:snapToGrid w:val="0"/>
              <w:spacing w:line="360" w:lineRule="auto"/>
              <w:ind w:firstLine="422" w:firstLineChars="200"/>
              <w:rPr>
                <w:b/>
                <w:color w:val="auto"/>
                <w:highlight w:val="none"/>
              </w:rPr>
            </w:pPr>
            <w:r>
              <w:rPr>
                <w:b/>
                <w:color w:val="auto"/>
                <w:highlight w:val="none"/>
              </w:rPr>
              <w:t>3、</w:t>
            </w:r>
            <w:r>
              <w:rPr>
                <w:rFonts w:hint="eastAsia"/>
                <w:b/>
                <w:color w:val="auto"/>
                <w:highlight w:val="none"/>
              </w:rPr>
              <w:t>用地性质相符</w:t>
            </w:r>
            <w:r>
              <w:rPr>
                <w:b/>
                <w:color w:val="auto"/>
                <w:highlight w:val="none"/>
              </w:rPr>
              <w:t>性</w:t>
            </w:r>
          </w:p>
          <w:p>
            <w:pPr>
              <w:widowControl/>
              <w:adjustRightInd w:val="0"/>
              <w:snapToGrid w:val="0"/>
              <w:spacing w:line="360" w:lineRule="auto"/>
              <w:ind w:firstLine="420" w:firstLineChars="200"/>
              <w:rPr>
                <w:color w:val="auto"/>
                <w:highlight w:val="none"/>
              </w:rPr>
            </w:pPr>
            <w:r>
              <w:rPr>
                <w:color w:val="auto"/>
                <w:highlight w:val="none"/>
              </w:rPr>
              <w:t>项目位于</w:t>
            </w:r>
            <w:r>
              <w:rPr>
                <w:color w:val="0000FF"/>
                <w:highlight w:val="none"/>
              </w:rPr>
              <w:t>惠州市</w:t>
            </w:r>
            <w:r>
              <w:rPr>
                <w:rFonts w:hint="eastAsia"/>
                <w:color w:val="0000FF"/>
                <w:highlight w:val="none"/>
              </w:rPr>
              <w:t>博罗县园洲镇田头村红边田（土名）</w:t>
            </w:r>
            <w:r>
              <w:rPr>
                <w:color w:val="auto"/>
                <w:highlight w:val="none"/>
              </w:rPr>
              <w:t>，租用已建成厂房进行生产，根据</w:t>
            </w:r>
            <w:r>
              <w:rPr>
                <w:rFonts w:hint="eastAsia"/>
                <w:color w:val="auto"/>
                <w:highlight w:val="none"/>
                <w:lang w:val="en-US" w:eastAsia="zh-CN"/>
              </w:rPr>
              <w:t>项目所在地《国土证》（附件2）、</w:t>
            </w:r>
            <w:r>
              <w:rPr>
                <w:rFonts w:hint="eastAsia"/>
                <w:color w:val="auto"/>
                <w:highlight w:val="none"/>
              </w:rPr>
              <w:t>《</w:t>
            </w:r>
            <w:r>
              <w:rPr>
                <w:bCs/>
                <w:color w:val="auto"/>
                <w:highlight w:val="none"/>
              </w:rPr>
              <w:t>园洲镇</w:t>
            </w:r>
            <w:r>
              <w:rPr>
                <w:rFonts w:hint="eastAsia"/>
                <w:bCs/>
                <w:color w:val="auto"/>
                <w:highlight w:val="none"/>
              </w:rPr>
              <w:t>土地利用总体规划图</w:t>
            </w:r>
            <w:r>
              <w:rPr>
                <w:color w:val="auto"/>
                <w:highlight w:val="none"/>
              </w:rPr>
              <w:t>》</w:t>
            </w:r>
            <w:r>
              <w:rPr>
                <w:rFonts w:hint="eastAsia"/>
                <w:color w:val="auto"/>
                <w:highlight w:val="none"/>
              </w:rPr>
              <w:t>（见附图17）</w:t>
            </w:r>
            <w:r>
              <w:rPr>
                <w:color w:val="auto"/>
                <w:highlight w:val="none"/>
              </w:rPr>
              <w:t>，项目用地为</w:t>
            </w:r>
            <w:r>
              <w:rPr>
                <w:rFonts w:hint="eastAsia"/>
                <w:color w:val="auto"/>
                <w:highlight w:val="none"/>
              </w:rPr>
              <w:t>工业用地</w:t>
            </w:r>
            <w:r>
              <w:rPr>
                <w:color w:val="auto"/>
                <w:highlight w:val="none"/>
              </w:rPr>
              <w:t>，故项目选址是合理的。</w:t>
            </w:r>
          </w:p>
          <w:p>
            <w:pPr>
              <w:numPr>
                <w:ilvl w:val="0"/>
                <w:numId w:val="3"/>
              </w:numPr>
              <w:snapToGrid w:val="0"/>
              <w:spacing w:line="360" w:lineRule="auto"/>
              <w:ind w:firstLine="422" w:firstLineChars="200"/>
              <w:rPr>
                <w:b/>
                <w:color w:val="auto"/>
                <w:highlight w:val="none"/>
              </w:rPr>
            </w:pPr>
            <w:r>
              <w:rPr>
                <w:b/>
                <w:color w:val="auto"/>
                <w:highlight w:val="none"/>
              </w:rPr>
              <w:t>环境功能区划符合性分析</w:t>
            </w:r>
          </w:p>
          <w:p>
            <w:pPr>
              <w:pStyle w:val="119"/>
              <w:spacing w:line="360" w:lineRule="auto"/>
              <w:ind w:firstLine="420"/>
              <w:rPr>
                <w:rFonts w:cs="Times New Roman"/>
                <w:bCs/>
                <w:color w:val="auto"/>
                <w:highlight w:val="none"/>
                <w:lang w:eastAsia="zh-CN"/>
              </w:rPr>
            </w:pPr>
            <w:r>
              <w:rPr>
                <w:rFonts w:hint="eastAsia" w:cs="Times New Roman"/>
                <w:bCs/>
                <w:color w:val="auto"/>
                <w:highlight w:val="none"/>
                <w:lang w:eastAsia="zh-CN"/>
              </w:rPr>
              <w:t>根据《广东省人民政府关于调整惠州市饮用水源保护区划调整方案》（粤府函[2014]188 号）、《广东省人民政府关于调整惠州市部分饮用水水源保护区的批复》（粤府函〔2019〕270 号）及《惠州市乡镇级及以下集中式饮用水水源保护区划定（调整）方案》（惠府函〔2020〕317 号），项目所在地不属于饮用水源保护区。</w:t>
            </w:r>
          </w:p>
          <w:p>
            <w:pPr>
              <w:pStyle w:val="119"/>
              <w:spacing w:line="360" w:lineRule="auto"/>
              <w:ind w:firstLine="420"/>
              <w:rPr>
                <w:rFonts w:cs="Times New Roman"/>
                <w:bCs/>
                <w:color w:val="auto"/>
                <w:highlight w:val="none"/>
                <w:lang w:eastAsia="zh-CN"/>
              </w:rPr>
            </w:pPr>
            <w:r>
              <w:rPr>
                <w:rFonts w:hint="eastAsia" w:cs="Times New Roman"/>
                <w:bCs/>
                <w:color w:val="auto"/>
                <w:highlight w:val="none"/>
                <w:lang w:eastAsia="zh-CN"/>
              </w:rPr>
              <w:t>根据《博罗县 2022 年水污染防治攻坚战实施方案》中 2022 年水质攻坚目标表，园洲镇中心排渠 2022 年水质目标为Ⅴ类，水环境质量执行《地表水环境质量标准》（GB3838-2002）Ⅴ类标准。</w:t>
            </w:r>
          </w:p>
          <w:p>
            <w:pPr>
              <w:pStyle w:val="119"/>
              <w:spacing w:line="360" w:lineRule="auto"/>
              <w:ind w:firstLine="420"/>
              <w:rPr>
                <w:rFonts w:cs="Times New Roman"/>
                <w:bCs/>
                <w:color w:val="auto"/>
                <w:highlight w:val="none"/>
                <w:lang w:eastAsia="zh-CN"/>
              </w:rPr>
            </w:pPr>
            <w:r>
              <w:rPr>
                <w:rFonts w:hint="eastAsia" w:cs="Times New Roman"/>
                <w:bCs/>
                <w:color w:val="auto"/>
                <w:highlight w:val="none"/>
                <w:lang w:eastAsia="zh-CN"/>
              </w:rPr>
              <w:t>根据《惠州市环境空气质量功能区划分方案》（2021 年修订）（惠市环[2021]1号），本项目所在地属环境空气质量功能区的二类区，环境空气质量应执行《环境空气质量标准》（GB3095-2012）及其修改单中规定的二级标准。</w:t>
            </w:r>
          </w:p>
          <w:p>
            <w:pPr>
              <w:pStyle w:val="119"/>
              <w:spacing w:line="360" w:lineRule="auto"/>
              <w:ind w:firstLine="420"/>
              <w:rPr>
                <w:rFonts w:cs="Times New Roman"/>
                <w:bCs/>
                <w:color w:val="auto"/>
                <w:highlight w:val="none"/>
                <w:lang w:eastAsia="zh-CN"/>
              </w:rPr>
            </w:pPr>
            <w:r>
              <w:rPr>
                <w:rFonts w:hint="eastAsia" w:cs="Times New Roman"/>
                <w:bCs/>
                <w:color w:val="auto"/>
                <w:highlight w:val="none"/>
                <w:lang w:eastAsia="zh-CN"/>
              </w:rPr>
              <w:t>根据《声环境功能区划分技术规范》（GB/T15190-2014）及《声环境质量标准》（GB3096-2008），项目所在地声环境功能区规划为2类区，声环境良好。</w:t>
            </w:r>
          </w:p>
          <w:p>
            <w:pPr>
              <w:pStyle w:val="119"/>
              <w:spacing w:line="360" w:lineRule="auto"/>
              <w:ind w:firstLine="420"/>
              <w:rPr>
                <w:rFonts w:cs="Times New Roman"/>
                <w:bCs/>
                <w:color w:val="auto"/>
                <w:highlight w:val="none"/>
                <w:lang w:eastAsia="zh-CN"/>
              </w:rPr>
            </w:pPr>
            <w:r>
              <w:rPr>
                <w:rFonts w:hint="eastAsia" w:cs="Times New Roman"/>
                <w:bCs/>
                <w:color w:val="auto"/>
                <w:highlight w:val="none"/>
                <w:lang w:eastAsia="zh-CN"/>
              </w:rPr>
              <w:t>综上，项目与所在区域环境功能区划相符。</w:t>
            </w:r>
          </w:p>
          <w:p>
            <w:pPr>
              <w:pStyle w:val="119"/>
              <w:spacing w:line="360" w:lineRule="auto"/>
              <w:ind w:firstLine="422"/>
              <w:jc w:val="left"/>
              <w:rPr>
                <w:rFonts w:cs="Times New Roman"/>
                <w:b/>
                <w:color w:val="auto"/>
                <w:kern w:val="2"/>
                <w:highlight w:val="none"/>
                <w:lang w:eastAsia="zh-CN"/>
              </w:rPr>
            </w:pPr>
            <w:r>
              <w:rPr>
                <w:rFonts w:hint="eastAsia" w:cs="Times New Roman"/>
                <w:b/>
                <w:color w:val="auto"/>
                <w:kern w:val="2"/>
                <w:highlight w:val="none"/>
                <w:lang w:eastAsia="zh-CN"/>
              </w:rPr>
              <w:t>5、</w:t>
            </w:r>
            <w:r>
              <w:rPr>
                <w:rFonts w:cs="Times New Roman"/>
                <w:b/>
                <w:color w:val="auto"/>
                <w:kern w:val="2"/>
                <w:highlight w:val="none"/>
                <w:lang w:eastAsia="zh-CN"/>
              </w:rPr>
              <w:t>《广东省人民政府关于严格限制东江流域水污染项目建设进一步做好东江水质保护工作的通知》（粤府函〔2011〕339号）及其补充通知（粤府函〔2013〕231号）相符性分析</w:t>
            </w:r>
          </w:p>
          <w:p>
            <w:pPr>
              <w:pStyle w:val="119"/>
              <w:spacing w:line="360" w:lineRule="auto"/>
              <w:ind w:firstLine="420"/>
              <w:rPr>
                <w:rFonts w:cs="Times New Roman"/>
                <w:bCs/>
                <w:color w:val="auto"/>
                <w:highlight w:val="none"/>
                <w:lang w:eastAsia="zh-CN"/>
              </w:rPr>
            </w:pPr>
            <w:r>
              <w:rPr>
                <w:rFonts w:cs="Times New Roman"/>
                <w:bCs/>
                <w:color w:val="auto"/>
                <w:highlight w:val="none"/>
                <w:lang w:eastAsia="zh-CN"/>
              </w:rPr>
              <w:t>根据《广东省人民政府关于严格限制东江流域水污染项目建设进一步做好东江水质保护工作的通知》（粤府函〔2011〕339号）及其补充通知（粤府函〔2013〕231号）的相符性分析中有关规定：</w:t>
            </w:r>
          </w:p>
          <w:p>
            <w:pPr>
              <w:pStyle w:val="119"/>
              <w:spacing w:line="360" w:lineRule="auto"/>
              <w:ind w:firstLine="420"/>
              <w:rPr>
                <w:rFonts w:cs="Times New Roman"/>
                <w:bCs/>
                <w:color w:val="auto"/>
                <w:highlight w:val="none"/>
                <w:lang w:eastAsia="zh-CN"/>
              </w:rPr>
            </w:pPr>
            <w:r>
              <w:rPr>
                <w:rFonts w:ascii="宋体" w:hAnsi="宋体" w:cs="Times New Roman"/>
                <w:bCs/>
                <w:color w:val="auto"/>
                <w:highlight w:val="none"/>
                <w:lang w:eastAsia="zh-CN"/>
              </w:rPr>
              <w:t>①</w:t>
            </w:r>
            <w:r>
              <w:rPr>
                <w:rFonts w:cs="Times New Roman"/>
                <w:bCs/>
                <w:color w:val="auto"/>
                <w:highlight w:val="none"/>
                <w:lang w:eastAsia="zh-CN"/>
              </w:rPr>
              <w:t>严格控制重污染项目建设：严格执行相关规定，在东江流域内严格控制建设造纸、制革、味精、电镀、漂染、印染、炼油、发酵酿造、非放射性矿产冶炼以及使用含汞、砷、镉、铬、铅原料的项目，禁止建设农药、铬盐、钛白粉、氟制冷剂生产项目，禁止建设稀土分离、炼砒、炼铍、纸浆制造业、氰化法提炼产品以及开采、冶炼放射性矿产的项目。</w:t>
            </w:r>
          </w:p>
          <w:p>
            <w:pPr>
              <w:pStyle w:val="119"/>
              <w:spacing w:line="360" w:lineRule="auto"/>
              <w:ind w:firstLine="420"/>
              <w:rPr>
                <w:rFonts w:cs="Times New Roman"/>
                <w:bCs/>
                <w:color w:val="auto"/>
                <w:highlight w:val="none"/>
                <w:lang w:eastAsia="zh-CN"/>
              </w:rPr>
            </w:pPr>
            <w:r>
              <w:rPr>
                <w:rFonts w:ascii="宋体" w:hAnsi="宋体" w:cs="Times New Roman"/>
                <w:bCs/>
                <w:color w:val="auto"/>
                <w:highlight w:val="none"/>
                <w:lang w:eastAsia="zh-CN"/>
              </w:rPr>
              <w:t>②</w:t>
            </w:r>
            <w:r>
              <w:rPr>
                <w:rFonts w:cs="Times New Roman"/>
                <w:bCs/>
                <w:color w:val="auto"/>
                <w:highlight w:val="none"/>
                <w:lang w:eastAsia="zh-CN"/>
              </w:rPr>
              <w:t>强化涉重金属污染项目管理：东江流域内停止审批向河流排放汞、砷、镉、铬、铅等重金属污染物和持久性有机污染物的项目。</w:t>
            </w:r>
          </w:p>
          <w:p>
            <w:pPr>
              <w:pStyle w:val="119"/>
              <w:spacing w:line="360" w:lineRule="auto"/>
              <w:ind w:firstLine="420"/>
              <w:rPr>
                <w:rFonts w:cs="Times New Roman"/>
                <w:bCs/>
                <w:color w:val="auto"/>
                <w:highlight w:val="none"/>
                <w:lang w:eastAsia="zh-CN"/>
              </w:rPr>
            </w:pPr>
            <w:r>
              <w:rPr>
                <w:rFonts w:ascii="宋体" w:hAnsi="宋体" w:cs="Times New Roman"/>
                <w:bCs/>
                <w:color w:val="auto"/>
                <w:highlight w:val="none"/>
                <w:lang w:eastAsia="zh-CN"/>
              </w:rPr>
              <w:t>③</w:t>
            </w:r>
            <w:r>
              <w:rPr>
                <w:rFonts w:cs="Times New Roman"/>
                <w:bCs/>
                <w:color w:val="auto"/>
                <w:highlight w:val="none"/>
                <w:lang w:eastAsia="zh-CN"/>
              </w:rPr>
              <w:t>严格控制支流污染增量：在淡水河（含龙岗河、坪山河等支流）、石马河（含观澜河、潼湖水等支流）、紧水河、稿树下水、马嘶河（龙溪水）等支流和东江惠州博罗段江东、榕溪沥（罗阳）、廖洞、合竹洲、永平等5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p>
          <w:p>
            <w:pPr>
              <w:pStyle w:val="119"/>
              <w:spacing w:line="360" w:lineRule="auto"/>
              <w:ind w:firstLine="422"/>
              <w:rPr>
                <w:rFonts w:cs="Times New Roman"/>
                <w:bCs/>
                <w:color w:val="auto"/>
                <w:highlight w:val="none"/>
                <w:lang w:eastAsia="zh-CN"/>
              </w:rPr>
            </w:pPr>
            <w:r>
              <w:rPr>
                <w:rFonts w:hint="eastAsia" w:cs="Times New Roman"/>
                <w:b/>
                <w:color w:val="auto"/>
                <w:highlight w:val="none"/>
                <w:lang w:eastAsia="zh-CN"/>
              </w:rPr>
              <w:t>相符性分析：</w:t>
            </w:r>
            <w:r>
              <w:rPr>
                <w:rFonts w:cs="Times New Roman"/>
                <w:bCs/>
                <w:color w:val="auto"/>
                <w:highlight w:val="none"/>
                <w:lang w:eastAsia="zh-CN"/>
              </w:rPr>
              <w:t>本项目</w:t>
            </w:r>
            <w:r>
              <w:rPr>
                <w:rFonts w:hint="eastAsia" w:cs="Times New Roman"/>
                <w:bCs/>
                <w:color w:val="auto"/>
                <w:highlight w:val="none"/>
                <w:lang w:eastAsia="zh-CN"/>
              </w:rPr>
              <w:t>不产生生产废水</w:t>
            </w:r>
            <w:r>
              <w:rPr>
                <w:rFonts w:cs="Times New Roman"/>
                <w:bCs/>
                <w:color w:val="auto"/>
                <w:highlight w:val="none"/>
                <w:lang w:eastAsia="zh-CN"/>
              </w:rPr>
              <w:t>，生活污水经三级化粪池预处理后纳入市政污水管网，排入</w:t>
            </w:r>
            <w:r>
              <w:rPr>
                <w:rFonts w:cs="Times New Roman"/>
                <w:color w:val="auto"/>
                <w:szCs w:val="21"/>
                <w:highlight w:val="none"/>
                <w:lang w:eastAsia="zh-CN"/>
              </w:rPr>
              <w:t>博罗县</w:t>
            </w:r>
            <w:r>
              <w:rPr>
                <w:rFonts w:hint="eastAsia" w:cs="Times New Roman"/>
                <w:color w:val="auto"/>
                <w:szCs w:val="21"/>
                <w:highlight w:val="none"/>
                <w:lang w:eastAsia="zh-CN"/>
              </w:rPr>
              <w:t>园洲镇第五</w:t>
            </w:r>
            <w:r>
              <w:rPr>
                <w:rFonts w:cs="Times New Roman"/>
                <w:color w:val="auto"/>
                <w:szCs w:val="21"/>
                <w:highlight w:val="none"/>
                <w:lang w:eastAsia="zh-CN"/>
              </w:rPr>
              <w:t>生活污水处理厂</w:t>
            </w:r>
            <w:r>
              <w:rPr>
                <w:rFonts w:cs="Times New Roman"/>
                <w:bCs/>
                <w:color w:val="auto"/>
                <w:highlight w:val="none"/>
                <w:lang w:eastAsia="zh-CN"/>
              </w:rPr>
              <w:t>进行深度处理，经处理达标后尾水排入</w:t>
            </w:r>
            <w:r>
              <w:rPr>
                <w:rFonts w:hint="eastAsia" w:cs="Times New Roman"/>
                <w:bCs/>
                <w:color w:val="auto"/>
                <w:highlight w:val="none"/>
                <w:lang w:eastAsia="zh-CN"/>
              </w:rPr>
              <w:t>中心排村</w:t>
            </w:r>
            <w:r>
              <w:rPr>
                <w:rFonts w:cs="Times New Roman"/>
                <w:bCs/>
                <w:color w:val="auto"/>
                <w:highlight w:val="none"/>
                <w:lang w:eastAsia="zh-CN"/>
              </w:rPr>
              <w:t>，最后汇入</w:t>
            </w:r>
            <w:r>
              <w:rPr>
                <w:rFonts w:hint="eastAsia" w:cs="Times New Roman"/>
                <w:bCs/>
                <w:color w:val="auto"/>
                <w:highlight w:val="none"/>
                <w:lang w:eastAsia="zh-CN"/>
              </w:rPr>
              <w:t>东江</w:t>
            </w:r>
            <w:r>
              <w:rPr>
                <w:rFonts w:cs="Times New Roman"/>
                <w:bCs/>
                <w:color w:val="auto"/>
                <w:highlight w:val="none"/>
                <w:lang w:eastAsia="zh-CN"/>
              </w:rPr>
              <w:t>。</w:t>
            </w:r>
            <w:r>
              <w:rPr>
                <w:rFonts w:cs="Times New Roman"/>
                <w:color w:val="auto"/>
                <w:highlight w:val="none"/>
              </w:rPr>
              <w:t>本项目不属于以上禁批或限批行业。</w:t>
            </w:r>
            <w:r>
              <w:rPr>
                <w:rFonts w:cs="Times New Roman"/>
                <w:bCs/>
                <w:color w:val="auto"/>
                <w:highlight w:val="none"/>
                <w:lang w:eastAsia="zh-CN"/>
              </w:rPr>
              <w:t>因此，项目选址符合《广东省人民政府关于严格限制东江流域水污染项目建设进一步做好东江水质保护工作的通知》（粤府函〔2011〕339号）及其补充通知（粤府函〔2013〕231号）的要求。</w:t>
            </w:r>
          </w:p>
          <w:p>
            <w:pPr>
              <w:pStyle w:val="119"/>
              <w:spacing w:line="360" w:lineRule="auto"/>
              <w:ind w:firstLine="422"/>
              <w:rPr>
                <w:rFonts w:cs="Times New Roman"/>
                <w:b/>
                <w:color w:val="auto"/>
                <w:highlight w:val="none"/>
                <w:lang w:eastAsia="zh-CN"/>
              </w:rPr>
            </w:pPr>
            <w:r>
              <w:rPr>
                <w:rFonts w:cs="Times New Roman"/>
                <w:b/>
                <w:color w:val="auto"/>
                <w:highlight w:val="none"/>
                <w:lang w:eastAsia="zh-CN"/>
              </w:rPr>
              <w:t>6、与《广东省水污染防治条例》的相符性分析</w:t>
            </w:r>
          </w:p>
          <w:p>
            <w:pPr>
              <w:pStyle w:val="119"/>
              <w:spacing w:line="360" w:lineRule="auto"/>
              <w:ind w:firstLine="420"/>
              <w:rPr>
                <w:rFonts w:cs="Times New Roman"/>
                <w:color w:val="auto"/>
                <w:highlight w:val="none"/>
                <w:lang w:eastAsia="zh-CN"/>
              </w:rPr>
            </w:pPr>
            <w:r>
              <w:rPr>
                <w:rFonts w:cs="Times New Roman"/>
                <w:color w:val="auto"/>
                <w:highlight w:val="none"/>
                <w:lang w:eastAsia="zh-CN"/>
              </w:rPr>
              <w:t>根据《广东省水污染防治条例》：</w:t>
            </w:r>
          </w:p>
          <w:p>
            <w:pPr>
              <w:pStyle w:val="119"/>
              <w:spacing w:line="360" w:lineRule="auto"/>
              <w:ind w:firstLine="420"/>
              <w:rPr>
                <w:rFonts w:cs="Times New Roman"/>
                <w:color w:val="auto"/>
                <w:highlight w:val="none"/>
                <w:lang w:eastAsia="zh-CN"/>
              </w:rPr>
            </w:pPr>
            <w:r>
              <w:rPr>
                <w:rFonts w:hint="eastAsia" w:cs="Times New Roman"/>
                <w:color w:val="auto"/>
                <w:highlight w:val="none"/>
                <w:lang w:eastAsia="zh-CN"/>
              </w:rPr>
              <w:t>第二十二条 排污单位应当按照经批准或者备案的环境影响评价文件要求建设水污染防治设施。水污染防治设施应当与主体工程同时设计、同时施工、同时投入使用。</w:t>
            </w:r>
          </w:p>
          <w:p>
            <w:pPr>
              <w:pStyle w:val="119"/>
              <w:spacing w:line="360" w:lineRule="auto"/>
              <w:ind w:firstLine="420"/>
              <w:rPr>
                <w:rFonts w:hint="default" w:cs="Times New Roman"/>
                <w:color w:val="auto"/>
                <w:highlight w:val="none"/>
                <w:lang w:val="en-US" w:eastAsia="zh-CN"/>
              </w:rPr>
            </w:pPr>
            <w:r>
              <w:rPr>
                <w:rFonts w:hint="eastAsia" w:cs="Times New Roman"/>
                <w:color w:val="auto"/>
                <w:highlight w:val="none"/>
                <w:lang w:eastAsia="zh-CN"/>
              </w:rPr>
              <w:t>排污单位应当保障水污染防治设施正常运行，不得擅自闲置或者拆除；确需闲置、拆除的，应当提前十五日向所在地生态环境主管部门书面申请，经批准后方可闲置、拆除。不能正常运行的，排污单位应当按照有关规定立即停止排放污染物，经采取措施达到国家或者地方规定的排放标准后方可排放，并及时向所在地生态环境主管部门报告。</w:t>
            </w:r>
          </w:p>
          <w:p>
            <w:pPr>
              <w:pStyle w:val="119"/>
              <w:spacing w:line="360" w:lineRule="auto"/>
              <w:ind w:firstLine="420"/>
              <w:rPr>
                <w:rFonts w:cs="Times New Roman"/>
                <w:color w:val="auto"/>
                <w:highlight w:val="none"/>
                <w:lang w:eastAsia="zh-CN"/>
              </w:rPr>
            </w:pPr>
            <w:r>
              <w:rPr>
                <w:rFonts w:hint="eastAsia" w:cs="Times New Roman"/>
                <w:color w:val="auto"/>
                <w:highlight w:val="none"/>
                <w:lang w:eastAsia="zh-CN"/>
              </w:rPr>
              <w:t>鼓励排污单位委托第三方治理单位运营水污染防治设施。第三方治理单位按照有关法律、法规以及排污单位的委托要求，承担污染治理责任。排污单位应当对第三方治理单位的运营管理进行监督。</w:t>
            </w:r>
          </w:p>
          <w:p>
            <w:pPr>
              <w:pStyle w:val="119"/>
              <w:spacing w:line="360" w:lineRule="auto"/>
              <w:ind w:firstLine="420"/>
              <w:rPr>
                <w:rFonts w:cs="Times New Roman"/>
                <w:color w:val="auto"/>
                <w:highlight w:val="none"/>
                <w:lang w:eastAsia="zh-CN"/>
              </w:rPr>
            </w:pPr>
            <w:r>
              <w:rPr>
                <w:rFonts w:hint="eastAsia" w:cs="Times New Roman"/>
                <w:color w:val="auto"/>
                <w:highlight w:val="none"/>
                <w:lang w:eastAsia="zh-CN"/>
              </w:rPr>
              <w:t>第二十七条 县级以上人民政府应当根据国土空间规划和本行政区域的资源环境承载能力与水环境质量目标等要求，合理规划工业布局，规范工业集聚区及其污水集中处理设施建设，引导工业企业入驻工业集聚区。严格控制高污染项目的建设，鼓励和支持无污染或者轻污染产业的发展。</w:t>
            </w:r>
          </w:p>
          <w:p>
            <w:pPr>
              <w:pStyle w:val="119"/>
              <w:spacing w:line="360" w:lineRule="auto"/>
              <w:ind w:firstLine="420"/>
              <w:rPr>
                <w:rFonts w:cs="Times New Roman"/>
                <w:color w:val="auto"/>
                <w:highlight w:val="none"/>
                <w:lang w:eastAsia="zh-CN"/>
              </w:rPr>
            </w:pPr>
            <w:r>
              <w:rPr>
                <w:rFonts w:hint="eastAsia" w:cs="Times New Roman"/>
                <w:color w:val="auto"/>
                <w:highlight w:val="none"/>
                <w:lang w:eastAsia="zh-CN"/>
              </w:rPr>
              <w:t>第二十八条 排放工业废水的企业应当采取有效措施，收集和处理产生的全部生产废水，防止污染水环境。未依法领取污水排入排水管网许可证的，不得直接向生活污水管网与处理系统排放工业废水。含有毒有害水污染物的工业废水应当分类收集和处理，不得稀释排放。</w:t>
            </w:r>
          </w:p>
          <w:p>
            <w:pPr>
              <w:pStyle w:val="119"/>
              <w:spacing w:line="360" w:lineRule="auto"/>
              <w:ind w:firstLine="420"/>
              <w:rPr>
                <w:rFonts w:cs="Times New Roman"/>
                <w:color w:val="auto"/>
                <w:highlight w:val="none"/>
                <w:lang w:eastAsia="zh-CN"/>
              </w:rPr>
            </w:pPr>
            <w:r>
              <w:rPr>
                <w:rFonts w:hint="eastAsia" w:cs="Times New Roman"/>
                <w:color w:val="auto"/>
                <w:highlight w:val="none"/>
                <w:lang w:eastAsia="zh-CN"/>
              </w:rPr>
              <w:t>按照规定或者环境影响评价文件和审批意见的要求需要进行初期雨水收集的企业，应当对初期雨水进行收集处理，达标后方可排放。</w:t>
            </w:r>
          </w:p>
          <w:p>
            <w:pPr>
              <w:pStyle w:val="119"/>
              <w:spacing w:line="360" w:lineRule="auto"/>
              <w:ind w:firstLine="420"/>
              <w:rPr>
                <w:rFonts w:cs="Times New Roman"/>
                <w:color w:val="auto"/>
                <w:highlight w:val="none"/>
                <w:lang w:eastAsia="zh-CN"/>
              </w:rPr>
            </w:pPr>
            <w:r>
              <w:rPr>
                <w:rFonts w:hint="eastAsia" w:cs="Times New Roman"/>
                <w:color w:val="auto"/>
                <w:highlight w:val="none"/>
                <w:lang w:eastAsia="zh-CN"/>
              </w:rPr>
              <w:t>经批准设立的工业集聚区应当按照规定建成污水集中处理设施并安装水污染物排放自动监测设备。未完成污水集中处理设施建设的，暂停审批和核准其增加水污染物排放的建设项目。</w:t>
            </w:r>
          </w:p>
          <w:p>
            <w:pPr>
              <w:pStyle w:val="119"/>
              <w:spacing w:line="360" w:lineRule="auto"/>
              <w:ind w:firstLine="420"/>
              <w:rPr>
                <w:rFonts w:cs="Times New Roman"/>
                <w:color w:val="auto"/>
                <w:highlight w:val="none"/>
                <w:lang w:eastAsia="zh-CN"/>
              </w:rPr>
            </w:pPr>
            <w:r>
              <w:rPr>
                <w:rFonts w:hint="eastAsia" w:cs="Times New Roman"/>
                <w:color w:val="auto"/>
                <w:highlight w:val="none"/>
                <w:lang w:eastAsia="zh-CN"/>
              </w:rPr>
              <w:t>向工业集聚区污水集中处理设施或者城镇污水集中处理设施排放工业废水的，应当按照有关规定进行预处理，达到集中处理设施处理工艺要求后方可以排放。</w:t>
            </w:r>
          </w:p>
          <w:p>
            <w:pPr>
              <w:pStyle w:val="119"/>
              <w:spacing w:line="360" w:lineRule="auto"/>
              <w:ind w:firstLine="420"/>
              <w:rPr>
                <w:rFonts w:cs="Times New Roman"/>
                <w:color w:val="auto"/>
                <w:highlight w:val="none"/>
                <w:lang w:eastAsia="zh-CN"/>
              </w:rPr>
            </w:pPr>
            <w:r>
              <w:rPr>
                <w:rFonts w:hint="eastAsia" w:cs="Times New Roman"/>
                <w:color w:val="auto"/>
                <w:highlight w:val="none"/>
                <w:lang w:eastAsia="zh-CN"/>
              </w:rPr>
              <w:t>第二十九条 企业应当采用原材料利用效率高、污染物排放量少的清洁工艺，并加强管理，按照规定实施清洁生产审核，从源头上减少水污染物的产生。</w:t>
            </w:r>
          </w:p>
          <w:p>
            <w:pPr>
              <w:pStyle w:val="119"/>
              <w:spacing w:line="360" w:lineRule="auto"/>
              <w:ind w:firstLine="420"/>
              <w:rPr>
                <w:rFonts w:cs="Times New Roman"/>
                <w:color w:val="auto"/>
                <w:highlight w:val="none"/>
                <w:lang w:eastAsia="zh-CN"/>
              </w:rPr>
            </w:pPr>
            <w:r>
              <w:rPr>
                <w:rFonts w:hint="eastAsia" w:cs="Times New Roman"/>
                <w:color w:val="auto"/>
                <w:highlight w:val="none"/>
                <w:lang w:eastAsia="zh-CN"/>
              </w:rPr>
              <w:t>第三十一条 新区建设和旧城区改造，应当同步规划建设污水、雨水收集管网，实行雨污分流。在有条件的地区，应当逐步推进初期雨水调蓄处理和利用，减少水污染。</w:t>
            </w:r>
          </w:p>
          <w:p>
            <w:pPr>
              <w:pStyle w:val="119"/>
              <w:spacing w:line="360" w:lineRule="auto"/>
              <w:ind w:firstLine="420"/>
              <w:rPr>
                <w:rFonts w:cs="Times New Roman"/>
                <w:color w:val="auto"/>
                <w:highlight w:val="none"/>
                <w:lang w:eastAsia="zh-CN"/>
              </w:rPr>
            </w:pPr>
            <w:r>
              <w:rPr>
                <w:rFonts w:hint="eastAsia" w:cs="Times New Roman"/>
                <w:color w:val="auto"/>
                <w:highlight w:val="none"/>
                <w:lang w:eastAsia="zh-CN"/>
              </w:rPr>
              <w:t>第三十二条 向城镇污水集中处理设施排放水污染物，应当符合国家或者地方规定的水污染物排放标准。县级以上人民政府城镇排水主管部门应当加强对排水户的排放口设置、连接管网、预处理设施和水质、水量监测设施建设和运行的指导和监督。城镇排水主管部门委托的排水监测机构应当对排水户排放污水的水质和水量进行监测，并建立排水监测档案。</w:t>
            </w:r>
          </w:p>
          <w:p>
            <w:pPr>
              <w:pStyle w:val="119"/>
              <w:spacing w:line="360" w:lineRule="auto"/>
              <w:ind w:firstLine="420"/>
              <w:rPr>
                <w:rFonts w:cs="Times New Roman"/>
                <w:color w:val="auto"/>
                <w:highlight w:val="none"/>
                <w:lang w:eastAsia="zh-CN"/>
              </w:rPr>
            </w:pPr>
            <w:r>
              <w:rPr>
                <w:rFonts w:hint="eastAsia" w:cs="Times New Roman"/>
                <w:color w:val="auto"/>
                <w:highlight w:val="none"/>
                <w:lang w:eastAsia="zh-CN"/>
              </w:rPr>
              <w:t>第五十条：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w:t>
            </w:r>
          </w:p>
          <w:p>
            <w:pPr>
              <w:pStyle w:val="119"/>
              <w:spacing w:line="360" w:lineRule="auto"/>
              <w:ind w:firstLine="422"/>
              <w:rPr>
                <w:rFonts w:cs="Times New Roman"/>
                <w:color w:val="auto"/>
                <w:highlight w:val="none"/>
                <w:lang w:eastAsia="zh-CN"/>
              </w:rPr>
            </w:pPr>
            <w:r>
              <w:rPr>
                <w:rFonts w:hint="eastAsia" w:cs="Times New Roman"/>
                <w:b/>
                <w:bCs/>
                <w:color w:val="auto"/>
                <w:highlight w:val="none"/>
                <w:lang w:eastAsia="zh-CN"/>
              </w:rPr>
              <w:t>相符性分析：</w:t>
            </w:r>
            <w:r>
              <w:rPr>
                <w:rFonts w:cs="Times New Roman"/>
                <w:color w:val="auto"/>
                <w:highlight w:val="none"/>
                <w:lang w:eastAsia="zh-CN"/>
              </w:rPr>
              <w:t>本项目位于东江流域，用地不属于饮用水水源保护区，不属于条例规定的禁止类和严格控制类生产项目，</w:t>
            </w:r>
            <w:r>
              <w:rPr>
                <w:rFonts w:hint="eastAsia" w:cs="Times New Roman"/>
                <w:color w:val="auto"/>
                <w:highlight w:val="none"/>
                <w:lang w:eastAsia="zh-CN"/>
              </w:rPr>
              <w:t>不</w:t>
            </w:r>
            <w:r>
              <w:rPr>
                <w:rFonts w:cs="Times New Roman"/>
                <w:color w:val="auto"/>
                <w:highlight w:val="none"/>
                <w:lang w:eastAsia="zh-CN"/>
              </w:rPr>
              <w:t>产生与排放</w:t>
            </w:r>
            <w:r>
              <w:rPr>
                <w:rFonts w:hint="eastAsia" w:cs="Times New Roman"/>
                <w:color w:val="auto"/>
                <w:highlight w:val="none"/>
                <w:lang w:eastAsia="zh-CN"/>
              </w:rPr>
              <w:t>生产废水</w:t>
            </w:r>
            <w:r>
              <w:rPr>
                <w:rFonts w:cs="Times New Roman"/>
                <w:color w:val="auto"/>
                <w:highlight w:val="none"/>
                <w:lang w:eastAsia="zh-CN"/>
              </w:rPr>
              <w:t>，生活污水经三级化粪池预处理后经市政管网纳入</w:t>
            </w:r>
            <w:r>
              <w:rPr>
                <w:rFonts w:cs="Times New Roman"/>
                <w:color w:val="auto"/>
                <w:szCs w:val="21"/>
                <w:highlight w:val="none"/>
                <w:lang w:eastAsia="zh-CN"/>
              </w:rPr>
              <w:t>博罗县</w:t>
            </w:r>
            <w:r>
              <w:rPr>
                <w:rFonts w:hint="eastAsia" w:cs="Times New Roman"/>
                <w:color w:val="auto"/>
                <w:szCs w:val="21"/>
                <w:highlight w:val="none"/>
                <w:lang w:eastAsia="zh-CN"/>
              </w:rPr>
              <w:t>园洲镇第五</w:t>
            </w:r>
            <w:r>
              <w:rPr>
                <w:rFonts w:cs="Times New Roman"/>
                <w:color w:val="auto"/>
                <w:szCs w:val="21"/>
                <w:highlight w:val="none"/>
                <w:lang w:eastAsia="zh-CN"/>
              </w:rPr>
              <w:t>生活污水处理厂</w:t>
            </w:r>
            <w:r>
              <w:rPr>
                <w:rFonts w:cs="Times New Roman"/>
                <w:color w:val="auto"/>
                <w:highlight w:val="none"/>
                <w:lang w:eastAsia="zh-CN"/>
              </w:rPr>
              <w:t>处理，本项目符合生态环境准入清单要求，并依法进行了环境影响评价，因此，本项目与《广东省水污染防治条例》相符。</w:t>
            </w:r>
          </w:p>
          <w:p>
            <w:pPr>
              <w:pStyle w:val="119"/>
              <w:spacing w:line="360" w:lineRule="auto"/>
              <w:ind w:firstLine="422"/>
              <w:jc w:val="left"/>
              <w:rPr>
                <w:rFonts w:cs="Times New Roman"/>
                <w:b/>
                <w:bCs/>
                <w:color w:val="auto"/>
                <w:highlight w:val="none"/>
                <w:lang w:eastAsia="zh-CN"/>
              </w:rPr>
            </w:pPr>
            <w:r>
              <w:rPr>
                <w:rFonts w:cs="Times New Roman"/>
                <w:b/>
                <w:bCs/>
                <w:color w:val="auto"/>
                <w:highlight w:val="none"/>
                <w:lang w:eastAsia="zh-CN"/>
              </w:rPr>
              <w:t>7、与《关于印发&lt;重点行业挥发性有机物综合治理方案&gt;的通知》（环大气〔2019〕53号）的相符性分析</w:t>
            </w:r>
          </w:p>
          <w:p>
            <w:pPr>
              <w:pStyle w:val="119"/>
              <w:spacing w:line="360" w:lineRule="auto"/>
              <w:ind w:firstLine="420"/>
              <w:rPr>
                <w:rFonts w:cs="Times New Roman"/>
                <w:color w:val="auto"/>
                <w:highlight w:val="none"/>
                <w:lang w:eastAsia="zh-CN"/>
              </w:rPr>
            </w:pPr>
            <w:r>
              <w:rPr>
                <w:rFonts w:cs="Times New Roman"/>
                <w:color w:val="auto"/>
                <w:highlight w:val="none"/>
                <w:lang w:eastAsia="zh-CN"/>
              </w:rPr>
              <w:t>（一）大力推进源头替代。通过使用水性、粉末、高固体分、无溶剂、辐射固化等低VOCs含量的涂料，水性、辐射固化、植物基等低VOCs含量的油墨，水基、热熔、无溶剂、辐射固化、改性、生物降解等低VOCs含量的胶粘剂，以及低VOCs含量、低反应活性的清洗剂等，替代溶剂型涂料、油墨、胶粘剂、清洗剂等，从源头减少VOCs产生</w:t>
            </w:r>
            <w:r>
              <w:rPr>
                <w:rFonts w:hint="eastAsia" w:cs="Times New Roman"/>
                <w:color w:val="auto"/>
                <w:highlight w:val="none"/>
                <w:lang w:eastAsia="zh-CN"/>
              </w:rPr>
              <w:t>；</w:t>
            </w:r>
          </w:p>
          <w:p>
            <w:pPr>
              <w:pStyle w:val="119"/>
              <w:spacing w:line="360" w:lineRule="auto"/>
              <w:ind w:firstLine="420"/>
              <w:rPr>
                <w:rFonts w:cs="Times New Roman"/>
                <w:color w:val="auto"/>
                <w:highlight w:val="none"/>
                <w:lang w:eastAsia="zh-CN"/>
              </w:rPr>
            </w:pPr>
            <w:r>
              <w:rPr>
                <w:rFonts w:cs="Times New Roman"/>
                <w:color w:val="auto"/>
                <w:highlight w:val="none"/>
                <w:lang w:eastAsia="zh-CN"/>
              </w:rPr>
              <w:t>（三）推进建设适宜高效的治污设施。企业新建治污设施或对现有治污设施实施改造，应依据排放废气的浓度、组分、风量，温度、湿度、压力，以及生产工况等，合理选择治理技术。鼓励企业采用多种技术的组合工艺，提高VOCs治理效率。低浓度、大风量废气，宜采用沸石转轮吸附、活性炭吸附、减风增浓等浓缩技术，提高VOCs浓度后净化处理；</w:t>
            </w:r>
          </w:p>
          <w:p>
            <w:pPr>
              <w:pStyle w:val="119"/>
              <w:spacing w:line="360" w:lineRule="auto"/>
              <w:ind w:firstLine="422"/>
              <w:rPr>
                <w:rFonts w:cs="Times New Roman"/>
                <w:color w:val="auto"/>
                <w:highlight w:val="none"/>
                <w:lang w:eastAsia="zh-CN"/>
              </w:rPr>
            </w:pPr>
            <w:r>
              <w:rPr>
                <w:rFonts w:hint="eastAsia" w:cs="Times New Roman"/>
                <w:b/>
                <w:bCs/>
                <w:color w:val="auto"/>
                <w:highlight w:val="none"/>
                <w:lang w:eastAsia="zh-CN"/>
              </w:rPr>
              <w:t>相符性分析：</w:t>
            </w:r>
            <w:r>
              <w:rPr>
                <w:rFonts w:cs="Times New Roman"/>
                <w:color w:val="auto"/>
                <w:highlight w:val="none"/>
                <w:lang w:eastAsia="zh-CN"/>
              </w:rPr>
              <w:t>项目</w:t>
            </w:r>
            <w:r>
              <w:rPr>
                <w:rFonts w:hint="eastAsia" w:cs="Times New Roman"/>
                <w:color w:val="auto"/>
                <w:highlight w:val="none"/>
                <w:lang w:eastAsia="zh-CN"/>
              </w:rPr>
              <w:t>不使用含VOCs</w:t>
            </w:r>
            <w:r>
              <w:rPr>
                <w:rFonts w:cs="Times New Roman"/>
                <w:color w:val="auto"/>
                <w:highlight w:val="none"/>
                <w:lang w:eastAsia="zh-CN"/>
              </w:rPr>
              <w:t>的</w:t>
            </w:r>
            <w:r>
              <w:rPr>
                <w:rFonts w:hint="eastAsia" w:cs="Times New Roman"/>
                <w:color w:val="auto"/>
                <w:highlight w:val="none"/>
                <w:lang w:eastAsia="zh-CN"/>
              </w:rPr>
              <w:t>涂料、油墨、胶粘剂、清洗剂等原辅材料。投料、混合搅拌产生的有机废气</w:t>
            </w:r>
            <w:r>
              <w:rPr>
                <w:rFonts w:cs="Times New Roman"/>
                <w:color w:val="auto"/>
                <w:highlight w:val="none"/>
                <w:lang w:eastAsia="zh-CN"/>
              </w:rPr>
              <w:t>经收集后通过</w:t>
            </w:r>
            <w:r>
              <w:rPr>
                <w:rFonts w:hint="eastAsia" w:cs="Times New Roman"/>
                <w:color w:val="auto"/>
                <w:highlight w:val="none"/>
                <w:lang w:val="en-US" w:eastAsia="zh-CN"/>
              </w:rPr>
              <w:t>二</w:t>
            </w:r>
            <w:r>
              <w:rPr>
                <w:rFonts w:cs="Times New Roman"/>
                <w:color w:val="auto"/>
                <w:highlight w:val="none"/>
                <w:lang w:eastAsia="zh-CN"/>
              </w:rPr>
              <w:t>级活性炭吸附装置处理达标排放，对外界环境影响不大。项目符合《</w:t>
            </w:r>
            <w:r>
              <w:rPr>
                <w:rFonts w:hint="eastAsia" w:cs="Times New Roman"/>
                <w:color w:val="auto"/>
                <w:highlight w:val="none"/>
                <w:lang w:eastAsia="zh-CN"/>
              </w:rPr>
              <w:t>关于印发</w:t>
            </w:r>
            <w:r>
              <w:rPr>
                <w:rFonts w:hint="eastAsia" w:ascii="宋体" w:hAnsi="宋体"/>
                <w:color w:val="auto"/>
                <w:highlight w:val="none"/>
                <w:lang w:eastAsia="zh-CN"/>
              </w:rPr>
              <w:t>＜</w:t>
            </w:r>
            <w:r>
              <w:rPr>
                <w:rFonts w:cs="Times New Roman"/>
                <w:color w:val="auto"/>
                <w:highlight w:val="none"/>
                <w:lang w:eastAsia="zh-CN"/>
              </w:rPr>
              <w:t>重点行业挥发性有机物综合治理方案&gt;的通知》（环大气〔2019〕53号）文件的要求。</w:t>
            </w:r>
          </w:p>
          <w:p>
            <w:pPr>
              <w:pStyle w:val="119"/>
              <w:spacing w:line="360" w:lineRule="auto"/>
              <w:ind w:firstLine="422"/>
              <w:rPr>
                <w:rFonts w:cs="Times New Roman"/>
                <w:b/>
                <w:bCs/>
                <w:color w:val="auto"/>
                <w:highlight w:val="none"/>
                <w:lang w:eastAsia="zh-CN"/>
              </w:rPr>
            </w:pPr>
            <w:r>
              <w:rPr>
                <w:rFonts w:cs="Times New Roman"/>
                <w:b/>
                <w:bCs/>
                <w:color w:val="auto"/>
                <w:highlight w:val="none"/>
                <w:lang w:eastAsia="zh-CN"/>
              </w:rPr>
              <w:t>8、与《关于印发＜广东省涉VOCs重点行业治理指引＞的通知》（粤环办〔2021〕43号）的相符性分析</w:t>
            </w:r>
          </w:p>
          <w:p>
            <w:pPr>
              <w:adjustRightInd w:val="0"/>
              <w:snapToGrid w:val="0"/>
              <w:spacing w:line="360" w:lineRule="auto"/>
              <w:ind w:firstLine="420" w:firstLineChars="200"/>
              <w:textAlignment w:val="baseline"/>
              <w:rPr>
                <w:color w:val="auto"/>
                <w:highlight w:val="none"/>
              </w:rPr>
            </w:pPr>
            <w:r>
              <w:rPr>
                <w:bCs/>
                <w:color w:val="auto"/>
                <w:kern w:val="44"/>
                <w:highlight w:val="none"/>
              </w:rPr>
              <w:t>本项目属于《国民经济行业分类》（GB/T 4754-2017）及第1号修改单中C</w:t>
            </w:r>
            <w:r>
              <w:rPr>
                <w:rFonts w:hint="eastAsia"/>
                <w:bCs/>
                <w:color w:val="auto"/>
                <w:kern w:val="44"/>
                <w:highlight w:val="none"/>
              </w:rPr>
              <w:t>2916运动场地用塑胶制造</w:t>
            </w:r>
            <w:r>
              <w:rPr>
                <w:bCs/>
                <w:color w:val="auto"/>
                <w:kern w:val="44"/>
                <w:highlight w:val="none"/>
              </w:rPr>
              <w:t>，根据《广东省涉挥发性有机物（VOCs）重点行业治理指引》（粤环办【2021】43号）中</w:t>
            </w:r>
            <w:r>
              <w:rPr>
                <w:rFonts w:hint="eastAsia"/>
                <w:bCs/>
                <w:color w:val="auto"/>
                <w:kern w:val="44"/>
                <w:highlight w:val="none"/>
              </w:rPr>
              <w:t>“六</w:t>
            </w:r>
            <w:r>
              <w:rPr>
                <w:bCs/>
                <w:color w:val="auto"/>
                <w:kern w:val="44"/>
                <w:highlight w:val="none"/>
              </w:rPr>
              <w:t>、</w:t>
            </w:r>
            <w:r>
              <w:rPr>
                <w:rFonts w:hint="eastAsia"/>
                <w:bCs/>
                <w:color w:val="auto"/>
                <w:kern w:val="44"/>
                <w:highlight w:val="none"/>
              </w:rPr>
              <w:t>橡胶和塑料制品</w:t>
            </w:r>
            <w:r>
              <w:rPr>
                <w:bCs/>
                <w:color w:val="auto"/>
                <w:kern w:val="44"/>
                <w:highlight w:val="none"/>
              </w:rPr>
              <w:t>业VOCs治理指引</w:t>
            </w:r>
            <w:r>
              <w:rPr>
                <w:rFonts w:hint="eastAsia"/>
                <w:bCs/>
                <w:color w:val="auto"/>
                <w:kern w:val="44"/>
                <w:highlight w:val="none"/>
              </w:rPr>
              <w:t>”</w:t>
            </w:r>
            <w:r>
              <w:rPr>
                <w:bCs/>
                <w:color w:val="auto"/>
                <w:kern w:val="44"/>
                <w:highlight w:val="none"/>
              </w:rPr>
              <w:t>，本项目与其相符性分析见表1-2。</w:t>
            </w:r>
          </w:p>
          <w:p>
            <w:pPr>
              <w:widowControl/>
              <w:spacing w:line="360" w:lineRule="auto"/>
              <w:jc w:val="center"/>
              <w:rPr>
                <w:b/>
                <w:bCs/>
                <w:color w:val="auto"/>
                <w:highlight w:val="none"/>
              </w:rPr>
            </w:pPr>
            <w:r>
              <w:rPr>
                <w:b/>
                <w:color w:val="auto"/>
                <w:highlight w:val="none"/>
              </w:rPr>
              <w:t>表1-2 项目与</w:t>
            </w:r>
            <w:r>
              <w:rPr>
                <w:b/>
                <w:bCs/>
                <w:color w:val="auto"/>
                <w:highlight w:val="none"/>
              </w:rPr>
              <w:t>《广东省涉挥发性有机物（VOCs）重点行业治理指引》</w:t>
            </w:r>
            <w:r>
              <w:rPr>
                <w:b/>
                <w:color w:val="auto"/>
                <w:highlight w:val="none"/>
              </w:rPr>
              <w:t>对照分析</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0"/>
              <w:gridCol w:w="762"/>
              <w:gridCol w:w="3558"/>
              <w:gridCol w:w="2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0" w:type="auto"/>
                  <w:gridSpan w:val="2"/>
                  <w:vAlign w:val="center"/>
                </w:tcPr>
                <w:p>
                  <w:pPr>
                    <w:jc w:val="center"/>
                    <w:rPr>
                      <w:b/>
                      <w:bCs/>
                      <w:color w:val="auto"/>
                      <w:sz w:val="18"/>
                      <w:szCs w:val="18"/>
                      <w:highlight w:val="none"/>
                    </w:rPr>
                  </w:pPr>
                  <w:r>
                    <w:rPr>
                      <w:b/>
                      <w:bCs/>
                      <w:color w:val="auto"/>
                      <w:sz w:val="18"/>
                      <w:szCs w:val="18"/>
                      <w:highlight w:val="none"/>
                    </w:rPr>
                    <w:t>控制环节</w:t>
                  </w:r>
                </w:p>
              </w:tc>
              <w:tc>
                <w:tcPr>
                  <w:tcW w:w="0" w:type="auto"/>
                  <w:vAlign w:val="center"/>
                </w:tcPr>
                <w:p>
                  <w:pPr>
                    <w:jc w:val="center"/>
                    <w:rPr>
                      <w:b/>
                      <w:bCs/>
                      <w:color w:val="auto"/>
                      <w:sz w:val="18"/>
                      <w:szCs w:val="18"/>
                      <w:highlight w:val="none"/>
                    </w:rPr>
                  </w:pPr>
                  <w:r>
                    <w:rPr>
                      <w:b/>
                      <w:bCs/>
                      <w:color w:val="auto"/>
                      <w:sz w:val="18"/>
                      <w:szCs w:val="18"/>
                      <w:highlight w:val="none"/>
                    </w:rPr>
                    <w:t>控制要求</w:t>
                  </w:r>
                </w:p>
              </w:tc>
              <w:tc>
                <w:tcPr>
                  <w:tcW w:w="0" w:type="auto"/>
                  <w:vAlign w:val="center"/>
                </w:tcPr>
                <w:p>
                  <w:pPr>
                    <w:jc w:val="center"/>
                    <w:rPr>
                      <w:b/>
                      <w:bCs/>
                      <w:color w:val="auto"/>
                      <w:sz w:val="18"/>
                      <w:szCs w:val="18"/>
                      <w:highlight w:val="none"/>
                    </w:rPr>
                  </w:pPr>
                  <w:r>
                    <w:rPr>
                      <w:rFonts w:hint="eastAsia"/>
                      <w:b/>
                      <w:bCs/>
                      <w:color w:val="auto"/>
                      <w:sz w:val="18"/>
                      <w:szCs w:val="18"/>
                      <w:highlight w:val="none"/>
                    </w:rPr>
                    <w:t>相符性分析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4" w:hRule="atLeast"/>
                <w:jc w:val="center"/>
              </w:trPr>
              <w:tc>
                <w:tcPr>
                  <w:tcW w:w="0" w:type="auto"/>
                  <w:vMerge w:val="restart"/>
                  <w:vAlign w:val="center"/>
                </w:tcPr>
                <w:p>
                  <w:pPr>
                    <w:jc w:val="left"/>
                    <w:rPr>
                      <w:color w:val="auto"/>
                      <w:sz w:val="18"/>
                      <w:szCs w:val="18"/>
                      <w:highlight w:val="none"/>
                    </w:rPr>
                  </w:pPr>
                  <w:r>
                    <w:rPr>
                      <w:color w:val="auto"/>
                      <w:sz w:val="18"/>
                      <w:szCs w:val="18"/>
                      <w:highlight w:val="none"/>
                    </w:rPr>
                    <w:t>源头削减</w:t>
                  </w:r>
                </w:p>
              </w:tc>
              <w:tc>
                <w:tcPr>
                  <w:tcW w:w="0" w:type="auto"/>
                  <w:vAlign w:val="center"/>
                </w:tcPr>
                <w:p>
                  <w:pPr>
                    <w:jc w:val="left"/>
                    <w:rPr>
                      <w:color w:val="auto"/>
                      <w:sz w:val="18"/>
                      <w:szCs w:val="18"/>
                      <w:highlight w:val="none"/>
                    </w:rPr>
                  </w:pPr>
                  <w:r>
                    <w:rPr>
                      <w:color w:val="auto"/>
                      <w:sz w:val="18"/>
                      <w:szCs w:val="18"/>
                      <w:highlight w:val="none"/>
                    </w:rPr>
                    <w:t>水性涂料</w:t>
                  </w:r>
                </w:p>
              </w:tc>
              <w:tc>
                <w:tcPr>
                  <w:tcW w:w="0" w:type="auto"/>
                  <w:vAlign w:val="center"/>
                </w:tcPr>
                <w:p>
                  <w:pPr>
                    <w:jc w:val="left"/>
                    <w:rPr>
                      <w:color w:val="auto"/>
                      <w:sz w:val="18"/>
                      <w:szCs w:val="18"/>
                      <w:highlight w:val="none"/>
                    </w:rPr>
                  </w:pPr>
                  <w:r>
                    <w:rPr>
                      <w:color w:val="auto"/>
                      <w:sz w:val="18"/>
                      <w:szCs w:val="18"/>
                      <w:highlight w:val="none"/>
                    </w:rPr>
                    <w:t>1、包装涂料：底漆VOCs含量≤420g/L，中漆VOCs含量≤300g/L，面漆VOCs含量≤270g/L。</w:t>
                  </w:r>
                </w:p>
                <w:p>
                  <w:pPr>
                    <w:jc w:val="left"/>
                    <w:rPr>
                      <w:color w:val="auto"/>
                      <w:sz w:val="18"/>
                      <w:szCs w:val="18"/>
                      <w:highlight w:val="none"/>
                    </w:rPr>
                  </w:pPr>
                  <w:r>
                    <w:rPr>
                      <w:color w:val="auto"/>
                      <w:sz w:val="18"/>
                      <w:szCs w:val="18"/>
                      <w:highlight w:val="none"/>
                    </w:rPr>
                    <w:t>2、玩具涂料VOCs含量≤420g/L。</w:t>
                  </w:r>
                </w:p>
                <w:p>
                  <w:pPr>
                    <w:jc w:val="left"/>
                    <w:rPr>
                      <w:color w:val="auto"/>
                      <w:sz w:val="18"/>
                      <w:szCs w:val="18"/>
                      <w:highlight w:val="none"/>
                    </w:rPr>
                  </w:pPr>
                  <w:r>
                    <w:rPr>
                      <w:color w:val="auto"/>
                      <w:sz w:val="18"/>
                      <w:szCs w:val="18"/>
                      <w:highlight w:val="none"/>
                    </w:rPr>
                    <w:t>3、防水涂料VOCs含量≤50g/L。</w:t>
                  </w:r>
                </w:p>
                <w:p>
                  <w:pPr>
                    <w:jc w:val="left"/>
                    <w:rPr>
                      <w:color w:val="auto"/>
                      <w:sz w:val="18"/>
                      <w:szCs w:val="18"/>
                      <w:highlight w:val="none"/>
                    </w:rPr>
                  </w:pPr>
                  <w:r>
                    <w:rPr>
                      <w:color w:val="auto"/>
                      <w:sz w:val="18"/>
                      <w:szCs w:val="18"/>
                      <w:highlight w:val="none"/>
                    </w:rPr>
                    <w:t>4、防火涂料VOCs含量≤80g/L。</w:t>
                  </w:r>
                </w:p>
              </w:tc>
              <w:tc>
                <w:tcPr>
                  <w:tcW w:w="0" w:type="auto"/>
                  <w:vAlign w:val="center"/>
                </w:tcPr>
                <w:p>
                  <w:pPr>
                    <w:jc w:val="left"/>
                    <w:rPr>
                      <w:color w:val="auto"/>
                      <w:sz w:val="18"/>
                      <w:szCs w:val="18"/>
                      <w:highlight w:val="none"/>
                    </w:rPr>
                  </w:pPr>
                  <w:r>
                    <w:rPr>
                      <w:rFonts w:hint="eastAsia"/>
                      <w:color w:val="auto"/>
                      <w:sz w:val="18"/>
                      <w:szCs w:val="18"/>
                      <w:highlight w:val="none"/>
                    </w:rPr>
                    <w:t>本项目不涉及涂料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1" w:hRule="atLeast"/>
                <w:jc w:val="center"/>
              </w:trPr>
              <w:tc>
                <w:tcPr>
                  <w:tcW w:w="0" w:type="auto"/>
                  <w:vMerge w:val="continue"/>
                  <w:vAlign w:val="center"/>
                </w:tcPr>
                <w:p>
                  <w:pPr>
                    <w:jc w:val="left"/>
                    <w:rPr>
                      <w:color w:val="auto"/>
                      <w:sz w:val="18"/>
                      <w:szCs w:val="18"/>
                      <w:highlight w:val="none"/>
                    </w:rPr>
                  </w:pPr>
                </w:p>
              </w:tc>
              <w:tc>
                <w:tcPr>
                  <w:tcW w:w="0" w:type="auto"/>
                  <w:vAlign w:val="center"/>
                </w:tcPr>
                <w:p>
                  <w:pPr>
                    <w:jc w:val="left"/>
                    <w:rPr>
                      <w:color w:val="auto"/>
                      <w:sz w:val="18"/>
                      <w:szCs w:val="18"/>
                      <w:highlight w:val="none"/>
                    </w:rPr>
                  </w:pPr>
                  <w:r>
                    <w:rPr>
                      <w:color w:val="auto"/>
                      <w:sz w:val="18"/>
                      <w:szCs w:val="18"/>
                      <w:highlight w:val="none"/>
                    </w:rPr>
                    <w:t>水性油墨</w:t>
                  </w:r>
                </w:p>
              </w:tc>
              <w:tc>
                <w:tcPr>
                  <w:tcW w:w="0" w:type="auto"/>
                  <w:vAlign w:val="center"/>
                </w:tcPr>
                <w:p>
                  <w:pPr>
                    <w:jc w:val="left"/>
                    <w:rPr>
                      <w:color w:val="auto"/>
                      <w:sz w:val="18"/>
                      <w:szCs w:val="18"/>
                      <w:highlight w:val="none"/>
                    </w:rPr>
                  </w:pPr>
                  <w:r>
                    <w:rPr>
                      <w:color w:val="auto"/>
                      <w:sz w:val="18"/>
                      <w:szCs w:val="18"/>
                      <w:highlight w:val="none"/>
                    </w:rPr>
                    <w:t>1、凹印油墨：吸收性承印物，VOCs含量≤15%；非吸收性承印物，VOCs含量≤30%。</w:t>
                  </w:r>
                </w:p>
                <w:p>
                  <w:pPr>
                    <w:jc w:val="left"/>
                    <w:rPr>
                      <w:color w:val="auto"/>
                      <w:sz w:val="18"/>
                      <w:szCs w:val="18"/>
                      <w:highlight w:val="none"/>
                    </w:rPr>
                  </w:pPr>
                  <w:r>
                    <w:rPr>
                      <w:color w:val="auto"/>
                      <w:sz w:val="18"/>
                      <w:szCs w:val="18"/>
                      <w:highlight w:val="none"/>
                    </w:rPr>
                    <w:t>2、柔印油墨：吸收性承印物，VOCs含量≤5%；非吸收性承印物，VOCs含量≤25%。</w:t>
                  </w:r>
                </w:p>
              </w:tc>
              <w:tc>
                <w:tcPr>
                  <w:tcW w:w="0" w:type="auto"/>
                  <w:vAlign w:val="center"/>
                </w:tcPr>
                <w:p>
                  <w:pPr>
                    <w:jc w:val="left"/>
                    <w:rPr>
                      <w:color w:val="auto"/>
                      <w:sz w:val="18"/>
                      <w:szCs w:val="18"/>
                      <w:highlight w:val="none"/>
                    </w:rPr>
                  </w:pPr>
                  <w:r>
                    <w:rPr>
                      <w:rFonts w:hint="eastAsia"/>
                      <w:color w:val="auto"/>
                      <w:sz w:val="18"/>
                      <w:szCs w:val="18"/>
                      <w:highlight w:val="none"/>
                    </w:rPr>
                    <w:t>本项目不涉及油墨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0" w:type="auto"/>
                  <w:vMerge w:val="restart"/>
                  <w:vAlign w:val="center"/>
                </w:tcPr>
                <w:p>
                  <w:pPr>
                    <w:jc w:val="left"/>
                    <w:rPr>
                      <w:color w:val="auto"/>
                      <w:sz w:val="18"/>
                      <w:szCs w:val="18"/>
                      <w:highlight w:val="none"/>
                    </w:rPr>
                  </w:pPr>
                  <w:r>
                    <w:rPr>
                      <w:color w:val="auto"/>
                      <w:sz w:val="18"/>
                      <w:szCs w:val="18"/>
                      <w:highlight w:val="none"/>
                    </w:rPr>
                    <w:t>过程控制</w:t>
                  </w:r>
                </w:p>
              </w:tc>
              <w:tc>
                <w:tcPr>
                  <w:tcW w:w="0" w:type="auto"/>
                  <w:vAlign w:val="center"/>
                </w:tcPr>
                <w:p>
                  <w:pPr>
                    <w:jc w:val="left"/>
                    <w:rPr>
                      <w:color w:val="auto"/>
                      <w:sz w:val="18"/>
                      <w:szCs w:val="18"/>
                      <w:highlight w:val="none"/>
                    </w:rPr>
                  </w:pPr>
                  <w:r>
                    <w:rPr>
                      <w:color w:val="auto"/>
                      <w:sz w:val="18"/>
                      <w:szCs w:val="18"/>
                      <w:highlight w:val="none"/>
                    </w:rPr>
                    <w:t>VOCs物料储存</w:t>
                  </w:r>
                </w:p>
              </w:tc>
              <w:tc>
                <w:tcPr>
                  <w:tcW w:w="0" w:type="auto"/>
                  <w:vAlign w:val="center"/>
                </w:tcPr>
                <w:p>
                  <w:pPr>
                    <w:jc w:val="left"/>
                    <w:rPr>
                      <w:color w:val="auto"/>
                      <w:sz w:val="18"/>
                      <w:szCs w:val="18"/>
                      <w:highlight w:val="none"/>
                    </w:rPr>
                  </w:pPr>
                  <w:r>
                    <w:rPr>
                      <w:rFonts w:hint="eastAsia"/>
                      <w:color w:val="auto"/>
                      <w:sz w:val="18"/>
                      <w:szCs w:val="18"/>
                      <w:highlight w:val="none"/>
                    </w:rPr>
                    <w:t>1、</w:t>
                  </w:r>
                  <w:r>
                    <w:rPr>
                      <w:color w:val="auto"/>
                      <w:sz w:val="18"/>
                      <w:szCs w:val="18"/>
                      <w:highlight w:val="none"/>
                    </w:rPr>
                    <w:t>VOCs物料应储存于密闭的容器、包装袋、储罐、储库、料仓中；</w:t>
                  </w:r>
                </w:p>
                <w:p>
                  <w:pPr>
                    <w:jc w:val="left"/>
                    <w:rPr>
                      <w:color w:val="auto"/>
                      <w:sz w:val="18"/>
                      <w:szCs w:val="18"/>
                      <w:highlight w:val="none"/>
                    </w:rPr>
                  </w:pPr>
                  <w:r>
                    <w:rPr>
                      <w:rFonts w:hint="eastAsia"/>
                      <w:color w:val="auto"/>
                      <w:sz w:val="18"/>
                      <w:szCs w:val="18"/>
                      <w:highlight w:val="none"/>
                    </w:rPr>
                    <w:t>2、</w:t>
                  </w:r>
                  <w:r>
                    <w:rPr>
                      <w:color w:val="auto"/>
                      <w:sz w:val="18"/>
                      <w:szCs w:val="18"/>
                      <w:highlight w:val="none"/>
                    </w:rPr>
                    <w:t>盛装VOCs物料的容器或包装袋应存放于室内、或存放于设置有雨棚、遮阳和防渗设施的专用场地。盛装VOCs物料的容器或包装袋在非取用状态时应加盖、封口，保持密闭；</w:t>
                  </w:r>
                </w:p>
                <w:p>
                  <w:pPr>
                    <w:jc w:val="left"/>
                    <w:rPr>
                      <w:color w:val="auto"/>
                      <w:sz w:val="18"/>
                      <w:szCs w:val="18"/>
                      <w:highlight w:val="none"/>
                    </w:rPr>
                  </w:pPr>
                  <w:r>
                    <w:rPr>
                      <w:rFonts w:hint="eastAsia"/>
                      <w:color w:val="auto"/>
                      <w:sz w:val="18"/>
                      <w:szCs w:val="18"/>
                      <w:highlight w:val="none"/>
                    </w:rPr>
                    <w:t>3、</w:t>
                  </w:r>
                  <w:r>
                    <w:rPr>
                      <w:color w:val="auto"/>
                      <w:sz w:val="18"/>
                      <w:szCs w:val="18"/>
                      <w:highlight w:val="none"/>
                    </w:rPr>
                    <w:t>储存真实蒸气压≥76.6kPa且储罐容积≥75m3的挥发性有机液体储罐，应采用低压罐、压力罐或其他等效措施。</w:t>
                  </w:r>
                </w:p>
                <w:p>
                  <w:pPr>
                    <w:jc w:val="left"/>
                    <w:rPr>
                      <w:color w:val="auto"/>
                      <w:sz w:val="18"/>
                      <w:szCs w:val="18"/>
                      <w:highlight w:val="none"/>
                    </w:rPr>
                  </w:pPr>
                  <w:r>
                    <w:rPr>
                      <w:color w:val="auto"/>
                      <w:sz w:val="18"/>
                      <w:szCs w:val="18"/>
                      <w:highlight w:val="none"/>
                    </w:rPr>
                    <w:t>4、储存真实蒸气压≥27.6kPa但＜76.6kPa且储罐容积≥75m</w:t>
                  </w:r>
                  <w:r>
                    <w:rPr>
                      <w:color w:val="auto"/>
                      <w:sz w:val="18"/>
                      <w:szCs w:val="18"/>
                      <w:highlight w:val="none"/>
                      <w:vertAlign w:val="superscript"/>
                    </w:rPr>
                    <w:t>3</w:t>
                  </w:r>
                  <w:r>
                    <w:rPr>
                      <w:color w:val="auto"/>
                      <w:sz w:val="18"/>
                      <w:szCs w:val="18"/>
                      <w:highlight w:val="none"/>
                    </w:rPr>
                    <w:t>的挥发性有机液体储罐，应符合下列规定之一：a）采用浮顶罐。对于内浮顶罐，浮顶与罐壁之间应采用浸液式密封、机械式鞋形密封等高效密封方式；对于外浮顶罐，浮顶与罐壁之间应采用双重密封，且一次密封应采用浸液式密封、机械式鞋形密封等高效密封方式。b）采用固定顶罐，排放的废气应收集处理达标排放，或者处理效率不低于80%。c）采用气相平衡系统。d）采用其他等效措施。</w:t>
                  </w:r>
                </w:p>
              </w:tc>
              <w:tc>
                <w:tcPr>
                  <w:tcW w:w="0" w:type="auto"/>
                  <w:vAlign w:val="center"/>
                </w:tcPr>
                <w:p>
                  <w:pPr>
                    <w:jc w:val="left"/>
                    <w:rPr>
                      <w:color w:val="auto"/>
                      <w:sz w:val="18"/>
                      <w:szCs w:val="18"/>
                      <w:highlight w:val="none"/>
                    </w:rPr>
                  </w:pPr>
                  <w:r>
                    <w:rPr>
                      <w:color w:val="auto"/>
                      <w:sz w:val="18"/>
                      <w:szCs w:val="18"/>
                      <w:highlight w:val="none"/>
                    </w:rPr>
                    <w:t>本项目使用的原料的包装为密闭包装，放置于仓库内，为室内储存。</w:t>
                  </w:r>
                </w:p>
                <w:p>
                  <w:pPr>
                    <w:jc w:val="left"/>
                    <w:rPr>
                      <w:color w:val="auto"/>
                      <w:sz w:val="18"/>
                      <w:szCs w:val="18"/>
                      <w:highlight w:val="none"/>
                    </w:rPr>
                  </w:pPr>
                  <w:r>
                    <w:rPr>
                      <w:color w:val="auto"/>
                      <w:sz w:val="18"/>
                      <w:szCs w:val="18"/>
                      <w:highlight w:val="none"/>
                    </w:rPr>
                    <w:t>盛装VOCs物料的容器在非取用状态时加盖、封口，保持密闭。符合要求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vMerge w:val="continue"/>
                  <w:vAlign w:val="center"/>
                </w:tcPr>
                <w:p>
                  <w:pPr>
                    <w:jc w:val="left"/>
                    <w:rPr>
                      <w:color w:val="auto"/>
                      <w:sz w:val="18"/>
                      <w:szCs w:val="18"/>
                      <w:highlight w:val="none"/>
                    </w:rPr>
                  </w:pPr>
                </w:p>
              </w:tc>
              <w:tc>
                <w:tcPr>
                  <w:tcW w:w="0" w:type="auto"/>
                  <w:vAlign w:val="center"/>
                </w:tcPr>
                <w:p>
                  <w:pPr>
                    <w:jc w:val="left"/>
                    <w:rPr>
                      <w:color w:val="auto"/>
                      <w:sz w:val="18"/>
                      <w:szCs w:val="18"/>
                      <w:highlight w:val="none"/>
                    </w:rPr>
                  </w:pPr>
                  <w:r>
                    <w:rPr>
                      <w:color w:val="auto"/>
                      <w:sz w:val="18"/>
                      <w:szCs w:val="18"/>
                      <w:highlight w:val="none"/>
                    </w:rPr>
                    <w:t>VOCs物料转移和输送</w:t>
                  </w:r>
                </w:p>
              </w:tc>
              <w:tc>
                <w:tcPr>
                  <w:tcW w:w="0" w:type="auto"/>
                  <w:vAlign w:val="center"/>
                </w:tcPr>
                <w:p>
                  <w:pPr>
                    <w:jc w:val="left"/>
                    <w:rPr>
                      <w:color w:val="auto"/>
                      <w:sz w:val="18"/>
                      <w:szCs w:val="18"/>
                      <w:highlight w:val="none"/>
                    </w:rPr>
                  </w:pPr>
                  <w:r>
                    <w:rPr>
                      <w:color w:val="auto"/>
                      <w:sz w:val="18"/>
                      <w:szCs w:val="18"/>
                      <w:highlight w:val="none"/>
                    </w:rPr>
                    <w:t>液态VOCs物料应采用管道密闭输送。采用非管道输送方式转移液态VOCs物料时，应采用密闭容器、罐车。</w:t>
                  </w:r>
                </w:p>
              </w:tc>
              <w:tc>
                <w:tcPr>
                  <w:tcW w:w="0" w:type="auto"/>
                  <w:vAlign w:val="center"/>
                </w:tcPr>
                <w:p>
                  <w:pPr>
                    <w:jc w:val="left"/>
                    <w:rPr>
                      <w:color w:val="auto"/>
                      <w:sz w:val="18"/>
                      <w:szCs w:val="18"/>
                      <w:highlight w:val="none"/>
                    </w:rPr>
                  </w:pPr>
                  <w:r>
                    <w:rPr>
                      <w:color w:val="auto"/>
                      <w:sz w:val="18"/>
                      <w:szCs w:val="18"/>
                      <w:highlight w:val="none"/>
                    </w:rPr>
                    <w:t>项目所有VOCs物料采用密闭容器包装储存</w:t>
                  </w:r>
                  <w:r>
                    <w:rPr>
                      <w:rFonts w:hint="eastAsia"/>
                      <w:color w:val="auto"/>
                      <w:sz w:val="18"/>
                      <w:szCs w:val="18"/>
                      <w:highlight w:val="none"/>
                    </w:rPr>
                    <w:t>输送</w:t>
                  </w:r>
                  <w:r>
                    <w:rPr>
                      <w:color w:val="auto"/>
                      <w:sz w:val="18"/>
                      <w:szCs w:val="18"/>
                      <w:highlight w:val="none"/>
                    </w:rPr>
                    <w:t>，符合要求</w:t>
                  </w:r>
                  <w:r>
                    <w:rPr>
                      <w:rFonts w:hint="eastAsia"/>
                      <w:color w:val="auto"/>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0" w:type="auto"/>
                  <w:vMerge w:val="continue"/>
                  <w:vAlign w:val="center"/>
                </w:tcPr>
                <w:p>
                  <w:pPr>
                    <w:jc w:val="left"/>
                    <w:rPr>
                      <w:color w:val="auto"/>
                      <w:sz w:val="18"/>
                      <w:szCs w:val="18"/>
                      <w:highlight w:val="none"/>
                    </w:rPr>
                  </w:pPr>
                </w:p>
              </w:tc>
              <w:tc>
                <w:tcPr>
                  <w:tcW w:w="0" w:type="auto"/>
                  <w:vAlign w:val="center"/>
                </w:tcPr>
                <w:p>
                  <w:pPr>
                    <w:jc w:val="left"/>
                    <w:rPr>
                      <w:color w:val="auto"/>
                      <w:sz w:val="18"/>
                      <w:szCs w:val="18"/>
                      <w:highlight w:val="none"/>
                    </w:rPr>
                  </w:pPr>
                  <w:r>
                    <w:rPr>
                      <w:color w:val="auto"/>
                      <w:sz w:val="18"/>
                      <w:szCs w:val="18"/>
                      <w:highlight w:val="none"/>
                    </w:rPr>
                    <w:t>工艺过程</w:t>
                  </w:r>
                </w:p>
              </w:tc>
              <w:tc>
                <w:tcPr>
                  <w:tcW w:w="0" w:type="auto"/>
                  <w:vAlign w:val="center"/>
                </w:tcPr>
                <w:p>
                  <w:pPr>
                    <w:jc w:val="left"/>
                    <w:rPr>
                      <w:color w:val="auto"/>
                      <w:sz w:val="18"/>
                      <w:szCs w:val="18"/>
                      <w:highlight w:val="none"/>
                    </w:rPr>
                  </w:pPr>
                  <w:r>
                    <w:rPr>
                      <w:rFonts w:hint="eastAsia"/>
                      <w:color w:val="auto"/>
                      <w:sz w:val="18"/>
                      <w:szCs w:val="18"/>
                      <w:highlight w:val="none"/>
                    </w:rPr>
                    <w:t>1、</w:t>
                  </w:r>
                  <w:r>
                    <w:rPr>
                      <w:color w:val="auto"/>
                      <w:sz w:val="18"/>
                      <w:szCs w:val="18"/>
                      <w:highlight w:val="none"/>
                    </w:rPr>
                    <w:t>液态VOCs物料采用密闭管道输送方式或采用高位槽（罐）、桶泵等给料方式密闭投加；无法密闭投加的，在密闭空间内操作，或进行局部气体收集，废气排至VOCs废气收集处理系统。</w:t>
                  </w:r>
                </w:p>
                <w:p>
                  <w:pPr>
                    <w:jc w:val="left"/>
                    <w:rPr>
                      <w:color w:val="auto"/>
                      <w:sz w:val="18"/>
                      <w:szCs w:val="18"/>
                      <w:highlight w:val="none"/>
                    </w:rPr>
                  </w:pPr>
                  <w:r>
                    <w:rPr>
                      <w:rFonts w:hint="eastAsia"/>
                      <w:color w:val="auto"/>
                      <w:sz w:val="18"/>
                      <w:szCs w:val="18"/>
                      <w:highlight w:val="none"/>
                    </w:rPr>
                    <w:t>2、</w:t>
                  </w:r>
                  <w:r>
                    <w:rPr>
                      <w:color w:val="auto"/>
                      <w:sz w:val="18"/>
                      <w:szCs w:val="18"/>
                      <w:highlight w:val="none"/>
                    </w:rPr>
                    <w:t>粉状、粒状VOCs物料采用气力输送方式或采用密闭固体投料器等给料方式密闭投加；无法密闭投加的，在密闭空间内操作，或进行局部气体收集，废气排至除尘设施、VOCs废气收集处理系统。</w:t>
                  </w:r>
                </w:p>
                <w:p>
                  <w:pPr>
                    <w:jc w:val="left"/>
                    <w:rPr>
                      <w:color w:val="auto"/>
                      <w:sz w:val="18"/>
                      <w:szCs w:val="18"/>
                      <w:highlight w:val="none"/>
                    </w:rPr>
                  </w:pPr>
                  <w:r>
                    <w:rPr>
                      <w:rFonts w:hint="eastAsia"/>
                      <w:color w:val="auto"/>
                      <w:sz w:val="18"/>
                      <w:szCs w:val="18"/>
                      <w:highlight w:val="none"/>
                    </w:rPr>
                    <w:t>3、</w:t>
                  </w:r>
                  <w:r>
                    <w:rPr>
                      <w:color w:val="auto"/>
                      <w:sz w:val="18"/>
                      <w:szCs w:val="18"/>
                      <w:highlight w:val="none"/>
                    </w:rPr>
                    <w:t>在混合/混炼、塑炼/塑化/熔化、加工成型（挤出、注射、压制、压延、发泡、纺丝等）、硫化等作业中应采用密闭设备或在密闭空间中操作，废气应排至VOCs废气收集处理系统；无法密闭的，应采取局部气体收集措施，废气应排至VOCs废气收集处理系统。</w:t>
                  </w:r>
                </w:p>
                <w:p>
                  <w:pPr>
                    <w:jc w:val="left"/>
                    <w:rPr>
                      <w:color w:val="auto"/>
                      <w:sz w:val="18"/>
                      <w:szCs w:val="18"/>
                      <w:highlight w:val="none"/>
                    </w:rPr>
                  </w:pPr>
                  <w:r>
                    <w:rPr>
                      <w:rFonts w:hint="eastAsia"/>
                      <w:color w:val="auto"/>
                      <w:sz w:val="18"/>
                      <w:szCs w:val="18"/>
                      <w:highlight w:val="none"/>
                    </w:rPr>
                    <w:t>4、</w:t>
                  </w:r>
                  <w:r>
                    <w:rPr>
                      <w:color w:val="auto"/>
                      <w:sz w:val="18"/>
                      <w:szCs w:val="18"/>
                      <w:highlight w:val="none"/>
                    </w:rPr>
                    <w:t>浸胶、胶浆喷涂、涂胶、喷漆、印刷、清洗等工序使用VOCs质量占比大于等于10%的原辅材料时，其使用过程应采用密闭设备或在密闭空间内操作，废气应排至VOCs废气收集处理系统；无法密闭的，应采取局部气体收集措施，废气应排至VOCs废气收集处理系统。</w:t>
                  </w:r>
                </w:p>
              </w:tc>
              <w:tc>
                <w:tcPr>
                  <w:tcW w:w="0" w:type="auto"/>
                  <w:vAlign w:val="center"/>
                </w:tcPr>
                <w:p>
                  <w:pPr>
                    <w:jc w:val="left"/>
                    <w:rPr>
                      <w:color w:val="auto"/>
                      <w:sz w:val="18"/>
                      <w:szCs w:val="18"/>
                      <w:highlight w:val="none"/>
                    </w:rPr>
                  </w:pPr>
                  <w:r>
                    <w:rPr>
                      <w:rFonts w:hint="eastAsia"/>
                      <w:color w:val="auto"/>
                      <w:sz w:val="18"/>
                      <w:szCs w:val="18"/>
                      <w:highlight w:val="none"/>
                    </w:rPr>
                    <w:t>项目</w:t>
                  </w:r>
                  <w:r>
                    <w:rPr>
                      <w:color w:val="auto"/>
                      <w:sz w:val="18"/>
                      <w:szCs w:val="18"/>
                      <w:highlight w:val="none"/>
                    </w:rPr>
                    <w:t>液态VOCs物料采用密闭管道输送方式</w:t>
                  </w:r>
                  <w:r>
                    <w:rPr>
                      <w:rFonts w:hint="eastAsia"/>
                      <w:color w:val="auto"/>
                      <w:sz w:val="18"/>
                      <w:szCs w:val="18"/>
                      <w:highlight w:val="none"/>
                    </w:rPr>
                    <w:t>，投料时进行局部气体收集，有机废气经收集由活性炭吸附装置处理。项目不涉及</w:t>
                  </w:r>
                  <w:r>
                    <w:rPr>
                      <w:color w:val="auto"/>
                      <w:sz w:val="18"/>
                      <w:szCs w:val="18"/>
                      <w:highlight w:val="none"/>
                    </w:rPr>
                    <w:t>合/混炼、塑炼/塑化/熔化、加工成型（挤出、注射、压制、压延、发泡、纺丝等）、硫化</w:t>
                  </w:r>
                  <w:r>
                    <w:rPr>
                      <w:rFonts w:hint="eastAsia"/>
                      <w:color w:val="auto"/>
                      <w:sz w:val="18"/>
                      <w:szCs w:val="18"/>
                      <w:highlight w:val="none"/>
                    </w:rPr>
                    <w:t>、</w:t>
                  </w:r>
                  <w:r>
                    <w:rPr>
                      <w:color w:val="auto"/>
                      <w:sz w:val="18"/>
                      <w:szCs w:val="18"/>
                      <w:highlight w:val="none"/>
                    </w:rPr>
                    <w:t>浸胶、胶浆喷涂、涂胶、喷漆、印刷、清洗等工序</w:t>
                  </w:r>
                  <w:r>
                    <w:rPr>
                      <w:rFonts w:hint="eastAsia"/>
                      <w:color w:val="auto"/>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0" w:type="auto"/>
                  <w:vMerge w:val="restart"/>
                  <w:vAlign w:val="center"/>
                </w:tcPr>
                <w:p>
                  <w:pPr>
                    <w:jc w:val="left"/>
                    <w:rPr>
                      <w:color w:val="auto"/>
                      <w:sz w:val="18"/>
                      <w:szCs w:val="18"/>
                      <w:highlight w:val="none"/>
                    </w:rPr>
                  </w:pPr>
                  <w:r>
                    <w:rPr>
                      <w:color w:val="auto"/>
                      <w:sz w:val="18"/>
                      <w:szCs w:val="18"/>
                      <w:highlight w:val="none"/>
                    </w:rPr>
                    <w:t>末端治理</w:t>
                  </w:r>
                </w:p>
              </w:tc>
              <w:tc>
                <w:tcPr>
                  <w:tcW w:w="0" w:type="auto"/>
                  <w:vAlign w:val="center"/>
                </w:tcPr>
                <w:p>
                  <w:pPr>
                    <w:jc w:val="left"/>
                    <w:rPr>
                      <w:color w:val="auto"/>
                      <w:sz w:val="18"/>
                      <w:szCs w:val="18"/>
                      <w:highlight w:val="none"/>
                    </w:rPr>
                  </w:pPr>
                  <w:r>
                    <w:rPr>
                      <w:color w:val="auto"/>
                      <w:sz w:val="18"/>
                      <w:szCs w:val="18"/>
                      <w:highlight w:val="none"/>
                    </w:rPr>
                    <w:t>废气收集</w:t>
                  </w:r>
                </w:p>
              </w:tc>
              <w:tc>
                <w:tcPr>
                  <w:tcW w:w="0" w:type="auto"/>
                  <w:vAlign w:val="center"/>
                </w:tcPr>
                <w:p>
                  <w:pPr>
                    <w:jc w:val="left"/>
                    <w:rPr>
                      <w:color w:val="auto"/>
                      <w:sz w:val="18"/>
                      <w:szCs w:val="18"/>
                      <w:highlight w:val="none"/>
                    </w:rPr>
                  </w:pPr>
                  <w:r>
                    <w:rPr>
                      <w:rFonts w:hint="eastAsia"/>
                      <w:color w:val="auto"/>
                      <w:sz w:val="18"/>
                      <w:szCs w:val="18"/>
                      <w:highlight w:val="none"/>
                    </w:rPr>
                    <w:t>1、</w:t>
                  </w:r>
                  <w:r>
                    <w:rPr>
                      <w:color w:val="auto"/>
                      <w:sz w:val="18"/>
                      <w:szCs w:val="18"/>
                      <w:highlight w:val="none"/>
                    </w:rPr>
                    <w:t>采用外部集气罩的，距集气罩开口面最远处的VOCs无组织排放位置，控制风速不低于0.3m/s。</w:t>
                  </w:r>
                </w:p>
                <w:p>
                  <w:pPr>
                    <w:jc w:val="left"/>
                    <w:rPr>
                      <w:color w:val="auto"/>
                      <w:sz w:val="18"/>
                      <w:szCs w:val="18"/>
                      <w:highlight w:val="none"/>
                    </w:rPr>
                  </w:pPr>
                  <w:r>
                    <w:rPr>
                      <w:rFonts w:hint="eastAsia"/>
                      <w:color w:val="auto"/>
                      <w:sz w:val="18"/>
                      <w:szCs w:val="18"/>
                      <w:highlight w:val="none"/>
                    </w:rPr>
                    <w:t>2、</w:t>
                  </w:r>
                  <w:r>
                    <w:rPr>
                      <w:color w:val="auto"/>
                      <w:sz w:val="18"/>
                      <w:szCs w:val="18"/>
                      <w:highlight w:val="none"/>
                    </w:rPr>
                    <w:t>废气收集系统的输送管道应密闭。废气收集系统应在负压下运行，若处于正压状态，应对管道组件的密封点进行泄漏检测，泄漏检测值不应超</w:t>
                  </w:r>
                  <w:r>
                    <w:rPr>
                      <w:rFonts w:hint="eastAsia"/>
                      <w:color w:val="auto"/>
                      <w:sz w:val="18"/>
                      <w:szCs w:val="18"/>
                      <w:highlight w:val="none"/>
                    </w:rPr>
                    <w:t>过</w:t>
                  </w:r>
                  <w:r>
                    <w:rPr>
                      <w:color w:val="auto"/>
                      <w:sz w:val="18"/>
                      <w:szCs w:val="18"/>
                      <w:highlight w:val="none"/>
                    </w:rPr>
                    <w:t>500μmol/mol，亦不应有感官可察觉泄漏。</w:t>
                  </w:r>
                </w:p>
              </w:tc>
              <w:tc>
                <w:tcPr>
                  <w:tcW w:w="0" w:type="auto"/>
                  <w:vMerge w:val="restart"/>
                  <w:vAlign w:val="center"/>
                </w:tcPr>
                <w:p>
                  <w:pPr>
                    <w:jc w:val="left"/>
                    <w:rPr>
                      <w:color w:val="auto"/>
                      <w:sz w:val="18"/>
                      <w:szCs w:val="18"/>
                      <w:highlight w:val="none"/>
                    </w:rPr>
                  </w:pPr>
                  <w:r>
                    <w:rPr>
                      <w:rFonts w:hint="eastAsia"/>
                      <w:color w:val="auto"/>
                      <w:sz w:val="18"/>
                      <w:szCs w:val="18"/>
                      <w:highlight w:val="none"/>
                    </w:rPr>
                    <w:t>项目投料、混合搅拌</w:t>
                  </w:r>
                  <w:r>
                    <w:rPr>
                      <w:rFonts w:hint="eastAsia"/>
                      <w:color w:val="auto"/>
                      <w:sz w:val="18"/>
                      <w:szCs w:val="18"/>
                      <w:highlight w:val="none"/>
                      <w:lang w:eastAsia="zh-CN"/>
                    </w:rPr>
                    <w:t>、</w:t>
                  </w:r>
                  <w:r>
                    <w:rPr>
                      <w:rFonts w:hint="eastAsia"/>
                      <w:color w:val="auto"/>
                      <w:sz w:val="18"/>
                      <w:szCs w:val="18"/>
                      <w:highlight w:val="none"/>
                      <w:lang w:val="en-US" w:eastAsia="zh-CN"/>
                    </w:rPr>
                    <w:t>研磨烘干</w:t>
                  </w:r>
                  <w:r>
                    <w:rPr>
                      <w:rFonts w:hint="eastAsia"/>
                      <w:color w:val="auto"/>
                      <w:sz w:val="18"/>
                      <w:szCs w:val="18"/>
                      <w:highlight w:val="none"/>
                    </w:rPr>
                    <w:t>工序</w:t>
                  </w:r>
                  <w:r>
                    <w:rPr>
                      <w:rFonts w:hint="eastAsia"/>
                      <w:color w:val="auto"/>
                      <w:sz w:val="18"/>
                      <w:szCs w:val="18"/>
                      <w:highlight w:val="none"/>
                      <w:lang w:val="en-US" w:eastAsia="zh-CN"/>
                    </w:rPr>
                    <w:t>设备上方</w:t>
                  </w:r>
                  <w:r>
                    <w:rPr>
                      <w:rFonts w:hint="eastAsia"/>
                      <w:color w:val="auto"/>
                      <w:sz w:val="18"/>
                      <w:szCs w:val="18"/>
                      <w:highlight w:val="none"/>
                    </w:rPr>
                    <w:t>采用</w:t>
                  </w:r>
                  <w:r>
                    <w:rPr>
                      <w:rFonts w:hint="eastAsia"/>
                      <w:color w:val="auto"/>
                      <w:sz w:val="18"/>
                      <w:szCs w:val="18"/>
                      <w:highlight w:val="none"/>
                      <w:lang w:val="en-US" w:eastAsia="zh-CN"/>
                    </w:rPr>
                    <w:t>外部集气罩</w:t>
                  </w:r>
                  <w:r>
                    <w:rPr>
                      <w:rFonts w:hint="eastAsia"/>
                      <w:color w:val="auto"/>
                      <w:sz w:val="18"/>
                      <w:szCs w:val="18"/>
                      <w:highlight w:val="none"/>
                    </w:rPr>
                    <w:t>进行</w:t>
                  </w:r>
                  <w:r>
                    <w:rPr>
                      <w:rFonts w:hint="eastAsia"/>
                      <w:color w:val="auto"/>
                      <w:sz w:val="18"/>
                      <w:szCs w:val="18"/>
                      <w:highlight w:val="none"/>
                      <w:lang w:val="en-US" w:eastAsia="zh-CN"/>
                    </w:rPr>
                    <w:t>废气</w:t>
                  </w:r>
                  <w:r>
                    <w:rPr>
                      <w:rFonts w:hint="eastAsia"/>
                      <w:color w:val="auto"/>
                      <w:sz w:val="18"/>
                      <w:szCs w:val="18"/>
                      <w:highlight w:val="none"/>
                    </w:rPr>
                    <w:t>收集，投料口风速控制在0.</w:t>
                  </w:r>
                  <w:r>
                    <w:rPr>
                      <w:rFonts w:hint="eastAsia"/>
                      <w:color w:val="auto"/>
                      <w:sz w:val="18"/>
                      <w:szCs w:val="18"/>
                      <w:highlight w:val="none"/>
                      <w:lang w:val="en-US" w:eastAsia="zh-CN"/>
                    </w:rPr>
                    <w:t>5</w:t>
                  </w:r>
                  <w:r>
                    <w:rPr>
                      <w:rFonts w:hint="eastAsia"/>
                      <w:color w:val="auto"/>
                      <w:sz w:val="18"/>
                      <w:szCs w:val="18"/>
                      <w:highlight w:val="none"/>
                    </w:rPr>
                    <w:t>m/s，</w:t>
                  </w:r>
                  <w:r>
                    <w:rPr>
                      <w:color w:val="auto"/>
                      <w:sz w:val="18"/>
                      <w:szCs w:val="18"/>
                      <w:highlight w:val="none"/>
                    </w:rPr>
                    <w:t>废气收集系统的输送管道</w:t>
                  </w:r>
                  <w:r>
                    <w:rPr>
                      <w:rFonts w:hint="eastAsia"/>
                      <w:color w:val="auto"/>
                      <w:sz w:val="18"/>
                      <w:szCs w:val="18"/>
                      <w:highlight w:val="none"/>
                    </w:rPr>
                    <w:t>定期检查，防止发生泄露，废气经收集处理后满足</w:t>
                  </w:r>
                  <w:r>
                    <w:rPr>
                      <w:rFonts w:hint="eastAsia"/>
                      <w:color w:val="FF0000"/>
                      <w:sz w:val="18"/>
                      <w:szCs w:val="18"/>
                      <w:highlight w:val="none"/>
                    </w:rPr>
                    <w:t>《</w:t>
                  </w:r>
                  <w:r>
                    <w:rPr>
                      <w:rFonts w:hint="eastAsia"/>
                      <w:color w:val="FF0000"/>
                      <w:sz w:val="18"/>
                      <w:szCs w:val="18"/>
                      <w:highlight w:val="none"/>
                      <w:lang w:val="en-US" w:eastAsia="zh-CN"/>
                    </w:rPr>
                    <w:t>橡胶制品</w:t>
                  </w:r>
                  <w:r>
                    <w:rPr>
                      <w:rFonts w:hint="eastAsia"/>
                      <w:color w:val="FF0000"/>
                      <w:sz w:val="18"/>
                      <w:szCs w:val="18"/>
                      <w:highlight w:val="none"/>
                    </w:rPr>
                    <w:t>工业污染物排放标准》（GB</w:t>
                  </w:r>
                  <w:r>
                    <w:rPr>
                      <w:rFonts w:hint="eastAsia"/>
                      <w:color w:val="FF0000"/>
                      <w:sz w:val="18"/>
                      <w:szCs w:val="18"/>
                      <w:highlight w:val="none"/>
                      <w:lang w:val="en-US" w:eastAsia="zh-CN"/>
                    </w:rPr>
                    <w:t>27632</w:t>
                  </w:r>
                  <w:r>
                    <w:rPr>
                      <w:rFonts w:hint="eastAsia"/>
                      <w:color w:val="FF0000"/>
                      <w:sz w:val="18"/>
                      <w:szCs w:val="18"/>
                      <w:highlight w:val="none"/>
                    </w:rPr>
                    <w:t>-201</w:t>
                  </w:r>
                  <w:r>
                    <w:rPr>
                      <w:rFonts w:hint="eastAsia"/>
                      <w:color w:val="FF0000"/>
                      <w:sz w:val="18"/>
                      <w:szCs w:val="18"/>
                      <w:highlight w:val="none"/>
                      <w:lang w:val="en-US" w:eastAsia="zh-CN"/>
                    </w:rPr>
                    <w:t>1</w:t>
                  </w:r>
                  <w:r>
                    <w:rPr>
                      <w:rFonts w:hint="eastAsia"/>
                      <w:color w:val="FF0000"/>
                      <w:sz w:val="18"/>
                      <w:szCs w:val="18"/>
                      <w:highlight w:val="none"/>
                    </w:rPr>
                    <w:t>）表5限值要求。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jc w:val="center"/>
              </w:trPr>
              <w:tc>
                <w:tcPr>
                  <w:tcW w:w="0" w:type="auto"/>
                  <w:vMerge w:val="continue"/>
                  <w:vAlign w:val="center"/>
                </w:tcPr>
                <w:p>
                  <w:pPr>
                    <w:jc w:val="left"/>
                    <w:rPr>
                      <w:color w:val="auto"/>
                      <w:sz w:val="18"/>
                      <w:szCs w:val="18"/>
                      <w:highlight w:val="none"/>
                    </w:rPr>
                  </w:pPr>
                </w:p>
              </w:tc>
              <w:tc>
                <w:tcPr>
                  <w:tcW w:w="0" w:type="auto"/>
                  <w:vAlign w:val="center"/>
                </w:tcPr>
                <w:p>
                  <w:pPr>
                    <w:jc w:val="left"/>
                    <w:rPr>
                      <w:color w:val="auto"/>
                      <w:sz w:val="18"/>
                      <w:szCs w:val="18"/>
                      <w:highlight w:val="none"/>
                    </w:rPr>
                  </w:pPr>
                  <w:r>
                    <w:rPr>
                      <w:color w:val="auto"/>
                      <w:sz w:val="18"/>
                      <w:szCs w:val="18"/>
                      <w:highlight w:val="none"/>
                    </w:rPr>
                    <w:t>排放水平</w:t>
                  </w:r>
                </w:p>
              </w:tc>
              <w:tc>
                <w:tcPr>
                  <w:tcW w:w="0" w:type="auto"/>
                  <w:vAlign w:val="center"/>
                </w:tcPr>
                <w:p>
                  <w:pPr>
                    <w:jc w:val="left"/>
                    <w:rPr>
                      <w:color w:val="auto"/>
                      <w:sz w:val="18"/>
                      <w:szCs w:val="18"/>
                      <w:highlight w:val="none"/>
                    </w:rPr>
                  </w:pPr>
                  <w:r>
                    <w:rPr>
                      <w:rFonts w:hint="eastAsia"/>
                      <w:color w:val="auto"/>
                      <w:sz w:val="18"/>
                      <w:szCs w:val="18"/>
                      <w:highlight w:val="none"/>
                    </w:rPr>
                    <w:t>1、塑料制品行业：a）有机废气排气筒排放浓度不高于广东省《大气污染物排放限值》（DB4427-2001）第Ⅱ时段排放限值，合成革和人造革制造企业排放浓度不高于《合成革与人造革工业污染物排放标准》（GB21902-2008）排放限值，若国家和我省出台并实施适用于塑料制品制造业的大气污染物排放标准，则有机废气排气筒排放浓度不高于相应的排放限值；车间或生产设施排气中NMHC初始排放速率≥3kg/h时，建设VOCs处理设施且处理效率≥80%；b）厂区内无组织排放监控点NMHC的小时平均浓度值不超过6mg/m</w:t>
                  </w:r>
                  <w:r>
                    <w:rPr>
                      <w:rFonts w:hint="eastAsia"/>
                      <w:color w:val="auto"/>
                      <w:sz w:val="18"/>
                      <w:szCs w:val="18"/>
                      <w:highlight w:val="none"/>
                      <w:vertAlign w:val="superscript"/>
                    </w:rPr>
                    <w:t>3</w:t>
                  </w:r>
                  <w:r>
                    <w:rPr>
                      <w:rFonts w:hint="eastAsia"/>
                      <w:color w:val="auto"/>
                      <w:sz w:val="18"/>
                      <w:szCs w:val="18"/>
                      <w:highlight w:val="none"/>
                    </w:rPr>
                    <w:t>，任意一次浓度值不超过20mg/m</w:t>
                  </w:r>
                  <w:r>
                    <w:rPr>
                      <w:rFonts w:hint="eastAsia"/>
                      <w:color w:val="auto"/>
                      <w:sz w:val="18"/>
                      <w:szCs w:val="18"/>
                      <w:highlight w:val="none"/>
                      <w:vertAlign w:val="superscript"/>
                    </w:rPr>
                    <w:t>3</w:t>
                  </w:r>
                  <w:r>
                    <w:rPr>
                      <w:rFonts w:hint="eastAsia"/>
                      <w:color w:val="auto"/>
                      <w:sz w:val="18"/>
                      <w:szCs w:val="18"/>
                      <w:highlight w:val="none"/>
                    </w:rPr>
                    <w:t>。</w:t>
                  </w:r>
                </w:p>
              </w:tc>
              <w:tc>
                <w:tcPr>
                  <w:tcW w:w="0" w:type="auto"/>
                  <w:vMerge w:val="continue"/>
                  <w:vAlign w:val="center"/>
                </w:tcPr>
                <w:p>
                  <w:pPr>
                    <w:jc w:val="left"/>
                    <w:rPr>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0" w:type="auto"/>
                  <w:vMerge w:val="continue"/>
                  <w:vAlign w:val="center"/>
                </w:tcPr>
                <w:p>
                  <w:pPr>
                    <w:jc w:val="left"/>
                    <w:rPr>
                      <w:color w:val="auto"/>
                      <w:sz w:val="18"/>
                      <w:szCs w:val="18"/>
                      <w:highlight w:val="none"/>
                    </w:rPr>
                  </w:pPr>
                </w:p>
              </w:tc>
              <w:tc>
                <w:tcPr>
                  <w:tcW w:w="0" w:type="auto"/>
                  <w:vAlign w:val="center"/>
                </w:tcPr>
                <w:p>
                  <w:pPr>
                    <w:jc w:val="left"/>
                    <w:rPr>
                      <w:color w:val="auto"/>
                      <w:sz w:val="18"/>
                      <w:szCs w:val="18"/>
                      <w:highlight w:val="none"/>
                    </w:rPr>
                  </w:pPr>
                  <w:r>
                    <w:rPr>
                      <w:color w:val="auto"/>
                      <w:sz w:val="18"/>
                      <w:szCs w:val="18"/>
                      <w:highlight w:val="none"/>
                    </w:rPr>
                    <w:t>治理设施设计与运行管理</w:t>
                  </w:r>
                </w:p>
              </w:tc>
              <w:tc>
                <w:tcPr>
                  <w:tcW w:w="0" w:type="auto"/>
                  <w:vAlign w:val="center"/>
                </w:tcPr>
                <w:p>
                  <w:pPr>
                    <w:jc w:val="left"/>
                    <w:rPr>
                      <w:color w:val="auto"/>
                      <w:sz w:val="18"/>
                      <w:szCs w:val="18"/>
                      <w:highlight w:val="none"/>
                    </w:rPr>
                  </w:pPr>
                  <w:r>
                    <w:rPr>
                      <w:color w:val="auto"/>
                      <w:sz w:val="18"/>
                      <w:szCs w:val="18"/>
                      <w:highlight w:val="none"/>
                    </w:rPr>
                    <w:t>吸附床（含活性炭吸附法）：a）预处理设备应根据废气的成分、性质和影响吸附过程的物质性质及含量进行选择；b）吸附床层的吸附剂用量应根据废气处理量、污染物浓度和吸附剂的动态吸附量确定；c）吸附剂应及时更换或有效再生。</w:t>
                  </w:r>
                </w:p>
                <w:p>
                  <w:pPr>
                    <w:jc w:val="left"/>
                    <w:rPr>
                      <w:color w:val="auto"/>
                      <w:sz w:val="18"/>
                      <w:szCs w:val="18"/>
                      <w:highlight w:val="none"/>
                    </w:rPr>
                  </w:pPr>
                  <w:r>
                    <w:rPr>
                      <w:color w:val="auto"/>
                      <w:sz w:val="18"/>
                      <w:szCs w:val="18"/>
                      <w:highlight w:val="none"/>
                    </w:rPr>
                    <w:t>VOCs治理设施应与生产工艺设备同步运行，VOCs治理设施发生故障或检修时，对应的生产工艺设备应停止运行，待检修完毕后同步投入使用；生产工艺设备不能停止运行或不能及时停止运行的，应设置废气应急处理设施或采取其他替代措施。</w:t>
                  </w:r>
                </w:p>
              </w:tc>
              <w:tc>
                <w:tcPr>
                  <w:tcW w:w="0" w:type="auto"/>
                  <w:vAlign w:val="center"/>
                </w:tcPr>
                <w:p>
                  <w:pPr>
                    <w:jc w:val="left"/>
                    <w:rPr>
                      <w:color w:val="auto"/>
                      <w:sz w:val="18"/>
                      <w:szCs w:val="18"/>
                      <w:highlight w:val="none"/>
                    </w:rPr>
                  </w:pPr>
                  <w:r>
                    <w:rPr>
                      <w:color w:val="auto"/>
                      <w:sz w:val="18"/>
                      <w:szCs w:val="18"/>
                      <w:highlight w:val="none"/>
                    </w:rPr>
                    <w:t>废气治理设施应与生产工艺设备同步运行，废气治理设施发生故障或检修时，对应的生产工艺设备应停止运行，待检修完毕后同步投入使用，符合要求。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0" w:type="auto"/>
                  <w:vMerge w:val="restart"/>
                  <w:vAlign w:val="center"/>
                </w:tcPr>
                <w:p>
                  <w:pPr>
                    <w:jc w:val="left"/>
                    <w:rPr>
                      <w:color w:val="auto"/>
                      <w:sz w:val="18"/>
                      <w:szCs w:val="18"/>
                      <w:highlight w:val="none"/>
                    </w:rPr>
                  </w:pPr>
                  <w:r>
                    <w:rPr>
                      <w:color w:val="auto"/>
                      <w:sz w:val="18"/>
                      <w:szCs w:val="18"/>
                      <w:highlight w:val="none"/>
                    </w:rPr>
                    <w:t>环境管理</w:t>
                  </w:r>
                </w:p>
              </w:tc>
              <w:tc>
                <w:tcPr>
                  <w:tcW w:w="0" w:type="auto"/>
                  <w:vAlign w:val="center"/>
                </w:tcPr>
                <w:p>
                  <w:pPr>
                    <w:jc w:val="left"/>
                    <w:rPr>
                      <w:color w:val="auto"/>
                      <w:sz w:val="18"/>
                      <w:szCs w:val="18"/>
                      <w:highlight w:val="none"/>
                    </w:rPr>
                  </w:pPr>
                  <w:r>
                    <w:rPr>
                      <w:color w:val="auto"/>
                      <w:sz w:val="18"/>
                      <w:szCs w:val="18"/>
                      <w:highlight w:val="none"/>
                    </w:rPr>
                    <w:t>管理台账</w:t>
                  </w:r>
                </w:p>
              </w:tc>
              <w:tc>
                <w:tcPr>
                  <w:tcW w:w="0" w:type="auto"/>
                  <w:vAlign w:val="center"/>
                </w:tcPr>
                <w:p>
                  <w:pPr>
                    <w:jc w:val="left"/>
                    <w:rPr>
                      <w:color w:val="auto"/>
                      <w:sz w:val="18"/>
                      <w:szCs w:val="18"/>
                      <w:highlight w:val="none"/>
                    </w:rPr>
                  </w:pPr>
                  <w:r>
                    <w:rPr>
                      <w:color w:val="auto"/>
                      <w:sz w:val="18"/>
                      <w:szCs w:val="18"/>
                      <w:highlight w:val="none"/>
                    </w:rPr>
                    <w:t>1、建立含VOCs原辅材料台账，记录含VOCs原辅材料的名称及其VOCs含量、采购量、使用量、库存量、含VOCs原辅材料回收方式及回收量。</w:t>
                  </w:r>
                </w:p>
                <w:p>
                  <w:pPr>
                    <w:jc w:val="left"/>
                    <w:rPr>
                      <w:color w:val="auto"/>
                      <w:sz w:val="18"/>
                      <w:szCs w:val="18"/>
                      <w:highlight w:val="none"/>
                    </w:rPr>
                  </w:pPr>
                  <w:r>
                    <w:rPr>
                      <w:color w:val="auto"/>
                      <w:sz w:val="18"/>
                      <w:szCs w:val="18"/>
                      <w:highlight w:val="none"/>
                    </w:rPr>
                    <w:t>2、建立废气收集处理设施台账，记录废气处理设施进出口的监测数据（废气量、浓度、温度、含氧量等）、废气收集与处理设施关键参数、废气处理设施相关耗材（吸收剂、吸附剂、催化剂等）购买和处理记录。3、建立危废台账，整理危废处置合同、转移联单及危废处理方资质佐证材料。</w:t>
                  </w:r>
                </w:p>
              </w:tc>
              <w:tc>
                <w:tcPr>
                  <w:tcW w:w="0" w:type="auto"/>
                  <w:vAlign w:val="center"/>
                </w:tcPr>
                <w:p>
                  <w:pPr>
                    <w:jc w:val="left"/>
                    <w:rPr>
                      <w:color w:val="auto"/>
                      <w:sz w:val="18"/>
                      <w:szCs w:val="18"/>
                      <w:highlight w:val="none"/>
                    </w:rPr>
                  </w:pPr>
                  <w:r>
                    <w:rPr>
                      <w:color w:val="auto"/>
                      <w:sz w:val="18"/>
                      <w:szCs w:val="18"/>
                      <w:highlight w:val="none"/>
                    </w:rPr>
                    <w:t>本评价要求企业建立台帐，记录含VOCs原辅材料和含VOCs产品的相关信息。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0" w:type="auto"/>
                  <w:vMerge w:val="continue"/>
                  <w:vAlign w:val="center"/>
                </w:tcPr>
                <w:p>
                  <w:pPr>
                    <w:jc w:val="left"/>
                    <w:rPr>
                      <w:color w:val="auto"/>
                      <w:sz w:val="18"/>
                      <w:szCs w:val="18"/>
                      <w:highlight w:val="none"/>
                    </w:rPr>
                  </w:pPr>
                </w:p>
              </w:tc>
              <w:tc>
                <w:tcPr>
                  <w:tcW w:w="0" w:type="auto"/>
                  <w:vAlign w:val="center"/>
                </w:tcPr>
                <w:p>
                  <w:pPr>
                    <w:jc w:val="left"/>
                    <w:rPr>
                      <w:color w:val="auto"/>
                      <w:sz w:val="18"/>
                      <w:szCs w:val="18"/>
                      <w:highlight w:val="none"/>
                    </w:rPr>
                  </w:pPr>
                  <w:r>
                    <w:rPr>
                      <w:color w:val="auto"/>
                      <w:sz w:val="18"/>
                      <w:szCs w:val="18"/>
                      <w:highlight w:val="none"/>
                    </w:rPr>
                    <w:t>危废管理</w:t>
                  </w:r>
                </w:p>
              </w:tc>
              <w:tc>
                <w:tcPr>
                  <w:tcW w:w="0" w:type="auto"/>
                  <w:vAlign w:val="center"/>
                </w:tcPr>
                <w:p>
                  <w:pPr>
                    <w:jc w:val="left"/>
                    <w:rPr>
                      <w:color w:val="auto"/>
                      <w:sz w:val="18"/>
                      <w:szCs w:val="18"/>
                      <w:highlight w:val="none"/>
                    </w:rPr>
                  </w:pPr>
                  <w:r>
                    <w:rPr>
                      <w:color w:val="auto"/>
                      <w:sz w:val="18"/>
                      <w:szCs w:val="18"/>
                      <w:highlight w:val="none"/>
                    </w:rPr>
                    <w:t>工艺过程产生的含VOCs废料（渣、液）应按照相关要求进行储存、转移和输送。盛装过VOCs物料的废包装容器应加盖密闭。</w:t>
                  </w:r>
                </w:p>
              </w:tc>
              <w:tc>
                <w:tcPr>
                  <w:tcW w:w="0" w:type="auto"/>
                  <w:vAlign w:val="center"/>
                </w:tcPr>
                <w:p>
                  <w:pPr>
                    <w:jc w:val="left"/>
                    <w:rPr>
                      <w:color w:val="auto"/>
                      <w:sz w:val="18"/>
                      <w:szCs w:val="18"/>
                      <w:highlight w:val="none"/>
                    </w:rPr>
                  </w:pPr>
                  <w:r>
                    <w:rPr>
                      <w:color w:val="auto"/>
                      <w:sz w:val="18"/>
                      <w:szCs w:val="18"/>
                      <w:highlight w:val="none"/>
                    </w:rPr>
                    <w:t>设置危废暂存间储存，并将含VOCs废活性炭交由有资质单位处理。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0" w:type="auto"/>
                  <w:vAlign w:val="center"/>
                </w:tcPr>
                <w:p>
                  <w:pPr>
                    <w:jc w:val="left"/>
                    <w:rPr>
                      <w:color w:val="auto"/>
                      <w:sz w:val="18"/>
                      <w:szCs w:val="18"/>
                      <w:highlight w:val="none"/>
                    </w:rPr>
                  </w:pPr>
                  <w:r>
                    <w:rPr>
                      <w:color w:val="auto"/>
                      <w:sz w:val="18"/>
                      <w:szCs w:val="18"/>
                      <w:highlight w:val="none"/>
                    </w:rPr>
                    <w:t>其他</w:t>
                  </w:r>
                </w:p>
              </w:tc>
              <w:tc>
                <w:tcPr>
                  <w:tcW w:w="0" w:type="auto"/>
                  <w:vAlign w:val="center"/>
                </w:tcPr>
                <w:p>
                  <w:pPr>
                    <w:jc w:val="left"/>
                    <w:rPr>
                      <w:color w:val="auto"/>
                      <w:sz w:val="18"/>
                      <w:szCs w:val="18"/>
                      <w:highlight w:val="none"/>
                    </w:rPr>
                  </w:pPr>
                  <w:r>
                    <w:rPr>
                      <w:color w:val="auto"/>
                      <w:sz w:val="18"/>
                      <w:szCs w:val="18"/>
                      <w:highlight w:val="none"/>
                    </w:rPr>
                    <w:t>建设项目VOCs总量管理</w:t>
                  </w:r>
                </w:p>
              </w:tc>
              <w:tc>
                <w:tcPr>
                  <w:tcW w:w="0" w:type="auto"/>
                  <w:vAlign w:val="center"/>
                </w:tcPr>
                <w:p>
                  <w:pPr>
                    <w:jc w:val="left"/>
                    <w:rPr>
                      <w:color w:val="auto"/>
                      <w:sz w:val="18"/>
                      <w:szCs w:val="18"/>
                      <w:highlight w:val="none"/>
                    </w:rPr>
                  </w:pPr>
                  <w:r>
                    <w:rPr>
                      <w:color w:val="auto"/>
                      <w:sz w:val="18"/>
                      <w:szCs w:val="18"/>
                      <w:highlight w:val="none"/>
                    </w:rPr>
                    <w:t>新、改、扩建项目应执行总量替代制度，明确VOCs总量指标来源。</w:t>
                  </w:r>
                </w:p>
              </w:tc>
              <w:tc>
                <w:tcPr>
                  <w:tcW w:w="0" w:type="auto"/>
                  <w:vAlign w:val="center"/>
                </w:tcPr>
                <w:p>
                  <w:pPr>
                    <w:jc w:val="left"/>
                    <w:rPr>
                      <w:color w:val="auto"/>
                      <w:sz w:val="18"/>
                      <w:szCs w:val="18"/>
                      <w:highlight w:val="none"/>
                    </w:rPr>
                  </w:pPr>
                  <w:r>
                    <w:rPr>
                      <w:color w:val="auto"/>
                      <w:sz w:val="18"/>
                      <w:szCs w:val="18"/>
                      <w:highlight w:val="none"/>
                    </w:rPr>
                    <w:t>本项目执行总量替代制度，VOCs总量指标由惠州市生态环境局博罗分局调配，符合要求。</w:t>
                  </w:r>
                </w:p>
              </w:tc>
            </w:tr>
          </w:tbl>
          <w:p>
            <w:pPr>
              <w:pStyle w:val="119"/>
              <w:spacing w:before="120" w:beforeLines="50" w:line="360" w:lineRule="auto"/>
              <w:ind w:firstLine="422"/>
              <w:rPr>
                <w:rFonts w:cs="Times New Roman"/>
                <w:b/>
                <w:color w:val="auto"/>
                <w:highlight w:val="none"/>
                <w:lang w:eastAsia="zh-CN"/>
              </w:rPr>
            </w:pPr>
            <w:r>
              <w:rPr>
                <w:rFonts w:hint="eastAsia" w:cs="Times New Roman"/>
                <w:b/>
                <w:color w:val="auto"/>
                <w:highlight w:val="none"/>
                <w:lang w:eastAsia="zh-CN"/>
              </w:rPr>
              <w:t>9</w:t>
            </w:r>
            <w:r>
              <w:rPr>
                <w:rFonts w:cs="Times New Roman"/>
                <w:b/>
                <w:color w:val="auto"/>
                <w:highlight w:val="none"/>
                <w:lang w:eastAsia="zh-CN"/>
              </w:rPr>
              <w:t>、与《广东省大气污染防治条例》的相符性分析</w:t>
            </w:r>
          </w:p>
          <w:p>
            <w:pPr>
              <w:pStyle w:val="119"/>
              <w:spacing w:line="360" w:lineRule="auto"/>
              <w:ind w:firstLine="420"/>
              <w:rPr>
                <w:rFonts w:cs="Times New Roman"/>
                <w:color w:val="auto"/>
                <w:highlight w:val="none"/>
                <w:lang w:eastAsia="zh-CN"/>
              </w:rPr>
            </w:pPr>
            <w:r>
              <w:rPr>
                <w:rFonts w:cs="Times New Roman"/>
                <w:color w:val="auto"/>
                <w:highlight w:val="none"/>
                <w:lang w:eastAsia="zh-CN"/>
              </w:rPr>
              <w:t>以下内容引用自《广东省大气污染防治条例》</w:t>
            </w:r>
          </w:p>
          <w:p>
            <w:pPr>
              <w:pStyle w:val="119"/>
              <w:spacing w:line="360" w:lineRule="auto"/>
              <w:ind w:firstLine="420"/>
              <w:rPr>
                <w:rFonts w:cs="Times New Roman"/>
                <w:color w:val="auto"/>
                <w:highlight w:val="none"/>
                <w:lang w:eastAsia="zh-CN"/>
              </w:rPr>
            </w:pPr>
            <w:r>
              <w:rPr>
                <w:rFonts w:hint="eastAsia" w:cs="Times New Roman"/>
                <w:color w:val="auto"/>
                <w:highlight w:val="none"/>
                <w:lang w:eastAsia="zh-CN"/>
              </w:rPr>
              <w:t>第十三条 新建、改建、扩建新增排放重点大气污染物的建设项目，建设单位应当在报批环境影响评价文件前按照规定向生态环境主管部门申请取得重点大气污染物排放总量控制指标。</w:t>
            </w:r>
          </w:p>
          <w:p>
            <w:pPr>
              <w:pStyle w:val="119"/>
              <w:spacing w:line="360" w:lineRule="auto"/>
              <w:ind w:firstLine="420"/>
              <w:rPr>
                <w:rFonts w:cs="Times New Roman"/>
                <w:color w:val="auto"/>
                <w:highlight w:val="none"/>
                <w:lang w:eastAsia="zh-CN"/>
              </w:rPr>
            </w:pPr>
            <w:r>
              <w:rPr>
                <w:rFonts w:hint="eastAsia" w:cs="Times New Roman"/>
                <w:color w:val="auto"/>
                <w:highlight w:val="none"/>
                <w:lang w:eastAsia="zh-CN"/>
              </w:rPr>
              <w:t>生态环境主管部门按照等量或者减量替代的原则核定重点大气污染物排放总量控制指标。</w:t>
            </w:r>
          </w:p>
          <w:p>
            <w:pPr>
              <w:pStyle w:val="119"/>
              <w:spacing w:line="360" w:lineRule="auto"/>
              <w:ind w:firstLine="420"/>
              <w:rPr>
                <w:rFonts w:cs="Times New Roman"/>
                <w:color w:val="auto"/>
                <w:highlight w:val="none"/>
                <w:lang w:eastAsia="zh-CN"/>
              </w:rPr>
            </w:pPr>
            <w:r>
              <w:rPr>
                <w:rFonts w:hint="eastAsia" w:cs="Times New Roman"/>
                <w:color w:val="auto"/>
                <w:highlight w:val="none"/>
                <w:lang w:eastAsia="zh-CN"/>
              </w:rPr>
              <w:t>新增重点大气污染物排放总量控制指标可以通过实施工程治理减排、结构调整减排项目或者排污权交易等方式取得。</w:t>
            </w:r>
          </w:p>
          <w:p>
            <w:pPr>
              <w:pStyle w:val="119"/>
              <w:spacing w:line="360" w:lineRule="auto"/>
              <w:ind w:firstLine="420"/>
              <w:rPr>
                <w:rFonts w:cs="Times New Roman"/>
                <w:color w:val="auto"/>
                <w:highlight w:val="none"/>
                <w:lang w:eastAsia="zh-CN"/>
              </w:rPr>
            </w:pPr>
            <w:r>
              <w:rPr>
                <w:rFonts w:hint="eastAsia" w:cs="Times New Roman"/>
                <w:color w:val="auto"/>
                <w:highlight w:val="none"/>
                <w:lang w:eastAsia="zh-CN"/>
              </w:rPr>
              <w:t>第十七条 珠江三角洲区域禁止新建、扩建燃煤燃油火电机组或者企业燃煤燃油自备电站。珠江三角洲区域禁止新建、扩建国家规划外的钢铁、原油加工、乙烯生产、造纸、水泥、平板玻璃、除特种陶瓷以外的陶瓷、有色金属冶炼等大气重污染项目。</w:t>
            </w:r>
          </w:p>
          <w:p>
            <w:pPr>
              <w:pStyle w:val="119"/>
              <w:spacing w:line="360" w:lineRule="auto"/>
              <w:ind w:firstLine="422"/>
              <w:rPr>
                <w:color w:val="auto"/>
                <w:highlight w:val="none"/>
              </w:rPr>
            </w:pPr>
            <w:r>
              <w:rPr>
                <w:rFonts w:hint="eastAsia" w:cs="Times New Roman"/>
                <w:b/>
                <w:bCs/>
                <w:color w:val="auto"/>
                <w:highlight w:val="none"/>
                <w:lang w:eastAsia="zh-CN"/>
              </w:rPr>
              <w:t>相符性分析：</w:t>
            </w:r>
            <w:r>
              <w:rPr>
                <w:rFonts w:hint="eastAsia" w:cs="Times New Roman"/>
                <w:color w:val="auto"/>
                <w:highlight w:val="none"/>
                <w:lang w:eastAsia="zh-CN"/>
              </w:rPr>
              <w:t>本项目属于</w:t>
            </w:r>
            <w:r>
              <w:rPr>
                <w:color w:val="auto"/>
                <w:highlight w:val="none"/>
              </w:rPr>
              <w:t>C</w:t>
            </w:r>
            <w:r>
              <w:rPr>
                <w:rFonts w:hint="eastAsia"/>
                <w:color w:val="auto"/>
                <w:szCs w:val="21"/>
                <w:highlight w:val="none"/>
                <w:lang w:eastAsia="zh-CN"/>
              </w:rPr>
              <w:t>2916运动场地用塑胶制造</w:t>
            </w:r>
            <w:r>
              <w:rPr>
                <w:rFonts w:hint="eastAsia"/>
                <w:color w:val="auto"/>
                <w:highlight w:val="none"/>
                <w:lang w:eastAsia="zh-CN"/>
              </w:rPr>
              <w:t>，</w:t>
            </w:r>
            <w:r>
              <w:rPr>
                <w:rFonts w:hint="eastAsia" w:cs="Times New Roman"/>
                <w:color w:val="auto"/>
                <w:highlight w:val="none"/>
                <w:lang w:eastAsia="zh-CN"/>
              </w:rPr>
              <w:t>不属于上述禁止行业，不属于大气重污染项目，项目运营期排放重点大气污染物—挥发性有机物，由惠州市生态环境局博罗分局调配。挥发性有机物总量按减量替代原则核定，项目不设置燃煤锅炉。因此，项目符合《广东省大气污染防治条例》的相关规定。</w:t>
            </w:r>
          </w:p>
        </w:tc>
      </w:tr>
    </w:tbl>
    <w:p>
      <w:pPr>
        <w:spacing w:line="360" w:lineRule="auto"/>
        <w:outlineLvl w:val="0"/>
        <w:rPr>
          <w:rFonts w:eastAsia="黑体"/>
          <w:color w:val="auto"/>
          <w:sz w:val="30"/>
        </w:rPr>
        <w:sectPr>
          <w:footerReference r:id="rId6" w:type="default"/>
          <w:pgSz w:w="11906" w:h="16838"/>
          <w:pgMar w:top="1701" w:right="1531" w:bottom="1701" w:left="1531" w:header="851" w:footer="1077" w:gutter="0"/>
          <w:pgNumType w:start="1"/>
          <w:cols w:space="720" w:num="1"/>
          <w:docGrid w:linePitch="312" w:charSpace="0"/>
        </w:sectPr>
      </w:pPr>
    </w:p>
    <w:p>
      <w:pPr>
        <w:pStyle w:val="33"/>
        <w:jc w:val="center"/>
        <w:outlineLvl w:val="0"/>
        <w:rPr>
          <w:rFonts w:cs="宋体"/>
          <w:snapToGrid w:val="0"/>
          <w:color w:val="auto"/>
          <w:sz w:val="30"/>
          <w:szCs w:val="30"/>
        </w:rPr>
      </w:pPr>
      <w:r>
        <w:rPr>
          <w:rFonts w:hint="eastAsia" w:cs="宋体"/>
          <w:snapToGrid w:val="0"/>
          <w:color w:val="auto"/>
          <w:sz w:val="30"/>
          <w:szCs w:val="30"/>
        </w:rPr>
        <w:t>二、建设项目工程分析</w:t>
      </w:r>
    </w:p>
    <w:tbl>
      <w:tblPr>
        <w:tblStyle w:val="3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75"/>
        <w:gridCol w:w="858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90" w:hRule="atLeast"/>
          <w:jc w:val="center"/>
        </w:trPr>
        <w:tc>
          <w:tcPr>
            <w:tcW w:w="475" w:type="dxa"/>
            <w:vAlign w:val="center"/>
          </w:tcPr>
          <w:p>
            <w:pPr>
              <w:pStyle w:val="33"/>
              <w:adjustRightInd w:val="0"/>
              <w:snapToGrid w:val="0"/>
              <w:spacing w:before="0" w:beforeAutospacing="0" w:after="0" w:afterAutospacing="0"/>
              <w:jc w:val="center"/>
              <w:rPr>
                <w:rFonts w:ascii="Times New Roman" w:hAnsi="Times New Roman"/>
                <w:color w:val="auto"/>
                <w:sz w:val="21"/>
                <w:szCs w:val="21"/>
                <w:highlight w:val="none"/>
              </w:rPr>
            </w:pPr>
            <w:r>
              <w:rPr>
                <w:rFonts w:ascii="Times New Roman" w:hAnsi="Times New Roman"/>
                <w:color w:val="auto"/>
                <w:sz w:val="21"/>
                <w:szCs w:val="21"/>
                <w:highlight w:val="none"/>
              </w:rPr>
              <w:t>建设内容</w:t>
            </w:r>
          </w:p>
        </w:tc>
        <w:tc>
          <w:tcPr>
            <w:tcW w:w="8585" w:type="dxa"/>
          </w:tcPr>
          <w:p>
            <w:pPr>
              <w:adjustRightInd w:val="0"/>
              <w:snapToGrid w:val="0"/>
              <w:spacing w:line="360" w:lineRule="auto"/>
              <w:ind w:firstLine="422" w:firstLineChars="200"/>
              <w:jc w:val="left"/>
              <w:rPr>
                <w:b/>
                <w:color w:val="auto"/>
                <w:szCs w:val="21"/>
                <w:highlight w:val="none"/>
              </w:rPr>
            </w:pPr>
            <w:r>
              <w:rPr>
                <w:rFonts w:hint="eastAsia"/>
                <w:b/>
                <w:color w:val="auto"/>
                <w:szCs w:val="21"/>
                <w:highlight w:val="none"/>
              </w:rPr>
              <w:t>1</w:t>
            </w:r>
            <w:r>
              <w:rPr>
                <w:b/>
                <w:color w:val="auto"/>
                <w:szCs w:val="21"/>
                <w:highlight w:val="none"/>
              </w:rPr>
              <w:t>、工程内容</w:t>
            </w:r>
          </w:p>
          <w:p>
            <w:pPr>
              <w:widowControl/>
              <w:snapToGrid w:val="0"/>
              <w:spacing w:line="360" w:lineRule="auto"/>
              <w:ind w:firstLine="420" w:firstLineChars="200"/>
              <w:rPr>
                <w:color w:val="auto"/>
                <w:szCs w:val="21"/>
                <w:highlight w:val="none"/>
              </w:rPr>
            </w:pPr>
            <w:r>
              <w:rPr>
                <w:color w:val="auto"/>
                <w:highlight w:val="none"/>
              </w:rPr>
              <w:t>惠州市</w:t>
            </w:r>
            <w:r>
              <w:rPr>
                <w:rFonts w:hint="eastAsia"/>
                <w:color w:val="auto"/>
                <w:highlight w:val="none"/>
              </w:rPr>
              <w:t>领跑力新材料</w:t>
            </w:r>
            <w:r>
              <w:rPr>
                <w:color w:val="auto"/>
                <w:highlight w:val="none"/>
              </w:rPr>
              <w:t>有限公司建设项目位于</w:t>
            </w:r>
            <w:r>
              <w:rPr>
                <w:color w:val="0000FF"/>
                <w:highlight w:val="none"/>
              </w:rPr>
              <w:t>惠州市</w:t>
            </w:r>
            <w:r>
              <w:rPr>
                <w:rFonts w:hint="eastAsia"/>
                <w:color w:val="0000FF"/>
                <w:highlight w:val="none"/>
              </w:rPr>
              <w:t>博罗县园洲镇田头村红边田（土名）</w:t>
            </w:r>
            <w:r>
              <w:rPr>
                <w:color w:val="auto"/>
                <w:highlight w:val="none"/>
              </w:rPr>
              <w:t>，其地理位置中心经纬度为</w:t>
            </w:r>
            <w:r>
              <w:rPr>
                <w:color w:val="0000FF"/>
                <w:highlight w:val="none"/>
              </w:rPr>
              <w:t>东经11</w:t>
            </w:r>
            <w:r>
              <w:rPr>
                <w:rFonts w:hint="eastAsia"/>
                <w:color w:val="0000FF"/>
                <w:highlight w:val="none"/>
              </w:rPr>
              <w:t>4</w:t>
            </w:r>
            <w:r>
              <w:rPr>
                <w:color w:val="0000FF"/>
                <w:highlight w:val="none"/>
              </w:rPr>
              <w:t>度</w:t>
            </w:r>
            <w:r>
              <w:rPr>
                <w:rFonts w:hint="eastAsia"/>
                <w:color w:val="0000FF"/>
                <w:highlight w:val="none"/>
              </w:rPr>
              <w:t>1</w:t>
            </w:r>
            <w:r>
              <w:rPr>
                <w:color w:val="0000FF"/>
                <w:highlight w:val="none"/>
              </w:rPr>
              <w:t>分</w:t>
            </w:r>
            <w:r>
              <w:rPr>
                <w:rFonts w:hint="eastAsia"/>
                <w:color w:val="0000FF"/>
                <w:highlight w:val="none"/>
              </w:rPr>
              <w:t>1</w:t>
            </w:r>
            <w:r>
              <w:rPr>
                <w:rFonts w:hint="eastAsia"/>
                <w:color w:val="0000FF"/>
                <w:highlight w:val="none"/>
                <w:lang w:val="en-US" w:eastAsia="zh-CN"/>
              </w:rPr>
              <w:t>6.536</w:t>
            </w:r>
            <w:r>
              <w:rPr>
                <w:color w:val="0000FF"/>
                <w:highlight w:val="none"/>
              </w:rPr>
              <w:t>秒，北纬23度</w:t>
            </w:r>
            <w:r>
              <w:rPr>
                <w:rFonts w:hint="eastAsia"/>
                <w:color w:val="0000FF"/>
                <w:highlight w:val="none"/>
              </w:rPr>
              <w:t>7分2</w:t>
            </w:r>
            <w:r>
              <w:rPr>
                <w:rFonts w:hint="eastAsia"/>
                <w:color w:val="0000FF"/>
                <w:highlight w:val="none"/>
                <w:lang w:val="en-US" w:eastAsia="zh-CN"/>
              </w:rPr>
              <w:t>0.976</w:t>
            </w:r>
            <w:r>
              <w:rPr>
                <w:color w:val="0000FF"/>
                <w:highlight w:val="none"/>
              </w:rPr>
              <w:t>秒</w:t>
            </w:r>
            <w:r>
              <w:rPr>
                <w:color w:val="auto"/>
                <w:kern w:val="18"/>
                <w:highlight w:val="none"/>
              </w:rPr>
              <w:t>（具体位置见附图1）</w:t>
            </w:r>
            <w:r>
              <w:rPr>
                <w:color w:val="auto"/>
                <w:highlight w:val="none"/>
              </w:rPr>
              <w:t>。项目租用已建成厂房进行生产，项目总占地面积</w:t>
            </w:r>
            <w:r>
              <w:rPr>
                <w:rFonts w:hint="eastAsia"/>
                <w:color w:val="auto"/>
                <w:highlight w:val="none"/>
              </w:rPr>
              <w:t>450</w:t>
            </w:r>
            <w:r>
              <w:rPr>
                <w:color w:val="auto"/>
                <w:highlight w:val="none"/>
              </w:rPr>
              <w:t>m</w:t>
            </w:r>
            <w:r>
              <w:rPr>
                <w:color w:val="auto"/>
                <w:highlight w:val="none"/>
                <w:vertAlign w:val="superscript"/>
              </w:rPr>
              <w:t>2</w:t>
            </w:r>
            <w:r>
              <w:rPr>
                <w:color w:val="auto"/>
                <w:highlight w:val="none"/>
              </w:rPr>
              <w:t>，建筑面积</w:t>
            </w:r>
            <w:r>
              <w:rPr>
                <w:rFonts w:hint="eastAsia"/>
                <w:color w:val="auto"/>
                <w:highlight w:val="none"/>
              </w:rPr>
              <w:t>450</w:t>
            </w:r>
            <w:r>
              <w:rPr>
                <w:color w:val="auto"/>
                <w:highlight w:val="none"/>
              </w:rPr>
              <w:t>m</w:t>
            </w:r>
            <w:r>
              <w:rPr>
                <w:color w:val="auto"/>
                <w:highlight w:val="none"/>
                <w:vertAlign w:val="superscript"/>
              </w:rPr>
              <w:t>2</w:t>
            </w:r>
            <w:r>
              <w:rPr>
                <w:color w:val="auto"/>
                <w:highlight w:val="none"/>
              </w:rPr>
              <w:t>，项目主要工程组成见下表。</w:t>
            </w:r>
          </w:p>
          <w:p>
            <w:pPr>
              <w:pStyle w:val="71"/>
              <w:adjustRightInd w:val="0"/>
              <w:snapToGrid w:val="0"/>
              <w:ind w:firstLine="0" w:firstLineChars="0"/>
              <w:jc w:val="center"/>
              <w:rPr>
                <w:b/>
                <w:color w:val="auto"/>
                <w:szCs w:val="21"/>
                <w:highlight w:val="none"/>
              </w:rPr>
            </w:pPr>
            <w:r>
              <w:rPr>
                <w:b/>
                <w:color w:val="auto"/>
                <w:szCs w:val="21"/>
                <w:highlight w:val="none"/>
              </w:rPr>
              <w:t>表2-1 项目主要工程内容一览表</w:t>
            </w:r>
          </w:p>
          <w:tbl>
            <w:tblPr>
              <w:tblStyle w:val="3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7"/>
              <w:gridCol w:w="687"/>
              <w:gridCol w:w="861"/>
              <w:gridCol w:w="61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0" w:type="auto"/>
                  <w:vAlign w:val="center"/>
                </w:tcPr>
                <w:p>
                  <w:pPr>
                    <w:adjustRightInd w:val="0"/>
                    <w:snapToGrid w:val="0"/>
                    <w:jc w:val="center"/>
                    <w:rPr>
                      <w:b/>
                      <w:color w:val="auto"/>
                      <w:szCs w:val="21"/>
                      <w:highlight w:val="none"/>
                    </w:rPr>
                  </w:pPr>
                  <w:r>
                    <w:rPr>
                      <w:b/>
                      <w:color w:val="auto"/>
                      <w:szCs w:val="21"/>
                      <w:highlight w:val="none"/>
                    </w:rPr>
                    <w:t>类别</w:t>
                  </w:r>
                </w:p>
              </w:tc>
              <w:tc>
                <w:tcPr>
                  <w:tcW w:w="0" w:type="auto"/>
                  <w:gridSpan w:val="2"/>
                  <w:vAlign w:val="center"/>
                </w:tcPr>
                <w:p>
                  <w:pPr>
                    <w:adjustRightInd w:val="0"/>
                    <w:snapToGrid w:val="0"/>
                    <w:jc w:val="center"/>
                    <w:rPr>
                      <w:b/>
                      <w:color w:val="auto"/>
                      <w:szCs w:val="21"/>
                      <w:highlight w:val="none"/>
                    </w:rPr>
                  </w:pPr>
                  <w:r>
                    <w:rPr>
                      <w:b/>
                      <w:color w:val="auto"/>
                      <w:szCs w:val="21"/>
                      <w:highlight w:val="none"/>
                    </w:rPr>
                    <w:t>项目名称</w:t>
                  </w:r>
                </w:p>
              </w:tc>
              <w:tc>
                <w:tcPr>
                  <w:tcW w:w="0" w:type="auto"/>
                  <w:vAlign w:val="center"/>
                </w:tcPr>
                <w:p>
                  <w:pPr>
                    <w:adjustRightInd w:val="0"/>
                    <w:snapToGrid w:val="0"/>
                    <w:jc w:val="center"/>
                    <w:rPr>
                      <w:b/>
                      <w:color w:val="auto"/>
                      <w:szCs w:val="21"/>
                      <w:highlight w:val="none"/>
                    </w:rPr>
                  </w:pPr>
                  <w:r>
                    <w:rPr>
                      <w:b/>
                      <w:color w:val="auto"/>
                      <w:szCs w:val="21"/>
                      <w:highlight w:val="none"/>
                    </w:rPr>
                    <w:t>工程内容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0" w:type="auto"/>
                  <w:vAlign w:val="center"/>
                </w:tcPr>
                <w:p>
                  <w:pPr>
                    <w:adjustRightInd w:val="0"/>
                    <w:snapToGrid w:val="0"/>
                    <w:jc w:val="center"/>
                    <w:rPr>
                      <w:bCs/>
                      <w:color w:val="auto"/>
                      <w:szCs w:val="21"/>
                      <w:highlight w:val="none"/>
                    </w:rPr>
                  </w:pPr>
                  <w:r>
                    <w:rPr>
                      <w:bCs/>
                      <w:color w:val="auto"/>
                      <w:szCs w:val="21"/>
                      <w:highlight w:val="none"/>
                    </w:rPr>
                    <w:t>主体工程</w:t>
                  </w:r>
                </w:p>
              </w:tc>
              <w:tc>
                <w:tcPr>
                  <w:tcW w:w="0" w:type="auto"/>
                  <w:gridSpan w:val="2"/>
                  <w:vAlign w:val="center"/>
                </w:tcPr>
                <w:p>
                  <w:pPr>
                    <w:adjustRightInd w:val="0"/>
                    <w:snapToGrid w:val="0"/>
                    <w:jc w:val="center"/>
                    <w:rPr>
                      <w:bCs/>
                      <w:color w:val="auto"/>
                      <w:szCs w:val="21"/>
                      <w:highlight w:val="none"/>
                    </w:rPr>
                  </w:pPr>
                  <w:r>
                    <w:rPr>
                      <w:bCs/>
                      <w:color w:val="auto"/>
                      <w:szCs w:val="21"/>
                      <w:highlight w:val="none"/>
                    </w:rPr>
                    <w:t>生产厂房</w:t>
                  </w:r>
                </w:p>
              </w:tc>
              <w:tc>
                <w:tcPr>
                  <w:tcW w:w="0" w:type="auto"/>
                  <w:vAlign w:val="center"/>
                </w:tcPr>
                <w:p>
                  <w:pPr>
                    <w:adjustRightInd w:val="0"/>
                    <w:snapToGrid w:val="0"/>
                    <w:jc w:val="center"/>
                    <w:rPr>
                      <w:bCs/>
                      <w:color w:val="auto"/>
                      <w:szCs w:val="21"/>
                      <w:highlight w:val="none"/>
                    </w:rPr>
                  </w:pPr>
                  <w:r>
                    <w:rPr>
                      <w:bCs/>
                      <w:color w:val="auto"/>
                      <w:szCs w:val="21"/>
                      <w:highlight w:val="none"/>
                    </w:rPr>
                    <w:t>建筑面积为450m</w:t>
                  </w:r>
                  <w:r>
                    <w:rPr>
                      <w:bCs/>
                      <w:color w:val="auto"/>
                      <w:szCs w:val="21"/>
                      <w:highlight w:val="none"/>
                      <w:vertAlign w:val="superscript"/>
                    </w:rPr>
                    <w:t>2</w:t>
                  </w:r>
                  <w:r>
                    <w:rPr>
                      <w:bCs/>
                      <w:color w:val="auto"/>
                      <w:szCs w:val="21"/>
                      <w:highlight w:val="none"/>
                    </w:rPr>
                    <w:t>，包含原料区、投料区、搅拌区、成品区、办公区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0" w:type="auto"/>
                  <w:vAlign w:val="center"/>
                </w:tcPr>
                <w:p>
                  <w:pPr>
                    <w:adjustRightInd w:val="0"/>
                    <w:snapToGrid w:val="0"/>
                    <w:jc w:val="center"/>
                    <w:rPr>
                      <w:bCs/>
                      <w:color w:val="auto"/>
                      <w:szCs w:val="21"/>
                      <w:highlight w:val="none"/>
                    </w:rPr>
                  </w:pPr>
                  <w:r>
                    <w:rPr>
                      <w:bCs/>
                      <w:color w:val="auto"/>
                      <w:szCs w:val="21"/>
                      <w:highlight w:val="none"/>
                    </w:rPr>
                    <w:t>辅助工程</w:t>
                  </w:r>
                </w:p>
              </w:tc>
              <w:tc>
                <w:tcPr>
                  <w:tcW w:w="0" w:type="auto"/>
                  <w:gridSpan w:val="2"/>
                  <w:vAlign w:val="center"/>
                </w:tcPr>
                <w:p>
                  <w:pPr>
                    <w:adjustRightInd w:val="0"/>
                    <w:snapToGrid w:val="0"/>
                    <w:jc w:val="center"/>
                    <w:rPr>
                      <w:bCs/>
                      <w:color w:val="auto"/>
                      <w:szCs w:val="21"/>
                      <w:highlight w:val="none"/>
                    </w:rPr>
                  </w:pPr>
                  <w:r>
                    <w:rPr>
                      <w:bCs/>
                      <w:color w:val="auto"/>
                      <w:szCs w:val="21"/>
                      <w:highlight w:val="none"/>
                    </w:rPr>
                    <w:t>办公区</w:t>
                  </w:r>
                </w:p>
              </w:tc>
              <w:tc>
                <w:tcPr>
                  <w:tcW w:w="0" w:type="auto"/>
                  <w:vAlign w:val="center"/>
                </w:tcPr>
                <w:p>
                  <w:pPr>
                    <w:adjustRightInd w:val="0"/>
                    <w:snapToGrid w:val="0"/>
                    <w:jc w:val="center"/>
                    <w:rPr>
                      <w:bCs/>
                      <w:color w:val="auto"/>
                      <w:szCs w:val="21"/>
                      <w:highlight w:val="none"/>
                    </w:rPr>
                  </w:pPr>
                  <w:r>
                    <w:rPr>
                      <w:bCs/>
                      <w:color w:val="auto"/>
                      <w:szCs w:val="21"/>
                      <w:highlight w:val="none"/>
                    </w:rPr>
                    <w:t>用于员工办公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0" w:type="auto"/>
                  <w:vMerge w:val="restart"/>
                  <w:vAlign w:val="center"/>
                </w:tcPr>
                <w:p>
                  <w:pPr>
                    <w:adjustRightInd w:val="0"/>
                    <w:snapToGrid w:val="0"/>
                    <w:jc w:val="center"/>
                    <w:rPr>
                      <w:bCs/>
                      <w:color w:val="auto"/>
                      <w:szCs w:val="21"/>
                      <w:highlight w:val="none"/>
                    </w:rPr>
                  </w:pPr>
                  <w:r>
                    <w:rPr>
                      <w:bCs/>
                      <w:color w:val="auto"/>
                      <w:szCs w:val="21"/>
                      <w:highlight w:val="none"/>
                    </w:rPr>
                    <w:t>公用工程</w:t>
                  </w:r>
                </w:p>
              </w:tc>
              <w:tc>
                <w:tcPr>
                  <w:tcW w:w="0" w:type="auto"/>
                  <w:gridSpan w:val="2"/>
                  <w:vAlign w:val="center"/>
                </w:tcPr>
                <w:p>
                  <w:pPr>
                    <w:adjustRightInd w:val="0"/>
                    <w:snapToGrid w:val="0"/>
                    <w:jc w:val="center"/>
                    <w:rPr>
                      <w:bCs/>
                      <w:color w:val="auto"/>
                      <w:szCs w:val="21"/>
                      <w:highlight w:val="none"/>
                    </w:rPr>
                  </w:pPr>
                  <w:r>
                    <w:rPr>
                      <w:bCs/>
                      <w:color w:val="auto"/>
                      <w:szCs w:val="21"/>
                      <w:highlight w:val="none"/>
                    </w:rPr>
                    <w:t>供水系统</w:t>
                  </w:r>
                </w:p>
              </w:tc>
              <w:tc>
                <w:tcPr>
                  <w:tcW w:w="0" w:type="auto"/>
                  <w:vAlign w:val="center"/>
                </w:tcPr>
                <w:p>
                  <w:pPr>
                    <w:adjustRightInd w:val="0"/>
                    <w:snapToGrid w:val="0"/>
                    <w:jc w:val="center"/>
                    <w:rPr>
                      <w:bCs/>
                      <w:color w:val="auto"/>
                      <w:szCs w:val="21"/>
                      <w:highlight w:val="none"/>
                    </w:rPr>
                  </w:pPr>
                  <w:r>
                    <w:rPr>
                      <w:bCs/>
                      <w:color w:val="auto"/>
                      <w:szCs w:val="21"/>
                      <w:highlight w:val="none"/>
                    </w:rPr>
                    <w:t>市政自来水管网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0" w:type="auto"/>
                  <w:vMerge w:val="continue"/>
                  <w:vAlign w:val="center"/>
                </w:tcPr>
                <w:p>
                  <w:pPr>
                    <w:adjustRightInd w:val="0"/>
                    <w:snapToGrid w:val="0"/>
                    <w:jc w:val="center"/>
                    <w:rPr>
                      <w:bCs/>
                      <w:color w:val="auto"/>
                      <w:szCs w:val="21"/>
                      <w:highlight w:val="none"/>
                    </w:rPr>
                  </w:pPr>
                </w:p>
              </w:tc>
              <w:tc>
                <w:tcPr>
                  <w:tcW w:w="0" w:type="auto"/>
                  <w:gridSpan w:val="2"/>
                  <w:vAlign w:val="center"/>
                </w:tcPr>
                <w:p>
                  <w:pPr>
                    <w:adjustRightInd w:val="0"/>
                    <w:snapToGrid w:val="0"/>
                    <w:jc w:val="center"/>
                    <w:rPr>
                      <w:bCs/>
                      <w:color w:val="auto"/>
                      <w:szCs w:val="21"/>
                      <w:highlight w:val="none"/>
                    </w:rPr>
                  </w:pPr>
                  <w:r>
                    <w:rPr>
                      <w:bCs/>
                      <w:color w:val="auto"/>
                      <w:szCs w:val="21"/>
                      <w:highlight w:val="none"/>
                    </w:rPr>
                    <w:t>排水系统</w:t>
                  </w:r>
                </w:p>
              </w:tc>
              <w:tc>
                <w:tcPr>
                  <w:tcW w:w="0" w:type="auto"/>
                  <w:vAlign w:val="center"/>
                </w:tcPr>
                <w:p>
                  <w:pPr>
                    <w:adjustRightInd w:val="0"/>
                    <w:snapToGrid w:val="0"/>
                    <w:jc w:val="center"/>
                    <w:rPr>
                      <w:bCs/>
                      <w:color w:val="auto"/>
                      <w:szCs w:val="21"/>
                      <w:highlight w:val="none"/>
                    </w:rPr>
                  </w:pPr>
                  <w:r>
                    <w:rPr>
                      <w:bCs/>
                      <w:color w:val="auto"/>
                      <w:szCs w:val="21"/>
                      <w:highlight w:val="none"/>
                    </w:rPr>
                    <w:t>项目不产生生产废水，生活污水经三级化粪池预处理达标后经市政管网汇入</w:t>
                  </w:r>
                  <w:r>
                    <w:rPr>
                      <w:color w:val="auto"/>
                      <w:szCs w:val="21"/>
                      <w:highlight w:val="none"/>
                    </w:rPr>
                    <w:t>博罗县</w:t>
                  </w:r>
                  <w:r>
                    <w:rPr>
                      <w:rFonts w:hint="eastAsia"/>
                      <w:color w:val="auto"/>
                      <w:szCs w:val="21"/>
                      <w:highlight w:val="none"/>
                    </w:rPr>
                    <w:t>园洲镇第五</w:t>
                  </w:r>
                  <w:r>
                    <w:rPr>
                      <w:color w:val="auto"/>
                      <w:szCs w:val="21"/>
                      <w:highlight w:val="none"/>
                    </w:rPr>
                    <w:t>生活污水处理厂</w:t>
                  </w:r>
                  <w:r>
                    <w:rPr>
                      <w:bCs/>
                      <w:color w:val="auto"/>
                      <w:szCs w:val="21"/>
                      <w:highlight w:val="none"/>
                    </w:rPr>
                    <w:t>处理达标后排放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0" w:type="auto"/>
                  <w:vMerge w:val="continue"/>
                  <w:vAlign w:val="center"/>
                </w:tcPr>
                <w:p>
                  <w:pPr>
                    <w:adjustRightInd w:val="0"/>
                    <w:snapToGrid w:val="0"/>
                    <w:jc w:val="center"/>
                    <w:rPr>
                      <w:bCs/>
                      <w:color w:val="auto"/>
                      <w:szCs w:val="21"/>
                      <w:highlight w:val="none"/>
                    </w:rPr>
                  </w:pPr>
                </w:p>
              </w:tc>
              <w:tc>
                <w:tcPr>
                  <w:tcW w:w="0" w:type="auto"/>
                  <w:gridSpan w:val="2"/>
                  <w:vAlign w:val="center"/>
                </w:tcPr>
                <w:p>
                  <w:pPr>
                    <w:adjustRightInd w:val="0"/>
                    <w:snapToGrid w:val="0"/>
                    <w:jc w:val="center"/>
                    <w:rPr>
                      <w:bCs/>
                      <w:color w:val="auto"/>
                      <w:szCs w:val="21"/>
                      <w:highlight w:val="none"/>
                    </w:rPr>
                  </w:pPr>
                  <w:r>
                    <w:rPr>
                      <w:bCs/>
                      <w:color w:val="auto"/>
                      <w:szCs w:val="21"/>
                      <w:highlight w:val="none"/>
                    </w:rPr>
                    <w:t>供电系统</w:t>
                  </w:r>
                </w:p>
              </w:tc>
              <w:tc>
                <w:tcPr>
                  <w:tcW w:w="0" w:type="auto"/>
                  <w:vAlign w:val="center"/>
                </w:tcPr>
                <w:p>
                  <w:pPr>
                    <w:adjustRightInd w:val="0"/>
                    <w:snapToGrid w:val="0"/>
                    <w:jc w:val="center"/>
                    <w:rPr>
                      <w:bCs/>
                      <w:color w:val="auto"/>
                      <w:szCs w:val="21"/>
                      <w:highlight w:val="none"/>
                    </w:rPr>
                  </w:pPr>
                  <w:r>
                    <w:rPr>
                      <w:bCs/>
                      <w:color w:val="auto"/>
                      <w:szCs w:val="21"/>
                      <w:highlight w:val="none"/>
                    </w:rPr>
                    <w:t>市政电网供给，不设备用发电机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0" w:type="auto"/>
                  <w:vMerge w:val="restart"/>
                  <w:vAlign w:val="center"/>
                </w:tcPr>
                <w:p>
                  <w:pPr>
                    <w:adjustRightInd w:val="0"/>
                    <w:snapToGrid w:val="0"/>
                    <w:jc w:val="center"/>
                    <w:rPr>
                      <w:bCs/>
                      <w:color w:val="auto"/>
                      <w:szCs w:val="21"/>
                      <w:highlight w:val="none"/>
                    </w:rPr>
                  </w:pPr>
                  <w:r>
                    <w:rPr>
                      <w:bCs/>
                      <w:color w:val="auto"/>
                      <w:szCs w:val="21"/>
                      <w:highlight w:val="none"/>
                    </w:rPr>
                    <w:t>环保工程</w:t>
                  </w:r>
                </w:p>
              </w:tc>
              <w:tc>
                <w:tcPr>
                  <w:tcW w:w="0" w:type="auto"/>
                  <w:gridSpan w:val="2"/>
                  <w:vAlign w:val="center"/>
                </w:tcPr>
                <w:p>
                  <w:pPr>
                    <w:adjustRightInd w:val="0"/>
                    <w:snapToGrid w:val="0"/>
                    <w:jc w:val="center"/>
                    <w:rPr>
                      <w:bCs/>
                      <w:color w:val="auto"/>
                      <w:szCs w:val="21"/>
                      <w:highlight w:val="none"/>
                    </w:rPr>
                  </w:pPr>
                  <w:r>
                    <w:rPr>
                      <w:bCs/>
                      <w:color w:val="auto"/>
                      <w:szCs w:val="21"/>
                      <w:highlight w:val="none"/>
                    </w:rPr>
                    <w:t>废水处理系统</w:t>
                  </w:r>
                </w:p>
              </w:tc>
              <w:tc>
                <w:tcPr>
                  <w:tcW w:w="0" w:type="auto"/>
                  <w:vAlign w:val="center"/>
                </w:tcPr>
                <w:p>
                  <w:pPr>
                    <w:adjustRightInd w:val="0"/>
                    <w:snapToGrid w:val="0"/>
                    <w:jc w:val="center"/>
                    <w:rPr>
                      <w:bCs/>
                      <w:color w:val="auto"/>
                      <w:szCs w:val="21"/>
                      <w:highlight w:val="none"/>
                    </w:rPr>
                  </w:pPr>
                  <w:r>
                    <w:rPr>
                      <w:bCs/>
                      <w:color w:val="auto"/>
                      <w:szCs w:val="21"/>
                      <w:highlight w:val="none"/>
                    </w:rPr>
                    <w:t>项目不产生生产废水，生活污水经三级化粪池预处理达标后经市政管网汇入</w:t>
                  </w:r>
                  <w:r>
                    <w:rPr>
                      <w:color w:val="auto"/>
                      <w:szCs w:val="21"/>
                      <w:highlight w:val="none"/>
                    </w:rPr>
                    <w:t>博罗县</w:t>
                  </w:r>
                  <w:r>
                    <w:rPr>
                      <w:rFonts w:hint="eastAsia"/>
                      <w:color w:val="auto"/>
                      <w:szCs w:val="21"/>
                      <w:highlight w:val="none"/>
                    </w:rPr>
                    <w:t>园洲镇第五</w:t>
                  </w:r>
                  <w:r>
                    <w:rPr>
                      <w:color w:val="auto"/>
                      <w:szCs w:val="21"/>
                      <w:highlight w:val="none"/>
                    </w:rPr>
                    <w:t>生活污水处理厂</w:t>
                  </w:r>
                  <w:r>
                    <w:rPr>
                      <w:bCs/>
                      <w:color w:val="auto"/>
                      <w:szCs w:val="21"/>
                      <w:highlight w:val="none"/>
                    </w:rPr>
                    <w:t>处理达标后排放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0" w:type="auto"/>
                  <w:vMerge w:val="continue"/>
                  <w:vAlign w:val="center"/>
                </w:tcPr>
                <w:p>
                  <w:pPr>
                    <w:adjustRightInd w:val="0"/>
                    <w:snapToGrid w:val="0"/>
                    <w:jc w:val="center"/>
                    <w:rPr>
                      <w:bCs/>
                      <w:color w:val="auto"/>
                      <w:szCs w:val="21"/>
                      <w:highlight w:val="none"/>
                    </w:rPr>
                  </w:pPr>
                </w:p>
              </w:tc>
              <w:tc>
                <w:tcPr>
                  <w:tcW w:w="0" w:type="auto"/>
                  <w:gridSpan w:val="2"/>
                  <w:vAlign w:val="center"/>
                </w:tcPr>
                <w:p>
                  <w:pPr>
                    <w:adjustRightInd w:val="0"/>
                    <w:snapToGrid w:val="0"/>
                    <w:jc w:val="center"/>
                    <w:rPr>
                      <w:bCs/>
                      <w:color w:val="auto"/>
                      <w:szCs w:val="21"/>
                      <w:highlight w:val="none"/>
                    </w:rPr>
                  </w:pPr>
                  <w:r>
                    <w:rPr>
                      <w:bCs/>
                      <w:color w:val="auto"/>
                      <w:szCs w:val="21"/>
                      <w:highlight w:val="none"/>
                    </w:rPr>
                    <w:t>废气处理系统</w:t>
                  </w:r>
                </w:p>
              </w:tc>
              <w:tc>
                <w:tcPr>
                  <w:tcW w:w="0" w:type="auto"/>
                  <w:vAlign w:val="center"/>
                </w:tcPr>
                <w:p>
                  <w:pPr>
                    <w:adjustRightInd w:val="0"/>
                    <w:snapToGrid w:val="0"/>
                    <w:jc w:val="center"/>
                    <w:rPr>
                      <w:rFonts w:hint="eastAsia"/>
                      <w:color w:val="auto"/>
                      <w:highlight w:val="none"/>
                    </w:rPr>
                  </w:pPr>
                  <w:r>
                    <w:rPr>
                      <w:color w:val="auto"/>
                      <w:highlight w:val="none"/>
                    </w:rPr>
                    <w:t>投料搅拌混合粉尘、投料搅拌混合分装有机废气：经集气罩收集后汇入</w:t>
                  </w:r>
                  <w:r>
                    <w:rPr>
                      <w:rFonts w:hint="eastAsia"/>
                      <w:color w:val="auto"/>
                      <w:highlight w:val="none"/>
                    </w:rPr>
                    <w:t>“</w:t>
                  </w:r>
                  <w:r>
                    <w:rPr>
                      <w:color w:val="auto"/>
                      <w:highlight w:val="none"/>
                    </w:rPr>
                    <w:t>布袋除尘器+</w:t>
                  </w:r>
                  <w:r>
                    <w:rPr>
                      <w:rFonts w:hint="eastAsia"/>
                      <w:color w:val="auto"/>
                      <w:highlight w:val="none"/>
                      <w:lang w:val="en-US" w:eastAsia="zh-CN"/>
                    </w:rPr>
                    <w:t>二</w:t>
                  </w:r>
                  <w:r>
                    <w:rPr>
                      <w:color w:val="auto"/>
                      <w:highlight w:val="none"/>
                    </w:rPr>
                    <w:t>级活性炭吸附</w:t>
                  </w:r>
                  <w:r>
                    <w:rPr>
                      <w:rFonts w:hint="eastAsia"/>
                      <w:color w:val="auto"/>
                      <w:highlight w:val="none"/>
                    </w:rPr>
                    <w:t>”</w:t>
                  </w:r>
                  <w:r>
                    <w:rPr>
                      <w:color w:val="auto"/>
                      <w:highlight w:val="none"/>
                    </w:rPr>
                    <w:t>装置处理达标后通过15m高排气筒排放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0" w:type="auto"/>
                  <w:vMerge w:val="continue"/>
                  <w:vAlign w:val="center"/>
                </w:tcPr>
                <w:p>
                  <w:pPr>
                    <w:adjustRightInd w:val="0"/>
                    <w:snapToGrid w:val="0"/>
                    <w:jc w:val="center"/>
                    <w:rPr>
                      <w:bCs/>
                      <w:color w:val="auto"/>
                      <w:szCs w:val="21"/>
                      <w:highlight w:val="none"/>
                    </w:rPr>
                  </w:pPr>
                </w:p>
              </w:tc>
              <w:tc>
                <w:tcPr>
                  <w:tcW w:w="0" w:type="auto"/>
                  <w:gridSpan w:val="2"/>
                  <w:vAlign w:val="center"/>
                </w:tcPr>
                <w:p>
                  <w:pPr>
                    <w:adjustRightInd w:val="0"/>
                    <w:snapToGrid w:val="0"/>
                    <w:jc w:val="center"/>
                    <w:rPr>
                      <w:bCs/>
                      <w:color w:val="auto"/>
                      <w:szCs w:val="21"/>
                      <w:highlight w:val="none"/>
                    </w:rPr>
                  </w:pPr>
                  <w:r>
                    <w:rPr>
                      <w:bCs/>
                      <w:color w:val="auto"/>
                      <w:szCs w:val="21"/>
                      <w:highlight w:val="none"/>
                    </w:rPr>
                    <w:t>噪声治理</w:t>
                  </w:r>
                </w:p>
              </w:tc>
              <w:tc>
                <w:tcPr>
                  <w:tcW w:w="0" w:type="auto"/>
                  <w:vAlign w:val="center"/>
                </w:tcPr>
                <w:p>
                  <w:pPr>
                    <w:adjustRightInd w:val="0"/>
                    <w:snapToGrid w:val="0"/>
                    <w:jc w:val="center"/>
                    <w:rPr>
                      <w:bCs/>
                      <w:color w:val="auto"/>
                      <w:szCs w:val="21"/>
                      <w:highlight w:val="none"/>
                    </w:rPr>
                  </w:pPr>
                  <w:r>
                    <w:rPr>
                      <w:bCs/>
                      <w:color w:val="auto"/>
                      <w:szCs w:val="21"/>
                      <w:highlight w:val="none"/>
                    </w:rPr>
                    <w:t>噪声源隔音、消震，合理布局，厂房隔音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0" w:type="auto"/>
                  <w:vMerge w:val="continue"/>
                  <w:vAlign w:val="center"/>
                </w:tcPr>
                <w:p>
                  <w:pPr>
                    <w:adjustRightInd w:val="0"/>
                    <w:snapToGrid w:val="0"/>
                    <w:jc w:val="center"/>
                    <w:rPr>
                      <w:bCs/>
                      <w:color w:val="auto"/>
                      <w:szCs w:val="21"/>
                      <w:highlight w:val="none"/>
                    </w:rPr>
                  </w:pPr>
                </w:p>
              </w:tc>
              <w:tc>
                <w:tcPr>
                  <w:tcW w:w="0" w:type="auto"/>
                  <w:vMerge w:val="restart"/>
                  <w:vAlign w:val="center"/>
                </w:tcPr>
                <w:p>
                  <w:pPr>
                    <w:adjustRightInd w:val="0"/>
                    <w:snapToGrid w:val="0"/>
                    <w:jc w:val="center"/>
                    <w:rPr>
                      <w:bCs/>
                      <w:color w:val="auto"/>
                      <w:szCs w:val="21"/>
                      <w:highlight w:val="none"/>
                    </w:rPr>
                  </w:pPr>
                  <w:r>
                    <w:rPr>
                      <w:bCs/>
                      <w:color w:val="auto"/>
                      <w:szCs w:val="21"/>
                      <w:highlight w:val="none"/>
                    </w:rPr>
                    <w:t>固废处理</w:t>
                  </w:r>
                </w:p>
              </w:tc>
              <w:tc>
                <w:tcPr>
                  <w:tcW w:w="0" w:type="auto"/>
                  <w:vAlign w:val="center"/>
                </w:tcPr>
                <w:p>
                  <w:pPr>
                    <w:adjustRightInd w:val="0"/>
                    <w:snapToGrid w:val="0"/>
                    <w:jc w:val="center"/>
                    <w:rPr>
                      <w:bCs/>
                      <w:color w:val="auto"/>
                      <w:szCs w:val="21"/>
                      <w:highlight w:val="none"/>
                    </w:rPr>
                  </w:pPr>
                  <w:r>
                    <w:rPr>
                      <w:bCs/>
                      <w:color w:val="auto"/>
                      <w:szCs w:val="21"/>
                      <w:highlight w:val="none"/>
                    </w:rPr>
                    <w:t>一般工业固废</w:t>
                  </w:r>
                </w:p>
              </w:tc>
              <w:tc>
                <w:tcPr>
                  <w:tcW w:w="0" w:type="auto"/>
                  <w:vAlign w:val="center"/>
                </w:tcPr>
                <w:p>
                  <w:pPr>
                    <w:adjustRightInd w:val="0"/>
                    <w:snapToGrid w:val="0"/>
                    <w:jc w:val="center"/>
                    <w:rPr>
                      <w:bCs/>
                      <w:color w:val="auto"/>
                      <w:szCs w:val="21"/>
                      <w:highlight w:val="none"/>
                    </w:rPr>
                  </w:pPr>
                  <w:r>
                    <w:rPr>
                      <w:bCs/>
                      <w:color w:val="auto"/>
                      <w:szCs w:val="21"/>
                      <w:highlight w:val="none"/>
                    </w:rPr>
                    <w:t>布袋除尘器收集的粉料收集后</w:t>
                  </w:r>
                  <w:r>
                    <w:rPr>
                      <w:color w:val="auto"/>
                      <w:kern w:val="0"/>
                      <w:szCs w:val="21"/>
                      <w:highlight w:val="none"/>
                    </w:rPr>
                    <w:t>回用于项目生产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0" w:type="auto"/>
                  <w:vMerge w:val="continue"/>
                  <w:vAlign w:val="center"/>
                </w:tcPr>
                <w:p>
                  <w:pPr>
                    <w:adjustRightInd w:val="0"/>
                    <w:snapToGrid w:val="0"/>
                    <w:jc w:val="center"/>
                    <w:rPr>
                      <w:bCs/>
                      <w:color w:val="auto"/>
                      <w:szCs w:val="21"/>
                      <w:highlight w:val="none"/>
                    </w:rPr>
                  </w:pPr>
                </w:p>
              </w:tc>
              <w:tc>
                <w:tcPr>
                  <w:tcW w:w="0" w:type="auto"/>
                  <w:vMerge w:val="continue"/>
                  <w:vAlign w:val="center"/>
                </w:tcPr>
                <w:p>
                  <w:pPr>
                    <w:adjustRightInd w:val="0"/>
                    <w:snapToGrid w:val="0"/>
                    <w:jc w:val="center"/>
                    <w:rPr>
                      <w:bCs/>
                      <w:color w:val="auto"/>
                      <w:szCs w:val="21"/>
                      <w:highlight w:val="none"/>
                    </w:rPr>
                  </w:pPr>
                </w:p>
              </w:tc>
              <w:tc>
                <w:tcPr>
                  <w:tcW w:w="0" w:type="auto"/>
                  <w:vAlign w:val="center"/>
                </w:tcPr>
                <w:p>
                  <w:pPr>
                    <w:adjustRightInd w:val="0"/>
                    <w:snapToGrid w:val="0"/>
                    <w:jc w:val="center"/>
                    <w:rPr>
                      <w:bCs/>
                      <w:color w:val="auto"/>
                      <w:szCs w:val="21"/>
                      <w:highlight w:val="none"/>
                    </w:rPr>
                  </w:pPr>
                  <w:r>
                    <w:rPr>
                      <w:bCs/>
                      <w:color w:val="auto"/>
                      <w:szCs w:val="21"/>
                      <w:highlight w:val="none"/>
                    </w:rPr>
                    <w:t>生活垃圾</w:t>
                  </w:r>
                </w:p>
              </w:tc>
              <w:tc>
                <w:tcPr>
                  <w:tcW w:w="0" w:type="auto"/>
                  <w:vAlign w:val="center"/>
                </w:tcPr>
                <w:p>
                  <w:pPr>
                    <w:adjustRightInd w:val="0"/>
                    <w:snapToGrid w:val="0"/>
                    <w:jc w:val="center"/>
                    <w:rPr>
                      <w:bCs/>
                      <w:color w:val="auto"/>
                      <w:szCs w:val="21"/>
                      <w:highlight w:val="none"/>
                    </w:rPr>
                  </w:pPr>
                  <w:r>
                    <w:rPr>
                      <w:bCs/>
                      <w:color w:val="auto"/>
                      <w:szCs w:val="21"/>
                      <w:highlight w:val="none"/>
                    </w:rPr>
                    <w:t>由环卫部门统一处理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0" w:type="auto"/>
                  <w:vMerge w:val="continue"/>
                  <w:vAlign w:val="center"/>
                </w:tcPr>
                <w:p>
                  <w:pPr>
                    <w:adjustRightInd w:val="0"/>
                    <w:snapToGrid w:val="0"/>
                    <w:jc w:val="center"/>
                    <w:rPr>
                      <w:bCs/>
                      <w:color w:val="auto"/>
                      <w:szCs w:val="21"/>
                      <w:highlight w:val="none"/>
                    </w:rPr>
                  </w:pPr>
                </w:p>
              </w:tc>
              <w:tc>
                <w:tcPr>
                  <w:tcW w:w="0" w:type="auto"/>
                  <w:vMerge w:val="continue"/>
                  <w:vAlign w:val="center"/>
                </w:tcPr>
                <w:p>
                  <w:pPr>
                    <w:adjustRightInd w:val="0"/>
                    <w:snapToGrid w:val="0"/>
                    <w:jc w:val="center"/>
                    <w:rPr>
                      <w:bCs/>
                      <w:color w:val="auto"/>
                      <w:szCs w:val="21"/>
                      <w:highlight w:val="none"/>
                    </w:rPr>
                  </w:pPr>
                </w:p>
              </w:tc>
              <w:tc>
                <w:tcPr>
                  <w:tcW w:w="0" w:type="auto"/>
                  <w:vAlign w:val="center"/>
                </w:tcPr>
                <w:p>
                  <w:pPr>
                    <w:adjustRightInd w:val="0"/>
                    <w:snapToGrid w:val="0"/>
                    <w:jc w:val="center"/>
                    <w:rPr>
                      <w:bCs/>
                      <w:color w:val="auto"/>
                      <w:szCs w:val="21"/>
                      <w:highlight w:val="none"/>
                    </w:rPr>
                  </w:pPr>
                  <w:r>
                    <w:rPr>
                      <w:bCs/>
                      <w:color w:val="auto"/>
                      <w:szCs w:val="21"/>
                      <w:highlight w:val="none"/>
                    </w:rPr>
                    <w:t>危险废物</w:t>
                  </w:r>
                </w:p>
              </w:tc>
              <w:tc>
                <w:tcPr>
                  <w:tcW w:w="0" w:type="auto"/>
                  <w:vAlign w:val="center"/>
                </w:tcPr>
                <w:p>
                  <w:pPr>
                    <w:adjustRightInd w:val="0"/>
                    <w:snapToGrid w:val="0"/>
                    <w:jc w:val="center"/>
                    <w:rPr>
                      <w:bCs/>
                      <w:color w:val="auto"/>
                      <w:szCs w:val="21"/>
                      <w:highlight w:val="none"/>
                    </w:rPr>
                  </w:pPr>
                  <w:r>
                    <w:rPr>
                      <w:bCs/>
                      <w:color w:val="auto"/>
                      <w:szCs w:val="21"/>
                      <w:highlight w:val="none"/>
                    </w:rPr>
                    <w:t>交由有危险废物处理资质的单位回收处理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0" w:type="auto"/>
                  <w:vMerge w:val="restart"/>
                  <w:vAlign w:val="center"/>
                </w:tcPr>
                <w:p>
                  <w:pPr>
                    <w:adjustRightInd w:val="0"/>
                    <w:snapToGrid w:val="0"/>
                    <w:jc w:val="center"/>
                    <w:rPr>
                      <w:bCs/>
                      <w:color w:val="auto"/>
                      <w:szCs w:val="21"/>
                      <w:highlight w:val="none"/>
                    </w:rPr>
                  </w:pPr>
                  <w:r>
                    <w:rPr>
                      <w:bCs/>
                      <w:color w:val="auto"/>
                      <w:szCs w:val="21"/>
                      <w:highlight w:val="none"/>
                    </w:rPr>
                    <w:t>储运工程</w:t>
                  </w:r>
                </w:p>
              </w:tc>
              <w:tc>
                <w:tcPr>
                  <w:tcW w:w="0" w:type="auto"/>
                  <w:gridSpan w:val="2"/>
                  <w:vAlign w:val="center"/>
                </w:tcPr>
                <w:p>
                  <w:pPr>
                    <w:adjustRightInd w:val="0"/>
                    <w:snapToGrid w:val="0"/>
                    <w:jc w:val="center"/>
                    <w:rPr>
                      <w:bCs/>
                      <w:color w:val="auto"/>
                      <w:szCs w:val="21"/>
                      <w:highlight w:val="none"/>
                    </w:rPr>
                  </w:pPr>
                  <w:r>
                    <w:rPr>
                      <w:bCs/>
                      <w:color w:val="auto"/>
                      <w:szCs w:val="21"/>
                      <w:highlight w:val="none"/>
                    </w:rPr>
                    <w:t>原料区</w:t>
                  </w:r>
                </w:p>
              </w:tc>
              <w:tc>
                <w:tcPr>
                  <w:tcW w:w="0" w:type="auto"/>
                  <w:vAlign w:val="center"/>
                </w:tcPr>
                <w:p>
                  <w:pPr>
                    <w:adjustRightInd w:val="0"/>
                    <w:snapToGrid w:val="0"/>
                    <w:jc w:val="center"/>
                    <w:rPr>
                      <w:bCs/>
                      <w:color w:val="auto"/>
                      <w:szCs w:val="21"/>
                      <w:highlight w:val="none"/>
                    </w:rPr>
                  </w:pPr>
                  <w:r>
                    <w:rPr>
                      <w:bCs/>
                      <w:color w:val="auto"/>
                      <w:szCs w:val="21"/>
                      <w:highlight w:val="none"/>
                    </w:rPr>
                    <w:t>用于原辅材料暂存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0" w:type="auto"/>
                  <w:vMerge w:val="continue"/>
                  <w:vAlign w:val="center"/>
                </w:tcPr>
                <w:p>
                  <w:pPr>
                    <w:adjustRightInd w:val="0"/>
                    <w:snapToGrid w:val="0"/>
                    <w:jc w:val="center"/>
                    <w:rPr>
                      <w:bCs/>
                      <w:color w:val="auto"/>
                      <w:szCs w:val="21"/>
                      <w:highlight w:val="none"/>
                    </w:rPr>
                  </w:pPr>
                </w:p>
              </w:tc>
              <w:tc>
                <w:tcPr>
                  <w:tcW w:w="0" w:type="auto"/>
                  <w:gridSpan w:val="2"/>
                  <w:vAlign w:val="center"/>
                </w:tcPr>
                <w:p>
                  <w:pPr>
                    <w:adjustRightInd w:val="0"/>
                    <w:snapToGrid w:val="0"/>
                    <w:jc w:val="center"/>
                    <w:rPr>
                      <w:bCs/>
                      <w:color w:val="auto"/>
                      <w:szCs w:val="21"/>
                      <w:highlight w:val="none"/>
                    </w:rPr>
                  </w:pPr>
                  <w:r>
                    <w:rPr>
                      <w:bCs/>
                      <w:color w:val="auto"/>
                      <w:szCs w:val="21"/>
                      <w:highlight w:val="none"/>
                    </w:rPr>
                    <w:t>成品区</w:t>
                  </w:r>
                </w:p>
              </w:tc>
              <w:tc>
                <w:tcPr>
                  <w:tcW w:w="0" w:type="auto"/>
                  <w:vAlign w:val="center"/>
                </w:tcPr>
                <w:p>
                  <w:pPr>
                    <w:adjustRightInd w:val="0"/>
                    <w:snapToGrid w:val="0"/>
                    <w:jc w:val="center"/>
                    <w:rPr>
                      <w:bCs/>
                      <w:color w:val="auto"/>
                      <w:szCs w:val="21"/>
                      <w:highlight w:val="none"/>
                    </w:rPr>
                  </w:pPr>
                  <w:r>
                    <w:rPr>
                      <w:bCs/>
                      <w:color w:val="auto"/>
                      <w:szCs w:val="21"/>
                      <w:highlight w:val="none"/>
                    </w:rPr>
                    <w:t>用于产品暂存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0" w:type="auto"/>
                  <w:gridSpan w:val="3"/>
                  <w:vAlign w:val="center"/>
                </w:tcPr>
                <w:p>
                  <w:pPr>
                    <w:adjustRightInd w:val="0"/>
                    <w:snapToGrid w:val="0"/>
                    <w:jc w:val="center"/>
                    <w:rPr>
                      <w:bCs/>
                      <w:color w:val="auto"/>
                      <w:szCs w:val="21"/>
                      <w:highlight w:val="none"/>
                    </w:rPr>
                  </w:pPr>
                  <w:r>
                    <w:rPr>
                      <w:bCs/>
                      <w:color w:val="auto"/>
                      <w:szCs w:val="21"/>
                      <w:highlight w:val="none"/>
                    </w:rPr>
                    <w:t>依托工程</w:t>
                  </w:r>
                </w:p>
              </w:tc>
              <w:tc>
                <w:tcPr>
                  <w:tcW w:w="0" w:type="auto"/>
                  <w:vAlign w:val="center"/>
                </w:tcPr>
                <w:p>
                  <w:pPr>
                    <w:adjustRightInd w:val="0"/>
                    <w:snapToGrid w:val="0"/>
                    <w:jc w:val="center"/>
                    <w:rPr>
                      <w:bCs/>
                      <w:color w:val="auto"/>
                      <w:szCs w:val="21"/>
                      <w:highlight w:val="none"/>
                    </w:rPr>
                  </w:pPr>
                  <w:r>
                    <w:rPr>
                      <w:color w:val="auto"/>
                      <w:szCs w:val="21"/>
                      <w:highlight w:val="none"/>
                    </w:rPr>
                    <w:t>博罗县</w:t>
                  </w:r>
                  <w:r>
                    <w:rPr>
                      <w:rFonts w:hint="eastAsia"/>
                      <w:color w:val="auto"/>
                      <w:szCs w:val="21"/>
                      <w:highlight w:val="none"/>
                    </w:rPr>
                    <w:t>园洲镇第五</w:t>
                  </w:r>
                  <w:r>
                    <w:rPr>
                      <w:color w:val="auto"/>
                      <w:szCs w:val="21"/>
                      <w:highlight w:val="none"/>
                    </w:rPr>
                    <w:t>生活污水处理厂</w:t>
                  </w:r>
                </w:p>
              </w:tc>
            </w:tr>
          </w:tbl>
          <w:p>
            <w:pPr>
              <w:numPr>
                <w:ilvl w:val="0"/>
                <w:numId w:val="4"/>
              </w:numPr>
              <w:spacing w:before="120" w:beforeLines="50" w:line="360" w:lineRule="auto"/>
              <w:ind w:firstLine="422" w:firstLineChars="200"/>
              <w:jc w:val="left"/>
              <w:rPr>
                <w:b/>
                <w:color w:val="auto"/>
                <w:szCs w:val="21"/>
                <w:highlight w:val="none"/>
              </w:rPr>
            </w:pPr>
            <w:r>
              <w:rPr>
                <w:rFonts w:hint="eastAsia"/>
                <w:b/>
                <w:color w:val="auto"/>
                <w:szCs w:val="21"/>
                <w:highlight w:val="none"/>
              </w:rPr>
              <w:t>环保投资估算</w:t>
            </w:r>
          </w:p>
          <w:p>
            <w:pPr>
              <w:pStyle w:val="41"/>
              <w:spacing w:after="120" w:afterLines="50"/>
              <w:jc w:val="center"/>
              <w:rPr>
                <w:rFonts w:hint="default"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表2-2 环保投资一览表</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0"/>
              <w:gridCol w:w="888"/>
              <w:gridCol w:w="1485"/>
              <w:gridCol w:w="4691"/>
              <w:gridCol w:w="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8" w:type="pct"/>
                  <w:vAlign w:val="center"/>
                </w:tcPr>
                <w:p>
                  <w:pPr>
                    <w:tabs>
                      <w:tab w:val="left" w:pos="1081"/>
                    </w:tabs>
                    <w:adjustRightInd w:val="0"/>
                    <w:snapToGrid w:val="0"/>
                    <w:jc w:val="center"/>
                    <w:textAlignment w:val="baseline"/>
                    <w:rPr>
                      <w:b/>
                      <w:bCs/>
                      <w:color w:val="auto"/>
                      <w:highlight w:val="none"/>
                    </w:rPr>
                  </w:pPr>
                  <w:r>
                    <w:rPr>
                      <w:b/>
                      <w:bCs/>
                      <w:color w:val="auto"/>
                      <w:highlight w:val="none"/>
                    </w:rPr>
                    <w:t>序号</w:t>
                  </w:r>
                </w:p>
              </w:tc>
              <w:tc>
                <w:tcPr>
                  <w:tcW w:w="531" w:type="pct"/>
                  <w:vAlign w:val="center"/>
                </w:tcPr>
                <w:p>
                  <w:pPr>
                    <w:tabs>
                      <w:tab w:val="left" w:pos="1081"/>
                    </w:tabs>
                    <w:adjustRightInd w:val="0"/>
                    <w:snapToGrid w:val="0"/>
                    <w:jc w:val="center"/>
                    <w:textAlignment w:val="baseline"/>
                    <w:rPr>
                      <w:b/>
                      <w:bCs/>
                      <w:color w:val="auto"/>
                      <w:highlight w:val="none"/>
                    </w:rPr>
                  </w:pPr>
                  <w:r>
                    <w:rPr>
                      <w:b/>
                      <w:bCs/>
                      <w:color w:val="auto"/>
                      <w:highlight w:val="none"/>
                    </w:rPr>
                    <w:t>污染源</w:t>
                  </w:r>
                </w:p>
              </w:tc>
              <w:tc>
                <w:tcPr>
                  <w:tcW w:w="888" w:type="pct"/>
                  <w:vAlign w:val="center"/>
                </w:tcPr>
                <w:p>
                  <w:pPr>
                    <w:tabs>
                      <w:tab w:val="left" w:pos="1081"/>
                    </w:tabs>
                    <w:adjustRightInd w:val="0"/>
                    <w:snapToGrid w:val="0"/>
                    <w:jc w:val="center"/>
                    <w:textAlignment w:val="baseline"/>
                    <w:rPr>
                      <w:b/>
                      <w:bCs/>
                      <w:color w:val="auto"/>
                      <w:highlight w:val="none"/>
                    </w:rPr>
                  </w:pPr>
                  <w:r>
                    <w:rPr>
                      <w:b/>
                      <w:bCs/>
                      <w:color w:val="auto"/>
                      <w:highlight w:val="none"/>
                    </w:rPr>
                    <w:t>污染物名称</w:t>
                  </w:r>
                </w:p>
              </w:tc>
              <w:tc>
                <w:tcPr>
                  <w:tcW w:w="2804" w:type="pct"/>
                  <w:vAlign w:val="center"/>
                </w:tcPr>
                <w:p>
                  <w:pPr>
                    <w:tabs>
                      <w:tab w:val="left" w:pos="1081"/>
                    </w:tabs>
                    <w:adjustRightInd w:val="0"/>
                    <w:snapToGrid w:val="0"/>
                    <w:jc w:val="center"/>
                    <w:textAlignment w:val="baseline"/>
                    <w:rPr>
                      <w:b/>
                      <w:bCs/>
                      <w:color w:val="auto"/>
                      <w:highlight w:val="none"/>
                    </w:rPr>
                  </w:pPr>
                  <w:r>
                    <w:rPr>
                      <w:b/>
                      <w:bCs/>
                      <w:color w:val="auto"/>
                      <w:highlight w:val="none"/>
                    </w:rPr>
                    <w:t>主要环保措施</w:t>
                  </w:r>
                </w:p>
              </w:tc>
              <w:tc>
                <w:tcPr>
                  <w:tcW w:w="517" w:type="pct"/>
                  <w:vAlign w:val="center"/>
                </w:tcPr>
                <w:p>
                  <w:pPr>
                    <w:tabs>
                      <w:tab w:val="left" w:pos="1081"/>
                    </w:tabs>
                    <w:adjustRightInd w:val="0"/>
                    <w:snapToGrid w:val="0"/>
                    <w:jc w:val="center"/>
                    <w:textAlignment w:val="baseline"/>
                    <w:rPr>
                      <w:b/>
                      <w:bCs/>
                      <w:color w:val="auto"/>
                      <w:highlight w:val="none"/>
                    </w:rPr>
                  </w:pPr>
                  <w:r>
                    <w:rPr>
                      <w:b/>
                      <w:bCs/>
                      <w:color w:val="auto"/>
                      <w:highlight w:val="none"/>
                    </w:rPr>
                    <w:t>预计投资（万元）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258" w:type="pct"/>
                  <w:vAlign w:val="center"/>
                </w:tcPr>
                <w:p>
                  <w:pPr>
                    <w:tabs>
                      <w:tab w:val="left" w:pos="1081"/>
                    </w:tabs>
                    <w:adjustRightInd w:val="0"/>
                    <w:snapToGrid w:val="0"/>
                    <w:jc w:val="center"/>
                    <w:textAlignment w:val="baseline"/>
                    <w:rPr>
                      <w:color w:val="auto"/>
                      <w:highlight w:val="none"/>
                    </w:rPr>
                  </w:pPr>
                  <w:r>
                    <w:rPr>
                      <w:color w:val="auto"/>
                      <w:highlight w:val="none"/>
                    </w:rPr>
                    <w:t>1</w:t>
                  </w:r>
                </w:p>
              </w:tc>
              <w:tc>
                <w:tcPr>
                  <w:tcW w:w="531" w:type="pct"/>
                  <w:vAlign w:val="center"/>
                </w:tcPr>
                <w:p>
                  <w:pPr>
                    <w:tabs>
                      <w:tab w:val="left" w:pos="1081"/>
                    </w:tabs>
                    <w:adjustRightInd w:val="0"/>
                    <w:snapToGrid w:val="0"/>
                    <w:jc w:val="center"/>
                    <w:textAlignment w:val="baseline"/>
                    <w:rPr>
                      <w:color w:val="auto"/>
                      <w:highlight w:val="none"/>
                    </w:rPr>
                  </w:pPr>
                  <w:r>
                    <w:rPr>
                      <w:color w:val="auto"/>
                      <w:highlight w:val="none"/>
                    </w:rPr>
                    <w:t>废气</w:t>
                  </w:r>
                </w:p>
              </w:tc>
              <w:tc>
                <w:tcPr>
                  <w:tcW w:w="888" w:type="pct"/>
                  <w:vAlign w:val="center"/>
                </w:tcPr>
                <w:p>
                  <w:pPr>
                    <w:jc w:val="center"/>
                    <w:rPr>
                      <w:color w:val="auto"/>
                      <w:highlight w:val="none"/>
                    </w:rPr>
                  </w:pPr>
                  <w:r>
                    <w:rPr>
                      <w:rFonts w:hint="eastAsia"/>
                      <w:color w:val="auto"/>
                      <w:highlight w:val="none"/>
                      <w:lang w:val="en-US" w:eastAsia="zh-CN"/>
                    </w:rPr>
                    <w:t>投料、混合搅拌</w:t>
                  </w:r>
                  <w:r>
                    <w:rPr>
                      <w:color w:val="auto"/>
                      <w:highlight w:val="none"/>
                    </w:rPr>
                    <w:t>废气</w:t>
                  </w:r>
                </w:p>
              </w:tc>
              <w:tc>
                <w:tcPr>
                  <w:tcW w:w="2804" w:type="pct"/>
                  <w:vAlign w:val="center"/>
                </w:tcPr>
                <w:p>
                  <w:pPr>
                    <w:jc w:val="center"/>
                    <w:rPr>
                      <w:color w:val="auto"/>
                      <w:highlight w:val="none"/>
                    </w:rPr>
                  </w:pPr>
                  <w:r>
                    <w:rPr>
                      <w:rFonts w:hint="eastAsia"/>
                      <w:color w:val="auto"/>
                      <w:szCs w:val="21"/>
                      <w:highlight w:val="none"/>
                    </w:rPr>
                    <w:t>集气设备+</w:t>
                  </w:r>
                  <w:r>
                    <w:rPr>
                      <w:color w:val="auto"/>
                      <w:szCs w:val="21"/>
                      <w:highlight w:val="none"/>
                    </w:rPr>
                    <w:t>布袋除尘器+</w:t>
                  </w:r>
                  <w:r>
                    <w:rPr>
                      <w:rFonts w:hint="eastAsia"/>
                      <w:color w:val="auto"/>
                      <w:szCs w:val="21"/>
                      <w:highlight w:val="none"/>
                      <w:lang w:val="en-US" w:eastAsia="zh-CN"/>
                    </w:rPr>
                    <w:t>二</w:t>
                  </w:r>
                  <w:r>
                    <w:rPr>
                      <w:color w:val="auto"/>
                      <w:szCs w:val="21"/>
                      <w:highlight w:val="none"/>
                    </w:rPr>
                    <w:t>级活性炭吸附</w:t>
                  </w:r>
                  <w:r>
                    <w:rPr>
                      <w:color w:val="auto"/>
                      <w:highlight w:val="none"/>
                    </w:rPr>
                    <w:t>+15m排气筒</w:t>
                  </w:r>
                </w:p>
              </w:tc>
              <w:tc>
                <w:tcPr>
                  <w:tcW w:w="517" w:type="pct"/>
                  <w:vAlign w:val="center"/>
                </w:tcPr>
                <w:p>
                  <w:pPr>
                    <w:tabs>
                      <w:tab w:val="left" w:pos="1081"/>
                    </w:tabs>
                    <w:adjustRightInd w:val="0"/>
                    <w:snapToGrid w:val="0"/>
                    <w:jc w:val="center"/>
                    <w:textAlignment w:val="baseline"/>
                    <w:rPr>
                      <w:rFonts w:hint="eastAsia" w:eastAsia="宋体"/>
                      <w:color w:val="auto"/>
                      <w:highlight w:val="none"/>
                      <w:lang w:val="en-US" w:eastAsia="zh-CN"/>
                    </w:rPr>
                  </w:pPr>
                  <w:r>
                    <w:rPr>
                      <w:rFonts w:hint="eastAsia"/>
                      <w:color w:val="auto"/>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8" w:type="pct"/>
                  <w:vAlign w:val="center"/>
                </w:tcPr>
                <w:p>
                  <w:pPr>
                    <w:tabs>
                      <w:tab w:val="left" w:pos="1081"/>
                    </w:tabs>
                    <w:adjustRightInd w:val="0"/>
                    <w:snapToGrid w:val="0"/>
                    <w:jc w:val="center"/>
                    <w:textAlignment w:val="baseline"/>
                    <w:rPr>
                      <w:rFonts w:hint="eastAsia" w:eastAsia="宋体"/>
                      <w:color w:val="auto"/>
                      <w:highlight w:val="none"/>
                      <w:lang w:val="en-US" w:eastAsia="zh-CN"/>
                    </w:rPr>
                  </w:pPr>
                  <w:r>
                    <w:rPr>
                      <w:rFonts w:hint="eastAsia"/>
                      <w:color w:val="auto"/>
                      <w:highlight w:val="none"/>
                      <w:lang w:val="en-US" w:eastAsia="zh-CN"/>
                    </w:rPr>
                    <w:t>2</w:t>
                  </w:r>
                </w:p>
              </w:tc>
              <w:tc>
                <w:tcPr>
                  <w:tcW w:w="531" w:type="pct"/>
                  <w:vAlign w:val="center"/>
                </w:tcPr>
                <w:p>
                  <w:pPr>
                    <w:tabs>
                      <w:tab w:val="left" w:pos="1081"/>
                    </w:tabs>
                    <w:adjustRightInd w:val="0"/>
                    <w:snapToGrid w:val="0"/>
                    <w:jc w:val="center"/>
                    <w:textAlignment w:val="baseline"/>
                    <w:rPr>
                      <w:color w:val="auto"/>
                      <w:highlight w:val="none"/>
                    </w:rPr>
                  </w:pPr>
                  <w:r>
                    <w:rPr>
                      <w:color w:val="auto"/>
                      <w:highlight w:val="none"/>
                    </w:rPr>
                    <w:t>废水</w:t>
                  </w:r>
                </w:p>
              </w:tc>
              <w:tc>
                <w:tcPr>
                  <w:tcW w:w="888" w:type="pct"/>
                  <w:vAlign w:val="center"/>
                </w:tcPr>
                <w:p>
                  <w:pPr>
                    <w:tabs>
                      <w:tab w:val="left" w:pos="1081"/>
                    </w:tabs>
                    <w:adjustRightInd w:val="0"/>
                    <w:snapToGrid w:val="0"/>
                    <w:jc w:val="center"/>
                    <w:textAlignment w:val="baseline"/>
                    <w:rPr>
                      <w:color w:val="auto"/>
                      <w:highlight w:val="none"/>
                    </w:rPr>
                  </w:pPr>
                  <w:r>
                    <w:rPr>
                      <w:color w:val="auto"/>
                      <w:highlight w:val="none"/>
                    </w:rPr>
                    <w:t>生活污水</w:t>
                  </w:r>
                </w:p>
              </w:tc>
              <w:tc>
                <w:tcPr>
                  <w:tcW w:w="2804" w:type="pct"/>
                  <w:vAlign w:val="center"/>
                </w:tcPr>
                <w:p>
                  <w:pPr>
                    <w:tabs>
                      <w:tab w:val="left" w:pos="1081"/>
                    </w:tabs>
                    <w:adjustRightInd w:val="0"/>
                    <w:snapToGrid w:val="0"/>
                    <w:jc w:val="center"/>
                    <w:textAlignment w:val="baseline"/>
                    <w:rPr>
                      <w:color w:val="auto"/>
                      <w:highlight w:val="none"/>
                    </w:rPr>
                  </w:pPr>
                  <w:r>
                    <w:rPr>
                      <w:color w:val="auto"/>
                      <w:highlight w:val="none"/>
                    </w:rPr>
                    <w:t>经三级化粪池预处理后排入市政管网</w:t>
                  </w:r>
                </w:p>
              </w:tc>
              <w:tc>
                <w:tcPr>
                  <w:tcW w:w="517" w:type="pct"/>
                  <w:vAlign w:val="center"/>
                </w:tcPr>
                <w:p>
                  <w:pPr>
                    <w:tabs>
                      <w:tab w:val="left" w:pos="1081"/>
                    </w:tabs>
                    <w:adjustRightInd w:val="0"/>
                    <w:snapToGrid w:val="0"/>
                    <w:jc w:val="center"/>
                    <w:textAlignment w:val="baseline"/>
                    <w:rPr>
                      <w:rFonts w:hint="default" w:eastAsia="宋体"/>
                      <w:color w:val="auto"/>
                      <w:highlight w:val="none"/>
                      <w:lang w:val="en-US" w:eastAsia="zh-CN"/>
                    </w:rPr>
                  </w:pPr>
                  <w:r>
                    <w:rPr>
                      <w:rFonts w:hint="eastAsia"/>
                      <w:color w:val="auto"/>
                      <w:highlight w:val="none"/>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8" w:type="pct"/>
                  <w:vMerge w:val="restart"/>
                  <w:vAlign w:val="center"/>
                </w:tcPr>
                <w:p>
                  <w:pPr>
                    <w:tabs>
                      <w:tab w:val="left" w:pos="1081"/>
                    </w:tabs>
                    <w:adjustRightInd w:val="0"/>
                    <w:snapToGrid w:val="0"/>
                    <w:jc w:val="center"/>
                    <w:textAlignment w:val="baseline"/>
                    <w:rPr>
                      <w:rFonts w:hint="eastAsia" w:eastAsia="宋体"/>
                      <w:color w:val="auto"/>
                      <w:highlight w:val="none"/>
                      <w:lang w:val="en-US" w:eastAsia="zh-CN"/>
                    </w:rPr>
                  </w:pPr>
                  <w:r>
                    <w:rPr>
                      <w:rFonts w:hint="eastAsia"/>
                      <w:color w:val="auto"/>
                      <w:highlight w:val="none"/>
                      <w:lang w:val="en-US" w:eastAsia="zh-CN"/>
                    </w:rPr>
                    <w:t>3</w:t>
                  </w:r>
                </w:p>
              </w:tc>
              <w:tc>
                <w:tcPr>
                  <w:tcW w:w="531" w:type="pct"/>
                  <w:vMerge w:val="restart"/>
                  <w:vAlign w:val="center"/>
                </w:tcPr>
                <w:p>
                  <w:pPr>
                    <w:tabs>
                      <w:tab w:val="left" w:pos="1081"/>
                    </w:tabs>
                    <w:adjustRightInd w:val="0"/>
                    <w:snapToGrid w:val="0"/>
                    <w:jc w:val="center"/>
                    <w:textAlignment w:val="baseline"/>
                    <w:rPr>
                      <w:color w:val="auto"/>
                      <w:highlight w:val="none"/>
                    </w:rPr>
                  </w:pPr>
                  <w:r>
                    <w:rPr>
                      <w:color w:val="auto"/>
                      <w:highlight w:val="none"/>
                    </w:rPr>
                    <w:t>固废</w:t>
                  </w:r>
                </w:p>
              </w:tc>
              <w:tc>
                <w:tcPr>
                  <w:tcW w:w="888" w:type="pct"/>
                  <w:vAlign w:val="center"/>
                </w:tcPr>
                <w:p>
                  <w:pPr>
                    <w:tabs>
                      <w:tab w:val="left" w:pos="1081"/>
                    </w:tabs>
                    <w:adjustRightInd w:val="0"/>
                    <w:snapToGrid w:val="0"/>
                    <w:jc w:val="center"/>
                    <w:textAlignment w:val="baseline"/>
                    <w:rPr>
                      <w:color w:val="auto"/>
                      <w:highlight w:val="none"/>
                    </w:rPr>
                  </w:pPr>
                  <w:r>
                    <w:rPr>
                      <w:color w:val="auto"/>
                      <w:highlight w:val="none"/>
                    </w:rPr>
                    <w:t>生活垃圾</w:t>
                  </w:r>
                </w:p>
              </w:tc>
              <w:tc>
                <w:tcPr>
                  <w:tcW w:w="2804" w:type="pct"/>
                  <w:vAlign w:val="center"/>
                </w:tcPr>
                <w:p>
                  <w:pPr>
                    <w:tabs>
                      <w:tab w:val="left" w:pos="1081"/>
                    </w:tabs>
                    <w:adjustRightInd w:val="0"/>
                    <w:snapToGrid w:val="0"/>
                    <w:jc w:val="center"/>
                    <w:textAlignment w:val="baseline"/>
                    <w:rPr>
                      <w:color w:val="auto"/>
                      <w:highlight w:val="none"/>
                    </w:rPr>
                  </w:pPr>
                  <w:r>
                    <w:rPr>
                      <w:color w:val="auto"/>
                      <w:highlight w:val="none"/>
                    </w:rPr>
                    <w:t>垃圾桶、交由环卫部门清理</w:t>
                  </w:r>
                </w:p>
              </w:tc>
              <w:tc>
                <w:tcPr>
                  <w:tcW w:w="517" w:type="pct"/>
                  <w:vAlign w:val="center"/>
                </w:tcPr>
                <w:p>
                  <w:pPr>
                    <w:tabs>
                      <w:tab w:val="left" w:pos="1081"/>
                    </w:tabs>
                    <w:adjustRightInd w:val="0"/>
                    <w:snapToGrid w:val="0"/>
                    <w:jc w:val="center"/>
                    <w:textAlignment w:val="baseline"/>
                    <w:rPr>
                      <w:rFonts w:hint="default" w:eastAsia="宋体"/>
                      <w:color w:val="auto"/>
                      <w:highlight w:val="none"/>
                      <w:lang w:val="en-US" w:eastAsia="zh-CN"/>
                    </w:rPr>
                  </w:pPr>
                  <w:r>
                    <w:rPr>
                      <w:rFonts w:hint="eastAsia"/>
                      <w:color w:val="auto"/>
                      <w:highlight w:val="none"/>
                      <w:lang w:val="en-US" w:eastAsia="zh-CN"/>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58" w:type="pct"/>
                  <w:vMerge w:val="continue"/>
                  <w:vAlign w:val="center"/>
                </w:tcPr>
                <w:p>
                  <w:pPr>
                    <w:tabs>
                      <w:tab w:val="left" w:pos="1081"/>
                    </w:tabs>
                    <w:adjustRightInd w:val="0"/>
                    <w:snapToGrid w:val="0"/>
                    <w:jc w:val="center"/>
                    <w:textAlignment w:val="baseline"/>
                    <w:rPr>
                      <w:color w:val="auto"/>
                      <w:highlight w:val="none"/>
                    </w:rPr>
                  </w:pPr>
                </w:p>
              </w:tc>
              <w:tc>
                <w:tcPr>
                  <w:tcW w:w="531" w:type="pct"/>
                  <w:vMerge w:val="continue"/>
                  <w:vAlign w:val="center"/>
                </w:tcPr>
                <w:p>
                  <w:pPr>
                    <w:tabs>
                      <w:tab w:val="left" w:pos="1081"/>
                    </w:tabs>
                    <w:adjustRightInd w:val="0"/>
                    <w:snapToGrid w:val="0"/>
                    <w:jc w:val="center"/>
                    <w:textAlignment w:val="baseline"/>
                    <w:rPr>
                      <w:color w:val="auto"/>
                      <w:highlight w:val="none"/>
                    </w:rPr>
                  </w:pPr>
                </w:p>
              </w:tc>
              <w:tc>
                <w:tcPr>
                  <w:tcW w:w="888" w:type="pct"/>
                  <w:vAlign w:val="center"/>
                </w:tcPr>
                <w:p>
                  <w:pPr>
                    <w:tabs>
                      <w:tab w:val="left" w:pos="1081"/>
                    </w:tabs>
                    <w:adjustRightInd w:val="0"/>
                    <w:snapToGrid w:val="0"/>
                    <w:jc w:val="center"/>
                    <w:textAlignment w:val="baseline"/>
                    <w:rPr>
                      <w:color w:val="auto"/>
                      <w:highlight w:val="none"/>
                    </w:rPr>
                  </w:pPr>
                  <w:r>
                    <w:rPr>
                      <w:color w:val="auto"/>
                      <w:highlight w:val="none"/>
                    </w:rPr>
                    <w:t>一般工业固体废物</w:t>
                  </w:r>
                </w:p>
              </w:tc>
              <w:tc>
                <w:tcPr>
                  <w:tcW w:w="2804" w:type="pct"/>
                  <w:vAlign w:val="center"/>
                </w:tcPr>
                <w:p>
                  <w:pPr>
                    <w:tabs>
                      <w:tab w:val="left" w:pos="1081"/>
                    </w:tabs>
                    <w:adjustRightInd w:val="0"/>
                    <w:snapToGrid w:val="0"/>
                    <w:jc w:val="center"/>
                    <w:textAlignment w:val="baseline"/>
                    <w:rPr>
                      <w:color w:val="auto"/>
                      <w:highlight w:val="none"/>
                    </w:rPr>
                  </w:pPr>
                  <w:r>
                    <w:rPr>
                      <w:color w:val="auto"/>
                      <w:highlight w:val="none"/>
                    </w:rPr>
                    <w:t>回用于生产、交专业公司回收处理</w:t>
                  </w:r>
                </w:p>
              </w:tc>
              <w:tc>
                <w:tcPr>
                  <w:tcW w:w="517" w:type="pct"/>
                  <w:vAlign w:val="center"/>
                </w:tcPr>
                <w:p>
                  <w:pPr>
                    <w:tabs>
                      <w:tab w:val="left" w:pos="1081"/>
                    </w:tabs>
                    <w:adjustRightInd w:val="0"/>
                    <w:snapToGrid w:val="0"/>
                    <w:jc w:val="center"/>
                    <w:textAlignment w:val="baseline"/>
                    <w:rPr>
                      <w:rFonts w:hint="default" w:eastAsia="宋体"/>
                      <w:color w:val="auto"/>
                      <w:highlight w:val="none"/>
                      <w:lang w:val="en-US" w:eastAsia="zh-CN"/>
                    </w:rPr>
                  </w:pPr>
                  <w:r>
                    <w:rPr>
                      <w:rFonts w:hint="eastAsia"/>
                      <w:color w:val="auto"/>
                      <w:highlight w:val="none"/>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8" w:type="pct"/>
                  <w:vMerge w:val="continue"/>
                  <w:vAlign w:val="center"/>
                </w:tcPr>
                <w:p>
                  <w:pPr>
                    <w:tabs>
                      <w:tab w:val="left" w:pos="1081"/>
                    </w:tabs>
                    <w:adjustRightInd w:val="0"/>
                    <w:snapToGrid w:val="0"/>
                    <w:jc w:val="center"/>
                    <w:textAlignment w:val="baseline"/>
                    <w:rPr>
                      <w:color w:val="auto"/>
                      <w:highlight w:val="none"/>
                    </w:rPr>
                  </w:pPr>
                </w:p>
              </w:tc>
              <w:tc>
                <w:tcPr>
                  <w:tcW w:w="531" w:type="pct"/>
                  <w:vMerge w:val="continue"/>
                  <w:vAlign w:val="center"/>
                </w:tcPr>
                <w:p>
                  <w:pPr>
                    <w:tabs>
                      <w:tab w:val="left" w:pos="1081"/>
                    </w:tabs>
                    <w:adjustRightInd w:val="0"/>
                    <w:snapToGrid w:val="0"/>
                    <w:jc w:val="center"/>
                    <w:textAlignment w:val="baseline"/>
                    <w:rPr>
                      <w:color w:val="auto"/>
                      <w:highlight w:val="none"/>
                    </w:rPr>
                  </w:pPr>
                </w:p>
              </w:tc>
              <w:tc>
                <w:tcPr>
                  <w:tcW w:w="888" w:type="pct"/>
                  <w:vAlign w:val="center"/>
                </w:tcPr>
                <w:p>
                  <w:pPr>
                    <w:tabs>
                      <w:tab w:val="left" w:pos="1081"/>
                    </w:tabs>
                    <w:adjustRightInd w:val="0"/>
                    <w:snapToGrid w:val="0"/>
                    <w:jc w:val="center"/>
                    <w:textAlignment w:val="baseline"/>
                    <w:rPr>
                      <w:color w:val="auto"/>
                      <w:highlight w:val="none"/>
                    </w:rPr>
                  </w:pPr>
                  <w:r>
                    <w:rPr>
                      <w:color w:val="auto"/>
                      <w:highlight w:val="none"/>
                    </w:rPr>
                    <w:t>危险废物</w:t>
                  </w:r>
                </w:p>
              </w:tc>
              <w:tc>
                <w:tcPr>
                  <w:tcW w:w="2804" w:type="pct"/>
                  <w:vAlign w:val="center"/>
                </w:tcPr>
                <w:p>
                  <w:pPr>
                    <w:tabs>
                      <w:tab w:val="left" w:pos="1081"/>
                    </w:tabs>
                    <w:adjustRightInd w:val="0"/>
                    <w:snapToGrid w:val="0"/>
                    <w:jc w:val="center"/>
                    <w:textAlignment w:val="baseline"/>
                    <w:rPr>
                      <w:color w:val="auto"/>
                      <w:highlight w:val="none"/>
                    </w:rPr>
                  </w:pPr>
                  <w:r>
                    <w:rPr>
                      <w:color w:val="auto"/>
                      <w:highlight w:val="none"/>
                    </w:rPr>
                    <w:t>委托有资质单位转运处置</w:t>
                  </w:r>
                </w:p>
              </w:tc>
              <w:tc>
                <w:tcPr>
                  <w:tcW w:w="517" w:type="pct"/>
                  <w:vAlign w:val="center"/>
                </w:tcPr>
                <w:p>
                  <w:pPr>
                    <w:tabs>
                      <w:tab w:val="left" w:pos="1081"/>
                    </w:tabs>
                    <w:adjustRightInd w:val="0"/>
                    <w:snapToGrid w:val="0"/>
                    <w:jc w:val="center"/>
                    <w:textAlignment w:val="baseline"/>
                    <w:rPr>
                      <w:rFonts w:hint="default" w:eastAsia="宋体"/>
                      <w:color w:val="auto"/>
                      <w:highlight w:val="none"/>
                      <w:lang w:val="en-US" w:eastAsia="zh-CN"/>
                    </w:rPr>
                  </w:pPr>
                  <w:r>
                    <w:rPr>
                      <w:rFonts w:hint="eastAsia"/>
                      <w:color w:val="auto"/>
                      <w:highlight w:val="none"/>
                      <w:lang w:val="en-US" w:eastAsia="zh-CN"/>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58" w:type="pct"/>
                  <w:vAlign w:val="center"/>
                </w:tcPr>
                <w:p>
                  <w:pPr>
                    <w:tabs>
                      <w:tab w:val="left" w:pos="1081"/>
                    </w:tabs>
                    <w:adjustRightInd w:val="0"/>
                    <w:snapToGrid w:val="0"/>
                    <w:jc w:val="center"/>
                    <w:textAlignment w:val="baseline"/>
                    <w:rPr>
                      <w:rFonts w:hint="eastAsia" w:eastAsia="宋体"/>
                      <w:color w:val="auto"/>
                      <w:highlight w:val="none"/>
                      <w:lang w:val="en-US" w:eastAsia="zh-CN"/>
                    </w:rPr>
                  </w:pPr>
                  <w:r>
                    <w:rPr>
                      <w:rFonts w:hint="eastAsia"/>
                      <w:color w:val="auto"/>
                      <w:highlight w:val="none"/>
                      <w:lang w:val="en-US" w:eastAsia="zh-CN"/>
                    </w:rPr>
                    <w:t>4</w:t>
                  </w:r>
                </w:p>
              </w:tc>
              <w:tc>
                <w:tcPr>
                  <w:tcW w:w="531" w:type="pct"/>
                  <w:vAlign w:val="center"/>
                </w:tcPr>
                <w:p>
                  <w:pPr>
                    <w:tabs>
                      <w:tab w:val="left" w:pos="1081"/>
                    </w:tabs>
                    <w:adjustRightInd w:val="0"/>
                    <w:snapToGrid w:val="0"/>
                    <w:jc w:val="center"/>
                    <w:textAlignment w:val="baseline"/>
                    <w:rPr>
                      <w:color w:val="auto"/>
                      <w:highlight w:val="none"/>
                    </w:rPr>
                  </w:pPr>
                  <w:r>
                    <w:rPr>
                      <w:color w:val="auto"/>
                      <w:highlight w:val="none"/>
                    </w:rPr>
                    <w:t>噪声</w:t>
                  </w:r>
                </w:p>
              </w:tc>
              <w:tc>
                <w:tcPr>
                  <w:tcW w:w="3693" w:type="pct"/>
                  <w:gridSpan w:val="2"/>
                  <w:vAlign w:val="center"/>
                </w:tcPr>
                <w:p>
                  <w:pPr>
                    <w:tabs>
                      <w:tab w:val="left" w:pos="1081"/>
                    </w:tabs>
                    <w:adjustRightInd w:val="0"/>
                    <w:snapToGrid w:val="0"/>
                    <w:jc w:val="left"/>
                    <w:textAlignment w:val="baseline"/>
                    <w:rPr>
                      <w:color w:val="auto"/>
                      <w:highlight w:val="none"/>
                    </w:rPr>
                  </w:pPr>
                  <w:r>
                    <w:rPr>
                      <w:color w:val="auto"/>
                      <w:highlight w:val="none"/>
                    </w:rPr>
                    <w:t>设置减振隔声措施，生产车间设置隔音门窗等措施，定期对各种机械设备进行维护与保养</w:t>
                  </w:r>
                </w:p>
              </w:tc>
              <w:tc>
                <w:tcPr>
                  <w:tcW w:w="517" w:type="pct"/>
                  <w:vAlign w:val="center"/>
                </w:tcPr>
                <w:p>
                  <w:pPr>
                    <w:tabs>
                      <w:tab w:val="left" w:pos="1081"/>
                    </w:tabs>
                    <w:adjustRightInd w:val="0"/>
                    <w:snapToGrid w:val="0"/>
                    <w:jc w:val="center"/>
                    <w:textAlignment w:val="baseline"/>
                    <w:rPr>
                      <w:color w:val="auto"/>
                      <w:highlight w:val="none"/>
                    </w:rPr>
                  </w:pPr>
                  <w:r>
                    <w:rPr>
                      <w:color w:val="auto"/>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58" w:type="pct"/>
                  <w:vAlign w:val="center"/>
                </w:tcPr>
                <w:p>
                  <w:pPr>
                    <w:tabs>
                      <w:tab w:val="left" w:pos="1081"/>
                    </w:tabs>
                    <w:adjustRightInd w:val="0"/>
                    <w:snapToGrid w:val="0"/>
                    <w:jc w:val="center"/>
                    <w:textAlignment w:val="baseline"/>
                    <w:rPr>
                      <w:rFonts w:hint="eastAsia" w:eastAsia="宋体"/>
                      <w:color w:val="auto"/>
                      <w:highlight w:val="none"/>
                      <w:lang w:val="en-US" w:eastAsia="zh-CN"/>
                    </w:rPr>
                  </w:pPr>
                  <w:r>
                    <w:rPr>
                      <w:rFonts w:hint="eastAsia"/>
                      <w:color w:val="auto"/>
                      <w:highlight w:val="none"/>
                      <w:lang w:val="en-US" w:eastAsia="zh-CN"/>
                    </w:rPr>
                    <w:t>5</w:t>
                  </w:r>
                </w:p>
              </w:tc>
              <w:tc>
                <w:tcPr>
                  <w:tcW w:w="531" w:type="pct"/>
                  <w:vAlign w:val="center"/>
                </w:tcPr>
                <w:p>
                  <w:pPr>
                    <w:jc w:val="center"/>
                    <w:rPr>
                      <w:color w:val="auto"/>
                      <w:highlight w:val="none"/>
                    </w:rPr>
                  </w:pPr>
                  <w:r>
                    <w:rPr>
                      <w:color w:val="auto"/>
                      <w:highlight w:val="none"/>
                    </w:rPr>
                    <w:t>环境</w:t>
                  </w:r>
                </w:p>
                <w:p>
                  <w:pPr>
                    <w:jc w:val="center"/>
                    <w:rPr>
                      <w:color w:val="auto"/>
                      <w:highlight w:val="none"/>
                    </w:rPr>
                  </w:pPr>
                  <w:r>
                    <w:rPr>
                      <w:color w:val="auto"/>
                      <w:highlight w:val="none"/>
                    </w:rPr>
                    <w:t>风险</w:t>
                  </w:r>
                </w:p>
              </w:tc>
              <w:tc>
                <w:tcPr>
                  <w:tcW w:w="3693" w:type="pct"/>
                  <w:gridSpan w:val="2"/>
                  <w:vAlign w:val="center"/>
                </w:tcPr>
                <w:p>
                  <w:pPr>
                    <w:jc w:val="center"/>
                    <w:rPr>
                      <w:color w:val="auto"/>
                      <w:highlight w:val="none"/>
                    </w:rPr>
                  </w:pPr>
                  <w:r>
                    <w:rPr>
                      <w:color w:val="auto"/>
                      <w:highlight w:val="none"/>
                    </w:rPr>
                    <w:t>手提式干粉灭火器、推车式灭火器、灭火毯、沙子等应急措施</w:t>
                  </w:r>
                </w:p>
              </w:tc>
              <w:tc>
                <w:tcPr>
                  <w:tcW w:w="517" w:type="pct"/>
                  <w:vAlign w:val="center"/>
                </w:tcPr>
                <w:p>
                  <w:pPr>
                    <w:jc w:val="center"/>
                    <w:rPr>
                      <w:rFonts w:hint="eastAsia" w:eastAsia="宋体"/>
                      <w:color w:val="auto"/>
                      <w:sz w:val="20"/>
                      <w:highlight w:val="none"/>
                      <w:lang w:val="en-US" w:eastAsia="zh-CN"/>
                    </w:rPr>
                  </w:pPr>
                  <w:r>
                    <w:rPr>
                      <w:rFonts w:hint="eastAsia"/>
                      <w:color w:val="auto"/>
                      <w:sz w:val="20"/>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4482" w:type="pct"/>
                  <w:gridSpan w:val="4"/>
                  <w:vAlign w:val="center"/>
                </w:tcPr>
                <w:p>
                  <w:pPr>
                    <w:tabs>
                      <w:tab w:val="left" w:pos="1081"/>
                    </w:tabs>
                    <w:adjustRightInd w:val="0"/>
                    <w:snapToGrid w:val="0"/>
                    <w:jc w:val="center"/>
                    <w:textAlignment w:val="baseline"/>
                    <w:rPr>
                      <w:color w:val="auto"/>
                      <w:highlight w:val="none"/>
                    </w:rPr>
                  </w:pPr>
                  <w:r>
                    <w:rPr>
                      <w:color w:val="auto"/>
                      <w:highlight w:val="none"/>
                    </w:rPr>
                    <w:t>合计</w:t>
                  </w:r>
                </w:p>
              </w:tc>
              <w:tc>
                <w:tcPr>
                  <w:tcW w:w="517" w:type="pct"/>
                  <w:vAlign w:val="center"/>
                </w:tcPr>
                <w:p>
                  <w:pPr>
                    <w:tabs>
                      <w:tab w:val="left" w:pos="1081"/>
                    </w:tabs>
                    <w:adjustRightInd w:val="0"/>
                    <w:snapToGrid w:val="0"/>
                    <w:jc w:val="center"/>
                    <w:textAlignment w:val="baseline"/>
                    <w:rPr>
                      <w:color w:val="auto"/>
                      <w:highlight w:val="none"/>
                    </w:rPr>
                  </w:pPr>
                  <w:r>
                    <w:rPr>
                      <w:rFonts w:hint="eastAsia"/>
                      <w:color w:val="auto"/>
                      <w:highlight w:val="none"/>
                      <w:lang w:val="en-US" w:eastAsia="zh-CN"/>
                    </w:rPr>
                    <w:t>1</w:t>
                  </w:r>
                  <w:r>
                    <w:rPr>
                      <w:color w:val="auto"/>
                      <w:highlight w:val="none"/>
                    </w:rPr>
                    <w:t>0</w:t>
                  </w:r>
                </w:p>
              </w:tc>
            </w:tr>
          </w:tbl>
          <w:p>
            <w:pPr>
              <w:spacing w:before="120" w:beforeLines="50" w:line="360" w:lineRule="auto"/>
              <w:ind w:firstLine="422" w:firstLineChars="200"/>
              <w:jc w:val="left"/>
              <w:rPr>
                <w:b/>
                <w:color w:val="auto"/>
                <w:szCs w:val="21"/>
                <w:highlight w:val="none"/>
              </w:rPr>
            </w:pPr>
            <w:r>
              <w:rPr>
                <w:rFonts w:hint="eastAsia"/>
                <w:b/>
                <w:color w:val="auto"/>
                <w:szCs w:val="21"/>
                <w:highlight w:val="none"/>
              </w:rPr>
              <w:t>3、主要产品</w:t>
            </w:r>
            <w:r>
              <w:rPr>
                <w:rFonts w:hint="eastAsia"/>
                <w:b/>
                <w:color w:val="auto"/>
                <w:szCs w:val="21"/>
                <w:highlight w:val="none"/>
                <w:lang w:val="en-US" w:eastAsia="zh-CN"/>
              </w:rPr>
              <w:t>及产能</w:t>
            </w:r>
          </w:p>
          <w:p>
            <w:pPr>
              <w:spacing w:line="360" w:lineRule="auto"/>
              <w:ind w:firstLine="420" w:firstLineChars="200"/>
              <w:jc w:val="left"/>
              <w:rPr>
                <w:color w:val="auto"/>
                <w:szCs w:val="21"/>
                <w:highlight w:val="none"/>
              </w:rPr>
            </w:pPr>
            <w:r>
              <w:rPr>
                <w:color w:val="auto"/>
                <w:szCs w:val="21"/>
                <w:highlight w:val="none"/>
              </w:rPr>
              <w:t>本项目主要建设规模见下表：</w:t>
            </w:r>
          </w:p>
          <w:p>
            <w:pPr>
              <w:pStyle w:val="41"/>
              <w:spacing w:after="120" w:afterLines="50"/>
              <w:jc w:val="center"/>
              <w:rPr>
                <w:rFonts w:ascii="Times New Roman" w:hAnsi="Times New Roman" w:eastAsia="宋体" w:cs="Times New Roman"/>
                <w:b/>
                <w:bCs/>
                <w:color w:val="auto"/>
                <w:sz w:val="21"/>
                <w:szCs w:val="21"/>
                <w:highlight w:val="none"/>
              </w:rPr>
            </w:pPr>
            <w:r>
              <w:rPr>
                <w:rFonts w:ascii="Times New Roman" w:hAnsi="Times New Roman" w:eastAsia="宋体" w:cs="Times New Roman"/>
                <w:b/>
                <w:bCs/>
                <w:color w:val="auto"/>
                <w:sz w:val="21"/>
                <w:szCs w:val="21"/>
                <w:highlight w:val="none"/>
              </w:rPr>
              <w:t>表2-</w:t>
            </w:r>
            <w:r>
              <w:rPr>
                <w:rFonts w:hint="eastAsia" w:ascii="Times New Roman" w:hAnsi="Times New Roman" w:eastAsia="宋体" w:cs="Times New Roman"/>
                <w:b/>
                <w:bCs/>
                <w:color w:val="auto"/>
                <w:sz w:val="21"/>
                <w:szCs w:val="21"/>
                <w:highlight w:val="none"/>
              </w:rPr>
              <w:t>3</w:t>
            </w:r>
            <w:r>
              <w:rPr>
                <w:rFonts w:ascii="Times New Roman" w:hAnsi="Times New Roman" w:eastAsia="宋体" w:cs="Times New Roman"/>
                <w:b/>
                <w:bCs/>
                <w:color w:val="auto"/>
                <w:sz w:val="21"/>
                <w:szCs w:val="21"/>
                <w:highlight w:val="none"/>
              </w:rPr>
              <w:t xml:space="preserve"> 产品</w:t>
            </w:r>
            <w:r>
              <w:rPr>
                <w:rFonts w:hint="eastAsia" w:ascii="Times New Roman" w:hAnsi="Times New Roman" w:eastAsia="宋体" w:cs="Times New Roman"/>
                <w:b/>
                <w:bCs/>
                <w:color w:val="auto"/>
                <w:sz w:val="21"/>
                <w:szCs w:val="21"/>
                <w:highlight w:val="none"/>
                <w:lang w:val="en-US" w:eastAsia="zh-CN"/>
              </w:rPr>
              <w:t>产能</w:t>
            </w:r>
            <w:r>
              <w:rPr>
                <w:rFonts w:ascii="Times New Roman" w:hAnsi="Times New Roman" w:eastAsia="宋体" w:cs="Times New Roman"/>
                <w:b/>
                <w:bCs/>
                <w:color w:val="auto"/>
                <w:sz w:val="21"/>
                <w:szCs w:val="21"/>
                <w:highlight w:val="none"/>
              </w:rPr>
              <w:t>表</w:t>
            </w:r>
          </w:p>
          <w:tbl>
            <w:tblPr>
              <w:tblStyle w:val="35"/>
              <w:tblW w:w="4998"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28" w:type="dxa"/>
                <w:left w:w="28" w:type="dxa"/>
                <w:bottom w:w="28" w:type="dxa"/>
                <w:right w:w="28" w:type="dxa"/>
              </w:tblCellMar>
            </w:tblPr>
            <w:tblGrid>
              <w:gridCol w:w="932"/>
              <w:gridCol w:w="3297"/>
              <w:gridCol w:w="1964"/>
              <w:gridCol w:w="216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28" w:type="dxa"/>
                  <w:left w:w="28" w:type="dxa"/>
                  <w:bottom w:w="28" w:type="dxa"/>
                  <w:right w:w="28" w:type="dxa"/>
                </w:tblCellMar>
              </w:tblPrEx>
              <w:trPr>
                <w:trHeight w:val="23" w:hRule="atLeast"/>
                <w:jc w:val="center"/>
              </w:trPr>
              <w:tc>
                <w:tcPr>
                  <w:tcW w:w="557" w:type="pct"/>
                  <w:vAlign w:val="center"/>
                </w:tcPr>
                <w:p>
                  <w:pPr>
                    <w:jc w:val="center"/>
                    <w:rPr>
                      <w:b/>
                      <w:bCs/>
                      <w:color w:val="auto"/>
                      <w:szCs w:val="21"/>
                      <w:highlight w:val="none"/>
                    </w:rPr>
                  </w:pPr>
                  <w:r>
                    <w:rPr>
                      <w:b/>
                      <w:bCs/>
                      <w:color w:val="auto"/>
                      <w:szCs w:val="21"/>
                      <w:highlight w:val="none"/>
                    </w:rPr>
                    <w:t>序号</w:t>
                  </w:r>
                </w:p>
              </w:tc>
              <w:tc>
                <w:tcPr>
                  <w:tcW w:w="1971" w:type="pct"/>
                  <w:vAlign w:val="center"/>
                </w:tcPr>
                <w:p>
                  <w:pPr>
                    <w:jc w:val="center"/>
                    <w:rPr>
                      <w:b/>
                      <w:bCs/>
                      <w:color w:val="auto"/>
                      <w:szCs w:val="21"/>
                      <w:highlight w:val="none"/>
                    </w:rPr>
                  </w:pPr>
                  <w:r>
                    <w:rPr>
                      <w:rFonts w:hint="eastAsia"/>
                      <w:b/>
                      <w:bCs/>
                      <w:color w:val="auto"/>
                      <w:szCs w:val="21"/>
                      <w:highlight w:val="none"/>
                    </w:rPr>
                    <w:t>产品</w:t>
                  </w:r>
                </w:p>
              </w:tc>
              <w:tc>
                <w:tcPr>
                  <w:tcW w:w="1174" w:type="pct"/>
                  <w:vAlign w:val="center"/>
                </w:tcPr>
                <w:p>
                  <w:pPr>
                    <w:jc w:val="center"/>
                    <w:rPr>
                      <w:rFonts w:hint="default" w:eastAsia="宋体"/>
                      <w:b/>
                      <w:bCs/>
                      <w:color w:val="auto"/>
                      <w:szCs w:val="21"/>
                      <w:highlight w:val="none"/>
                      <w:lang w:val="en-US" w:eastAsia="zh-CN"/>
                    </w:rPr>
                  </w:pPr>
                  <w:r>
                    <w:rPr>
                      <w:rFonts w:hint="eastAsia"/>
                      <w:b/>
                      <w:bCs/>
                      <w:color w:val="auto"/>
                      <w:szCs w:val="21"/>
                      <w:highlight w:val="none"/>
                      <w:lang w:val="en-US" w:eastAsia="zh-CN"/>
                    </w:rPr>
                    <w:t>生产能力</w:t>
                  </w:r>
                </w:p>
              </w:tc>
              <w:tc>
                <w:tcPr>
                  <w:tcW w:w="1296" w:type="pct"/>
                  <w:vAlign w:val="center"/>
                </w:tcPr>
                <w:p>
                  <w:pPr>
                    <w:jc w:val="center"/>
                    <w:rPr>
                      <w:rFonts w:hint="default"/>
                      <w:b/>
                      <w:bCs/>
                      <w:color w:val="auto"/>
                      <w:szCs w:val="21"/>
                      <w:highlight w:val="none"/>
                      <w:lang w:val="en-US" w:eastAsia="zh-CN"/>
                    </w:rPr>
                  </w:pPr>
                  <w:r>
                    <w:rPr>
                      <w:rFonts w:hint="eastAsia"/>
                      <w:b/>
                      <w:bCs/>
                      <w:color w:val="auto"/>
                      <w:szCs w:val="21"/>
                      <w:highlight w:val="none"/>
                      <w:lang w:val="en-US" w:eastAsia="zh-CN"/>
                    </w:rPr>
                    <w:t>年生产时间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28" w:type="dxa"/>
                  <w:left w:w="28" w:type="dxa"/>
                  <w:bottom w:w="28" w:type="dxa"/>
                  <w:right w:w="28" w:type="dxa"/>
                </w:tblCellMar>
              </w:tblPrEx>
              <w:trPr>
                <w:trHeight w:val="23" w:hRule="atLeast"/>
                <w:jc w:val="center"/>
              </w:trPr>
              <w:tc>
                <w:tcPr>
                  <w:tcW w:w="557" w:type="pct"/>
                  <w:vAlign w:val="center"/>
                </w:tcPr>
                <w:p>
                  <w:pPr>
                    <w:jc w:val="center"/>
                    <w:rPr>
                      <w:color w:val="auto"/>
                      <w:szCs w:val="21"/>
                      <w:highlight w:val="none"/>
                    </w:rPr>
                  </w:pPr>
                  <w:r>
                    <w:rPr>
                      <w:color w:val="auto"/>
                      <w:szCs w:val="21"/>
                      <w:highlight w:val="none"/>
                    </w:rPr>
                    <w:t>1</w:t>
                  </w:r>
                </w:p>
              </w:tc>
              <w:tc>
                <w:tcPr>
                  <w:tcW w:w="1971" w:type="pct"/>
                  <w:vAlign w:val="center"/>
                </w:tcPr>
                <w:p>
                  <w:pPr>
                    <w:snapToGrid w:val="0"/>
                    <w:jc w:val="center"/>
                    <w:rPr>
                      <w:color w:val="auto"/>
                      <w:szCs w:val="21"/>
                      <w:highlight w:val="none"/>
                    </w:rPr>
                  </w:pPr>
                  <w:r>
                    <w:rPr>
                      <w:color w:val="auto"/>
                      <w:szCs w:val="21"/>
                      <w:highlight w:val="none"/>
                      <w:lang w:bidi="ar"/>
                    </w:rPr>
                    <w:t>塑胶跑道PU材料</w:t>
                  </w:r>
                </w:p>
              </w:tc>
              <w:tc>
                <w:tcPr>
                  <w:tcW w:w="1174" w:type="pct"/>
                  <w:vAlign w:val="center"/>
                </w:tcPr>
                <w:p>
                  <w:pPr>
                    <w:snapToGrid w:val="0"/>
                    <w:jc w:val="center"/>
                    <w:rPr>
                      <w:color w:val="auto"/>
                      <w:szCs w:val="21"/>
                      <w:highlight w:val="none"/>
                    </w:rPr>
                  </w:pPr>
                  <w:r>
                    <w:rPr>
                      <w:rFonts w:hint="eastAsia"/>
                      <w:color w:val="auto"/>
                      <w:szCs w:val="21"/>
                      <w:highlight w:val="none"/>
                      <w:lang w:val="en-US" w:eastAsia="zh-CN"/>
                    </w:rPr>
                    <w:t>9940</w:t>
                  </w:r>
                  <w:r>
                    <w:rPr>
                      <w:color w:val="auto"/>
                      <w:szCs w:val="21"/>
                      <w:highlight w:val="none"/>
                    </w:rPr>
                    <w:t>吨/年</w:t>
                  </w:r>
                </w:p>
              </w:tc>
              <w:tc>
                <w:tcPr>
                  <w:tcW w:w="1296" w:type="pct"/>
                  <w:vAlign w:val="center"/>
                </w:tcPr>
                <w:p>
                  <w:pPr>
                    <w:snapToGrid w:val="0"/>
                    <w:jc w:val="center"/>
                    <w:rPr>
                      <w:rFonts w:hint="default"/>
                      <w:color w:val="auto"/>
                      <w:szCs w:val="21"/>
                      <w:highlight w:val="none"/>
                      <w:lang w:val="en-US" w:eastAsia="zh-CN"/>
                    </w:rPr>
                  </w:pPr>
                  <w:r>
                    <w:rPr>
                      <w:rFonts w:hint="eastAsia"/>
                      <w:color w:val="auto"/>
                      <w:szCs w:val="21"/>
                      <w:highlight w:val="none"/>
                      <w:lang w:val="en-US" w:eastAsia="zh-CN"/>
                    </w:rPr>
                    <w:t>2400h</w:t>
                  </w:r>
                </w:p>
              </w:tc>
            </w:tr>
          </w:tbl>
          <w:p>
            <w:pPr>
              <w:spacing w:before="120" w:beforeLines="50" w:line="360" w:lineRule="auto"/>
              <w:ind w:firstLine="422" w:firstLineChars="200"/>
              <w:jc w:val="left"/>
              <w:rPr>
                <w:b/>
                <w:color w:val="auto"/>
                <w:szCs w:val="21"/>
                <w:highlight w:val="none"/>
              </w:rPr>
            </w:pPr>
            <w:r>
              <w:rPr>
                <w:rFonts w:hint="eastAsia"/>
                <w:b/>
                <w:color w:val="auto"/>
                <w:szCs w:val="21"/>
                <w:highlight w:val="none"/>
              </w:rPr>
              <w:t>4</w:t>
            </w:r>
            <w:r>
              <w:rPr>
                <w:b/>
                <w:color w:val="auto"/>
                <w:szCs w:val="21"/>
                <w:highlight w:val="none"/>
              </w:rPr>
              <w:t>、原辅材料及用量</w:t>
            </w:r>
          </w:p>
          <w:p>
            <w:pPr>
              <w:spacing w:line="360" w:lineRule="auto"/>
              <w:ind w:firstLine="420" w:firstLineChars="200"/>
              <w:jc w:val="left"/>
              <w:rPr>
                <w:b/>
                <w:bCs/>
                <w:color w:val="auto"/>
                <w:szCs w:val="21"/>
                <w:highlight w:val="none"/>
              </w:rPr>
            </w:pPr>
            <w:r>
              <w:rPr>
                <w:color w:val="auto"/>
                <w:szCs w:val="21"/>
                <w:highlight w:val="none"/>
              </w:rPr>
              <w:t>本项目主要原辅材料及其用量见下表：</w:t>
            </w:r>
          </w:p>
          <w:p>
            <w:pPr>
              <w:pStyle w:val="41"/>
              <w:spacing w:after="120" w:afterLines="50"/>
              <w:jc w:val="center"/>
              <w:rPr>
                <w:rFonts w:ascii="Times New Roman" w:hAnsi="Times New Roman" w:eastAsia="宋体" w:cs="Times New Roman"/>
                <w:b/>
                <w:bCs/>
                <w:color w:val="auto"/>
                <w:sz w:val="21"/>
                <w:szCs w:val="21"/>
                <w:highlight w:val="none"/>
              </w:rPr>
            </w:pPr>
            <w:r>
              <w:rPr>
                <w:rFonts w:ascii="Times New Roman" w:hAnsi="Times New Roman" w:eastAsia="宋体" w:cs="Times New Roman"/>
                <w:b/>
                <w:bCs/>
                <w:color w:val="auto"/>
                <w:sz w:val="21"/>
                <w:szCs w:val="21"/>
                <w:highlight w:val="none"/>
              </w:rPr>
              <w:t>表2-</w:t>
            </w:r>
            <w:r>
              <w:rPr>
                <w:rFonts w:hint="eastAsia" w:ascii="Times New Roman" w:hAnsi="Times New Roman" w:eastAsia="宋体" w:cs="Times New Roman"/>
                <w:b/>
                <w:bCs/>
                <w:color w:val="auto"/>
                <w:sz w:val="21"/>
                <w:szCs w:val="21"/>
                <w:highlight w:val="none"/>
              </w:rPr>
              <w:t>4</w:t>
            </w:r>
            <w:r>
              <w:rPr>
                <w:rFonts w:ascii="Times New Roman" w:hAnsi="Times New Roman" w:eastAsia="宋体" w:cs="Times New Roman"/>
                <w:b/>
                <w:bCs/>
                <w:color w:val="auto"/>
                <w:sz w:val="21"/>
                <w:szCs w:val="21"/>
                <w:highlight w:val="none"/>
              </w:rPr>
              <w:t xml:space="preserve"> 主要原辅材料一览表</w:t>
            </w:r>
          </w:p>
          <w:tbl>
            <w:tblPr>
              <w:tblStyle w:val="3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9"/>
              <w:gridCol w:w="1473"/>
              <w:gridCol w:w="983"/>
              <w:gridCol w:w="1229"/>
              <w:gridCol w:w="1229"/>
              <w:gridCol w:w="1473"/>
              <w:gridCol w:w="1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442" w:type="pct"/>
                  <w:vAlign w:val="center"/>
                </w:tcPr>
                <w:p>
                  <w:pPr>
                    <w:pStyle w:val="117"/>
                    <w:rPr>
                      <w:b/>
                      <w:bCs/>
                      <w:color w:val="auto"/>
                      <w:szCs w:val="21"/>
                      <w:highlight w:val="none"/>
                    </w:rPr>
                  </w:pPr>
                  <w:r>
                    <w:rPr>
                      <w:b/>
                      <w:bCs/>
                      <w:color w:val="auto"/>
                      <w:szCs w:val="21"/>
                      <w:highlight w:val="none"/>
                    </w:rPr>
                    <w:t>序号</w:t>
                  </w:r>
                </w:p>
              </w:tc>
              <w:tc>
                <w:tcPr>
                  <w:tcW w:w="881" w:type="pct"/>
                  <w:vAlign w:val="center"/>
                </w:tcPr>
                <w:p>
                  <w:pPr>
                    <w:pStyle w:val="117"/>
                    <w:rPr>
                      <w:b/>
                      <w:bCs/>
                      <w:color w:val="auto"/>
                      <w:szCs w:val="21"/>
                      <w:highlight w:val="none"/>
                    </w:rPr>
                  </w:pPr>
                  <w:r>
                    <w:rPr>
                      <w:b/>
                      <w:bCs/>
                      <w:color w:val="auto"/>
                      <w:szCs w:val="21"/>
                      <w:highlight w:val="none"/>
                    </w:rPr>
                    <w:t>原材料名称</w:t>
                  </w:r>
                </w:p>
              </w:tc>
              <w:tc>
                <w:tcPr>
                  <w:tcW w:w="588" w:type="pct"/>
                  <w:vAlign w:val="center"/>
                </w:tcPr>
                <w:p>
                  <w:pPr>
                    <w:pStyle w:val="117"/>
                    <w:rPr>
                      <w:b/>
                      <w:bCs/>
                      <w:color w:val="auto"/>
                      <w:szCs w:val="21"/>
                      <w:highlight w:val="none"/>
                    </w:rPr>
                  </w:pPr>
                  <w:r>
                    <w:rPr>
                      <w:b/>
                      <w:bCs/>
                      <w:color w:val="auto"/>
                      <w:szCs w:val="21"/>
                      <w:highlight w:val="none"/>
                    </w:rPr>
                    <w:t>年</w:t>
                  </w:r>
                  <w:r>
                    <w:rPr>
                      <w:rFonts w:hint="eastAsia"/>
                      <w:b/>
                      <w:bCs/>
                      <w:color w:val="auto"/>
                      <w:szCs w:val="21"/>
                      <w:highlight w:val="none"/>
                    </w:rPr>
                    <w:t>用</w:t>
                  </w:r>
                  <w:r>
                    <w:rPr>
                      <w:b/>
                      <w:bCs/>
                      <w:color w:val="auto"/>
                      <w:szCs w:val="21"/>
                      <w:highlight w:val="none"/>
                    </w:rPr>
                    <w:t>量</w:t>
                  </w:r>
                </w:p>
              </w:tc>
              <w:tc>
                <w:tcPr>
                  <w:tcW w:w="735" w:type="pct"/>
                  <w:vAlign w:val="center"/>
                </w:tcPr>
                <w:p>
                  <w:pPr>
                    <w:pStyle w:val="117"/>
                    <w:rPr>
                      <w:b/>
                      <w:bCs/>
                      <w:color w:val="auto"/>
                      <w:szCs w:val="21"/>
                      <w:highlight w:val="none"/>
                    </w:rPr>
                  </w:pPr>
                  <w:r>
                    <w:rPr>
                      <w:rFonts w:hint="eastAsia"/>
                      <w:b/>
                      <w:bCs/>
                      <w:color w:val="auto"/>
                      <w:szCs w:val="21"/>
                      <w:highlight w:val="none"/>
                    </w:rPr>
                    <w:t>物理状态</w:t>
                  </w:r>
                </w:p>
              </w:tc>
              <w:tc>
                <w:tcPr>
                  <w:tcW w:w="735" w:type="pct"/>
                  <w:vAlign w:val="center"/>
                </w:tcPr>
                <w:p>
                  <w:pPr>
                    <w:pStyle w:val="117"/>
                    <w:rPr>
                      <w:b/>
                      <w:bCs/>
                      <w:color w:val="auto"/>
                      <w:szCs w:val="21"/>
                      <w:highlight w:val="none"/>
                    </w:rPr>
                  </w:pPr>
                  <w:r>
                    <w:rPr>
                      <w:rFonts w:hint="eastAsia"/>
                      <w:b/>
                      <w:bCs/>
                      <w:color w:val="auto"/>
                      <w:szCs w:val="21"/>
                      <w:highlight w:val="none"/>
                    </w:rPr>
                    <w:t>包装</w:t>
                  </w:r>
                  <w:r>
                    <w:rPr>
                      <w:b/>
                      <w:bCs/>
                      <w:color w:val="auto"/>
                      <w:szCs w:val="21"/>
                      <w:highlight w:val="none"/>
                    </w:rPr>
                    <w:t>规格</w:t>
                  </w:r>
                </w:p>
              </w:tc>
              <w:tc>
                <w:tcPr>
                  <w:tcW w:w="881" w:type="pct"/>
                  <w:vAlign w:val="center"/>
                </w:tcPr>
                <w:p>
                  <w:pPr>
                    <w:pStyle w:val="117"/>
                    <w:rPr>
                      <w:b/>
                      <w:bCs/>
                      <w:color w:val="auto"/>
                      <w:szCs w:val="21"/>
                      <w:highlight w:val="none"/>
                    </w:rPr>
                  </w:pPr>
                  <w:r>
                    <w:rPr>
                      <w:b/>
                      <w:bCs/>
                      <w:color w:val="auto"/>
                      <w:szCs w:val="21"/>
                      <w:highlight w:val="none"/>
                    </w:rPr>
                    <w:t>最大储存量</w:t>
                  </w:r>
                </w:p>
              </w:tc>
              <w:tc>
                <w:tcPr>
                  <w:tcW w:w="735" w:type="pct"/>
                  <w:vAlign w:val="center"/>
                </w:tcPr>
                <w:p>
                  <w:pPr>
                    <w:pStyle w:val="117"/>
                    <w:rPr>
                      <w:b/>
                      <w:bCs/>
                      <w:color w:val="auto"/>
                      <w:szCs w:val="21"/>
                      <w:highlight w:val="none"/>
                    </w:rPr>
                  </w:pPr>
                  <w:r>
                    <w:rPr>
                      <w:rFonts w:hint="eastAsia"/>
                      <w:b/>
                      <w:bCs/>
                      <w:color w:val="auto"/>
                      <w:szCs w:val="21"/>
                      <w:highlight w:val="none"/>
                    </w:rPr>
                    <w:t>存放位置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42" w:type="pct"/>
                  <w:vAlign w:val="center"/>
                </w:tcPr>
                <w:p>
                  <w:pPr>
                    <w:pStyle w:val="71"/>
                    <w:adjustRightInd w:val="0"/>
                    <w:snapToGrid w:val="0"/>
                    <w:spacing w:line="240" w:lineRule="exact"/>
                    <w:ind w:firstLine="0" w:firstLineChars="0"/>
                    <w:jc w:val="center"/>
                    <w:rPr>
                      <w:color w:val="auto"/>
                      <w:szCs w:val="21"/>
                      <w:highlight w:val="none"/>
                    </w:rPr>
                  </w:pPr>
                  <w:r>
                    <w:rPr>
                      <w:color w:val="auto"/>
                      <w:szCs w:val="21"/>
                      <w:highlight w:val="none"/>
                    </w:rPr>
                    <w:t>1</w:t>
                  </w:r>
                </w:p>
              </w:tc>
              <w:tc>
                <w:tcPr>
                  <w:tcW w:w="881" w:type="pct"/>
                  <w:vAlign w:val="center"/>
                </w:tcPr>
                <w:p>
                  <w:pPr>
                    <w:adjustRightInd w:val="0"/>
                    <w:snapToGrid w:val="0"/>
                    <w:spacing w:line="240" w:lineRule="exact"/>
                    <w:jc w:val="center"/>
                    <w:rPr>
                      <w:bCs/>
                      <w:color w:val="auto"/>
                      <w:kern w:val="0"/>
                      <w:szCs w:val="21"/>
                      <w:highlight w:val="none"/>
                    </w:rPr>
                  </w:pPr>
                  <w:r>
                    <w:rPr>
                      <w:bCs/>
                      <w:color w:val="auto"/>
                      <w:kern w:val="0"/>
                      <w:szCs w:val="21"/>
                      <w:highlight w:val="none"/>
                    </w:rPr>
                    <w:t>滑石粉</w:t>
                  </w:r>
                </w:p>
              </w:tc>
              <w:tc>
                <w:tcPr>
                  <w:tcW w:w="588" w:type="pct"/>
                  <w:vAlign w:val="center"/>
                </w:tcPr>
                <w:p>
                  <w:pPr>
                    <w:tabs>
                      <w:tab w:val="left" w:pos="8505"/>
                    </w:tabs>
                    <w:adjustRightInd w:val="0"/>
                    <w:snapToGrid w:val="0"/>
                    <w:jc w:val="center"/>
                    <w:rPr>
                      <w:bCs/>
                      <w:color w:val="auto"/>
                      <w:kern w:val="0"/>
                      <w:szCs w:val="21"/>
                      <w:highlight w:val="none"/>
                    </w:rPr>
                  </w:pPr>
                  <w:r>
                    <w:rPr>
                      <w:rFonts w:hint="eastAsia"/>
                      <w:bCs/>
                      <w:color w:val="auto"/>
                      <w:kern w:val="0"/>
                      <w:szCs w:val="21"/>
                      <w:highlight w:val="none"/>
                    </w:rPr>
                    <w:t>8</w:t>
                  </w:r>
                  <w:r>
                    <w:rPr>
                      <w:bCs/>
                      <w:color w:val="auto"/>
                      <w:kern w:val="0"/>
                      <w:szCs w:val="21"/>
                      <w:highlight w:val="none"/>
                    </w:rPr>
                    <w:t>00t/a</w:t>
                  </w:r>
                </w:p>
              </w:tc>
              <w:tc>
                <w:tcPr>
                  <w:tcW w:w="735" w:type="pct"/>
                  <w:vAlign w:val="center"/>
                </w:tcPr>
                <w:p>
                  <w:pPr>
                    <w:pStyle w:val="117"/>
                    <w:rPr>
                      <w:color w:val="auto"/>
                      <w:szCs w:val="21"/>
                      <w:highlight w:val="none"/>
                    </w:rPr>
                  </w:pPr>
                  <w:r>
                    <w:rPr>
                      <w:rFonts w:hint="eastAsia"/>
                      <w:color w:val="auto"/>
                      <w:szCs w:val="21"/>
                      <w:highlight w:val="none"/>
                    </w:rPr>
                    <w:t>固态</w:t>
                  </w:r>
                </w:p>
              </w:tc>
              <w:tc>
                <w:tcPr>
                  <w:tcW w:w="735" w:type="pct"/>
                  <w:vAlign w:val="center"/>
                </w:tcPr>
                <w:p>
                  <w:pPr>
                    <w:pStyle w:val="117"/>
                    <w:rPr>
                      <w:color w:val="auto"/>
                      <w:szCs w:val="21"/>
                      <w:highlight w:val="none"/>
                    </w:rPr>
                  </w:pPr>
                  <w:r>
                    <w:rPr>
                      <w:color w:val="auto"/>
                      <w:szCs w:val="21"/>
                      <w:highlight w:val="none"/>
                    </w:rPr>
                    <w:t>25</w:t>
                  </w:r>
                  <w:r>
                    <w:rPr>
                      <w:rFonts w:hint="eastAsia"/>
                      <w:color w:val="auto"/>
                      <w:szCs w:val="21"/>
                      <w:highlight w:val="none"/>
                    </w:rPr>
                    <w:t>kg</w:t>
                  </w:r>
                  <w:r>
                    <w:rPr>
                      <w:color w:val="auto"/>
                      <w:szCs w:val="21"/>
                      <w:highlight w:val="none"/>
                    </w:rPr>
                    <w:t>/袋</w:t>
                  </w:r>
                </w:p>
              </w:tc>
              <w:tc>
                <w:tcPr>
                  <w:tcW w:w="881" w:type="pct"/>
                  <w:vAlign w:val="center"/>
                </w:tcPr>
                <w:p>
                  <w:pPr>
                    <w:pStyle w:val="117"/>
                    <w:rPr>
                      <w:color w:val="auto"/>
                      <w:szCs w:val="21"/>
                      <w:highlight w:val="none"/>
                    </w:rPr>
                  </w:pPr>
                  <w:r>
                    <w:rPr>
                      <w:color w:val="auto"/>
                      <w:szCs w:val="21"/>
                      <w:highlight w:val="none"/>
                    </w:rPr>
                    <w:t>60t</w:t>
                  </w:r>
                </w:p>
              </w:tc>
              <w:tc>
                <w:tcPr>
                  <w:tcW w:w="735" w:type="pct"/>
                  <w:vMerge w:val="restart"/>
                  <w:vAlign w:val="center"/>
                </w:tcPr>
                <w:p>
                  <w:pPr>
                    <w:pStyle w:val="117"/>
                    <w:rPr>
                      <w:color w:val="auto"/>
                      <w:szCs w:val="21"/>
                      <w:highlight w:val="none"/>
                    </w:rPr>
                  </w:pPr>
                  <w:r>
                    <w:rPr>
                      <w:rFonts w:hint="eastAsia"/>
                      <w:color w:val="auto"/>
                      <w:szCs w:val="21"/>
                      <w:highlight w:val="none"/>
                    </w:rPr>
                    <w:t>原料区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442" w:type="pct"/>
                  <w:vAlign w:val="center"/>
                </w:tcPr>
                <w:p>
                  <w:pPr>
                    <w:pStyle w:val="71"/>
                    <w:adjustRightInd w:val="0"/>
                    <w:snapToGrid w:val="0"/>
                    <w:spacing w:line="240" w:lineRule="exact"/>
                    <w:ind w:firstLine="0" w:firstLineChars="0"/>
                    <w:jc w:val="center"/>
                    <w:rPr>
                      <w:color w:val="auto"/>
                      <w:szCs w:val="21"/>
                      <w:highlight w:val="none"/>
                    </w:rPr>
                  </w:pPr>
                  <w:r>
                    <w:rPr>
                      <w:color w:val="auto"/>
                      <w:szCs w:val="21"/>
                      <w:highlight w:val="none"/>
                    </w:rPr>
                    <w:t>2</w:t>
                  </w:r>
                </w:p>
              </w:tc>
              <w:tc>
                <w:tcPr>
                  <w:tcW w:w="881" w:type="pct"/>
                  <w:vAlign w:val="center"/>
                </w:tcPr>
                <w:p>
                  <w:pPr>
                    <w:widowControl/>
                    <w:adjustRightInd w:val="0"/>
                    <w:snapToGrid w:val="0"/>
                    <w:jc w:val="center"/>
                    <w:rPr>
                      <w:bCs/>
                      <w:color w:val="auto"/>
                      <w:kern w:val="0"/>
                      <w:szCs w:val="21"/>
                      <w:highlight w:val="none"/>
                    </w:rPr>
                  </w:pPr>
                  <w:r>
                    <w:rPr>
                      <w:bCs/>
                      <w:color w:val="auto"/>
                      <w:kern w:val="0"/>
                      <w:szCs w:val="21"/>
                      <w:highlight w:val="none"/>
                    </w:rPr>
                    <w:t>聚醚多元醇</w:t>
                  </w:r>
                </w:p>
              </w:tc>
              <w:tc>
                <w:tcPr>
                  <w:tcW w:w="588" w:type="pct"/>
                  <w:vAlign w:val="center"/>
                </w:tcPr>
                <w:p>
                  <w:pPr>
                    <w:widowControl/>
                    <w:adjustRightInd w:val="0"/>
                    <w:snapToGrid w:val="0"/>
                    <w:jc w:val="center"/>
                    <w:rPr>
                      <w:bCs/>
                      <w:color w:val="auto"/>
                      <w:kern w:val="0"/>
                      <w:szCs w:val="21"/>
                      <w:highlight w:val="none"/>
                    </w:rPr>
                  </w:pPr>
                  <w:r>
                    <w:rPr>
                      <w:rFonts w:hint="eastAsia"/>
                      <w:bCs/>
                      <w:color w:val="auto"/>
                      <w:kern w:val="0"/>
                      <w:szCs w:val="21"/>
                      <w:highlight w:val="none"/>
                    </w:rPr>
                    <w:t>30</w:t>
                  </w:r>
                  <w:r>
                    <w:rPr>
                      <w:bCs/>
                      <w:color w:val="auto"/>
                      <w:kern w:val="0"/>
                      <w:szCs w:val="21"/>
                      <w:highlight w:val="none"/>
                    </w:rPr>
                    <w:t>00t/a</w:t>
                  </w:r>
                </w:p>
              </w:tc>
              <w:tc>
                <w:tcPr>
                  <w:tcW w:w="735" w:type="pct"/>
                  <w:vAlign w:val="center"/>
                </w:tcPr>
                <w:p>
                  <w:pPr>
                    <w:pStyle w:val="117"/>
                    <w:rPr>
                      <w:color w:val="auto"/>
                      <w:szCs w:val="21"/>
                      <w:highlight w:val="none"/>
                    </w:rPr>
                  </w:pPr>
                  <w:r>
                    <w:rPr>
                      <w:rFonts w:hint="eastAsia"/>
                      <w:color w:val="auto"/>
                      <w:szCs w:val="21"/>
                      <w:highlight w:val="none"/>
                    </w:rPr>
                    <w:t>液态</w:t>
                  </w:r>
                </w:p>
              </w:tc>
              <w:tc>
                <w:tcPr>
                  <w:tcW w:w="735" w:type="pct"/>
                  <w:vAlign w:val="center"/>
                </w:tcPr>
                <w:p>
                  <w:pPr>
                    <w:pStyle w:val="117"/>
                    <w:rPr>
                      <w:color w:val="auto"/>
                      <w:szCs w:val="21"/>
                      <w:highlight w:val="none"/>
                    </w:rPr>
                  </w:pPr>
                  <w:r>
                    <w:rPr>
                      <w:color w:val="auto"/>
                      <w:szCs w:val="21"/>
                      <w:highlight w:val="none"/>
                    </w:rPr>
                    <w:t>2</w:t>
                  </w:r>
                  <w:r>
                    <w:rPr>
                      <w:rFonts w:hint="eastAsia"/>
                      <w:color w:val="auto"/>
                      <w:szCs w:val="21"/>
                      <w:highlight w:val="none"/>
                    </w:rPr>
                    <w:t>20L</w:t>
                  </w:r>
                  <w:r>
                    <w:rPr>
                      <w:color w:val="auto"/>
                      <w:szCs w:val="21"/>
                      <w:highlight w:val="none"/>
                    </w:rPr>
                    <w:t>/桶</w:t>
                  </w:r>
                </w:p>
              </w:tc>
              <w:tc>
                <w:tcPr>
                  <w:tcW w:w="881" w:type="pct"/>
                  <w:vAlign w:val="center"/>
                </w:tcPr>
                <w:p>
                  <w:pPr>
                    <w:pStyle w:val="117"/>
                    <w:rPr>
                      <w:color w:val="auto"/>
                      <w:szCs w:val="21"/>
                      <w:highlight w:val="none"/>
                    </w:rPr>
                  </w:pPr>
                  <w:r>
                    <w:rPr>
                      <w:color w:val="auto"/>
                      <w:szCs w:val="21"/>
                      <w:highlight w:val="none"/>
                    </w:rPr>
                    <w:t>40t</w:t>
                  </w:r>
                </w:p>
              </w:tc>
              <w:tc>
                <w:tcPr>
                  <w:tcW w:w="735" w:type="pct"/>
                  <w:vMerge w:val="continue"/>
                  <w:vAlign w:val="center"/>
                </w:tcPr>
                <w:p>
                  <w:pPr>
                    <w:pStyle w:val="117"/>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442" w:type="pct"/>
                  <w:vAlign w:val="center"/>
                </w:tcPr>
                <w:p>
                  <w:pPr>
                    <w:pStyle w:val="71"/>
                    <w:adjustRightInd w:val="0"/>
                    <w:snapToGrid w:val="0"/>
                    <w:spacing w:line="240" w:lineRule="exact"/>
                    <w:ind w:firstLine="0" w:firstLineChars="0"/>
                    <w:jc w:val="center"/>
                    <w:rPr>
                      <w:color w:val="auto"/>
                      <w:szCs w:val="21"/>
                      <w:highlight w:val="none"/>
                    </w:rPr>
                  </w:pPr>
                  <w:r>
                    <w:rPr>
                      <w:color w:val="auto"/>
                      <w:szCs w:val="21"/>
                      <w:highlight w:val="none"/>
                    </w:rPr>
                    <w:t>3</w:t>
                  </w:r>
                </w:p>
              </w:tc>
              <w:tc>
                <w:tcPr>
                  <w:tcW w:w="881" w:type="pct"/>
                  <w:vAlign w:val="center"/>
                </w:tcPr>
                <w:p>
                  <w:pPr>
                    <w:widowControl/>
                    <w:adjustRightInd w:val="0"/>
                    <w:snapToGrid w:val="0"/>
                    <w:jc w:val="center"/>
                    <w:rPr>
                      <w:bCs/>
                      <w:color w:val="auto"/>
                      <w:kern w:val="0"/>
                      <w:szCs w:val="21"/>
                      <w:highlight w:val="none"/>
                    </w:rPr>
                  </w:pPr>
                  <w:r>
                    <w:rPr>
                      <w:bCs/>
                      <w:color w:val="auto"/>
                      <w:kern w:val="0"/>
                      <w:szCs w:val="21"/>
                      <w:highlight w:val="none"/>
                    </w:rPr>
                    <w:t>氯化石蜡</w:t>
                  </w:r>
                </w:p>
              </w:tc>
              <w:tc>
                <w:tcPr>
                  <w:tcW w:w="588" w:type="pct"/>
                  <w:vAlign w:val="center"/>
                </w:tcPr>
                <w:p>
                  <w:pPr>
                    <w:adjustRightInd w:val="0"/>
                    <w:snapToGrid w:val="0"/>
                    <w:jc w:val="center"/>
                    <w:rPr>
                      <w:bCs/>
                      <w:color w:val="auto"/>
                      <w:kern w:val="0"/>
                      <w:szCs w:val="21"/>
                      <w:highlight w:val="none"/>
                    </w:rPr>
                  </w:pPr>
                  <w:r>
                    <w:rPr>
                      <w:bCs/>
                      <w:color w:val="auto"/>
                      <w:kern w:val="0"/>
                      <w:szCs w:val="21"/>
                      <w:highlight w:val="none"/>
                    </w:rPr>
                    <w:t>1</w:t>
                  </w:r>
                  <w:r>
                    <w:rPr>
                      <w:rFonts w:hint="eastAsia"/>
                      <w:bCs/>
                      <w:color w:val="auto"/>
                      <w:kern w:val="0"/>
                      <w:szCs w:val="21"/>
                      <w:highlight w:val="none"/>
                    </w:rPr>
                    <w:t>5</w:t>
                  </w:r>
                  <w:r>
                    <w:rPr>
                      <w:bCs/>
                      <w:color w:val="auto"/>
                      <w:kern w:val="0"/>
                      <w:szCs w:val="21"/>
                      <w:highlight w:val="none"/>
                    </w:rPr>
                    <w:t>00t/a</w:t>
                  </w:r>
                </w:p>
              </w:tc>
              <w:tc>
                <w:tcPr>
                  <w:tcW w:w="735" w:type="pct"/>
                </w:tcPr>
                <w:p>
                  <w:pPr>
                    <w:jc w:val="center"/>
                    <w:rPr>
                      <w:color w:val="auto"/>
                      <w:szCs w:val="21"/>
                      <w:highlight w:val="none"/>
                    </w:rPr>
                  </w:pPr>
                  <w:r>
                    <w:rPr>
                      <w:rFonts w:hint="eastAsia"/>
                      <w:color w:val="auto"/>
                      <w:szCs w:val="21"/>
                      <w:highlight w:val="none"/>
                    </w:rPr>
                    <w:t>液态</w:t>
                  </w:r>
                </w:p>
              </w:tc>
              <w:tc>
                <w:tcPr>
                  <w:tcW w:w="735" w:type="pct"/>
                </w:tcPr>
                <w:p>
                  <w:pPr>
                    <w:jc w:val="center"/>
                    <w:rPr>
                      <w:snapToGrid w:val="0"/>
                      <w:color w:val="auto"/>
                      <w:szCs w:val="21"/>
                      <w:highlight w:val="none"/>
                    </w:rPr>
                  </w:pPr>
                  <w:r>
                    <w:rPr>
                      <w:snapToGrid w:val="0"/>
                      <w:color w:val="auto"/>
                      <w:szCs w:val="21"/>
                      <w:highlight w:val="none"/>
                    </w:rPr>
                    <w:t>2</w:t>
                  </w:r>
                  <w:r>
                    <w:rPr>
                      <w:rFonts w:hint="eastAsia"/>
                      <w:snapToGrid w:val="0"/>
                      <w:color w:val="auto"/>
                      <w:szCs w:val="21"/>
                      <w:highlight w:val="none"/>
                    </w:rPr>
                    <w:t>20L</w:t>
                  </w:r>
                  <w:r>
                    <w:rPr>
                      <w:snapToGrid w:val="0"/>
                      <w:color w:val="auto"/>
                      <w:szCs w:val="21"/>
                      <w:highlight w:val="none"/>
                    </w:rPr>
                    <w:t>/桶</w:t>
                  </w:r>
                </w:p>
              </w:tc>
              <w:tc>
                <w:tcPr>
                  <w:tcW w:w="881" w:type="pct"/>
                </w:tcPr>
                <w:p>
                  <w:pPr>
                    <w:pStyle w:val="117"/>
                    <w:rPr>
                      <w:color w:val="auto"/>
                      <w:szCs w:val="21"/>
                      <w:highlight w:val="none"/>
                    </w:rPr>
                  </w:pPr>
                  <w:r>
                    <w:rPr>
                      <w:color w:val="auto"/>
                      <w:szCs w:val="21"/>
                      <w:highlight w:val="none"/>
                    </w:rPr>
                    <w:t>100t</w:t>
                  </w:r>
                </w:p>
              </w:tc>
              <w:tc>
                <w:tcPr>
                  <w:tcW w:w="735" w:type="pct"/>
                  <w:vMerge w:val="continue"/>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442" w:type="pct"/>
                  <w:vAlign w:val="center"/>
                </w:tcPr>
                <w:p>
                  <w:pPr>
                    <w:pStyle w:val="71"/>
                    <w:adjustRightInd w:val="0"/>
                    <w:snapToGrid w:val="0"/>
                    <w:spacing w:line="240" w:lineRule="exact"/>
                    <w:ind w:firstLine="0" w:firstLineChars="0"/>
                    <w:jc w:val="center"/>
                    <w:rPr>
                      <w:color w:val="auto"/>
                      <w:szCs w:val="21"/>
                      <w:highlight w:val="none"/>
                    </w:rPr>
                  </w:pPr>
                  <w:r>
                    <w:rPr>
                      <w:color w:val="auto"/>
                      <w:szCs w:val="21"/>
                      <w:highlight w:val="none"/>
                    </w:rPr>
                    <w:t>4</w:t>
                  </w:r>
                </w:p>
              </w:tc>
              <w:tc>
                <w:tcPr>
                  <w:tcW w:w="881" w:type="pct"/>
                  <w:vAlign w:val="center"/>
                </w:tcPr>
                <w:p>
                  <w:pPr>
                    <w:widowControl/>
                    <w:adjustRightInd w:val="0"/>
                    <w:snapToGrid w:val="0"/>
                    <w:jc w:val="center"/>
                    <w:rPr>
                      <w:bCs/>
                      <w:color w:val="auto"/>
                      <w:kern w:val="0"/>
                      <w:szCs w:val="21"/>
                      <w:highlight w:val="none"/>
                    </w:rPr>
                  </w:pPr>
                  <w:r>
                    <w:rPr>
                      <w:rFonts w:hint="eastAsia"/>
                      <w:bCs/>
                      <w:color w:val="auto"/>
                      <w:kern w:val="0"/>
                      <w:szCs w:val="21"/>
                      <w:highlight w:val="none"/>
                    </w:rPr>
                    <w:t>钙粉</w:t>
                  </w:r>
                </w:p>
              </w:tc>
              <w:tc>
                <w:tcPr>
                  <w:tcW w:w="588" w:type="pct"/>
                  <w:vAlign w:val="center"/>
                </w:tcPr>
                <w:p>
                  <w:pPr>
                    <w:adjustRightInd w:val="0"/>
                    <w:snapToGrid w:val="0"/>
                    <w:jc w:val="center"/>
                    <w:rPr>
                      <w:bCs/>
                      <w:color w:val="auto"/>
                      <w:kern w:val="0"/>
                      <w:szCs w:val="21"/>
                      <w:highlight w:val="none"/>
                    </w:rPr>
                  </w:pPr>
                  <w:r>
                    <w:rPr>
                      <w:bCs/>
                      <w:color w:val="auto"/>
                      <w:kern w:val="0"/>
                      <w:szCs w:val="21"/>
                      <w:highlight w:val="none"/>
                    </w:rPr>
                    <w:t>4</w:t>
                  </w:r>
                  <w:r>
                    <w:rPr>
                      <w:rFonts w:hint="eastAsia"/>
                      <w:bCs/>
                      <w:color w:val="auto"/>
                      <w:kern w:val="0"/>
                      <w:szCs w:val="21"/>
                      <w:highlight w:val="none"/>
                    </w:rPr>
                    <w:t>0</w:t>
                  </w:r>
                  <w:r>
                    <w:rPr>
                      <w:bCs/>
                      <w:color w:val="auto"/>
                      <w:kern w:val="0"/>
                      <w:szCs w:val="21"/>
                      <w:highlight w:val="none"/>
                    </w:rPr>
                    <w:t>00t/a</w:t>
                  </w:r>
                </w:p>
              </w:tc>
              <w:tc>
                <w:tcPr>
                  <w:tcW w:w="735" w:type="pct"/>
                </w:tcPr>
                <w:p>
                  <w:pPr>
                    <w:pStyle w:val="117"/>
                    <w:rPr>
                      <w:color w:val="auto"/>
                      <w:szCs w:val="21"/>
                      <w:highlight w:val="none"/>
                    </w:rPr>
                  </w:pPr>
                  <w:r>
                    <w:rPr>
                      <w:rFonts w:hint="eastAsia"/>
                      <w:color w:val="auto"/>
                      <w:szCs w:val="21"/>
                      <w:highlight w:val="none"/>
                    </w:rPr>
                    <w:t>固态</w:t>
                  </w:r>
                </w:p>
              </w:tc>
              <w:tc>
                <w:tcPr>
                  <w:tcW w:w="735" w:type="pct"/>
                </w:tcPr>
                <w:p>
                  <w:pPr>
                    <w:pStyle w:val="117"/>
                    <w:rPr>
                      <w:color w:val="auto"/>
                      <w:szCs w:val="21"/>
                      <w:highlight w:val="none"/>
                    </w:rPr>
                  </w:pPr>
                  <w:r>
                    <w:rPr>
                      <w:color w:val="auto"/>
                      <w:szCs w:val="21"/>
                      <w:highlight w:val="none"/>
                    </w:rPr>
                    <w:t>25</w:t>
                  </w:r>
                  <w:r>
                    <w:rPr>
                      <w:rFonts w:hint="eastAsia"/>
                      <w:color w:val="auto"/>
                      <w:szCs w:val="21"/>
                      <w:highlight w:val="none"/>
                    </w:rPr>
                    <w:t>kg</w:t>
                  </w:r>
                  <w:r>
                    <w:rPr>
                      <w:color w:val="auto"/>
                      <w:szCs w:val="21"/>
                      <w:highlight w:val="none"/>
                    </w:rPr>
                    <w:t>/袋</w:t>
                  </w:r>
                </w:p>
              </w:tc>
              <w:tc>
                <w:tcPr>
                  <w:tcW w:w="881" w:type="pct"/>
                </w:tcPr>
                <w:p>
                  <w:pPr>
                    <w:pStyle w:val="117"/>
                    <w:rPr>
                      <w:color w:val="auto"/>
                      <w:szCs w:val="21"/>
                      <w:highlight w:val="none"/>
                    </w:rPr>
                  </w:pPr>
                  <w:r>
                    <w:rPr>
                      <w:color w:val="auto"/>
                      <w:szCs w:val="21"/>
                      <w:highlight w:val="none"/>
                    </w:rPr>
                    <w:t>140t</w:t>
                  </w:r>
                </w:p>
              </w:tc>
              <w:tc>
                <w:tcPr>
                  <w:tcW w:w="735" w:type="pct"/>
                  <w:vMerge w:val="continue"/>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442" w:type="pct"/>
                  <w:vAlign w:val="center"/>
                </w:tcPr>
                <w:p>
                  <w:pPr>
                    <w:pStyle w:val="71"/>
                    <w:adjustRightInd w:val="0"/>
                    <w:snapToGrid w:val="0"/>
                    <w:spacing w:line="240" w:lineRule="exact"/>
                    <w:ind w:firstLine="0" w:firstLineChars="0"/>
                    <w:jc w:val="center"/>
                    <w:rPr>
                      <w:color w:val="auto"/>
                      <w:szCs w:val="21"/>
                      <w:highlight w:val="none"/>
                    </w:rPr>
                  </w:pPr>
                  <w:r>
                    <w:rPr>
                      <w:color w:val="auto"/>
                      <w:szCs w:val="21"/>
                      <w:highlight w:val="none"/>
                    </w:rPr>
                    <w:t>5</w:t>
                  </w:r>
                </w:p>
              </w:tc>
              <w:tc>
                <w:tcPr>
                  <w:tcW w:w="881" w:type="pct"/>
                  <w:vAlign w:val="center"/>
                </w:tcPr>
                <w:p>
                  <w:pPr>
                    <w:widowControl/>
                    <w:adjustRightInd w:val="0"/>
                    <w:snapToGrid w:val="0"/>
                    <w:jc w:val="center"/>
                    <w:rPr>
                      <w:bCs/>
                      <w:color w:val="auto"/>
                      <w:kern w:val="0"/>
                      <w:szCs w:val="21"/>
                      <w:highlight w:val="none"/>
                    </w:rPr>
                  </w:pPr>
                  <w:r>
                    <w:rPr>
                      <w:rFonts w:hint="eastAsia"/>
                      <w:bCs/>
                      <w:color w:val="auto"/>
                      <w:kern w:val="0"/>
                      <w:szCs w:val="21"/>
                      <w:highlight w:val="none"/>
                    </w:rPr>
                    <w:t>棕榈油</w:t>
                  </w:r>
                </w:p>
              </w:tc>
              <w:tc>
                <w:tcPr>
                  <w:tcW w:w="588" w:type="pct"/>
                  <w:vAlign w:val="center"/>
                </w:tcPr>
                <w:p>
                  <w:pPr>
                    <w:adjustRightInd w:val="0"/>
                    <w:snapToGrid w:val="0"/>
                    <w:jc w:val="center"/>
                    <w:rPr>
                      <w:bCs/>
                      <w:color w:val="auto"/>
                      <w:kern w:val="0"/>
                      <w:szCs w:val="21"/>
                      <w:highlight w:val="none"/>
                    </w:rPr>
                  </w:pPr>
                  <w:r>
                    <w:rPr>
                      <w:rFonts w:hint="eastAsia"/>
                      <w:bCs/>
                      <w:color w:val="auto"/>
                      <w:kern w:val="0"/>
                      <w:szCs w:val="21"/>
                      <w:highlight w:val="none"/>
                    </w:rPr>
                    <w:t>500</w:t>
                  </w:r>
                  <w:r>
                    <w:rPr>
                      <w:bCs/>
                      <w:color w:val="auto"/>
                      <w:kern w:val="0"/>
                      <w:szCs w:val="21"/>
                      <w:highlight w:val="none"/>
                    </w:rPr>
                    <w:t>t/a</w:t>
                  </w:r>
                </w:p>
              </w:tc>
              <w:tc>
                <w:tcPr>
                  <w:tcW w:w="735" w:type="pct"/>
                </w:tcPr>
                <w:p>
                  <w:pPr>
                    <w:jc w:val="center"/>
                    <w:rPr>
                      <w:color w:val="auto"/>
                      <w:szCs w:val="21"/>
                      <w:highlight w:val="none"/>
                    </w:rPr>
                  </w:pPr>
                  <w:r>
                    <w:rPr>
                      <w:rFonts w:hint="eastAsia"/>
                      <w:color w:val="auto"/>
                      <w:szCs w:val="21"/>
                      <w:highlight w:val="none"/>
                    </w:rPr>
                    <w:t>液态</w:t>
                  </w:r>
                </w:p>
              </w:tc>
              <w:tc>
                <w:tcPr>
                  <w:tcW w:w="735" w:type="pct"/>
                </w:tcPr>
                <w:p>
                  <w:pPr>
                    <w:jc w:val="center"/>
                    <w:rPr>
                      <w:snapToGrid w:val="0"/>
                      <w:color w:val="auto"/>
                      <w:szCs w:val="21"/>
                      <w:highlight w:val="none"/>
                    </w:rPr>
                  </w:pPr>
                  <w:r>
                    <w:rPr>
                      <w:snapToGrid w:val="0"/>
                      <w:color w:val="auto"/>
                      <w:szCs w:val="21"/>
                      <w:highlight w:val="none"/>
                    </w:rPr>
                    <w:t>2</w:t>
                  </w:r>
                  <w:r>
                    <w:rPr>
                      <w:rFonts w:hint="eastAsia"/>
                      <w:snapToGrid w:val="0"/>
                      <w:color w:val="auto"/>
                      <w:szCs w:val="21"/>
                      <w:highlight w:val="none"/>
                    </w:rPr>
                    <w:t>20L</w:t>
                  </w:r>
                  <w:r>
                    <w:rPr>
                      <w:snapToGrid w:val="0"/>
                      <w:color w:val="auto"/>
                      <w:szCs w:val="21"/>
                      <w:highlight w:val="none"/>
                    </w:rPr>
                    <w:t>/桶</w:t>
                  </w:r>
                </w:p>
              </w:tc>
              <w:tc>
                <w:tcPr>
                  <w:tcW w:w="881" w:type="pct"/>
                </w:tcPr>
                <w:p>
                  <w:pPr>
                    <w:pStyle w:val="117"/>
                    <w:rPr>
                      <w:color w:val="auto"/>
                      <w:szCs w:val="21"/>
                      <w:highlight w:val="none"/>
                    </w:rPr>
                  </w:pPr>
                  <w:r>
                    <w:rPr>
                      <w:rFonts w:hint="eastAsia"/>
                      <w:color w:val="auto"/>
                      <w:szCs w:val="21"/>
                      <w:highlight w:val="none"/>
                    </w:rPr>
                    <w:t>50t</w:t>
                  </w:r>
                </w:p>
              </w:tc>
              <w:tc>
                <w:tcPr>
                  <w:tcW w:w="735" w:type="pct"/>
                  <w:vMerge w:val="continue"/>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442" w:type="pct"/>
                  <w:vAlign w:val="center"/>
                </w:tcPr>
                <w:p>
                  <w:pPr>
                    <w:pStyle w:val="71"/>
                    <w:adjustRightInd w:val="0"/>
                    <w:snapToGrid w:val="0"/>
                    <w:spacing w:line="240" w:lineRule="exact"/>
                    <w:ind w:firstLine="0" w:firstLineChars="0"/>
                    <w:jc w:val="center"/>
                    <w:rPr>
                      <w:color w:val="auto"/>
                      <w:szCs w:val="21"/>
                      <w:highlight w:val="none"/>
                    </w:rPr>
                  </w:pPr>
                  <w:r>
                    <w:rPr>
                      <w:color w:val="auto"/>
                      <w:szCs w:val="21"/>
                      <w:highlight w:val="none"/>
                    </w:rPr>
                    <w:t>6</w:t>
                  </w:r>
                </w:p>
              </w:tc>
              <w:tc>
                <w:tcPr>
                  <w:tcW w:w="881" w:type="pct"/>
                  <w:vAlign w:val="center"/>
                </w:tcPr>
                <w:p>
                  <w:pPr>
                    <w:widowControl/>
                    <w:adjustRightInd w:val="0"/>
                    <w:snapToGrid w:val="0"/>
                    <w:jc w:val="center"/>
                    <w:rPr>
                      <w:bCs/>
                      <w:color w:val="auto"/>
                      <w:kern w:val="0"/>
                      <w:szCs w:val="21"/>
                      <w:highlight w:val="none"/>
                    </w:rPr>
                  </w:pPr>
                  <w:r>
                    <w:rPr>
                      <w:rFonts w:hint="eastAsia"/>
                      <w:bCs/>
                      <w:color w:val="auto"/>
                      <w:kern w:val="0"/>
                      <w:szCs w:val="21"/>
                      <w:highlight w:val="none"/>
                    </w:rPr>
                    <w:t>色浆</w:t>
                  </w:r>
                </w:p>
              </w:tc>
              <w:tc>
                <w:tcPr>
                  <w:tcW w:w="588" w:type="pct"/>
                  <w:vAlign w:val="center"/>
                </w:tcPr>
                <w:p>
                  <w:pPr>
                    <w:adjustRightInd w:val="0"/>
                    <w:snapToGrid w:val="0"/>
                    <w:jc w:val="center"/>
                    <w:rPr>
                      <w:bCs/>
                      <w:color w:val="auto"/>
                      <w:kern w:val="0"/>
                      <w:szCs w:val="21"/>
                      <w:highlight w:val="none"/>
                    </w:rPr>
                  </w:pPr>
                  <w:r>
                    <w:rPr>
                      <w:rFonts w:hint="eastAsia"/>
                      <w:bCs/>
                      <w:color w:val="auto"/>
                      <w:kern w:val="0"/>
                      <w:szCs w:val="21"/>
                      <w:highlight w:val="none"/>
                    </w:rPr>
                    <w:t>20t/a</w:t>
                  </w:r>
                </w:p>
              </w:tc>
              <w:tc>
                <w:tcPr>
                  <w:tcW w:w="735" w:type="pct"/>
                </w:tcPr>
                <w:p>
                  <w:pPr>
                    <w:jc w:val="center"/>
                    <w:rPr>
                      <w:color w:val="auto"/>
                      <w:szCs w:val="21"/>
                      <w:highlight w:val="none"/>
                    </w:rPr>
                  </w:pPr>
                  <w:r>
                    <w:rPr>
                      <w:rFonts w:hint="eastAsia"/>
                      <w:color w:val="auto"/>
                      <w:szCs w:val="21"/>
                      <w:highlight w:val="none"/>
                    </w:rPr>
                    <w:t>液态</w:t>
                  </w:r>
                </w:p>
              </w:tc>
              <w:tc>
                <w:tcPr>
                  <w:tcW w:w="735" w:type="pct"/>
                </w:tcPr>
                <w:p>
                  <w:pPr>
                    <w:jc w:val="center"/>
                    <w:rPr>
                      <w:snapToGrid w:val="0"/>
                      <w:color w:val="auto"/>
                      <w:szCs w:val="21"/>
                      <w:highlight w:val="none"/>
                    </w:rPr>
                  </w:pPr>
                  <w:r>
                    <w:rPr>
                      <w:snapToGrid w:val="0"/>
                      <w:color w:val="auto"/>
                      <w:szCs w:val="21"/>
                      <w:highlight w:val="none"/>
                    </w:rPr>
                    <w:t>2</w:t>
                  </w:r>
                  <w:r>
                    <w:rPr>
                      <w:rFonts w:hint="eastAsia"/>
                      <w:snapToGrid w:val="0"/>
                      <w:color w:val="auto"/>
                      <w:szCs w:val="21"/>
                      <w:highlight w:val="none"/>
                    </w:rPr>
                    <w:t>20L</w:t>
                  </w:r>
                  <w:r>
                    <w:rPr>
                      <w:snapToGrid w:val="0"/>
                      <w:color w:val="auto"/>
                      <w:szCs w:val="21"/>
                      <w:highlight w:val="none"/>
                    </w:rPr>
                    <w:t>/桶</w:t>
                  </w:r>
                </w:p>
              </w:tc>
              <w:tc>
                <w:tcPr>
                  <w:tcW w:w="881" w:type="pct"/>
                </w:tcPr>
                <w:p>
                  <w:pPr>
                    <w:pStyle w:val="117"/>
                    <w:rPr>
                      <w:color w:val="auto"/>
                      <w:szCs w:val="21"/>
                      <w:highlight w:val="none"/>
                    </w:rPr>
                  </w:pPr>
                  <w:r>
                    <w:rPr>
                      <w:rFonts w:hint="eastAsia"/>
                      <w:color w:val="auto"/>
                      <w:szCs w:val="21"/>
                      <w:highlight w:val="none"/>
                    </w:rPr>
                    <w:t>2t</w:t>
                  </w:r>
                </w:p>
              </w:tc>
              <w:tc>
                <w:tcPr>
                  <w:tcW w:w="735" w:type="pct"/>
                  <w:vMerge w:val="continue"/>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442" w:type="pct"/>
                  <w:vAlign w:val="center"/>
                </w:tcPr>
                <w:p>
                  <w:pPr>
                    <w:pStyle w:val="71"/>
                    <w:adjustRightInd w:val="0"/>
                    <w:snapToGrid w:val="0"/>
                    <w:spacing w:line="240" w:lineRule="exact"/>
                    <w:ind w:firstLine="0" w:firstLineChars="0"/>
                    <w:jc w:val="center"/>
                    <w:rPr>
                      <w:color w:val="auto"/>
                      <w:szCs w:val="21"/>
                      <w:highlight w:val="none"/>
                    </w:rPr>
                  </w:pPr>
                  <w:r>
                    <w:rPr>
                      <w:rFonts w:hint="eastAsia"/>
                      <w:color w:val="auto"/>
                      <w:szCs w:val="21"/>
                      <w:highlight w:val="none"/>
                    </w:rPr>
                    <w:t>7</w:t>
                  </w:r>
                </w:p>
              </w:tc>
              <w:tc>
                <w:tcPr>
                  <w:tcW w:w="881" w:type="pct"/>
                  <w:vAlign w:val="center"/>
                </w:tcPr>
                <w:p>
                  <w:pPr>
                    <w:widowControl/>
                    <w:adjustRightInd w:val="0"/>
                    <w:snapToGrid w:val="0"/>
                    <w:jc w:val="center"/>
                    <w:rPr>
                      <w:bCs/>
                      <w:color w:val="auto"/>
                      <w:kern w:val="0"/>
                      <w:szCs w:val="21"/>
                      <w:highlight w:val="none"/>
                    </w:rPr>
                  </w:pPr>
                  <w:r>
                    <w:rPr>
                      <w:rFonts w:hint="eastAsia"/>
                      <w:bCs/>
                      <w:color w:val="auto"/>
                      <w:kern w:val="0"/>
                      <w:szCs w:val="21"/>
                      <w:highlight w:val="none"/>
                    </w:rPr>
                    <w:t>氧化镁</w:t>
                  </w:r>
                </w:p>
              </w:tc>
              <w:tc>
                <w:tcPr>
                  <w:tcW w:w="588" w:type="pct"/>
                  <w:vAlign w:val="center"/>
                </w:tcPr>
                <w:p>
                  <w:pPr>
                    <w:adjustRightInd w:val="0"/>
                    <w:snapToGrid w:val="0"/>
                    <w:jc w:val="center"/>
                    <w:rPr>
                      <w:bCs/>
                      <w:color w:val="auto"/>
                      <w:kern w:val="0"/>
                      <w:szCs w:val="21"/>
                      <w:highlight w:val="none"/>
                    </w:rPr>
                  </w:pPr>
                  <w:r>
                    <w:rPr>
                      <w:rFonts w:hint="eastAsia"/>
                      <w:bCs/>
                      <w:color w:val="auto"/>
                      <w:szCs w:val="21"/>
                      <w:highlight w:val="none"/>
                    </w:rPr>
                    <w:t>20</w:t>
                  </w:r>
                  <w:r>
                    <w:rPr>
                      <w:rFonts w:hint="eastAsia"/>
                      <w:bCs/>
                      <w:color w:val="auto"/>
                      <w:kern w:val="0"/>
                      <w:szCs w:val="21"/>
                      <w:highlight w:val="none"/>
                    </w:rPr>
                    <w:t>t/a</w:t>
                  </w:r>
                </w:p>
              </w:tc>
              <w:tc>
                <w:tcPr>
                  <w:tcW w:w="735" w:type="pct"/>
                </w:tcPr>
                <w:p>
                  <w:pPr>
                    <w:pStyle w:val="117"/>
                    <w:rPr>
                      <w:color w:val="auto"/>
                      <w:szCs w:val="21"/>
                      <w:highlight w:val="none"/>
                    </w:rPr>
                  </w:pPr>
                  <w:r>
                    <w:rPr>
                      <w:rFonts w:hint="eastAsia"/>
                      <w:color w:val="auto"/>
                      <w:szCs w:val="21"/>
                      <w:highlight w:val="none"/>
                    </w:rPr>
                    <w:t>固态</w:t>
                  </w:r>
                </w:p>
              </w:tc>
              <w:tc>
                <w:tcPr>
                  <w:tcW w:w="735" w:type="pct"/>
                </w:tcPr>
                <w:p>
                  <w:pPr>
                    <w:pStyle w:val="117"/>
                    <w:rPr>
                      <w:color w:val="auto"/>
                      <w:szCs w:val="21"/>
                      <w:highlight w:val="none"/>
                    </w:rPr>
                  </w:pPr>
                  <w:r>
                    <w:rPr>
                      <w:color w:val="auto"/>
                      <w:szCs w:val="21"/>
                      <w:highlight w:val="none"/>
                    </w:rPr>
                    <w:t>25</w:t>
                  </w:r>
                  <w:r>
                    <w:rPr>
                      <w:rFonts w:hint="eastAsia"/>
                      <w:color w:val="auto"/>
                      <w:szCs w:val="21"/>
                      <w:highlight w:val="none"/>
                    </w:rPr>
                    <w:t>kg</w:t>
                  </w:r>
                  <w:r>
                    <w:rPr>
                      <w:color w:val="auto"/>
                      <w:szCs w:val="21"/>
                      <w:highlight w:val="none"/>
                    </w:rPr>
                    <w:t>/袋</w:t>
                  </w:r>
                </w:p>
              </w:tc>
              <w:tc>
                <w:tcPr>
                  <w:tcW w:w="881" w:type="pct"/>
                </w:tcPr>
                <w:p>
                  <w:pPr>
                    <w:pStyle w:val="117"/>
                    <w:rPr>
                      <w:color w:val="auto"/>
                      <w:szCs w:val="21"/>
                      <w:highlight w:val="none"/>
                    </w:rPr>
                  </w:pPr>
                  <w:r>
                    <w:rPr>
                      <w:rFonts w:hint="eastAsia"/>
                      <w:color w:val="auto"/>
                      <w:szCs w:val="21"/>
                      <w:highlight w:val="none"/>
                    </w:rPr>
                    <w:t>5t</w:t>
                  </w:r>
                </w:p>
              </w:tc>
              <w:tc>
                <w:tcPr>
                  <w:tcW w:w="735" w:type="pct"/>
                  <w:vMerge w:val="continue"/>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442" w:type="pct"/>
                  <w:vAlign w:val="center"/>
                </w:tcPr>
                <w:p>
                  <w:pPr>
                    <w:pStyle w:val="71"/>
                    <w:adjustRightInd w:val="0"/>
                    <w:snapToGrid w:val="0"/>
                    <w:spacing w:line="240" w:lineRule="exact"/>
                    <w:ind w:firstLine="0" w:firstLineChars="0"/>
                    <w:jc w:val="center"/>
                    <w:rPr>
                      <w:color w:val="auto"/>
                      <w:szCs w:val="21"/>
                      <w:highlight w:val="none"/>
                    </w:rPr>
                  </w:pPr>
                  <w:r>
                    <w:rPr>
                      <w:rFonts w:hint="eastAsia"/>
                      <w:color w:val="auto"/>
                      <w:szCs w:val="21"/>
                      <w:highlight w:val="none"/>
                    </w:rPr>
                    <w:t>8</w:t>
                  </w:r>
                </w:p>
              </w:tc>
              <w:tc>
                <w:tcPr>
                  <w:tcW w:w="881" w:type="pct"/>
                  <w:vAlign w:val="center"/>
                </w:tcPr>
                <w:p>
                  <w:pPr>
                    <w:widowControl/>
                    <w:adjustRightInd w:val="0"/>
                    <w:snapToGrid w:val="0"/>
                    <w:jc w:val="center"/>
                    <w:rPr>
                      <w:bCs/>
                      <w:color w:val="auto"/>
                      <w:kern w:val="0"/>
                      <w:szCs w:val="21"/>
                      <w:highlight w:val="none"/>
                    </w:rPr>
                  </w:pPr>
                  <w:r>
                    <w:rPr>
                      <w:rFonts w:hint="eastAsia"/>
                      <w:bCs/>
                      <w:color w:val="auto"/>
                      <w:kern w:val="0"/>
                      <w:szCs w:val="21"/>
                      <w:highlight w:val="none"/>
                    </w:rPr>
                    <w:t>防沉剂</w:t>
                  </w:r>
                </w:p>
              </w:tc>
              <w:tc>
                <w:tcPr>
                  <w:tcW w:w="588" w:type="pct"/>
                  <w:vAlign w:val="center"/>
                </w:tcPr>
                <w:p>
                  <w:pPr>
                    <w:adjustRightInd w:val="0"/>
                    <w:snapToGrid w:val="0"/>
                    <w:jc w:val="center"/>
                    <w:rPr>
                      <w:bCs/>
                      <w:color w:val="auto"/>
                      <w:kern w:val="0"/>
                      <w:szCs w:val="21"/>
                      <w:highlight w:val="none"/>
                    </w:rPr>
                  </w:pPr>
                  <w:r>
                    <w:rPr>
                      <w:rFonts w:hint="eastAsia"/>
                      <w:bCs/>
                      <w:color w:val="auto"/>
                      <w:szCs w:val="21"/>
                      <w:highlight w:val="none"/>
                    </w:rPr>
                    <w:t>100</w:t>
                  </w:r>
                  <w:r>
                    <w:rPr>
                      <w:rFonts w:hint="eastAsia"/>
                      <w:bCs/>
                      <w:color w:val="auto"/>
                      <w:kern w:val="0"/>
                      <w:szCs w:val="21"/>
                      <w:highlight w:val="none"/>
                    </w:rPr>
                    <w:t>t/a</w:t>
                  </w:r>
                </w:p>
              </w:tc>
              <w:tc>
                <w:tcPr>
                  <w:tcW w:w="735" w:type="pct"/>
                </w:tcPr>
                <w:p>
                  <w:pPr>
                    <w:pStyle w:val="117"/>
                    <w:rPr>
                      <w:color w:val="auto"/>
                      <w:szCs w:val="21"/>
                      <w:highlight w:val="none"/>
                    </w:rPr>
                  </w:pPr>
                  <w:r>
                    <w:rPr>
                      <w:rFonts w:hint="eastAsia"/>
                      <w:color w:val="auto"/>
                      <w:szCs w:val="21"/>
                      <w:highlight w:val="none"/>
                    </w:rPr>
                    <w:t>固态</w:t>
                  </w:r>
                </w:p>
              </w:tc>
              <w:tc>
                <w:tcPr>
                  <w:tcW w:w="735" w:type="pct"/>
                </w:tcPr>
                <w:p>
                  <w:pPr>
                    <w:pStyle w:val="117"/>
                    <w:rPr>
                      <w:color w:val="auto"/>
                      <w:szCs w:val="21"/>
                      <w:highlight w:val="none"/>
                    </w:rPr>
                  </w:pPr>
                  <w:r>
                    <w:rPr>
                      <w:color w:val="auto"/>
                      <w:szCs w:val="21"/>
                      <w:highlight w:val="none"/>
                    </w:rPr>
                    <w:t>25</w:t>
                  </w:r>
                  <w:r>
                    <w:rPr>
                      <w:rFonts w:hint="eastAsia"/>
                      <w:color w:val="auto"/>
                      <w:szCs w:val="21"/>
                      <w:highlight w:val="none"/>
                    </w:rPr>
                    <w:t>kg</w:t>
                  </w:r>
                  <w:r>
                    <w:rPr>
                      <w:color w:val="auto"/>
                      <w:szCs w:val="21"/>
                      <w:highlight w:val="none"/>
                    </w:rPr>
                    <w:t>/袋</w:t>
                  </w:r>
                </w:p>
              </w:tc>
              <w:tc>
                <w:tcPr>
                  <w:tcW w:w="881" w:type="pct"/>
                </w:tcPr>
                <w:p>
                  <w:pPr>
                    <w:pStyle w:val="117"/>
                    <w:rPr>
                      <w:color w:val="auto"/>
                      <w:szCs w:val="21"/>
                      <w:highlight w:val="none"/>
                    </w:rPr>
                  </w:pPr>
                  <w:r>
                    <w:rPr>
                      <w:rFonts w:hint="eastAsia"/>
                      <w:color w:val="auto"/>
                      <w:szCs w:val="21"/>
                      <w:highlight w:val="none"/>
                    </w:rPr>
                    <w:t>10t</w:t>
                  </w:r>
                </w:p>
              </w:tc>
              <w:tc>
                <w:tcPr>
                  <w:tcW w:w="735" w:type="pct"/>
                  <w:vMerge w:val="continue"/>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442" w:type="pct"/>
                  <w:vAlign w:val="center"/>
                </w:tcPr>
                <w:p>
                  <w:pPr>
                    <w:pStyle w:val="71"/>
                    <w:adjustRightInd w:val="0"/>
                    <w:snapToGrid w:val="0"/>
                    <w:spacing w:line="240" w:lineRule="exact"/>
                    <w:ind w:firstLine="0" w:firstLineChars="0"/>
                    <w:jc w:val="center"/>
                    <w:rPr>
                      <w:color w:val="auto"/>
                      <w:szCs w:val="21"/>
                      <w:highlight w:val="none"/>
                    </w:rPr>
                  </w:pPr>
                  <w:r>
                    <w:rPr>
                      <w:rFonts w:hint="eastAsia"/>
                      <w:color w:val="auto"/>
                      <w:szCs w:val="21"/>
                      <w:highlight w:val="none"/>
                    </w:rPr>
                    <w:t>9</w:t>
                  </w:r>
                </w:p>
              </w:tc>
              <w:tc>
                <w:tcPr>
                  <w:tcW w:w="881" w:type="pct"/>
                  <w:vAlign w:val="center"/>
                </w:tcPr>
                <w:p>
                  <w:pPr>
                    <w:widowControl/>
                    <w:adjustRightInd w:val="0"/>
                    <w:snapToGrid w:val="0"/>
                    <w:jc w:val="center"/>
                    <w:rPr>
                      <w:bCs/>
                      <w:color w:val="auto"/>
                      <w:kern w:val="0"/>
                      <w:szCs w:val="21"/>
                      <w:highlight w:val="none"/>
                    </w:rPr>
                  </w:pPr>
                  <w:r>
                    <w:rPr>
                      <w:rFonts w:hint="eastAsia"/>
                      <w:bCs/>
                      <w:color w:val="auto"/>
                      <w:kern w:val="0"/>
                      <w:szCs w:val="21"/>
                      <w:highlight w:val="none"/>
                      <w:lang w:val="en-US" w:eastAsia="zh-CN"/>
                    </w:rPr>
                    <w:t>机</w:t>
                  </w:r>
                  <w:r>
                    <w:rPr>
                      <w:rFonts w:hint="eastAsia"/>
                      <w:bCs/>
                      <w:color w:val="auto"/>
                      <w:kern w:val="0"/>
                      <w:szCs w:val="21"/>
                      <w:highlight w:val="none"/>
                    </w:rPr>
                    <w:t>油</w:t>
                  </w:r>
                </w:p>
              </w:tc>
              <w:tc>
                <w:tcPr>
                  <w:tcW w:w="588" w:type="pct"/>
                  <w:vAlign w:val="center"/>
                </w:tcPr>
                <w:p>
                  <w:pPr>
                    <w:adjustRightInd w:val="0"/>
                    <w:snapToGrid w:val="0"/>
                    <w:jc w:val="center"/>
                    <w:rPr>
                      <w:bCs/>
                      <w:color w:val="auto"/>
                      <w:szCs w:val="21"/>
                      <w:highlight w:val="none"/>
                    </w:rPr>
                  </w:pPr>
                  <w:r>
                    <w:rPr>
                      <w:rFonts w:hint="eastAsia"/>
                      <w:bCs/>
                      <w:color w:val="auto"/>
                      <w:szCs w:val="21"/>
                      <w:highlight w:val="none"/>
                    </w:rPr>
                    <w:t>0.1t/a</w:t>
                  </w:r>
                </w:p>
              </w:tc>
              <w:tc>
                <w:tcPr>
                  <w:tcW w:w="735" w:type="pct"/>
                </w:tcPr>
                <w:p>
                  <w:pPr>
                    <w:pStyle w:val="117"/>
                    <w:rPr>
                      <w:color w:val="auto"/>
                      <w:szCs w:val="21"/>
                      <w:highlight w:val="none"/>
                    </w:rPr>
                  </w:pPr>
                  <w:r>
                    <w:rPr>
                      <w:rFonts w:hint="eastAsia"/>
                      <w:color w:val="auto"/>
                      <w:szCs w:val="21"/>
                      <w:highlight w:val="none"/>
                    </w:rPr>
                    <w:t>液态</w:t>
                  </w:r>
                </w:p>
              </w:tc>
              <w:tc>
                <w:tcPr>
                  <w:tcW w:w="735" w:type="pct"/>
                </w:tcPr>
                <w:p>
                  <w:pPr>
                    <w:pStyle w:val="117"/>
                    <w:rPr>
                      <w:color w:val="auto"/>
                      <w:szCs w:val="21"/>
                      <w:highlight w:val="none"/>
                    </w:rPr>
                  </w:pPr>
                  <w:r>
                    <w:rPr>
                      <w:rFonts w:hint="eastAsia"/>
                      <w:color w:val="auto"/>
                      <w:szCs w:val="21"/>
                      <w:highlight w:val="none"/>
                    </w:rPr>
                    <w:t>1</w:t>
                  </w:r>
                  <w:r>
                    <w:rPr>
                      <w:color w:val="auto"/>
                      <w:szCs w:val="21"/>
                      <w:highlight w:val="none"/>
                    </w:rPr>
                    <w:t>5</w:t>
                  </w:r>
                  <w:r>
                    <w:rPr>
                      <w:rFonts w:hint="eastAsia"/>
                      <w:color w:val="auto"/>
                      <w:szCs w:val="21"/>
                      <w:highlight w:val="none"/>
                    </w:rPr>
                    <w:t>kg</w:t>
                  </w:r>
                  <w:r>
                    <w:rPr>
                      <w:color w:val="auto"/>
                      <w:szCs w:val="21"/>
                      <w:highlight w:val="none"/>
                    </w:rPr>
                    <w:t>/</w:t>
                  </w:r>
                  <w:r>
                    <w:rPr>
                      <w:rFonts w:hint="eastAsia"/>
                      <w:color w:val="auto"/>
                      <w:szCs w:val="21"/>
                      <w:highlight w:val="none"/>
                    </w:rPr>
                    <w:t>桶</w:t>
                  </w:r>
                </w:p>
              </w:tc>
              <w:tc>
                <w:tcPr>
                  <w:tcW w:w="881" w:type="pct"/>
                </w:tcPr>
                <w:p>
                  <w:pPr>
                    <w:pStyle w:val="117"/>
                    <w:rPr>
                      <w:color w:val="auto"/>
                      <w:szCs w:val="21"/>
                      <w:highlight w:val="none"/>
                    </w:rPr>
                  </w:pPr>
                  <w:r>
                    <w:rPr>
                      <w:rFonts w:hint="eastAsia"/>
                      <w:color w:val="auto"/>
                      <w:szCs w:val="21"/>
                      <w:highlight w:val="none"/>
                    </w:rPr>
                    <w:t>0.1t</w:t>
                  </w:r>
                </w:p>
              </w:tc>
              <w:tc>
                <w:tcPr>
                  <w:tcW w:w="735" w:type="pct"/>
                </w:tcPr>
                <w:p>
                  <w:pPr>
                    <w:jc w:val="center"/>
                    <w:rPr>
                      <w:color w:val="auto"/>
                      <w:szCs w:val="21"/>
                      <w:highlight w:val="none"/>
                    </w:rPr>
                  </w:pPr>
                  <w:r>
                    <w:rPr>
                      <w:rFonts w:hint="eastAsia"/>
                      <w:color w:val="auto"/>
                      <w:szCs w:val="21"/>
                      <w:highlight w:val="none"/>
                    </w:rPr>
                    <w:t>/</w:t>
                  </w:r>
                </w:p>
              </w:tc>
            </w:tr>
          </w:tbl>
          <w:p>
            <w:pPr>
              <w:spacing w:before="120" w:beforeLines="50" w:line="360" w:lineRule="auto"/>
              <w:ind w:firstLine="422" w:firstLineChars="200"/>
              <w:jc w:val="left"/>
              <w:rPr>
                <w:b/>
                <w:color w:val="auto"/>
                <w:szCs w:val="21"/>
                <w:highlight w:val="none"/>
              </w:rPr>
            </w:pPr>
            <w:r>
              <w:rPr>
                <w:b/>
                <w:color w:val="auto"/>
                <w:szCs w:val="21"/>
                <w:highlight w:val="none"/>
              </w:rPr>
              <w:t>原辅材料理化性质</w:t>
            </w:r>
            <w:r>
              <w:rPr>
                <w:rFonts w:hint="eastAsia"/>
                <w:b/>
                <w:color w:val="auto"/>
                <w:szCs w:val="21"/>
                <w:highlight w:val="none"/>
              </w:rPr>
              <w:t>说明</w:t>
            </w:r>
            <w:r>
              <w:rPr>
                <w:b/>
                <w:color w:val="auto"/>
                <w:szCs w:val="21"/>
                <w:highlight w:val="none"/>
              </w:rPr>
              <w:t>：</w:t>
            </w:r>
          </w:p>
          <w:p>
            <w:pPr>
              <w:spacing w:line="360" w:lineRule="auto"/>
              <w:ind w:firstLine="420" w:firstLineChars="200"/>
              <w:jc w:val="left"/>
              <w:rPr>
                <w:bCs/>
                <w:color w:val="auto"/>
                <w:szCs w:val="21"/>
                <w:highlight w:val="none"/>
              </w:rPr>
            </w:pPr>
            <w:r>
              <w:rPr>
                <w:bCs/>
                <w:color w:val="auto"/>
                <w:szCs w:val="21"/>
                <w:highlight w:val="none"/>
              </w:rPr>
              <w:t>滑石粉：</w:t>
            </w:r>
            <w:r>
              <w:rPr>
                <w:rFonts w:hint="eastAsia"/>
                <w:bCs/>
                <w:color w:val="auto"/>
                <w:szCs w:val="21"/>
                <w:highlight w:val="none"/>
              </w:rPr>
              <w:t>化学式为</w:t>
            </w:r>
            <w:r>
              <w:rPr>
                <w:bCs/>
                <w:color w:val="auto"/>
                <w:szCs w:val="21"/>
                <w:highlight w:val="none"/>
              </w:rPr>
              <w:t>Mg</w:t>
            </w:r>
            <w:r>
              <w:rPr>
                <w:rFonts w:hint="eastAsia"/>
                <w:bCs/>
                <w:color w:val="auto"/>
                <w:szCs w:val="21"/>
                <w:highlight w:val="none"/>
                <w:vertAlign w:val="subscript"/>
              </w:rPr>
              <w:t>3</w:t>
            </w:r>
            <w:r>
              <w:rPr>
                <w:bCs/>
                <w:color w:val="auto"/>
                <w:szCs w:val="21"/>
                <w:highlight w:val="none"/>
              </w:rPr>
              <w:t>（Si</w:t>
            </w:r>
            <w:r>
              <w:rPr>
                <w:bCs/>
                <w:color w:val="auto"/>
                <w:szCs w:val="21"/>
                <w:highlight w:val="none"/>
                <w:vertAlign w:val="subscript"/>
              </w:rPr>
              <w:t>4</w:t>
            </w:r>
            <w:r>
              <w:rPr>
                <w:bCs/>
                <w:color w:val="auto"/>
                <w:szCs w:val="21"/>
                <w:highlight w:val="none"/>
              </w:rPr>
              <w:t>O</w:t>
            </w:r>
            <w:r>
              <w:rPr>
                <w:bCs/>
                <w:color w:val="auto"/>
                <w:szCs w:val="21"/>
                <w:highlight w:val="none"/>
                <w:vertAlign w:val="subscript"/>
              </w:rPr>
              <w:t>10</w:t>
            </w:r>
            <w:r>
              <w:rPr>
                <w:bCs/>
                <w:color w:val="auto"/>
                <w:szCs w:val="21"/>
                <w:highlight w:val="none"/>
              </w:rPr>
              <w:t>）（OH）</w:t>
            </w:r>
            <w:r>
              <w:rPr>
                <w:bCs/>
                <w:color w:val="auto"/>
                <w:szCs w:val="21"/>
                <w:highlight w:val="none"/>
                <w:vertAlign w:val="subscript"/>
              </w:rPr>
              <w:t>2</w:t>
            </w:r>
            <w:r>
              <w:rPr>
                <w:bCs/>
                <w:color w:val="auto"/>
                <w:szCs w:val="21"/>
                <w:highlight w:val="none"/>
              </w:rPr>
              <w:t>，</w:t>
            </w:r>
            <w:r>
              <w:rPr>
                <w:rFonts w:hint="eastAsia"/>
                <w:bCs/>
                <w:color w:val="auto"/>
                <w:szCs w:val="21"/>
                <w:highlight w:val="none"/>
              </w:rPr>
              <w:t>在</w:t>
            </w:r>
            <w:r>
              <w:rPr>
                <w:bCs/>
                <w:color w:val="auto"/>
                <w:szCs w:val="21"/>
                <w:highlight w:val="none"/>
              </w:rPr>
              <w:t>水、稀矿酸或稀氢氧化碱溶液中均不溶解；熔点800℃，密度2.7-2.8；外观：白色、微细、无砂性粉末，手摸有油腻感、无毒、可作药用。</w:t>
            </w:r>
          </w:p>
          <w:p>
            <w:pPr>
              <w:spacing w:line="360" w:lineRule="auto"/>
              <w:ind w:firstLine="420" w:firstLineChars="200"/>
              <w:jc w:val="left"/>
              <w:rPr>
                <w:bCs/>
                <w:color w:val="auto"/>
                <w:szCs w:val="21"/>
                <w:highlight w:val="none"/>
              </w:rPr>
            </w:pPr>
            <w:r>
              <w:rPr>
                <w:bCs/>
                <w:color w:val="auto"/>
                <w:szCs w:val="21"/>
                <w:highlight w:val="none"/>
              </w:rPr>
              <w:t>聚醚多元醇：聚合物分子主链含有醚键(—R—O—R—)其端基或侧基含有大于2个羟基(—OH)的聚合物统称为聚醚多元醇。常温下为无色至棕色黏稠液体，通常易溶于芳烃、卤代烃、醇、酮，有吸湿性。在催化剂作用下，采用多羟基或多胺基化合物为起始剂，同氧化烯烃开环均聚或共聚反应合成。如甘油同环氧丙烷和环氧乙烷反应制得的分子量为3000～5000的聚醚三醇，常用于制造通用聚氨酯泡沫塑料、胶黏剂和弹性体等。特殊聚醚多元醇还用作消泡剂、表面活性剂等。</w:t>
            </w:r>
          </w:p>
          <w:p>
            <w:pPr>
              <w:spacing w:line="360" w:lineRule="auto"/>
              <w:ind w:firstLine="420" w:firstLineChars="200"/>
              <w:jc w:val="left"/>
              <w:rPr>
                <w:bCs/>
                <w:color w:val="auto"/>
                <w:szCs w:val="21"/>
                <w:highlight w:val="none"/>
              </w:rPr>
            </w:pPr>
            <w:r>
              <w:rPr>
                <w:bCs/>
                <w:color w:val="auto"/>
                <w:szCs w:val="21"/>
                <w:highlight w:val="none"/>
              </w:rPr>
              <w:t>钙</w:t>
            </w:r>
            <w:r>
              <w:rPr>
                <w:rFonts w:hint="eastAsia"/>
                <w:bCs/>
                <w:color w:val="auto"/>
                <w:szCs w:val="21"/>
                <w:highlight w:val="none"/>
              </w:rPr>
              <w:t>粉</w:t>
            </w:r>
            <w:r>
              <w:rPr>
                <w:bCs/>
                <w:color w:val="auto"/>
                <w:szCs w:val="21"/>
                <w:highlight w:val="none"/>
              </w:rPr>
              <w:t>：方解石粉，是由天然碳酸盐矿物如方解石、大理石、石灰石磨碎而成。是常用的粉状无机填料，具有化学纯度高、惰性大、不易化学反应、热稳定性好、在400℃以下不会分解、白度高、吸油率低、折光率低、质软、干燥、不含结晶水、硬度低磨耗值小、无毒、无味、无臭、分散性好等优点。</w:t>
            </w:r>
          </w:p>
          <w:p>
            <w:pPr>
              <w:spacing w:line="360" w:lineRule="auto"/>
              <w:ind w:firstLine="420" w:firstLineChars="200"/>
              <w:jc w:val="left"/>
              <w:rPr>
                <w:bCs/>
                <w:color w:val="auto"/>
                <w:szCs w:val="21"/>
                <w:highlight w:val="none"/>
              </w:rPr>
            </w:pPr>
            <w:r>
              <w:rPr>
                <w:bCs/>
                <w:color w:val="auto"/>
                <w:szCs w:val="21"/>
                <w:highlight w:val="none"/>
              </w:rPr>
              <w:t>氯化石蜡：CAS</w:t>
            </w:r>
            <w:r>
              <w:rPr>
                <w:rFonts w:hint="eastAsia"/>
                <w:bCs/>
                <w:color w:val="auto"/>
                <w:szCs w:val="21"/>
                <w:highlight w:val="none"/>
              </w:rPr>
              <w:t>号：</w:t>
            </w:r>
            <w:r>
              <w:rPr>
                <w:bCs/>
                <w:color w:val="auto"/>
                <w:szCs w:val="21"/>
                <w:highlight w:val="none"/>
              </w:rPr>
              <w:t>63449-39-8；氯化石蜡是一种有机物，石蜡烃的氯化衍生物，具有低挥发性、阻燃、电绝缘性良好、价廉等优点，可用作阻燃剂和聚氯乙烯辅助增塑剂。广泛用于生产塑胶跑道，润滑油等。密度1.2g/cm3；淡黄色油状物。</w:t>
            </w:r>
          </w:p>
          <w:p>
            <w:pPr>
              <w:spacing w:line="360" w:lineRule="auto"/>
              <w:ind w:firstLine="420" w:firstLineChars="200"/>
              <w:jc w:val="left"/>
              <w:rPr>
                <w:bCs/>
                <w:color w:val="auto"/>
                <w:szCs w:val="21"/>
                <w:highlight w:val="none"/>
              </w:rPr>
            </w:pPr>
            <w:r>
              <w:rPr>
                <w:rFonts w:hint="eastAsia"/>
                <w:bCs/>
                <w:color w:val="auto"/>
                <w:szCs w:val="21"/>
                <w:highlight w:val="none"/>
              </w:rPr>
              <w:t>棕榈油：棕榈油是一种热带木本植物油，其主要成分为50%的饱和脂肪酸，40%的单不饱和脂肪酸以及10%的多不饱和脂肪酸，比重为0.882(60℃/20℃水)，皂化值：193mgKOH/g，稳定性较好，在空气中不挥发，不容易发生氧化变质，在餐饮业、食品工业和油脂化工业拥有广泛的用途。</w:t>
            </w:r>
          </w:p>
          <w:p>
            <w:pPr>
              <w:spacing w:line="360" w:lineRule="auto"/>
              <w:ind w:firstLine="420" w:firstLineChars="200"/>
              <w:jc w:val="left"/>
              <w:rPr>
                <w:bCs/>
                <w:color w:val="auto"/>
                <w:szCs w:val="21"/>
                <w:highlight w:val="none"/>
              </w:rPr>
            </w:pPr>
            <w:r>
              <w:rPr>
                <w:rFonts w:hint="eastAsia"/>
                <w:bCs/>
                <w:color w:val="auto"/>
                <w:szCs w:val="21"/>
                <w:highlight w:val="none"/>
              </w:rPr>
              <w:t>氧化镁：氧化镁是一种无机物，化学式MgO。熔点为2852℃，沸点为3600℃，密度为3.58g/cm3（25℃），常温下为一种白色固体。氧化镁以方镁石形式存在于自然界中，是冶镁的原料。氧化镁在工业上常用于抗酸剂、吸附剂、脱硫剂、脱铅剂、络合助滤剂。</w:t>
            </w:r>
          </w:p>
          <w:p>
            <w:pPr>
              <w:spacing w:line="360" w:lineRule="auto"/>
              <w:ind w:firstLine="420" w:firstLineChars="200"/>
              <w:jc w:val="left"/>
              <w:rPr>
                <w:bCs/>
                <w:color w:val="auto"/>
                <w:szCs w:val="21"/>
                <w:highlight w:val="none"/>
              </w:rPr>
            </w:pPr>
            <w:r>
              <w:rPr>
                <w:rFonts w:hint="eastAsia"/>
                <w:bCs/>
                <w:color w:val="auto"/>
                <w:szCs w:val="21"/>
                <w:highlight w:val="none"/>
              </w:rPr>
              <w:t>防沉剂：白炭黑，白炭黑是白色粉末状X-射线无定形硅酸和硅酸盐产品的总称，主要是指沉淀二氧化硅、气相二氧化硅和超细二氧化硅凝胶，也包括粉末状合成硅酸铝和硅酸钙等。白炭黑是多孔性物质，其组成可用SiO</w:t>
            </w:r>
            <w:r>
              <w:rPr>
                <w:rFonts w:hint="eastAsia"/>
                <w:bCs/>
                <w:color w:val="auto"/>
                <w:szCs w:val="21"/>
                <w:highlight w:val="none"/>
                <w:vertAlign w:val="subscript"/>
              </w:rPr>
              <w:t>2</w:t>
            </w:r>
            <w:r>
              <w:rPr>
                <w:rFonts w:hint="eastAsia"/>
                <w:bCs/>
                <w:color w:val="auto"/>
                <w:szCs w:val="21"/>
                <w:highlight w:val="none"/>
              </w:rPr>
              <w:t>·nH</w:t>
            </w:r>
            <w:r>
              <w:rPr>
                <w:rFonts w:hint="eastAsia"/>
                <w:bCs/>
                <w:color w:val="auto"/>
                <w:szCs w:val="21"/>
                <w:highlight w:val="none"/>
                <w:vertAlign w:val="subscript"/>
              </w:rPr>
              <w:t>2</w:t>
            </w:r>
            <w:r>
              <w:rPr>
                <w:rFonts w:hint="eastAsia"/>
                <w:bCs/>
                <w:color w:val="auto"/>
                <w:szCs w:val="21"/>
                <w:highlight w:val="none"/>
              </w:rPr>
              <w:t>O表示，其中nH</w:t>
            </w:r>
            <w:r>
              <w:rPr>
                <w:rFonts w:hint="eastAsia"/>
                <w:bCs/>
                <w:color w:val="auto"/>
                <w:szCs w:val="21"/>
                <w:highlight w:val="none"/>
                <w:vertAlign w:val="subscript"/>
              </w:rPr>
              <w:t>2</w:t>
            </w:r>
            <w:r>
              <w:rPr>
                <w:rFonts w:hint="eastAsia"/>
                <w:bCs/>
                <w:color w:val="auto"/>
                <w:szCs w:val="21"/>
                <w:highlight w:val="none"/>
              </w:rPr>
              <w:t>O是以表面羟基的形式存在。能溶于苛性碱和氢氟酸，不溶于水、溶剂和酸（氢氟酸除外）。耐高温、不燃、无味、无嗅、具有很好的电绝缘性。</w:t>
            </w:r>
          </w:p>
          <w:p>
            <w:pPr>
              <w:spacing w:line="360" w:lineRule="auto"/>
              <w:ind w:firstLine="422" w:firstLineChars="200"/>
              <w:jc w:val="left"/>
              <w:rPr>
                <w:b/>
                <w:bCs/>
                <w:color w:val="auto"/>
                <w:szCs w:val="21"/>
                <w:highlight w:val="none"/>
              </w:rPr>
            </w:pPr>
            <w:r>
              <w:rPr>
                <w:rFonts w:hint="eastAsia"/>
                <w:b/>
                <w:color w:val="auto"/>
                <w:szCs w:val="21"/>
                <w:highlight w:val="none"/>
              </w:rPr>
              <w:t>5</w:t>
            </w:r>
            <w:r>
              <w:rPr>
                <w:b/>
                <w:color w:val="auto"/>
                <w:szCs w:val="21"/>
                <w:highlight w:val="none"/>
              </w:rPr>
              <w:t>、主要生产设备</w:t>
            </w:r>
          </w:p>
          <w:p>
            <w:pPr>
              <w:spacing w:line="360" w:lineRule="auto"/>
              <w:ind w:firstLine="420" w:firstLineChars="200"/>
              <w:jc w:val="left"/>
              <w:rPr>
                <w:b/>
                <w:bCs/>
                <w:color w:val="auto"/>
                <w:szCs w:val="21"/>
                <w:highlight w:val="none"/>
              </w:rPr>
            </w:pPr>
            <w:r>
              <w:rPr>
                <w:color w:val="auto"/>
                <w:szCs w:val="21"/>
                <w:highlight w:val="none"/>
              </w:rPr>
              <w:t>本项目主要生产设备见下表：</w:t>
            </w:r>
          </w:p>
          <w:p>
            <w:pPr>
              <w:pStyle w:val="41"/>
              <w:spacing w:after="120" w:afterLines="50"/>
              <w:jc w:val="center"/>
              <w:rPr>
                <w:rFonts w:ascii="Times New Roman" w:hAnsi="Times New Roman" w:eastAsia="宋体" w:cs="Times New Roman"/>
                <w:b/>
                <w:bCs/>
                <w:color w:val="auto"/>
                <w:sz w:val="21"/>
                <w:szCs w:val="21"/>
                <w:highlight w:val="none"/>
              </w:rPr>
            </w:pPr>
            <w:r>
              <w:rPr>
                <w:rFonts w:ascii="Times New Roman" w:hAnsi="Times New Roman" w:eastAsia="宋体" w:cs="Times New Roman"/>
                <w:b/>
                <w:bCs/>
                <w:color w:val="auto"/>
                <w:sz w:val="21"/>
                <w:szCs w:val="21"/>
                <w:highlight w:val="none"/>
              </w:rPr>
              <w:t>表2-</w:t>
            </w:r>
            <w:r>
              <w:rPr>
                <w:rFonts w:hint="eastAsia" w:ascii="Times New Roman" w:hAnsi="Times New Roman" w:eastAsia="宋体" w:cs="Times New Roman"/>
                <w:b/>
                <w:bCs/>
                <w:color w:val="auto"/>
                <w:sz w:val="21"/>
                <w:szCs w:val="21"/>
                <w:highlight w:val="none"/>
              </w:rPr>
              <w:t>5</w:t>
            </w:r>
            <w:r>
              <w:rPr>
                <w:rFonts w:ascii="Times New Roman" w:hAnsi="Times New Roman" w:eastAsia="宋体" w:cs="Times New Roman"/>
                <w:b/>
                <w:bCs/>
                <w:color w:val="auto"/>
                <w:sz w:val="21"/>
                <w:szCs w:val="21"/>
                <w:highlight w:val="none"/>
              </w:rPr>
              <w:t xml:space="preserve"> 项目主要生产设备一览表</w:t>
            </w:r>
          </w:p>
          <w:tbl>
            <w:tblPr>
              <w:tblStyle w:val="3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9"/>
              <w:gridCol w:w="1689"/>
              <w:gridCol w:w="1926"/>
              <w:gridCol w:w="713"/>
              <w:gridCol w:w="1202"/>
              <w:gridCol w:w="1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25" w:type="pct"/>
                  <w:vAlign w:val="center"/>
                </w:tcPr>
                <w:p>
                  <w:pPr>
                    <w:jc w:val="center"/>
                    <w:rPr>
                      <w:rFonts w:hint="default" w:eastAsia="宋体"/>
                      <w:b/>
                      <w:bCs/>
                      <w:color w:val="auto"/>
                      <w:szCs w:val="21"/>
                      <w:highlight w:val="none"/>
                      <w:lang w:val="en-US" w:eastAsia="zh-CN"/>
                    </w:rPr>
                  </w:pPr>
                  <w:r>
                    <w:rPr>
                      <w:rFonts w:hint="eastAsia"/>
                      <w:b/>
                      <w:bCs/>
                      <w:color w:val="auto"/>
                      <w:szCs w:val="21"/>
                      <w:highlight w:val="none"/>
                      <w:lang w:val="en-US" w:eastAsia="zh-CN"/>
                    </w:rPr>
                    <w:t>主要生产单元</w:t>
                  </w:r>
                </w:p>
              </w:tc>
              <w:tc>
                <w:tcPr>
                  <w:tcW w:w="1025" w:type="pct"/>
                  <w:vAlign w:val="center"/>
                </w:tcPr>
                <w:p>
                  <w:pPr>
                    <w:jc w:val="center"/>
                    <w:rPr>
                      <w:rFonts w:hint="default" w:eastAsia="宋体"/>
                      <w:b/>
                      <w:bCs/>
                      <w:color w:val="auto"/>
                      <w:szCs w:val="21"/>
                      <w:highlight w:val="none"/>
                      <w:lang w:val="en-US" w:eastAsia="zh-CN"/>
                    </w:rPr>
                  </w:pPr>
                  <w:r>
                    <w:rPr>
                      <w:rFonts w:hint="eastAsia"/>
                      <w:b/>
                      <w:bCs/>
                      <w:color w:val="auto"/>
                      <w:szCs w:val="21"/>
                      <w:highlight w:val="none"/>
                      <w:lang w:val="en-US" w:eastAsia="zh-CN"/>
                    </w:rPr>
                    <w:t>主要生产工艺</w:t>
                  </w:r>
                </w:p>
              </w:tc>
              <w:tc>
                <w:tcPr>
                  <w:tcW w:w="1167" w:type="pct"/>
                  <w:vAlign w:val="center"/>
                </w:tcPr>
                <w:p>
                  <w:pPr>
                    <w:jc w:val="center"/>
                    <w:rPr>
                      <w:rFonts w:hint="default" w:eastAsia="宋体"/>
                      <w:b/>
                      <w:bCs/>
                      <w:color w:val="auto"/>
                      <w:szCs w:val="21"/>
                      <w:highlight w:val="none"/>
                      <w:lang w:val="en-US" w:eastAsia="zh-CN"/>
                    </w:rPr>
                  </w:pPr>
                  <w:r>
                    <w:rPr>
                      <w:rFonts w:hint="eastAsia"/>
                      <w:b/>
                      <w:bCs/>
                      <w:color w:val="auto"/>
                      <w:szCs w:val="21"/>
                      <w:highlight w:val="none"/>
                      <w:lang w:val="en-US" w:eastAsia="zh-CN"/>
                    </w:rPr>
                    <w:t>生产设施名称</w:t>
                  </w:r>
                </w:p>
              </w:tc>
              <w:tc>
                <w:tcPr>
                  <w:tcW w:w="441" w:type="pct"/>
                  <w:vAlign w:val="center"/>
                </w:tcPr>
                <w:p>
                  <w:pPr>
                    <w:jc w:val="center"/>
                    <w:rPr>
                      <w:b/>
                      <w:bCs/>
                      <w:color w:val="auto"/>
                      <w:szCs w:val="21"/>
                      <w:highlight w:val="none"/>
                    </w:rPr>
                  </w:pPr>
                  <w:r>
                    <w:rPr>
                      <w:b/>
                      <w:bCs/>
                      <w:color w:val="auto"/>
                      <w:szCs w:val="21"/>
                      <w:highlight w:val="none"/>
                    </w:rPr>
                    <w:t>数量</w:t>
                  </w:r>
                </w:p>
              </w:tc>
              <w:tc>
                <w:tcPr>
                  <w:tcW w:w="733" w:type="pct"/>
                  <w:vAlign w:val="center"/>
                </w:tcPr>
                <w:p>
                  <w:pPr>
                    <w:jc w:val="center"/>
                    <w:rPr>
                      <w:b/>
                      <w:bCs/>
                      <w:color w:val="auto"/>
                      <w:szCs w:val="21"/>
                      <w:highlight w:val="none"/>
                    </w:rPr>
                  </w:pPr>
                  <w:r>
                    <w:rPr>
                      <w:rFonts w:hint="eastAsia"/>
                      <w:b/>
                      <w:bCs/>
                      <w:color w:val="auto"/>
                      <w:szCs w:val="21"/>
                      <w:highlight w:val="none"/>
                    </w:rPr>
                    <w:t>设施参数</w:t>
                  </w:r>
                </w:p>
              </w:tc>
              <w:tc>
                <w:tcPr>
                  <w:tcW w:w="606" w:type="pct"/>
                  <w:vAlign w:val="center"/>
                </w:tcPr>
                <w:p>
                  <w:pPr>
                    <w:jc w:val="center"/>
                    <w:rPr>
                      <w:b/>
                      <w:bCs/>
                      <w:color w:val="auto"/>
                      <w:szCs w:val="21"/>
                      <w:highlight w:val="none"/>
                    </w:rPr>
                  </w:pPr>
                  <w:r>
                    <w:rPr>
                      <w:rFonts w:hint="eastAsia"/>
                      <w:b/>
                      <w:bCs/>
                      <w:color w:val="auto"/>
                      <w:szCs w:val="21"/>
                      <w:highlight w:val="none"/>
                    </w:rPr>
                    <w:t>参数值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25" w:type="pct"/>
                  <w:vMerge w:val="restart"/>
                  <w:vAlign w:val="center"/>
                </w:tcPr>
                <w:p>
                  <w:pPr>
                    <w:pStyle w:val="71"/>
                    <w:ind w:firstLine="0" w:firstLineChars="0"/>
                    <w:jc w:val="center"/>
                    <w:rPr>
                      <w:rFonts w:hint="default" w:eastAsia="宋体"/>
                      <w:color w:val="auto"/>
                      <w:szCs w:val="21"/>
                      <w:highlight w:val="none"/>
                      <w:lang w:val="en-US" w:eastAsia="zh-CN"/>
                    </w:rPr>
                  </w:pPr>
                  <w:r>
                    <w:rPr>
                      <w:rFonts w:hint="eastAsia"/>
                      <w:color w:val="auto"/>
                      <w:szCs w:val="21"/>
                      <w:highlight w:val="none"/>
                      <w:lang w:val="en-US" w:eastAsia="zh-CN"/>
                    </w:rPr>
                    <w:t>生产单元</w:t>
                  </w:r>
                </w:p>
              </w:tc>
              <w:tc>
                <w:tcPr>
                  <w:tcW w:w="1025" w:type="pct"/>
                  <w:vAlign w:val="center"/>
                </w:tcPr>
                <w:p>
                  <w:pPr>
                    <w:jc w:val="center"/>
                    <w:rPr>
                      <w:rFonts w:hint="eastAsia" w:eastAsia="宋体"/>
                      <w:color w:val="auto"/>
                      <w:szCs w:val="21"/>
                      <w:highlight w:val="none"/>
                      <w:lang w:val="en-US" w:eastAsia="zh-CN"/>
                    </w:rPr>
                  </w:pPr>
                  <w:r>
                    <w:rPr>
                      <w:rFonts w:hint="eastAsia"/>
                      <w:color w:val="auto"/>
                      <w:szCs w:val="21"/>
                      <w:highlight w:val="none"/>
                      <w:lang w:val="en-US" w:eastAsia="zh-CN"/>
                    </w:rPr>
                    <w:t>上料</w:t>
                  </w:r>
                </w:p>
              </w:tc>
              <w:tc>
                <w:tcPr>
                  <w:tcW w:w="1167" w:type="pct"/>
                  <w:vAlign w:val="center"/>
                </w:tcPr>
                <w:p>
                  <w:pPr>
                    <w:jc w:val="center"/>
                    <w:rPr>
                      <w:rFonts w:hint="eastAsia" w:eastAsia="宋体"/>
                      <w:color w:val="auto"/>
                      <w:szCs w:val="21"/>
                      <w:highlight w:val="none"/>
                      <w:lang w:val="en-US" w:eastAsia="zh-CN"/>
                    </w:rPr>
                  </w:pPr>
                  <w:r>
                    <w:rPr>
                      <w:rFonts w:hint="eastAsia"/>
                      <w:color w:val="auto"/>
                      <w:szCs w:val="21"/>
                      <w:highlight w:val="none"/>
                      <w:lang w:val="en-US" w:eastAsia="zh-CN"/>
                    </w:rPr>
                    <w:t>上料机</w:t>
                  </w:r>
                </w:p>
              </w:tc>
              <w:tc>
                <w:tcPr>
                  <w:tcW w:w="441" w:type="pct"/>
                  <w:vAlign w:val="center"/>
                </w:tcPr>
                <w:p>
                  <w:pPr>
                    <w:jc w:val="center"/>
                    <w:rPr>
                      <w:rFonts w:hint="default" w:eastAsia="宋体"/>
                      <w:color w:val="auto"/>
                      <w:szCs w:val="21"/>
                      <w:highlight w:val="none"/>
                      <w:lang w:val="en-US" w:eastAsia="zh-CN"/>
                    </w:rPr>
                  </w:pPr>
                  <w:r>
                    <w:rPr>
                      <w:rFonts w:hint="eastAsia"/>
                      <w:color w:val="auto"/>
                      <w:szCs w:val="21"/>
                      <w:highlight w:val="none"/>
                      <w:lang w:val="en-US" w:eastAsia="zh-CN"/>
                    </w:rPr>
                    <w:t>2台</w:t>
                  </w:r>
                </w:p>
              </w:tc>
              <w:tc>
                <w:tcPr>
                  <w:tcW w:w="733" w:type="pct"/>
                  <w:vAlign w:val="center"/>
                </w:tcPr>
                <w:p>
                  <w:pPr>
                    <w:jc w:val="center"/>
                    <w:rPr>
                      <w:rFonts w:hint="eastAsia" w:eastAsia="宋体"/>
                      <w:color w:val="auto"/>
                      <w:szCs w:val="21"/>
                      <w:highlight w:val="none"/>
                      <w:lang w:val="en-US" w:eastAsia="zh-CN"/>
                    </w:rPr>
                  </w:pPr>
                  <w:r>
                    <w:rPr>
                      <w:rFonts w:hint="eastAsia"/>
                      <w:color w:val="auto"/>
                      <w:szCs w:val="21"/>
                      <w:highlight w:val="none"/>
                      <w:lang w:val="en-US" w:eastAsia="zh-CN"/>
                    </w:rPr>
                    <w:t>处理能力</w:t>
                  </w:r>
                </w:p>
              </w:tc>
              <w:tc>
                <w:tcPr>
                  <w:tcW w:w="606" w:type="pct"/>
                  <w:vAlign w:val="center"/>
                </w:tcPr>
                <w:p>
                  <w:pPr>
                    <w:jc w:val="center"/>
                    <w:rPr>
                      <w:rFonts w:hint="default" w:eastAsia="宋体"/>
                      <w:color w:val="auto"/>
                      <w:szCs w:val="21"/>
                      <w:highlight w:val="none"/>
                      <w:lang w:val="en-US" w:eastAsia="zh-CN"/>
                    </w:rPr>
                  </w:pPr>
                  <w:r>
                    <w:rPr>
                      <w:rFonts w:hint="eastAsia"/>
                      <w:color w:val="auto"/>
                      <w:szCs w:val="21"/>
                      <w:highlight w:val="none"/>
                      <w:lang w:val="en-US" w:eastAsia="zh-CN"/>
                    </w:rPr>
                    <w:t>2t/h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25" w:type="pct"/>
                  <w:vMerge w:val="continue"/>
                  <w:vAlign w:val="center"/>
                </w:tcPr>
                <w:p>
                  <w:pPr>
                    <w:pStyle w:val="71"/>
                    <w:ind w:firstLine="0" w:firstLineChars="0"/>
                    <w:jc w:val="center"/>
                    <w:rPr>
                      <w:rFonts w:hint="eastAsia"/>
                      <w:color w:val="auto"/>
                      <w:szCs w:val="21"/>
                      <w:highlight w:val="none"/>
                      <w:lang w:val="en-US" w:eastAsia="zh-CN"/>
                    </w:rPr>
                  </w:pPr>
                </w:p>
              </w:tc>
              <w:tc>
                <w:tcPr>
                  <w:tcW w:w="1025" w:type="pct"/>
                  <w:vAlign w:val="center"/>
                </w:tcPr>
                <w:p>
                  <w:pPr>
                    <w:jc w:val="center"/>
                    <w:rPr>
                      <w:rFonts w:hint="default"/>
                      <w:color w:val="auto"/>
                      <w:szCs w:val="21"/>
                      <w:highlight w:val="none"/>
                      <w:lang w:val="en-US" w:eastAsia="zh-CN"/>
                    </w:rPr>
                  </w:pPr>
                  <w:r>
                    <w:rPr>
                      <w:rFonts w:hint="eastAsia"/>
                      <w:color w:val="auto"/>
                      <w:szCs w:val="21"/>
                      <w:highlight w:val="none"/>
                      <w:lang w:val="en-US" w:eastAsia="zh-CN"/>
                    </w:rPr>
                    <w:t>贮存</w:t>
                  </w:r>
                </w:p>
              </w:tc>
              <w:tc>
                <w:tcPr>
                  <w:tcW w:w="1167" w:type="pct"/>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rPr>
                    <w:t>粉体储罐</w:t>
                  </w:r>
                </w:p>
              </w:tc>
              <w:tc>
                <w:tcPr>
                  <w:tcW w:w="441" w:type="pct"/>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rPr>
                    <w:t>2个</w:t>
                  </w:r>
                </w:p>
              </w:tc>
              <w:tc>
                <w:tcPr>
                  <w:tcW w:w="733" w:type="pct"/>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rPr>
                    <w:t>容量</w:t>
                  </w:r>
                </w:p>
              </w:tc>
              <w:tc>
                <w:tcPr>
                  <w:tcW w:w="606" w:type="pct"/>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rPr>
                    <w:t>50t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25" w:type="pct"/>
                  <w:vMerge w:val="continue"/>
                  <w:vAlign w:val="center"/>
                </w:tcPr>
                <w:p>
                  <w:pPr>
                    <w:pStyle w:val="71"/>
                    <w:ind w:firstLine="0" w:firstLineChars="0"/>
                    <w:jc w:val="center"/>
                    <w:rPr>
                      <w:rFonts w:hint="default" w:eastAsia="宋体"/>
                      <w:color w:val="auto"/>
                      <w:szCs w:val="21"/>
                      <w:highlight w:val="none"/>
                      <w:lang w:val="en-US" w:eastAsia="zh-CN"/>
                    </w:rPr>
                  </w:pPr>
                </w:p>
              </w:tc>
              <w:tc>
                <w:tcPr>
                  <w:tcW w:w="1025" w:type="pct"/>
                  <w:vMerge w:val="restart"/>
                  <w:vAlign w:val="center"/>
                </w:tcPr>
                <w:p>
                  <w:pPr>
                    <w:jc w:val="center"/>
                    <w:rPr>
                      <w:rFonts w:hint="eastAsia" w:eastAsia="宋体"/>
                      <w:color w:val="auto"/>
                      <w:szCs w:val="21"/>
                      <w:highlight w:val="none"/>
                      <w:lang w:val="en-US" w:eastAsia="zh-CN"/>
                    </w:rPr>
                  </w:pPr>
                  <w:r>
                    <w:rPr>
                      <w:rFonts w:hint="eastAsia"/>
                      <w:color w:val="auto"/>
                      <w:szCs w:val="21"/>
                      <w:highlight w:val="none"/>
                      <w:lang w:val="en-US" w:eastAsia="zh-CN"/>
                    </w:rPr>
                    <w:t>搅拌</w:t>
                  </w:r>
                </w:p>
              </w:tc>
              <w:tc>
                <w:tcPr>
                  <w:tcW w:w="1167" w:type="pct"/>
                  <w:vAlign w:val="center"/>
                </w:tcPr>
                <w:p>
                  <w:pPr>
                    <w:jc w:val="center"/>
                    <w:rPr>
                      <w:color w:val="auto"/>
                      <w:szCs w:val="21"/>
                      <w:highlight w:val="none"/>
                    </w:rPr>
                  </w:pPr>
                  <w:r>
                    <w:rPr>
                      <w:color w:val="auto"/>
                      <w:szCs w:val="21"/>
                      <w:highlight w:val="none"/>
                    </w:rPr>
                    <w:t>搅拌</w:t>
                  </w:r>
                  <w:r>
                    <w:rPr>
                      <w:rFonts w:hint="eastAsia"/>
                      <w:color w:val="auto"/>
                      <w:szCs w:val="21"/>
                      <w:highlight w:val="none"/>
                    </w:rPr>
                    <w:t>缸</w:t>
                  </w:r>
                </w:p>
              </w:tc>
              <w:tc>
                <w:tcPr>
                  <w:tcW w:w="441" w:type="pct"/>
                  <w:vAlign w:val="center"/>
                </w:tcPr>
                <w:p>
                  <w:pPr>
                    <w:jc w:val="center"/>
                    <w:rPr>
                      <w:color w:val="auto"/>
                      <w:szCs w:val="21"/>
                      <w:highlight w:val="none"/>
                    </w:rPr>
                  </w:pPr>
                  <w:r>
                    <w:rPr>
                      <w:color w:val="auto"/>
                      <w:szCs w:val="21"/>
                      <w:highlight w:val="none"/>
                    </w:rPr>
                    <w:t>1个</w:t>
                  </w:r>
                </w:p>
              </w:tc>
              <w:tc>
                <w:tcPr>
                  <w:tcW w:w="733" w:type="pct"/>
                  <w:vAlign w:val="center"/>
                </w:tcPr>
                <w:p>
                  <w:pPr>
                    <w:jc w:val="center"/>
                    <w:rPr>
                      <w:color w:val="auto"/>
                      <w:szCs w:val="21"/>
                      <w:highlight w:val="none"/>
                    </w:rPr>
                  </w:pPr>
                  <w:r>
                    <w:rPr>
                      <w:rFonts w:hint="eastAsia"/>
                      <w:color w:val="auto"/>
                      <w:szCs w:val="21"/>
                      <w:highlight w:val="none"/>
                    </w:rPr>
                    <w:t>容量</w:t>
                  </w:r>
                </w:p>
              </w:tc>
              <w:tc>
                <w:tcPr>
                  <w:tcW w:w="606" w:type="pct"/>
                  <w:vAlign w:val="center"/>
                </w:tcPr>
                <w:p>
                  <w:pPr>
                    <w:jc w:val="center"/>
                    <w:rPr>
                      <w:color w:val="auto"/>
                      <w:szCs w:val="21"/>
                      <w:highlight w:val="none"/>
                    </w:rPr>
                  </w:pPr>
                  <w:r>
                    <w:rPr>
                      <w:rFonts w:hint="eastAsia"/>
                      <w:color w:val="auto"/>
                      <w:szCs w:val="21"/>
                      <w:highlight w:val="none"/>
                    </w:rPr>
                    <w:t>10t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25" w:type="pct"/>
                  <w:vMerge w:val="continue"/>
                  <w:vAlign w:val="center"/>
                </w:tcPr>
                <w:p>
                  <w:pPr>
                    <w:pStyle w:val="71"/>
                    <w:ind w:firstLine="0" w:firstLineChars="0"/>
                    <w:jc w:val="center"/>
                    <w:rPr>
                      <w:color w:val="auto"/>
                      <w:szCs w:val="21"/>
                      <w:highlight w:val="none"/>
                    </w:rPr>
                  </w:pPr>
                </w:p>
              </w:tc>
              <w:tc>
                <w:tcPr>
                  <w:tcW w:w="1025" w:type="pct"/>
                  <w:vMerge w:val="continue"/>
                  <w:vAlign w:val="center"/>
                </w:tcPr>
                <w:p>
                  <w:pPr>
                    <w:jc w:val="center"/>
                    <w:rPr>
                      <w:color w:val="auto"/>
                      <w:szCs w:val="21"/>
                      <w:highlight w:val="none"/>
                    </w:rPr>
                  </w:pPr>
                </w:p>
              </w:tc>
              <w:tc>
                <w:tcPr>
                  <w:tcW w:w="1167" w:type="pct"/>
                  <w:vAlign w:val="center"/>
                </w:tcPr>
                <w:p>
                  <w:pPr>
                    <w:jc w:val="center"/>
                    <w:rPr>
                      <w:color w:val="auto"/>
                      <w:szCs w:val="21"/>
                      <w:highlight w:val="none"/>
                    </w:rPr>
                  </w:pPr>
                  <w:r>
                    <w:rPr>
                      <w:color w:val="auto"/>
                      <w:szCs w:val="21"/>
                      <w:highlight w:val="none"/>
                    </w:rPr>
                    <w:t>搅拌</w:t>
                  </w:r>
                  <w:r>
                    <w:rPr>
                      <w:rFonts w:hint="eastAsia"/>
                      <w:color w:val="auto"/>
                      <w:szCs w:val="21"/>
                      <w:highlight w:val="none"/>
                    </w:rPr>
                    <w:t>缸</w:t>
                  </w:r>
                </w:p>
              </w:tc>
              <w:tc>
                <w:tcPr>
                  <w:tcW w:w="441" w:type="pct"/>
                  <w:vAlign w:val="center"/>
                </w:tcPr>
                <w:p>
                  <w:pPr>
                    <w:jc w:val="center"/>
                    <w:rPr>
                      <w:color w:val="auto"/>
                      <w:szCs w:val="21"/>
                      <w:highlight w:val="none"/>
                    </w:rPr>
                  </w:pPr>
                  <w:r>
                    <w:rPr>
                      <w:rFonts w:hint="eastAsia"/>
                      <w:color w:val="auto"/>
                      <w:szCs w:val="21"/>
                      <w:highlight w:val="none"/>
                    </w:rPr>
                    <w:t>6个</w:t>
                  </w:r>
                </w:p>
              </w:tc>
              <w:tc>
                <w:tcPr>
                  <w:tcW w:w="733" w:type="pct"/>
                  <w:vAlign w:val="center"/>
                </w:tcPr>
                <w:p>
                  <w:pPr>
                    <w:jc w:val="center"/>
                    <w:rPr>
                      <w:color w:val="auto"/>
                      <w:szCs w:val="21"/>
                      <w:highlight w:val="none"/>
                    </w:rPr>
                  </w:pPr>
                  <w:r>
                    <w:rPr>
                      <w:rFonts w:hint="eastAsia"/>
                      <w:color w:val="auto"/>
                      <w:szCs w:val="21"/>
                      <w:highlight w:val="none"/>
                    </w:rPr>
                    <w:t>容量</w:t>
                  </w:r>
                </w:p>
              </w:tc>
              <w:tc>
                <w:tcPr>
                  <w:tcW w:w="606" w:type="pct"/>
                  <w:vAlign w:val="center"/>
                </w:tcPr>
                <w:p>
                  <w:pPr>
                    <w:jc w:val="center"/>
                    <w:rPr>
                      <w:color w:val="auto"/>
                      <w:szCs w:val="21"/>
                      <w:highlight w:val="none"/>
                    </w:rPr>
                  </w:pPr>
                  <w:r>
                    <w:rPr>
                      <w:rFonts w:hint="eastAsia"/>
                      <w:color w:val="auto"/>
                      <w:szCs w:val="21"/>
                      <w:highlight w:val="none"/>
                    </w:rPr>
                    <w:t>5t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25" w:type="pct"/>
                  <w:vMerge w:val="continue"/>
                  <w:vAlign w:val="center"/>
                </w:tcPr>
                <w:p>
                  <w:pPr>
                    <w:pStyle w:val="71"/>
                    <w:ind w:firstLine="0" w:firstLineChars="0"/>
                    <w:jc w:val="center"/>
                    <w:rPr>
                      <w:color w:val="auto"/>
                      <w:szCs w:val="21"/>
                      <w:highlight w:val="none"/>
                    </w:rPr>
                  </w:pPr>
                </w:p>
              </w:tc>
              <w:tc>
                <w:tcPr>
                  <w:tcW w:w="1025" w:type="pct"/>
                  <w:vMerge w:val="continue"/>
                  <w:vAlign w:val="center"/>
                </w:tcPr>
                <w:p>
                  <w:pPr>
                    <w:jc w:val="center"/>
                    <w:rPr>
                      <w:color w:val="auto"/>
                      <w:szCs w:val="21"/>
                      <w:highlight w:val="none"/>
                    </w:rPr>
                  </w:pPr>
                </w:p>
              </w:tc>
              <w:tc>
                <w:tcPr>
                  <w:tcW w:w="1167" w:type="pct"/>
                  <w:vAlign w:val="center"/>
                </w:tcPr>
                <w:p>
                  <w:pPr>
                    <w:jc w:val="center"/>
                    <w:rPr>
                      <w:color w:val="auto"/>
                      <w:szCs w:val="21"/>
                      <w:highlight w:val="none"/>
                    </w:rPr>
                  </w:pPr>
                  <w:r>
                    <w:rPr>
                      <w:color w:val="auto"/>
                      <w:szCs w:val="21"/>
                      <w:highlight w:val="none"/>
                    </w:rPr>
                    <w:t>搅拌</w:t>
                  </w:r>
                  <w:r>
                    <w:rPr>
                      <w:rFonts w:hint="eastAsia"/>
                      <w:color w:val="auto"/>
                      <w:szCs w:val="21"/>
                      <w:highlight w:val="none"/>
                    </w:rPr>
                    <w:t>桶</w:t>
                  </w:r>
                </w:p>
              </w:tc>
              <w:tc>
                <w:tcPr>
                  <w:tcW w:w="441" w:type="pct"/>
                  <w:vAlign w:val="center"/>
                </w:tcPr>
                <w:p>
                  <w:pPr>
                    <w:jc w:val="center"/>
                    <w:rPr>
                      <w:color w:val="auto"/>
                      <w:szCs w:val="21"/>
                      <w:highlight w:val="none"/>
                    </w:rPr>
                  </w:pPr>
                  <w:r>
                    <w:rPr>
                      <w:rFonts w:hint="eastAsia"/>
                      <w:color w:val="auto"/>
                      <w:szCs w:val="21"/>
                      <w:highlight w:val="none"/>
                    </w:rPr>
                    <w:t>2个</w:t>
                  </w:r>
                </w:p>
              </w:tc>
              <w:tc>
                <w:tcPr>
                  <w:tcW w:w="733" w:type="pct"/>
                  <w:vAlign w:val="center"/>
                </w:tcPr>
                <w:p>
                  <w:pPr>
                    <w:jc w:val="center"/>
                    <w:rPr>
                      <w:color w:val="auto"/>
                      <w:szCs w:val="21"/>
                      <w:highlight w:val="none"/>
                    </w:rPr>
                  </w:pPr>
                  <w:r>
                    <w:rPr>
                      <w:rFonts w:hint="eastAsia"/>
                      <w:color w:val="auto"/>
                      <w:szCs w:val="21"/>
                      <w:highlight w:val="none"/>
                    </w:rPr>
                    <w:t>容量</w:t>
                  </w:r>
                </w:p>
              </w:tc>
              <w:tc>
                <w:tcPr>
                  <w:tcW w:w="606" w:type="pct"/>
                  <w:vAlign w:val="center"/>
                </w:tcPr>
                <w:p>
                  <w:pPr>
                    <w:jc w:val="center"/>
                    <w:rPr>
                      <w:color w:val="auto"/>
                      <w:szCs w:val="21"/>
                      <w:highlight w:val="none"/>
                    </w:rPr>
                  </w:pPr>
                  <w:r>
                    <w:rPr>
                      <w:rFonts w:hint="eastAsia"/>
                      <w:color w:val="auto"/>
                      <w:szCs w:val="21"/>
                      <w:highlight w:val="none"/>
                    </w:rPr>
                    <w:t>3t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25" w:type="pct"/>
                  <w:vMerge w:val="continue"/>
                  <w:vAlign w:val="center"/>
                </w:tcPr>
                <w:p>
                  <w:pPr>
                    <w:pStyle w:val="71"/>
                    <w:ind w:firstLine="0" w:firstLineChars="0"/>
                    <w:jc w:val="center"/>
                    <w:rPr>
                      <w:color w:val="auto"/>
                      <w:szCs w:val="21"/>
                      <w:highlight w:val="none"/>
                    </w:rPr>
                  </w:pPr>
                </w:p>
              </w:tc>
              <w:tc>
                <w:tcPr>
                  <w:tcW w:w="1025" w:type="pct"/>
                  <w:vMerge w:val="continue"/>
                  <w:vAlign w:val="center"/>
                </w:tcPr>
                <w:p>
                  <w:pPr>
                    <w:jc w:val="center"/>
                    <w:rPr>
                      <w:color w:val="auto"/>
                      <w:szCs w:val="21"/>
                      <w:highlight w:val="none"/>
                    </w:rPr>
                  </w:pPr>
                </w:p>
              </w:tc>
              <w:tc>
                <w:tcPr>
                  <w:tcW w:w="1167" w:type="pct"/>
                  <w:vAlign w:val="center"/>
                </w:tcPr>
                <w:p>
                  <w:pPr>
                    <w:jc w:val="center"/>
                    <w:rPr>
                      <w:color w:val="auto"/>
                      <w:szCs w:val="21"/>
                      <w:highlight w:val="none"/>
                    </w:rPr>
                  </w:pPr>
                  <w:r>
                    <w:rPr>
                      <w:color w:val="auto"/>
                      <w:szCs w:val="21"/>
                      <w:highlight w:val="none"/>
                    </w:rPr>
                    <w:t>搅拌</w:t>
                  </w:r>
                  <w:r>
                    <w:rPr>
                      <w:rFonts w:hint="eastAsia"/>
                      <w:color w:val="auto"/>
                      <w:szCs w:val="21"/>
                      <w:highlight w:val="none"/>
                    </w:rPr>
                    <w:t>缸</w:t>
                  </w:r>
                </w:p>
              </w:tc>
              <w:tc>
                <w:tcPr>
                  <w:tcW w:w="441" w:type="pct"/>
                  <w:vAlign w:val="center"/>
                </w:tcPr>
                <w:p>
                  <w:pPr>
                    <w:jc w:val="center"/>
                    <w:rPr>
                      <w:color w:val="auto"/>
                      <w:szCs w:val="21"/>
                      <w:highlight w:val="none"/>
                    </w:rPr>
                  </w:pPr>
                  <w:r>
                    <w:rPr>
                      <w:rFonts w:hint="eastAsia"/>
                      <w:color w:val="auto"/>
                      <w:szCs w:val="21"/>
                      <w:highlight w:val="none"/>
                    </w:rPr>
                    <w:t>1个</w:t>
                  </w:r>
                </w:p>
              </w:tc>
              <w:tc>
                <w:tcPr>
                  <w:tcW w:w="733" w:type="pct"/>
                  <w:vAlign w:val="center"/>
                </w:tcPr>
                <w:p>
                  <w:pPr>
                    <w:jc w:val="center"/>
                    <w:rPr>
                      <w:color w:val="auto"/>
                      <w:szCs w:val="21"/>
                      <w:highlight w:val="none"/>
                    </w:rPr>
                  </w:pPr>
                  <w:r>
                    <w:rPr>
                      <w:rFonts w:hint="eastAsia"/>
                      <w:color w:val="auto"/>
                      <w:szCs w:val="21"/>
                      <w:highlight w:val="none"/>
                    </w:rPr>
                    <w:t>容量</w:t>
                  </w:r>
                </w:p>
              </w:tc>
              <w:tc>
                <w:tcPr>
                  <w:tcW w:w="606" w:type="pct"/>
                  <w:vAlign w:val="center"/>
                </w:tcPr>
                <w:p>
                  <w:pPr>
                    <w:jc w:val="center"/>
                    <w:rPr>
                      <w:color w:val="auto"/>
                      <w:szCs w:val="21"/>
                      <w:highlight w:val="none"/>
                    </w:rPr>
                  </w:pPr>
                  <w:r>
                    <w:rPr>
                      <w:rFonts w:hint="eastAsia"/>
                      <w:color w:val="auto"/>
                      <w:szCs w:val="21"/>
                      <w:highlight w:val="none"/>
                    </w:rPr>
                    <w:t>0.2t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25" w:type="pct"/>
                  <w:vMerge w:val="continue"/>
                  <w:vAlign w:val="center"/>
                </w:tcPr>
                <w:p>
                  <w:pPr>
                    <w:pStyle w:val="71"/>
                    <w:ind w:firstLine="0" w:firstLineChars="0"/>
                    <w:jc w:val="center"/>
                    <w:rPr>
                      <w:color w:val="auto"/>
                      <w:szCs w:val="21"/>
                      <w:highlight w:val="none"/>
                    </w:rPr>
                  </w:pPr>
                </w:p>
              </w:tc>
              <w:tc>
                <w:tcPr>
                  <w:tcW w:w="1025" w:type="pct"/>
                  <w:vMerge w:val="continue"/>
                  <w:vAlign w:val="center"/>
                </w:tcPr>
                <w:p>
                  <w:pPr>
                    <w:jc w:val="center"/>
                    <w:rPr>
                      <w:color w:val="auto"/>
                      <w:szCs w:val="21"/>
                      <w:highlight w:val="none"/>
                    </w:rPr>
                  </w:pPr>
                </w:p>
              </w:tc>
              <w:tc>
                <w:tcPr>
                  <w:tcW w:w="1167" w:type="pct"/>
                  <w:vAlign w:val="center"/>
                </w:tcPr>
                <w:p>
                  <w:pPr>
                    <w:jc w:val="center"/>
                    <w:rPr>
                      <w:color w:val="auto"/>
                      <w:szCs w:val="21"/>
                      <w:highlight w:val="none"/>
                    </w:rPr>
                  </w:pPr>
                  <w:r>
                    <w:rPr>
                      <w:color w:val="auto"/>
                      <w:szCs w:val="21"/>
                      <w:highlight w:val="none"/>
                    </w:rPr>
                    <w:t>搅拌</w:t>
                  </w:r>
                  <w:r>
                    <w:rPr>
                      <w:rFonts w:hint="eastAsia"/>
                      <w:color w:val="auto"/>
                      <w:szCs w:val="21"/>
                      <w:highlight w:val="none"/>
                    </w:rPr>
                    <w:t>桶</w:t>
                  </w:r>
                </w:p>
              </w:tc>
              <w:tc>
                <w:tcPr>
                  <w:tcW w:w="441" w:type="pct"/>
                  <w:vAlign w:val="center"/>
                </w:tcPr>
                <w:p>
                  <w:pPr>
                    <w:jc w:val="center"/>
                    <w:rPr>
                      <w:color w:val="auto"/>
                      <w:szCs w:val="21"/>
                      <w:highlight w:val="none"/>
                    </w:rPr>
                  </w:pPr>
                  <w:r>
                    <w:rPr>
                      <w:color w:val="auto"/>
                      <w:szCs w:val="21"/>
                      <w:highlight w:val="none"/>
                    </w:rPr>
                    <w:t>1</w:t>
                  </w:r>
                  <w:r>
                    <w:rPr>
                      <w:rFonts w:hint="eastAsia"/>
                      <w:color w:val="auto"/>
                      <w:szCs w:val="21"/>
                      <w:highlight w:val="none"/>
                    </w:rPr>
                    <w:t>个</w:t>
                  </w:r>
                </w:p>
              </w:tc>
              <w:tc>
                <w:tcPr>
                  <w:tcW w:w="733" w:type="pct"/>
                  <w:vAlign w:val="center"/>
                </w:tcPr>
                <w:p>
                  <w:pPr>
                    <w:jc w:val="center"/>
                    <w:rPr>
                      <w:color w:val="auto"/>
                      <w:szCs w:val="21"/>
                      <w:highlight w:val="none"/>
                    </w:rPr>
                  </w:pPr>
                  <w:r>
                    <w:rPr>
                      <w:rFonts w:hint="eastAsia"/>
                      <w:color w:val="auto"/>
                      <w:szCs w:val="21"/>
                      <w:highlight w:val="none"/>
                    </w:rPr>
                    <w:t>容量</w:t>
                  </w:r>
                </w:p>
              </w:tc>
              <w:tc>
                <w:tcPr>
                  <w:tcW w:w="606" w:type="pct"/>
                  <w:vAlign w:val="center"/>
                </w:tcPr>
                <w:p>
                  <w:pPr>
                    <w:jc w:val="center"/>
                    <w:rPr>
                      <w:color w:val="auto"/>
                      <w:szCs w:val="21"/>
                      <w:highlight w:val="none"/>
                    </w:rPr>
                  </w:pPr>
                  <w:r>
                    <w:rPr>
                      <w:rFonts w:hint="eastAsia"/>
                      <w:color w:val="auto"/>
                      <w:szCs w:val="21"/>
                      <w:highlight w:val="none"/>
                    </w:rPr>
                    <w:t>1t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25" w:type="pct"/>
                  <w:vMerge w:val="continue"/>
                  <w:vAlign w:val="center"/>
                </w:tcPr>
                <w:p>
                  <w:pPr>
                    <w:pStyle w:val="71"/>
                    <w:ind w:firstLine="0" w:firstLineChars="0"/>
                    <w:jc w:val="center"/>
                    <w:rPr>
                      <w:color w:val="auto"/>
                      <w:szCs w:val="21"/>
                      <w:highlight w:val="none"/>
                    </w:rPr>
                  </w:pPr>
                </w:p>
              </w:tc>
              <w:tc>
                <w:tcPr>
                  <w:tcW w:w="1025" w:type="pct"/>
                  <w:vAlign w:val="center"/>
                </w:tcPr>
                <w:p>
                  <w:pPr>
                    <w:jc w:val="center"/>
                    <w:rPr>
                      <w:rFonts w:hint="eastAsia"/>
                      <w:color w:val="auto"/>
                      <w:szCs w:val="21"/>
                      <w:highlight w:val="none"/>
                    </w:rPr>
                  </w:pPr>
                  <w:r>
                    <w:rPr>
                      <w:rFonts w:hint="eastAsia"/>
                      <w:color w:val="auto"/>
                      <w:szCs w:val="21"/>
                      <w:highlight w:val="none"/>
                      <w:lang w:val="en-US" w:eastAsia="zh-CN"/>
                    </w:rPr>
                    <w:t>研磨</w:t>
                  </w:r>
                </w:p>
              </w:tc>
              <w:tc>
                <w:tcPr>
                  <w:tcW w:w="1167" w:type="pct"/>
                  <w:vAlign w:val="center"/>
                </w:tcPr>
                <w:p>
                  <w:pPr>
                    <w:jc w:val="center"/>
                    <w:rPr>
                      <w:color w:val="auto"/>
                      <w:szCs w:val="21"/>
                      <w:highlight w:val="none"/>
                    </w:rPr>
                  </w:pPr>
                  <w:r>
                    <w:rPr>
                      <w:rFonts w:hint="eastAsia"/>
                      <w:color w:val="auto"/>
                      <w:szCs w:val="21"/>
                      <w:highlight w:val="none"/>
                      <w:lang w:val="en-US" w:eastAsia="zh-CN"/>
                    </w:rPr>
                    <w:t>研磨机</w:t>
                  </w:r>
                </w:p>
              </w:tc>
              <w:tc>
                <w:tcPr>
                  <w:tcW w:w="441" w:type="pct"/>
                  <w:vAlign w:val="center"/>
                </w:tcPr>
                <w:p>
                  <w:pPr>
                    <w:jc w:val="center"/>
                    <w:rPr>
                      <w:color w:val="auto"/>
                      <w:szCs w:val="21"/>
                      <w:highlight w:val="none"/>
                    </w:rPr>
                  </w:pPr>
                  <w:r>
                    <w:rPr>
                      <w:rFonts w:hint="eastAsia"/>
                      <w:color w:val="auto"/>
                      <w:szCs w:val="21"/>
                      <w:highlight w:val="none"/>
                    </w:rPr>
                    <w:t>1台</w:t>
                  </w:r>
                </w:p>
              </w:tc>
              <w:tc>
                <w:tcPr>
                  <w:tcW w:w="733" w:type="pct"/>
                  <w:vAlign w:val="center"/>
                </w:tcPr>
                <w:p>
                  <w:pPr>
                    <w:jc w:val="center"/>
                    <w:rPr>
                      <w:color w:val="auto"/>
                      <w:szCs w:val="21"/>
                      <w:highlight w:val="none"/>
                    </w:rPr>
                  </w:pPr>
                  <w:r>
                    <w:rPr>
                      <w:rFonts w:hint="eastAsia"/>
                      <w:color w:val="auto"/>
                      <w:szCs w:val="21"/>
                      <w:highlight w:val="none"/>
                      <w:lang w:val="en-US" w:eastAsia="zh-CN"/>
                    </w:rPr>
                    <w:t>处理能力</w:t>
                  </w:r>
                </w:p>
              </w:tc>
              <w:tc>
                <w:tcPr>
                  <w:tcW w:w="606" w:type="pct"/>
                  <w:vAlign w:val="center"/>
                </w:tcPr>
                <w:p>
                  <w:pPr>
                    <w:jc w:val="center"/>
                    <w:rPr>
                      <w:color w:val="auto"/>
                      <w:szCs w:val="21"/>
                      <w:highlight w:val="none"/>
                    </w:rPr>
                  </w:pPr>
                  <w:r>
                    <w:rPr>
                      <w:rFonts w:hint="eastAsia"/>
                      <w:color w:val="auto"/>
                      <w:szCs w:val="21"/>
                      <w:highlight w:val="none"/>
                    </w:rPr>
                    <w:t>0.5t/h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025" w:type="pct"/>
                  <w:vMerge w:val="continue"/>
                  <w:vAlign w:val="center"/>
                </w:tcPr>
                <w:p>
                  <w:pPr>
                    <w:pStyle w:val="71"/>
                    <w:ind w:firstLine="0" w:firstLineChars="0"/>
                    <w:jc w:val="center"/>
                    <w:rPr>
                      <w:color w:val="auto"/>
                      <w:szCs w:val="21"/>
                      <w:highlight w:val="none"/>
                    </w:rPr>
                  </w:pPr>
                </w:p>
              </w:tc>
              <w:tc>
                <w:tcPr>
                  <w:tcW w:w="1025" w:type="pct"/>
                  <w:vAlign w:val="center"/>
                </w:tcPr>
                <w:p>
                  <w:pPr>
                    <w:jc w:val="center"/>
                    <w:rPr>
                      <w:rFonts w:hint="default"/>
                      <w:color w:val="auto"/>
                      <w:szCs w:val="21"/>
                      <w:highlight w:val="none"/>
                      <w:lang w:val="en-US" w:eastAsia="zh-CN"/>
                    </w:rPr>
                  </w:pPr>
                  <w:r>
                    <w:rPr>
                      <w:rFonts w:hint="eastAsia"/>
                      <w:color w:val="FF0000"/>
                      <w:szCs w:val="21"/>
                      <w:highlight w:val="none"/>
                      <w:lang w:val="en-US" w:eastAsia="zh-CN"/>
                    </w:rPr>
                    <w:t>脱水</w:t>
                  </w:r>
                </w:p>
              </w:tc>
              <w:tc>
                <w:tcPr>
                  <w:tcW w:w="1167" w:type="pct"/>
                  <w:vAlign w:val="center"/>
                </w:tcPr>
                <w:p>
                  <w:pPr>
                    <w:jc w:val="center"/>
                    <w:rPr>
                      <w:rFonts w:hint="default" w:eastAsia="宋体"/>
                      <w:color w:val="auto"/>
                      <w:szCs w:val="21"/>
                      <w:highlight w:val="none"/>
                      <w:lang w:val="en-US" w:eastAsia="zh-CN"/>
                    </w:rPr>
                  </w:pPr>
                  <w:r>
                    <w:rPr>
                      <w:rFonts w:hint="eastAsia"/>
                      <w:color w:val="auto"/>
                      <w:szCs w:val="21"/>
                      <w:highlight w:val="none"/>
                      <w:lang w:val="en-US" w:eastAsia="zh-CN"/>
                    </w:rPr>
                    <w:t>电加热器</w:t>
                  </w:r>
                </w:p>
              </w:tc>
              <w:tc>
                <w:tcPr>
                  <w:tcW w:w="441" w:type="pct"/>
                  <w:vAlign w:val="center"/>
                </w:tcPr>
                <w:p>
                  <w:pPr>
                    <w:jc w:val="center"/>
                    <w:rPr>
                      <w:rFonts w:hint="default" w:eastAsia="宋体"/>
                      <w:color w:val="auto"/>
                      <w:szCs w:val="21"/>
                      <w:highlight w:val="none"/>
                      <w:lang w:val="en-US" w:eastAsia="zh-CN"/>
                    </w:rPr>
                  </w:pPr>
                  <w:r>
                    <w:rPr>
                      <w:rFonts w:hint="eastAsia"/>
                      <w:color w:val="auto"/>
                      <w:szCs w:val="21"/>
                      <w:highlight w:val="none"/>
                      <w:lang w:val="en-US" w:eastAsia="zh-CN"/>
                    </w:rPr>
                    <w:t>1台</w:t>
                  </w:r>
                </w:p>
              </w:tc>
              <w:tc>
                <w:tcPr>
                  <w:tcW w:w="733" w:type="pct"/>
                  <w:vAlign w:val="center"/>
                </w:tcPr>
                <w:p>
                  <w:pPr>
                    <w:jc w:val="center"/>
                    <w:rPr>
                      <w:rFonts w:hint="default" w:eastAsia="宋体"/>
                      <w:color w:val="auto"/>
                      <w:szCs w:val="21"/>
                      <w:highlight w:val="none"/>
                      <w:lang w:val="en-US" w:eastAsia="zh-CN"/>
                    </w:rPr>
                  </w:pPr>
                  <w:r>
                    <w:rPr>
                      <w:rFonts w:hint="eastAsia"/>
                      <w:color w:val="auto"/>
                      <w:szCs w:val="21"/>
                      <w:highlight w:val="none"/>
                      <w:lang w:val="en-US" w:eastAsia="zh-CN"/>
                    </w:rPr>
                    <w:t>功率</w:t>
                  </w:r>
                </w:p>
              </w:tc>
              <w:tc>
                <w:tcPr>
                  <w:tcW w:w="606" w:type="pct"/>
                  <w:vAlign w:val="center"/>
                </w:tcPr>
                <w:p>
                  <w:pPr>
                    <w:jc w:val="center"/>
                    <w:rPr>
                      <w:rFonts w:hint="default" w:eastAsia="宋体"/>
                      <w:color w:val="auto"/>
                      <w:szCs w:val="21"/>
                      <w:highlight w:val="none"/>
                      <w:lang w:val="en-US" w:eastAsia="zh-CN"/>
                    </w:rPr>
                  </w:pPr>
                  <w:r>
                    <w:rPr>
                      <w:rFonts w:hint="eastAsia"/>
                      <w:color w:val="auto"/>
                      <w:szCs w:val="21"/>
                      <w:highlight w:val="none"/>
                      <w:lang w:val="en-US" w:eastAsia="zh-CN"/>
                    </w:rPr>
                    <w:t>15kw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025" w:type="pct"/>
                  <w:vMerge w:val="restart"/>
                  <w:vAlign w:val="center"/>
                </w:tcPr>
                <w:p>
                  <w:pPr>
                    <w:pStyle w:val="71"/>
                    <w:ind w:firstLine="0" w:firstLineChars="0"/>
                    <w:jc w:val="center"/>
                    <w:rPr>
                      <w:rFonts w:hint="default" w:eastAsia="宋体"/>
                      <w:color w:val="auto"/>
                      <w:szCs w:val="21"/>
                      <w:highlight w:val="none"/>
                      <w:lang w:val="en-US" w:eastAsia="zh-CN"/>
                    </w:rPr>
                  </w:pPr>
                  <w:r>
                    <w:rPr>
                      <w:rFonts w:hint="eastAsia"/>
                      <w:color w:val="auto"/>
                      <w:szCs w:val="21"/>
                      <w:highlight w:val="none"/>
                      <w:lang w:val="en-US" w:eastAsia="zh-CN"/>
                    </w:rPr>
                    <w:t>辅助公用单元</w:t>
                  </w:r>
                </w:p>
              </w:tc>
              <w:tc>
                <w:tcPr>
                  <w:tcW w:w="1025" w:type="pct"/>
                  <w:vAlign w:val="center"/>
                </w:tcPr>
                <w:p>
                  <w:pPr>
                    <w:jc w:val="center"/>
                    <w:rPr>
                      <w:rFonts w:hint="default"/>
                      <w:color w:val="auto"/>
                      <w:szCs w:val="21"/>
                      <w:highlight w:val="none"/>
                      <w:lang w:val="en-US" w:eastAsia="zh-CN"/>
                    </w:rPr>
                  </w:pPr>
                  <w:r>
                    <w:rPr>
                      <w:rFonts w:hint="eastAsia"/>
                      <w:color w:val="auto"/>
                      <w:szCs w:val="21"/>
                      <w:highlight w:val="none"/>
                      <w:lang w:val="en-US" w:eastAsia="zh-CN"/>
                    </w:rPr>
                    <w:t>空气动力</w:t>
                  </w:r>
                </w:p>
              </w:tc>
              <w:tc>
                <w:tcPr>
                  <w:tcW w:w="1167" w:type="pct"/>
                  <w:vAlign w:val="center"/>
                </w:tcPr>
                <w:p>
                  <w:pPr>
                    <w:jc w:val="center"/>
                    <w:rPr>
                      <w:rFonts w:hint="default"/>
                      <w:color w:val="auto"/>
                      <w:szCs w:val="21"/>
                      <w:highlight w:val="none"/>
                      <w:lang w:val="en-US" w:eastAsia="zh-CN"/>
                    </w:rPr>
                  </w:pPr>
                  <w:r>
                    <w:rPr>
                      <w:rFonts w:hint="eastAsia"/>
                      <w:color w:val="auto"/>
                      <w:szCs w:val="21"/>
                      <w:highlight w:val="none"/>
                      <w:lang w:val="en-US" w:eastAsia="zh-CN"/>
                    </w:rPr>
                    <w:t>空压机</w:t>
                  </w:r>
                </w:p>
              </w:tc>
              <w:tc>
                <w:tcPr>
                  <w:tcW w:w="441" w:type="pct"/>
                  <w:vAlign w:val="center"/>
                </w:tcPr>
                <w:p>
                  <w:pPr>
                    <w:jc w:val="center"/>
                    <w:rPr>
                      <w:rFonts w:hint="default"/>
                      <w:color w:val="auto"/>
                      <w:szCs w:val="21"/>
                      <w:highlight w:val="none"/>
                      <w:lang w:val="en-US" w:eastAsia="zh-CN"/>
                    </w:rPr>
                  </w:pPr>
                  <w:r>
                    <w:rPr>
                      <w:rFonts w:hint="eastAsia"/>
                      <w:color w:val="auto"/>
                      <w:szCs w:val="21"/>
                      <w:highlight w:val="none"/>
                      <w:lang w:val="en-US" w:eastAsia="zh-CN"/>
                    </w:rPr>
                    <w:t>1台</w:t>
                  </w:r>
                </w:p>
              </w:tc>
              <w:tc>
                <w:tcPr>
                  <w:tcW w:w="733" w:type="pct"/>
                  <w:vAlign w:val="center"/>
                </w:tcPr>
                <w:p>
                  <w:pPr>
                    <w:jc w:val="center"/>
                    <w:rPr>
                      <w:rFonts w:hint="default"/>
                      <w:color w:val="auto"/>
                      <w:szCs w:val="21"/>
                      <w:highlight w:val="none"/>
                      <w:lang w:val="en-US" w:eastAsia="zh-CN"/>
                    </w:rPr>
                  </w:pPr>
                  <w:r>
                    <w:rPr>
                      <w:rFonts w:hint="eastAsia"/>
                      <w:color w:val="auto"/>
                      <w:szCs w:val="21"/>
                      <w:highlight w:val="none"/>
                      <w:lang w:val="en-US" w:eastAsia="zh-CN"/>
                    </w:rPr>
                    <w:t>压力</w:t>
                  </w:r>
                </w:p>
              </w:tc>
              <w:tc>
                <w:tcPr>
                  <w:tcW w:w="606" w:type="pct"/>
                  <w:vAlign w:val="center"/>
                </w:tcPr>
                <w:p>
                  <w:pPr>
                    <w:jc w:val="center"/>
                    <w:rPr>
                      <w:rFonts w:hint="default" w:eastAsia="宋体"/>
                      <w:color w:val="auto"/>
                      <w:szCs w:val="21"/>
                      <w:highlight w:val="none"/>
                      <w:lang w:val="en-US" w:eastAsia="zh-CN"/>
                    </w:rPr>
                  </w:pPr>
                  <w:r>
                    <w:rPr>
                      <w:rFonts w:hint="eastAsia"/>
                      <w:color w:val="auto"/>
                      <w:szCs w:val="21"/>
                      <w:highlight w:val="none"/>
                      <w:lang w:val="en-US" w:eastAsia="zh-CN"/>
                    </w:rPr>
                    <w:t>0.6MPa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025" w:type="pct"/>
                  <w:vMerge w:val="continue"/>
                  <w:vAlign w:val="center"/>
                </w:tcPr>
                <w:p>
                  <w:pPr>
                    <w:pStyle w:val="71"/>
                    <w:ind w:firstLine="0" w:firstLineChars="0"/>
                    <w:jc w:val="center"/>
                    <w:rPr>
                      <w:rFonts w:hint="default" w:eastAsia="宋体"/>
                      <w:color w:val="auto"/>
                      <w:szCs w:val="21"/>
                      <w:highlight w:val="none"/>
                      <w:lang w:val="en-US" w:eastAsia="zh-CN"/>
                    </w:rPr>
                  </w:pPr>
                </w:p>
              </w:tc>
              <w:tc>
                <w:tcPr>
                  <w:tcW w:w="1025" w:type="pct"/>
                  <w:vAlign w:val="center"/>
                </w:tcPr>
                <w:p>
                  <w:pPr>
                    <w:jc w:val="center"/>
                    <w:rPr>
                      <w:rFonts w:hint="default"/>
                      <w:color w:val="auto"/>
                      <w:szCs w:val="21"/>
                      <w:highlight w:val="none"/>
                      <w:lang w:val="en-US" w:eastAsia="zh-CN"/>
                    </w:rPr>
                  </w:pPr>
                  <w:r>
                    <w:rPr>
                      <w:rFonts w:hint="eastAsia"/>
                      <w:color w:val="auto"/>
                      <w:szCs w:val="21"/>
                      <w:highlight w:val="none"/>
                      <w:lang w:val="en-US" w:eastAsia="zh-CN"/>
                    </w:rPr>
                    <w:t>冷却</w:t>
                  </w:r>
                </w:p>
              </w:tc>
              <w:tc>
                <w:tcPr>
                  <w:tcW w:w="1167" w:type="pct"/>
                  <w:vAlign w:val="center"/>
                </w:tcPr>
                <w:p>
                  <w:pPr>
                    <w:jc w:val="center"/>
                    <w:rPr>
                      <w:rFonts w:hint="default"/>
                      <w:color w:val="auto"/>
                      <w:szCs w:val="21"/>
                      <w:highlight w:val="none"/>
                      <w:lang w:val="en-US" w:eastAsia="zh-CN"/>
                    </w:rPr>
                  </w:pPr>
                  <w:r>
                    <w:rPr>
                      <w:rFonts w:hint="eastAsia"/>
                      <w:color w:val="auto"/>
                      <w:szCs w:val="21"/>
                      <w:highlight w:val="none"/>
                      <w:lang w:val="en-US" w:eastAsia="zh-CN"/>
                    </w:rPr>
                    <w:t>冷却水池</w:t>
                  </w:r>
                </w:p>
              </w:tc>
              <w:tc>
                <w:tcPr>
                  <w:tcW w:w="441" w:type="pct"/>
                  <w:vAlign w:val="center"/>
                </w:tcPr>
                <w:p>
                  <w:pPr>
                    <w:jc w:val="center"/>
                    <w:rPr>
                      <w:rFonts w:hint="default" w:eastAsia="宋体"/>
                      <w:color w:val="auto"/>
                      <w:szCs w:val="21"/>
                      <w:highlight w:val="none"/>
                      <w:lang w:val="en-US" w:eastAsia="zh-CN"/>
                    </w:rPr>
                  </w:pPr>
                  <w:r>
                    <w:rPr>
                      <w:rFonts w:hint="eastAsia"/>
                      <w:color w:val="auto"/>
                      <w:szCs w:val="21"/>
                      <w:highlight w:val="none"/>
                      <w:lang w:val="en-US" w:eastAsia="zh-CN"/>
                    </w:rPr>
                    <w:t>1个</w:t>
                  </w:r>
                </w:p>
              </w:tc>
              <w:tc>
                <w:tcPr>
                  <w:tcW w:w="733" w:type="pct"/>
                  <w:vAlign w:val="center"/>
                </w:tcPr>
                <w:p>
                  <w:pPr>
                    <w:jc w:val="center"/>
                    <w:rPr>
                      <w:rFonts w:hint="default"/>
                      <w:color w:val="auto"/>
                      <w:szCs w:val="21"/>
                      <w:highlight w:val="none"/>
                      <w:lang w:val="en-US" w:eastAsia="zh-CN"/>
                    </w:rPr>
                  </w:pPr>
                  <w:r>
                    <w:rPr>
                      <w:rFonts w:hint="eastAsia"/>
                      <w:color w:val="auto"/>
                      <w:szCs w:val="21"/>
                      <w:highlight w:val="none"/>
                      <w:lang w:val="en-US" w:eastAsia="zh-CN"/>
                    </w:rPr>
                    <w:t>循环水量</w:t>
                  </w:r>
                </w:p>
              </w:tc>
              <w:tc>
                <w:tcPr>
                  <w:tcW w:w="606" w:type="pct"/>
                  <w:vAlign w:val="center"/>
                </w:tcPr>
                <w:p>
                  <w:pPr>
                    <w:jc w:val="center"/>
                    <w:rPr>
                      <w:rFonts w:hint="default" w:eastAsia="宋体"/>
                      <w:color w:val="auto"/>
                      <w:szCs w:val="21"/>
                      <w:highlight w:val="none"/>
                      <w:lang w:val="en-US" w:eastAsia="zh-CN"/>
                    </w:rPr>
                  </w:pPr>
                  <w:r>
                    <w:rPr>
                      <w:rFonts w:hint="eastAsia"/>
                      <w:color w:val="auto"/>
                      <w:szCs w:val="21"/>
                      <w:highlight w:val="none"/>
                      <w:lang w:val="en-US" w:eastAsia="zh-CN"/>
                    </w:rPr>
                    <w:t>27m</w:t>
                  </w:r>
                  <w:r>
                    <w:rPr>
                      <w:rFonts w:hint="eastAsia"/>
                      <w:color w:val="auto"/>
                      <w:szCs w:val="21"/>
                      <w:highlight w:val="none"/>
                      <w:vertAlign w:val="superscript"/>
                      <w:lang w:val="en-US" w:eastAsia="zh-CN"/>
                    </w:rPr>
                    <w:t>3</w:t>
                  </w:r>
                  <w:r>
                    <w:rPr>
                      <w:rFonts w:hint="eastAsia"/>
                      <w:color w:val="auto"/>
                      <w:szCs w:val="21"/>
                      <w:highlight w:val="none"/>
                      <w:lang w:val="en-US" w:eastAsia="zh-CN"/>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025" w:type="pct"/>
                  <w:vMerge w:val="continue"/>
                  <w:vAlign w:val="center"/>
                </w:tcPr>
                <w:p>
                  <w:pPr>
                    <w:pStyle w:val="71"/>
                    <w:ind w:firstLine="0" w:firstLineChars="0"/>
                    <w:jc w:val="center"/>
                    <w:rPr>
                      <w:color w:val="auto"/>
                      <w:szCs w:val="21"/>
                      <w:highlight w:val="none"/>
                    </w:rPr>
                  </w:pPr>
                </w:p>
              </w:tc>
              <w:tc>
                <w:tcPr>
                  <w:tcW w:w="1025" w:type="pct"/>
                  <w:vMerge w:val="restart"/>
                  <w:vAlign w:val="center"/>
                </w:tcPr>
                <w:p>
                  <w:pPr>
                    <w:jc w:val="center"/>
                    <w:rPr>
                      <w:rFonts w:hint="default"/>
                      <w:color w:val="auto"/>
                      <w:szCs w:val="21"/>
                      <w:highlight w:val="none"/>
                      <w:lang w:val="en-US" w:eastAsia="zh-CN"/>
                    </w:rPr>
                  </w:pPr>
                  <w:r>
                    <w:rPr>
                      <w:rFonts w:hint="eastAsia"/>
                      <w:color w:val="auto"/>
                      <w:szCs w:val="21"/>
                      <w:highlight w:val="none"/>
                      <w:lang w:val="en-US" w:eastAsia="zh-CN"/>
                    </w:rPr>
                    <w:t>废气处理系统</w:t>
                  </w:r>
                </w:p>
              </w:tc>
              <w:tc>
                <w:tcPr>
                  <w:tcW w:w="1167" w:type="pct"/>
                  <w:vAlign w:val="center"/>
                </w:tcPr>
                <w:p>
                  <w:pPr>
                    <w:jc w:val="center"/>
                    <w:rPr>
                      <w:rFonts w:hint="default"/>
                      <w:color w:val="auto"/>
                      <w:szCs w:val="21"/>
                      <w:highlight w:val="none"/>
                      <w:lang w:val="en-US" w:eastAsia="zh-CN"/>
                    </w:rPr>
                  </w:pPr>
                  <w:r>
                    <w:rPr>
                      <w:rFonts w:hint="eastAsia"/>
                      <w:color w:val="auto"/>
                      <w:szCs w:val="21"/>
                      <w:highlight w:val="none"/>
                      <w:lang w:val="en-US" w:eastAsia="zh-CN"/>
                    </w:rPr>
                    <w:t>布袋除尘装置</w:t>
                  </w:r>
                </w:p>
              </w:tc>
              <w:tc>
                <w:tcPr>
                  <w:tcW w:w="441" w:type="pct"/>
                  <w:vAlign w:val="center"/>
                </w:tcPr>
                <w:p>
                  <w:pPr>
                    <w:jc w:val="center"/>
                    <w:rPr>
                      <w:rFonts w:hint="default" w:eastAsia="宋体"/>
                      <w:color w:val="auto"/>
                      <w:szCs w:val="21"/>
                      <w:highlight w:val="none"/>
                      <w:lang w:val="en-US" w:eastAsia="zh-CN"/>
                    </w:rPr>
                  </w:pPr>
                  <w:r>
                    <w:rPr>
                      <w:rFonts w:hint="eastAsia"/>
                      <w:color w:val="auto"/>
                      <w:szCs w:val="21"/>
                      <w:highlight w:val="none"/>
                      <w:lang w:val="en-US" w:eastAsia="zh-CN"/>
                    </w:rPr>
                    <w:t>1套</w:t>
                  </w:r>
                </w:p>
              </w:tc>
              <w:tc>
                <w:tcPr>
                  <w:tcW w:w="733" w:type="pct"/>
                  <w:vAlign w:val="center"/>
                </w:tcPr>
                <w:p>
                  <w:pPr>
                    <w:jc w:val="center"/>
                    <w:rPr>
                      <w:rFonts w:hint="default"/>
                      <w:color w:val="auto"/>
                      <w:szCs w:val="21"/>
                      <w:highlight w:val="none"/>
                      <w:lang w:val="en-US" w:eastAsia="zh-CN"/>
                    </w:rPr>
                  </w:pPr>
                  <w:r>
                    <w:rPr>
                      <w:rFonts w:hint="eastAsia"/>
                      <w:color w:val="auto"/>
                      <w:szCs w:val="21"/>
                      <w:highlight w:val="none"/>
                      <w:lang w:val="en-US" w:eastAsia="zh-CN"/>
                    </w:rPr>
                    <w:t>设计风量</w:t>
                  </w:r>
                </w:p>
              </w:tc>
              <w:tc>
                <w:tcPr>
                  <w:tcW w:w="606" w:type="pct"/>
                  <w:vAlign w:val="center"/>
                </w:tcPr>
                <w:p>
                  <w:pPr>
                    <w:jc w:val="center"/>
                    <w:rPr>
                      <w:rFonts w:hint="default" w:eastAsia="宋体"/>
                      <w:color w:val="auto"/>
                      <w:szCs w:val="21"/>
                      <w:highlight w:val="none"/>
                      <w:lang w:val="en-US" w:eastAsia="zh-CN"/>
                    </w:rPr>
                  </w:pPr>
                  <w:r>
                    <w:rPr>
                      <w:rFonts w:hint="eastAsia"/>
                      <w:color w:val="auto"/>
                      <w:szCs w:val="21"/>
                      <w:highlight w:val="none"/>
                      <w:lang w:val="en-US" w:eastAsia="zh-CN"/>
                    </w:rPr>
                    <w:t>15000m</w:t>
                  </w:r>
                  <w:r>
                    <w:rPr>
                      <w:rFonts w:hint="eastAsia"/>
                      <w:color w:val="auto"/>
                      <w:szCs w:val="21"/>
                      <w:highlight w:val="none"/>
                      <w:vertAlign w:val="superscript"/>
                      <w:lang w:val="en-US" w:eastAsia="zh-CN"/>
                    </w:rPr>
                    <w:t>3</w:t>
                  </w:r>
                  <w:r>
                    <w:rPr>
                      <w:rFonts w:hint="eastAsia"/>
                      <w:color w:val="auto"/>
                      <w:szCs w:val="21"/>
                      <w:highlight w:val="none"/>
                      <w:lang w:val="en-US" w:eastAsia="zh-CN"/>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025" w:type="pct"/>
                  <w:vMerge w:val="continue"/>
                  <w:vAlign w:val="center"/>
                </w:tcPr>
                <w:p>
                  <w:pPr>
                    <w:pStyle w:val="71"/>
                    <w:ind w:firstLine="0" w:firstLineChars="0"/>
                    <w:jc w:val="center"/>
                    <w:rPr>
                      <w:color w:val="auto"/>
                      <w:szCs w:val="21"/>
                      <w:highlight w:val="none"/>
                    </w:rPr>
                  </w:pPr>
                </w:p>
              </w:tc>
              <w:tc>
                <w:tcPr>
                  <w:tcW w:w="1025" w:type="pct"/>
                  <w:vMerge w:val="continue"/>
                  <w:vAlign w:val="center"/>
                </w:tcPr>
                <w:p>
                  <w:pPr>
                    <w:jc w:val="center"/>
                    <w:rPr>
                      <w:rFonts w:hint="eastAsia"/>
                      <w:color w:val="auto"/>
                      <w:szCs w:val="21"/>
                      <w:highlight w:val="none"/>
                      <w:lang w:val="en-US" w:eastAsia="zh-CN"/>
                    </w:rPr>
                  </w:pPr>
                </w:p>
              </w:tc>
              <w:tc>
                <w:tcPr>
                  <w:tcW w:w="1167" w:type="pct"/>
                  <w:vAlign w:val="center"/>
                </w:tcPr>
                <w:p>
                  <w:pPr>
                    <w:jc w:val="center"/>
                    <w:rPr>
                      <w:rFonts w:hint="default"/>
                      <w:color w:val="auto"/>
                      <w:szCs w:val="21"/>
                      <w:highlight w:val="none"/>
                      <w:lang w:val="en-US" w:eastAsia="zh-CN"/>
                    </w:rPr>
                  </w:pPr>
                  <w:r>
                    <w:rPr>
                      <w:rFonts w:hint="eastAsia"/>
                      <w:color w:val="auto"/>
                      <w:szCs w:val="21"/>
                      <w:highlight w:val="none"/>
                      <w:lang w:val="en-US" w:eastAsia="zh-CN"/>
                    </w:rPr>
                    <w:t>活性炭吸附装置</w:t>
                  </w:r>
                </w:p>
              </w:tc>
              <w:tc>
                <w:tcPr>
                  <w:tcW w:w="441" w:type="pct"/>
                  <w:vAlign w:val="center"/>
                </w:tcPr>
                <w:p>
                  <w:pPr>
                    <w:jc w:val="center"/>
                    <w:rPr>
                      <w:rFonts w:hint="default" w:eastAsia="宋体"/>
                      <w:color w:val="auto"/>
                      <w:szCs w:val="21"/>
                      <w:highlight w:val="none"/>
                      <w:lang w:val="en-US" w:eastAsia="zh-CN"/>
                    </w:rPr>
                  </w:pPr>
                  <w:r>
                    <w:rPr>
                      <w:rFonts w:hint="eastAsia"/>
                      <w:color w:val="auto"/>
                      <w:szCs w:val="21"/>
                      <w:highlight w:val="none"/>
                      <w:lang w:val="en-US" w:eastAsia="zh-CN"/>
                    </w:rPr>
                    <w:t>1套</w:t>
                  </w:r>
                </w:p>
              </w:tc>
              <w:tc>
                <w:tcPr>
                  <w:tcW w:w="733" w:type="pct"/>
                  <w:vAlign w:val="center"/>
                </w:tcPr>
                <w:p>
                  <w:pPr>
                    <w:jc w:val="center"/>
                    <w:rPr>
                      <w:rFonts w:hint="default"/>
                      <w:color w:val="auto"/>
                      <w:szCs w:val="21"/>
                      <w:highlight w:val="none"/>
                      <w:lang w:val="en-US" w:eastAsia="zh-CN"/>
                    </w:rPr>
                  </w:pPr>
                  <w:r>
                    <w:rPr>
                      <w:rFonts w:hint="eastAsia"/>
                      <w:color w:val="auto"/>
                      <w:szCs w:val="21"/>
                      <w:highlight w:val="none"/>
                      <w:lang w:val="en-US" w:eastAsia="zh-CN"/>
                    </w:rPr>
                    <w:t>设计风量</w:t>
                  </w:r>
                </w:p>
              </w:tc>
              <w:tc>
                <w:tcPr>
                  <w:tcW w:w="606" w:type="pct"/>
                  <w:vAlign w:val="center"/>
                </w:tcPr>
                <w:p>
                  <w:pPr>
                    <w:jc w:val="center"/>
                    <w:rPr>
                      <w:rFonts w:hint="eastAsia" w:eastAsia="宋体"/>
                      <w:color w:val="auto"/>
                      <w:szCs w:val="21"/>
                      <w:highlight w:val="none"/>
                      <w:lang w:val="en-US" w:eastAsia="zh-CN"/>
                    </w:rPr>
                  </w:pPr>
                  <w:r>
                    <w:rPr>
                      <w:rFonts w:hint="eastAsia"/>
                      <w:color w:val="auto"/>
                      <w:szCs w:val="21"/>
                      <w:highlight w:val="none"/>
                      <w:lang w:val="en-US" w:eastAsia="zh-CN"/>
                    </w:rPr>
                    <w:t>15000m</w:t>
                  </w:r>
                  <w:r>
                    <w:rPr>
                      <w:rFonts w:hint="eastAsia"/>
                      <w:color w:val="auto"/>
                      <w:szCs w:val="21"/>
                      <w:highlight w:val="none"/>
                      <w:vertAlign w:val="superscript"/>
                      <w:lang w:val="en-US" w:eastAsia="zh-CN"/>
                    </w:rPr>
                    <w:t>3</w:t>
                  </w:r>
                  <w:r>
                    <w:rPr>
                      <w:rFonts w:hint="eastAsia"/>
                      <w:color w:val="auto"/>
                      <w:szCs w:val="21"/>
                      <w:highlight w:val="none"/>
                      <w:lang w:val="en-US" w:eastAsia="zh-CN"/>
                    </w:rPr>
                    <w:t>/h</w:t>
                  </w:r>
                </w:p>
              </w:tc>
            </w:tr>
          </w:tbl>
          <w:p>
            <w:pPr>
              <w:widowControl w:val="0"/>
              <w:spacing w:after="0"/>
              <w:jc w:val="both"/>
              <w:rPr>
                <w:rFonts w:hint="eastAsia"/>
                <w:b/>
                <w:color w:val="auto"/>
                <w:szCs w:val="21"/>
                <w:highlight w:val="none"/>
              </w:rPr>
            </w:pPr>
            <w:r>
              <w:rPr>
                <w:rFonts w:hint="eastAsia" w:ascii="Times New Roman" w:hAnsi="Times New Roman" w:eastAsia="宋体" w:cs="宋体"/>
                <w:b w:val="0"/>
                <w:bCs/>
                <w:color w:val="auto"/>
                <w:kern w:val="2"/>
                <w:sz w:val="21"/>
                <w:szCs w:val="21"/>
                <w:highlight w:val="none"/>
                <w:lang w:val="en-US" w:eastAsia="zh-CN"/>
              </w:rPr>
              <w:t>注：本项目塑胶跑道材料生产中不涉及化学反应，各种原料在搅拌罐/分散机中仅物理混合。塑胶跑道材料为预制型塑胶跑道材料，混合后为液体状，产品不含二苯基甲烷二异氰酸酯（MDI），现场施工与异氰酸酯（MDI）配合使用。</w:t>
            </w:r>
          </w:p>
          <w:p>
            <w:pPr>
              <w:spacing w:line="360" w:lineRule="auto"/>
              <w:ind w:firstLine="422" w:firstLineChars="200"/>
              <w:jc w:val="left"/>
              <w:rPr>
                <w:rFonts w:hint="default" w:ascii="Times New Roman" w:hAnsi="Times New Roman" w:eastAsia="宋体" w:cs="Times New Roman"/>
                <w:b/>
                <w:color w:val="auto"/>
                <w:szCs w:val="21"/>
                <w:highlight w:val="none"/>
              </w:rPr>
            </w:pPr>
            <w:r>
              <w:rPr>
                <w:rFonts w:hint="eastAsia" w:ascii="Times New Roman" w:hAnsi="Times New Roman" w:eastAsia="宋体" w:cs="Times New Roman"/>
                <w:b/>
                <w:color w:val="auto"/>
                <w:szCs w:val="21"/>
                <w:highlight w:val="none"/>
              </w:rPr>
              <w:t>6</w:t>
            </w:r>
            <w:r>
              <w:rPr>
                <w:rFonts w:hint="default" w:ascii="Times New Roman" w:hAnsi="Times New Roman" w:eastAsia="宋体" w:cs="Times New Roman"/>
                <w:b/>
                <w:color w:val="auto"/>
                <w:szCs w:val="21"/>
                <w:highlight w:val="none"/>
              </w:rPr>
              <w:t>、工作制度及劳动定员</w:t>
            </w:r>
          </w:p>
          <w:p>
            <w:pPr>
              <w:adjustRightInd w:val="0"/>
              <w:snapToGrid w:val="0"/>
              <w:spacing w:line="348" w:lineRule="auto"/>
              <w:ind w:firstLine="420" w:firstLineChars="200"/>
              <w:rPr>
                <w:color w:val="auto"/>
                <w:szCs w:val="21"/>
                <w:highlight w:val="none"/>
              </w:rPr>
            </w:pPr>
            <w:r>
              <w:rPr>
                <w:color w:val="auto"/>
                <w:szCs w:val="21"/>
                <w:highlight w:val="none"/>
              </w:rPr>
              <w:t>本项目劳动定员</w:t>
            </w:r>
            <w:r>
              <w:rPr>
                <w:rFonts w:hint="eastAsia"/>
                <w:color w:val="auto"/>
                <w:szCs w:val="21"/>
                <w:highlight w:val="none"/>
              </w:rPr>
              <w:t>10</w:t>
            </w:r>
            <w:r>
              <w:rPr>
                <w:color w:val="auto"/>
                <w:szCs w:val="21"/>
                <w:highlight w:val="none"/>
              </w:rPr>
              <w:t>人，日工作1班，每班8小时，全年生产300天，</w:t>
            </w:r>
            <w:r>
              <w:rPr>
                <w:rFonts w:hint="eastAsia"/>
                <w:color w:val="auto"/>
                <w:szCs w:val="21"/>
                <w:highlight w:val="none"/>
                <w:lang w:val="en-US" w:eastAsia="zh-CN"/>
              </w:rPr>
              <w:t>均</w:t>
            </w:r>
            <w:r>
              <w:rPr>
                <w:rFonts w:hint="eastAsia"/>
                <w:color w:val="auto"/>
                <w:szCs w:val="21"/>
                <w:highlight w:val="none"/>
              </w:rPr>
              <w:t>不在厂内</w:t>
            </w:r>
            <w:r>
              <w:rPr>
                <w:color w:val="auto"/>
                <w:szCs w:val="21"/>
                <w:highlight w:val="none"/>
              </w:rPr>
              <w:t>食宿。</w:t>
            </w:r>
          </w:p>
          <w:p>
            <w:pPr>
              <w:spacing w:line="360" w:lineRule="auto"/>
              <w:ind w:firstLine="422" w:firstLineChars="200"/>
              <w:jc w:val="left"/>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7、给排水和能源供应</w:t>
            </w:r>
          </w:p>
          <w:p>
            <w:pPr>
              <w:adjustRightInd w:val="0"/>
              <w:snapToGrid w:val="0"/>
              <w:spacing w:line="348" w:lineRule="auto"/>
              <w:ind w:firstLine="422" w:firstLineChars="200"/>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（1）给排水</w:t>
            </w:r>
          </w:p>
          <w:p>
            <w:pPr>
              <w:widowControl/>
              <w:adjustRightInd w:val="0"/>
              <w:snapToGrid w:val="0"/>
              <w:spacing w:line="360" w:lineRule="auto"/>
              <w:ind w:firstLine="420" w:firstLineChars="20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项目用水由附近市政供水管网接入，运营期用水主要有</w:t>
            </w:r>
            <w:r>
              <w:rPr>
                <w:rFonts w:hint="default" w:ascii="Times New Roman" w:hAnsi="Times New Roman" w:eastAsia="宋体" w:cs="Times New Roman"/>
                <w:color w:val="auto"/>
                <w:sz w:val="21"/>
                <w:szCs w:val="21"/>
                <w:highlight w:val="none"/>
                <w:lang w:val="en-US" w:eastAsia="zh-CN"/>
              </w:rPr>
              <w:t>原料调配</w:t>
            </w:r>
            <w:r>
              <w:rPr>
                <w:rFonts w:hint="default" w:ascii="Times New Roman" w:hAnsi="Times New Roman" w:eastAsia="宋体" w:cs="Times New Roman"/>
                <w:color w:val="auto"/>
                <w:sz w:val="21"/>
                <w:szCs w:val="21"/>
                <w:highlight w:val="none"/>
              </w:rPr>
              <w:t>用水</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冷却用水</w:t>
            </w:r>
            <w:r>
              <w:rPr>
                <w:rFonts w:hint="default" w:ascii="Times New Roman" w:hAnsi="Times New Roman" w:eastAsia="宋体" w:cs="Times New Roman"/>
                <w:color w:val="auto"/>
                <w:sz w:val="21"/>
                <w:szCs w:val="21"/>
                <w:highlight w:val="none"/>
              </w:rPr>
              <w:t>以及员工生活用水。</w:t>
            </w:r>
          </w:p>
          <w:p>
            <w:pPr>
              <w:widowControl/>
              <w:adjustRightInd w:val="0"/>
              <w:snapToGrid w:val="0"/>
              <w:spacing w:line="360" w:lineRule="auto"/>
              <w:ind w:firstLine="420" w:firstLineChars="20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①</w:t>
            </w:r>
            <w:r>
              <w:rPr>
                <w:rFonts w:hint="default" w:ascii="Times New Roman" w:hAnsi="Times New Roman" w:eastAsia="宋体" w:cs="Times New Roman"/>
                <w:color w:val="auto"/>
                <w:sz w:val="21"/>
                <w:szCs w:val="21"/>
                <w:highlight w:val="none"/>
                <w:lang w:val="en-US" w:eastAsia="zh-CN"/>
              </w:rPr>
              <w:t>原料调配用水：项目生产过程中需要使用水和原料进行调配，根据建设单位提供的资料，原料调配用水</w:t>
            </w:r>
            <w:r>
              <w:rPr>
                <w:rFonts w:hint="eastAsia" w:ascii="Times New Roman" w:hAnsi="Times New Roman" w:eastAsia="宋体" w:cs="Times New Roman"/>
                <w:color w:val="auto"/>
                <w:sz w:val="21"/>
                <w:szCs w:val="21"/>
                <w:highlight w:val="none"/>
                <w:lang w:val="en-US" w:eastAsia="zh-CN"/>
              </w:rPr>
              <w:t>占总产量的</w:t>
            </w:r>
            <w:r>
              <w:rPr>
                <w:rFonts w:hint="default" w:ascii="Times New Roman" w:hAnsi="Times New Roman" w:eastAsia="宋体" w:cs="Times New Roman"/>
                <w:color w:val="auto"/>
                <w:sz w:val="21"/>
                <w:szCs w:val="21"/>
                <w:highlight w:val="none"/>
                <w:lang w:val="en-US" w:eastAsia="zh-CN"/>
              </w:rPr>
              <w:t>比例约为25%，则原料调配用水量为</w:t>
            </w:r>
            <w:r>
              <w:rPr>
                <w:rFonts w:hint="eastAsia" w:ascii="Times New Roman" w:hAnsi="Times New Roman" w:eastAsia="宋体" w:cs="Times New Roman"/>
                <w:color w:val="auto"/>
                <w:sz w:val="21"/>
                <w:szCs w:val="21"/>
                <w:highlight w:val="none"/>
                <w:lang w:val="en-US" w:eastAsia="zh-CN"/>
              </w:rPr>
              <w:t>8.283t/d（2485</w:t>
            </w:r>
            <w:r>
              <w:rPr>
                <w:rFonts w:hint="default" w:ascii="Times New Roman" w:hAnsi="Times New Roman" w:eastAsia="宋体" w:cs="Times New Roman"/>
                <w:color w:val="auto"/>
                <w:sz w:val="21"/>
                <w:szCs w:val="21"/>
                <w:highlight w:val="none"/>
                <w:lang w:val="en-US" w:eastAsia="zh-CN"/>
              </w:rPr>
              <w:t>t/a</w:t>
            </w: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，这部分用水作为生产用水进入到产品中，不外排，故无生产废水的产生和排放。</w:t>
            </w:r>
          </w:p>
          <w:p>
            <w:pPr>
              <w:pStyle w:val="24"/>
              <w:keepNext w:val="0"/>
              <w:keepLines w:val="0"/>
              <w:pageBreakBefore w:val="0"/>
              <w:widowControl w:val="0"/>
              <w:kinsoku/>
              <w:wordWrap/>
              <w:overflowPunct/>
              <w:topLinePunct w:val="0"/>
              <w:autoSpaceDE/>
              <w:autoSpaceDN/>
              <w:bidi w:val="0"/>
              <w:adjustRightInd w:val="0"/>
              <w:snapToGrid w:val="0"/>
              <w:spacing w:after="0" w:line="360" w:lineRule="auto"/>
              <w:ind w:firstLine="420" w:firstLineChars="20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rPr>
              <w:t>②</w:t>
            </w:r>
            <w:r>
              <w:rPr>
                <w:rFonts w:hint="default" w:ascii="Times New Roman" w:hAnsi="Times New Roman" w:eastAsia="宋体" w:cs="Times New Roman"/>
                <w:b w:val="0"/>
                <w:bCs w:val="0"/>
                <w:color w:val="auto"/>
                <w:kern w:val="2"/>
                <w:sz w:val="21"/>
                <w:szCs w:val="21"/>
                <w:highlight w:val="none"/>
                <w:lang w:val="en-US" w:eastAsia="zh-CN" w:bidi="ar-SA"/>
              </w:rPr>
              <w:t>冷却用水：</w:t>
            </w:r>
            <w:r>
              <w:rPr>
                <w:rFonts w:hint="default" w:ascii="Times New Roman" w:hAnsi="Times New Roman" w:eastAsia="宋体" w:cs="Times New Roman"/>
                <w:color w:val="auto"/>
                <w:kern w:val="2"/>
                <w:sz w:val="21"/>
                <w:szCs w:val="21"/>
                <w:highlight w:val="none"/>
                <w:lang w:val="en-US" w:eastAsia="zh-CN" w:bidi="ar-SA"/>
              </w:rPr>
              <w:t>项目在生产塑胶跑道材料时，在脱水的工序加温脱水后需用到冷却水进行降温，使物料间接冷却。项目拟设一个冷却水</w:t>
            </w:r>
            <w:r>
              <w:rPr>
                <w:rFonts w:hint="eastAsia" w:ascii="Times New Roman" w:hAnsi="Times New Roman" w:eastAsia="宋体" w:cs="Times New Roman"/>
                <w:color w:val="auto"/>
                <w:kern w:val="2"/>
                <w:sz w:val="21"/>
                <w:szCs w:val="21"/>
                <w:highlight w:val="none"/>
                <w:lang w:val="en-US" w:eastAsia="zh-CN" w:bidi="ar-SA"/>
              </w:rPr>
              <w:t>池</w:t>
            </w:r>
            <w:r>
              <w:rPr>
                <w:rFonts w:hint="default" w:ascii="Times New Roman" w:hAnsi="Times New Roman" w:eastAsia="宋体" w:cs="Times New Roman"/>
                <w:color w:val="auto"/>
                <w:kern w:val="2"/>
                <w:sz w:val="21"/>
                <w:szCs w:val="21"/>
                <w:highlight w:val="none"/>
                <w:lang w:val="en-US" w:eastAsia="zh-CN" w:bidi="ar-SA"/>
              </w:rPr>
              <w:t>，冷却水</w:t>
            </w:r>
            <w:r>
              <w:rPr>
                <w:rFonts w:hint="eastAsia" w:ascii="Times New Roman" w:hAnsi="Times New Roman" w:eastAsia="宋体" w:cs="Times New Roman"/>
                <w:color w:val="auto"/>
                <w:kern w:val="2"/>
                <w:sz w:val="21"/>
                <w:szCs w:val="21"/>
                <w:highlight w:val="none"/>
                <w:lang w:val="en-US" w:eastAsia="zh-CN" w:bidi="ar-SA"/>
              </w:rPr>
              <w:t>池</w:t>
            </w:r>
            <w:r>
              <w:rPr>
                <w:rFonts w:hint="default" w:ascii="Times New Roman" w:hAnsi="Times New Roman" w:eastAsia="宋体" w:cs="Times New Roman"/>
                <w:color w:val="auto"/>
                <w:kern w:val="2"/>
                <w:sz w:val="21"/>
                <w:szCs w:val="21"/>
                <w:highlight w:val="none"/>
                <w:lang w:val="en-US" w:eastAsia="zh-CN" w:bidi="ar-SA"/>
              </w:rPr>
              <w:t>尺寸为5m×3m×2m（水深），储水量按容积90%计算，则</w:t>
            </w:r>
            <w:r>
              <w:rPr>
                <w:rFonts w:hint="eastAsia" w:ascii="Times New Roman" w:hAnsi="Times New Roman" w:eastAsia="宋体" w:cs="Times New Roman"/>
                <w:color w:val="auto"/>
                <w:kern w:val="2"/>
                <w:sz w:val="21"/>
                <w:szCs w:val="21"/>
                <w:highlight w:val="none"/>
                <w:lang w:val="en-US" w:eastAsia="zh-CN" w:bidi="ar-SA"/>
              </w:rPr>
              <w:t>冷却水池</w:t>
            </w:r>
            <w:r>
              <w:rPr>
                <w:rFonts w:hint="default" w:ascii="Times New Roman" w:hAnsi="Times New Roman" w:eastAsia="宋体" w:cs="Times New Roman"/>
                <w:color w:val="auto"/>
                <w:kern w:val="2"/>
                <w:sz w:val="21"/>
                <w:szCs w:val="21"/>
                <w:highlight w:val="none"/>
                <w:lang w:val="en-US" w:eastAsia="zh-CN" w:bidi="ar-SA"/>
              </w:rPr>
              <w:t>可装冷却水27 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，根据业主提供的资料，</w:t>
            </w:r>
            <w:r>
              <w:rPr>
                <w:rFonts w:hint="eastAsia" w:ascii="Times New Roman" w:hAnsi="Times New Roman" w:eastAsia="宋体" w:cs="Times New Roman"/>
                <w:color w:val="auto"/>
                <w:kern w:val="2"/>
                <w:sz w:val="21"/>
                <w:szCs w:val="21"/>
                <w:highlight w:val="none"/>
                <w:lang w:val="en-US" w:eastAsia="zh-CN" w:bidi="ar-SA"/>
              </w:rPr>
              <w:t>池水</w:t>
            </w:r>
            <w:r>
              <w:rPr>
                <w:rFonts w:hint="default" w:ascii="Times New Roman" w:hAnsi="Times New Roman" w:eastAsia="宋体" w:cs="Times New Roman"/>
                <w:color w:val="auto"/>
                <w:kern w:val="2"/>
                <w:sz w:val="21"/>
                <w:szCs w:val="21"/>
                <w:highlight w:val="none"/>
                <w:lang w:val="en-US" w:eastAsia="zh-CN" w:bidi="ar-SA"/>
              </w:rPr>
              <w:t>每小时循环一次，故循环水量27m</w:t>
            </w:r>
            <w:r>
              <w:rPr>
                <w:rFonts w:hint="eastAsia"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/h，每天工作8小时，年工作300天，则循环水量为216t/d，冷却水循环使用，不外排</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在循环使用过程中存在少量的损耗，则需要补给新鲜水，根据工程经验，损耗量约为循环量的1%，则损耗水量为2.16t/d（648t/a）。</w:t>
            </w:r>
          </w:p>
          <w:p>
            <w:pPr>
              <w:adjustRightInd w:val="0"/>
              <w:snapToGrid w:val="0"/>
              <w:spacing w:line="348" w:lineRule="auto"/>
              <w:ind w:firstLine="420" w:firstLineChars="200"/>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 w:val="21"/>
                <w:szCs w:val="21"/>
                <w:highlight w:val="none"/>
              </w:rPr>
              <w:t>③员工生活用水</w:t>
            </w:r>
          </w:p>
          <w:p>
            <w:pPr>
              <w:adjustRightInd w:val="0"/>
              <w:snapToGrid w:val="0"/>
              <w:spacing w:line="348" w:lineRule="auto"/>
              <w:ind w:firstLine="420" w:firstLineChars="20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项目主要用水为员工生活用水，由市政自来水管网供给。项目员工10人，不在厂内食宿，参照广东省地方标准《用水定额 第3部分：生活用水》（DB44/T1461.3-2021）--</w:t>
            </w:r>
            <w:r>
              <w:rPr>
                <w:rFonts w:hint="eastAsia"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办公楼</w:t>
            </w:r>
            <w:r>
              <w:rPr>
                <w:rFonts w:hint="eastAsia"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无食堂和浴室</w:t>
            </w:r>
            <w:r>
              <w:rPr>
                <w:rFonts w:hint="eastAsia"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先进值</w:t>
            </w:r>
            <w:r>
              <w:rPr>
                <w:rFonts w:hint="eastAsia"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，项目用水定额取10m</w:t>
            </w:r>
            <w:r>
              <w:rPr>
                <w:rFonts w:hint="eastAsia" w:ascii="Times New Roman" w:hAnsi="Times New Roman" w:eastAsia="宋体" w:cs="Times New Roman"/>
                <w:color w:val="auto"/>
                <w:szCs w:val="21"/>
                <w:highlight w:val="none"/>
                <w:vertAlign w:val="superscript"/>
                <w:lang w:val="en-US" w:eastAsia="zh-CN"/>
              </w:rPr>
              <w:t>3</w:t>
            </w:r>
            <w:r>
              <w:rPr>
                <w:rFonts w:hint="default" w:ascii="Times New Roman" w:hAnsi="Times New Roman" w:eastAsia="宋体" w:cs="Times New Roman"/>
                <w:color w:val="auto"/>
                <w:szCs w:val="21"/>
                <w:highlight w:val="none"/>
              </w:rPr>
              <w:t>/人•年计，则项目年用生活用水量为100m</w:t>
            </w:r>
            <w:r>
              <w:rPr>
                <w:rFonts w:hint="default" w:ascii="Times New Roman" w:hAnsi="Times New Roman" w:eastAsia="宋体" w:cs="Times New Roman"/>
                <w:color w:val="auto"/>
                <w:szCs w:val="21"/>
                <w:highlight w:val="none"/>
                <w:vertAlign w:val="superscript"/>
              </w:rPr>
              <w:t>3</w:t>
            </w:r>
            <w:r>
              <w:rPr>
                <w:rFonts w:hint="default" w:ascii="Times New Roman" w:hAnsi="Times New Roman" w:eastAsia="宋体" w:cs="Times New Roman"/>
                <w:color w:val="auto"/>
                <w:szCs w:val="21"/>
                <w:highlight w:val="none"/>
              </w:rPr>
              <w:t>/a，0.33m</w:t>
            </w:r>
            <w:r>
              <w:rPr>
                <w:rFonts w:hint="default" w:ascii="Times New Roman" w:hAnsi="Times New Roman" w:eastAsia="宋体" w:cs="Times New Roman"/>
                <w:color w:val="auto"/>
                <w:szCs w:val="21"/>
                <w:highlight w:val="none"/>
                <w:vertAlign w:val="superscript"/>
              </w:rPr>
              <w:t>3</w:t>
            </w:r>
            <w:r>
              <w:rPr>
                <w:rFonts w:hint="default" w:ascii="Times New Roman" w:hAnsi="Times New Roman" w:eastAsia="宋体" w:cs="Times New Roman"/>
                <w:color w:val="auto"/>
                <w:szCs w:val="21"/>
                <w:highlight w:val="none"/>
              </w:rPr>
              <w:t>/d（以300天计算）。</w:t>
            </w:r>
          </w:p>
          <w:p>
            <w:pPr>
              <w:adjustRightInd w:val="0"/>
              <w:snapToGrid w:val="0"/>
              <w:spacing w:line="348" w:lineRule="auto"/>
              <w:ind w:firstLine="420" w:firstLineChars="200"/>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项目外排废水为员工生活污水，生活污水产污系数按0.8计，则生活污水产生量为80m</w:t>
            </w:r>
            <w:r>
              <w:rPr>
                <w:rFonts w:hint="default" w:ascii="Times New Roman" w:hAnsi="Times New Roman" w:eastAsia="宋体" w:cs="Times New Roman"/>
                <w:color w:val="auto"/>
                <w:szCs w:val="21"/>
                <w:highlight w:val="none"/>
                <w:vertAlign w:val="superscript"/>
              </w:rPr>
              <w:t>3</w:t>
            </w:r>
            <w:r>
              <w:rPr>
                <w:rFonts w:hint="default" w:ascii="Times New Roman" w:hAnsi="Times New Roman" w:eastAsia="宋体" w:cs="Times New Roman"/>
                <w:color w:val="auto"/>
                <w:szCs w:val="21"/>
                <w:highlight w:val="none"/>
              </w:rPr>
              <w:t>/a，生活污水经三级化粪池预处理后，经市政集污管网排入博罗县园洲镇第五生活污水处理厂处理达标后排入中心排渠。</w:t>
            </w:r>
          </w:p>
          <w:p>
            <w:pPr>
              <w:pStyle w:val="2"/>
              <w:ind w:left="0" w:leftChars="0" w:firstLine="0" w:firstLineChars="0"/>
              <w:rPr>
                <w:rFonts w:hint="default"/>
                <w:color w:val="auto"/>
                <w:highlight w:val="none"/>
              </w:rPr>
            </w:pPr>
            <w:r>
              <w:rPr>
                <w:color w:val="auto"/>
                <w:highlight w:val="none"/>
              </w:rPr>
              <mc:AlternateContent>
                <mc:Choice Requires="wpc">
                  <w:drawing>
                    <wp:inline distT="0" distB="0" distL="114300" distR="114300">
                      <wp:extent cx="5197475" cy="2708275"/>
                      <wp:effectExtent l="0" t="0" r="0" b="0"/>
                      <wp:docPr id="62" name="画布 6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64" name="矩形 13"/>
                              <wps:cNvSpPr/>
                              <wps:spPr>
                                <a:xfrm>
                                  <a:off x="0" y="1228725"/>
                                  <a:ext cx="386080" cy="604520"/>
                                </a:xfrm>
                                <a:prstGeom prst="rect">
                                  <a:avLst/>
                                </a:prstGeom>
                                <a:noFill/>
                                <a:ln>
                                  <a:noFill/>
                                </a:ln>
                              </wps:spPr>
                              <wps:txbx>
                                <w:txbxContent>
                                  <w:p>
                                    <w:pPr>
                                      <w:adjustRightInd w:val="0"/>
                                      <w:snapToGrid w:val="0"/>
                                      <w:jc w:val="center"/>
                                    </w:pPr>
                                    <w:r>
                                      <w:rPr>
                                        <w:rFonts w:hint="eastAsia"/>
                                      </w:rPr>
                                      <w:t>新鲜水</w:t>
                                    </w:r>
                                  </w:p>
                                </w:txbxContent>
                              </wps:txbx>
                              <wps:bodyPr upright="1"/>
                            </wps:wsp>
                            <wps:wsp>
                              <wps:cNvPr id="70" name="直接连接符 14"/>
                              <wps:cNvCnPr/>
                              <wps:spPr>
                                <a:xfrm>
                                  <a:off x="465455" y="1547495"/>
                                  <a:ext cx="502285" cy="635"/>
                                </a:xfrm>
                                <a:prstGeom prst="line">
                                  <a:avLst/>
                                </a:prstGeom>
                                <a:ln w="9525" cap="flat" cmpd="sng">
                                  <a:solidFill>
                                    <a:srgbClr val="000000"/>
                                  </a:solidFill>
                                  <a:prstDash val="solid"/>
                                  <a:headEnd type="none" w="med" len="med"/>
                                  <a:tailEnd type="triangle" w="med" len="med"/>
                                </a:ln>
                              </wps:spPr>
                              <wps:bodyPr/>
                            </wps:wsp>
                            <wps:wsp>
                              <wps:cNvPr id="71" name="矩形 15"/>
                              <wps:cNvSpPr/>
                              <wps:spPr>
                                <a:xfrm>
                                  <a:off x="466725" y="1276350"/>
                                  <a:ext cx="574675" cy="273050"/>
                                </a:xfrm>
                                <a:prstGeom prst="rect">
                                  <a:avLst/>
                                </a:prstGeom>
                                <a:noFill/>
                                <a:ln>
                                  <a:noFill/>
                                </a:ln>
                              </wps:spPr>
                              <wps:txbx>
                                <w:txbxContent>
                                  <w:p>
                                    <w:pPr>
                                      <w:adjustRightInd w:val="0"/>
                                      <w:snapToGrid w:val="0"/>
                                      <w:rPr>
                                        <w:rFonts w:hint="default" w:eastAsia="宋体"/>
                                        <w:color w:val="auto"/>
                                        <w:lang w:val="en-US" w:eastAsia="zh-CN"/>
                                      </w:rPr>
                                    </w:pPr>
                                    <w:r>
                                      <w:rPr>
                                        <w:rFonts w:hint="eastAsia" w:eastAsia="宋体"/>
                                        <w:color w:val="auto"/>
                                        <w:lang w:val="en-US" w:eastAsia="zh-CN"/>
                                      </w:rPr>
                                      <w:t>10.773</w:t>
                                    </w:r>
                                  </w:p>
                                  <w:p>
                                    <w:pPr>
                                      <w:pStyle w:val="41"/>
                                      <w:jc w:val="both"/>
                                    </w:pPr>
                                  </w:p>
                                </w:txbxContent>
                              </wps:txbx>
                              <wps:bodyPr upright="1"/>
                            </wps:wsp>
                            <wps:wsp>
                              <wps:cNvPr id="90" name="矩形 39"/>
                              <wps:cNvSpPr/>
                              <wps:spPr>
                                <a:xfrm>
                                  <a:off x="1041839" y="508635"/>
                                  <a:ext cx="601980" cy="273050"/>
                                </a:xfrm>
                                <a:prstGeom prst="rect">
                                  <a:avLst/>
                                </a:prstGeom>
                                <a:noFill/>
                                <a:ln>
                                  <a:noFill/>
                                </a:ln>
                              </wps:spPr>
                              <wps:txbx>
                                <w:txbxContent>
                                  <w:p>
                                    <w:pPr>
                                      <w:adjustRightInd w:val="0"/>
                                      <w:snapToGrid w:val="0"/>
                                      <w:rPr>
                                        <w:rFonts w:hint="default" w:eastAsia="宋体"/>
                                        <w:lang w:val="en-US" w:eastAsia="zh-CN"/>
                                      </w:rPr>
                                    </w:pPr>
                                    <w:r>
                                      <w:rPr>
                                        <w:rFonts w:hint="eastAsia"/>
                                        <w:lang w:val="en-US" w:eastAsia="zh-CN"/>
                                      </w:rPr>
                                      <w:t>8.283</w:t>
                                    </w:r>
                                  </w:p>
                                </w:txbxContent>
                              </wps:txbx>
                              <wps:bodyPr upright="1"/>
                            </wps:wsp>
                            <wps:wsp>
                              <wps:cNvPr id="111" name="直接连接符 75"/>
                              <wps:cNvCnPr/>
                              <wps:spPr>
                                <a:xfrm>
                                  <a:off x="986155" y="822960"/>
                                  <a:ext cx="608330" cy="0"/>
                                </a:xfrm>
                                <a:prstGeom prst="line">
                                  <a:avLst/>
                                </a:prstGeom>
                                <a:ln w="9525" cap="flat" cmpd="sng">
                                  <a:solidFill>
                                    <a:srgbClr val="000000"/>
                                  </a:solidFill>
                                  <a:prstDash val="solid"/>
                                  <a:headEnd type="none" w="med" len="med"/>
                                  <a:tailEnd type="triangle" w="med" len="med"/>
                                </a:ln>
                              </wps:spPr>
                              <wps:bodyPr/>
                            </wps:wsp>
                            <wps:wsp>
                              <wps:cNvPr id="115" name="矩形 76"/>
                              <wps:cNvSpPr/>
                              <wps:spPr>
                                <a:xfrm>
                                  <a:off x="1613974" y="681355"/>
                                  <a:ext cx="880110" cy="2603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jc w:val="center"/>
                                    </w:pPr>
                                    <w:r>
                                      <w:rPr>
                                        <w:rFonts w:hint="eastAsia"/>
                                        <w:lang w:val="en-US" w:eastAsia="zh-CN"/>
                                      </w:rPr>
                                      <w:t>调配</w:t>
                                    </w:r>
                                    <w:r>
                                      <w:rPr>
                                        <w:rFonts w:hint="eastAsia"/>
                                      </w:rPr>
                                      <w:t>用水</w:t>
                                    </w:r>
                                  </w:p>
                                </w:txbxContent>
                              </wps:txbx>
                              <wps:bodyPr upright="1"/>
                            </wps:wsp>
                            <wps:wsp>
                              <wps:cNvPr id="126" name="直接连接符 91"/>
                              <wps:cNvCnPr/>
                              <wps:spPr>
                                <a:xfrm>
                                  <a:off x="980244" y="1548130"/>
                                  <a:ext cx="612140" cy="635"/>
                                </a:xfrm>
                                <a:prstGeom prst="line">
                                  <a:avLst/>
                                </a:prstGeom>
                                <a:ln w="9525" cap="flat" cmpd="sng">
                                  <a:solidFill>
                                    <a:srgbClr val="000000"/>
                                  </a:solidFill>
                                  <a:prstDash val="solid"/>
                                  <a:headEnd type="none" w="med" len="med"/>
                                  <a:tailEnd type="triangle" w="med" len="med"/>
                                </a:ln>
                              </wps:spPr>
                              <wps:bodyPr/>
                            </wps:wsp>
                            <wps:wsp>
                              <wps:cNvPr id="163" name="矩形 163"/>
                              <wps:cNvSpPr/>
                              <wps:spPr>
                                <a:xfrm>
                                  <a:off x="2921000" y="2112010"/>
                                  <a:ext cx="875665" cy="2667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jc w:val="center"/>
                                    </w:pPr>
                                    <w:r>
                                      <w:rPr>
                                        <w:rFonts w:hint="eastAsia"/>
                                      </w:rPr>
                                      <w:t>三级化粪池</w:t>
                                    </w:r>
                                  </w:p>
                                </w:txbxContent>
                              </wps:txbx>
                              <wps:bodyPr upright="1"/>
                            </wps:wsp>
                            <wps:wsp>
                              <wps:cNvPr id="168" name="矩形 168"/>
                              <wps:cNvSpPr/>
                              <wps:spPr>
                                <a:xfrm>
                                  <a:off x="1078034" y="1254760"/>
                                  <a:ext cx="539750" cy="267335"/>
                                </a:xfrm>
                                <a:prstGeom prst="rect">
                                  <a:avLst/>
                                </a:prstGeom>
                                <a:noFill/>
                                <a:ln>
                                  <a:noFill/>
                                </a:ln>
                              </wps:spPr>
                              <wps:txbx>
                                <w:txbxContent>
                                  <w:p>
                                    <w:pPr>
                                      <w:adjustRightInd w:val="0"/>
                                      <w:snapToGrid w:val="0"/>
                                      <w:rPr>
                                        <w:rFonts w:hint="default" w:eastAsia="宋体"/>
                                        <w:lang w:val="en-US" w:eastAsia="zh-CN"/>
                                      </w:rPr>
                                    </w:pPr>
                                    <w:r>
                                      <w:rPr>
                                        <w:rFonts w:hint="eastAsia"/>
                                        <w:lang w:val="en-US" w:eastAsia="zh-CN"/>
                                      </w:rPr>
                                      <w:t>2.16</w:t>
                                    </w:r>
                                  </w:p>
                                </w:txbxContent>
                              </wps:txbx>
                              <wps:bodyPr upright="1"/>
                            </wps:wsp>
                            <wps:wsp>
                              <wps:cNvPr id="170" name="直接连接符 170"/>
                              <wps:cNvCnPr/>
                              <wps:spPr>
                                <a:xfrm flipV="1">
                                  <a:off x="2495354" y="1546225"/>
                                  <a:ext cx="389255" cy="635"/>
                                </a:xfrm>
                                <a:prstGeom prst="line">
                                  <a:avLst/>
                                </a:prstGeom>
                                <a:ln w="9525" cap="flat" cmpd="sng">
                                  <a:solidFill>
                                    <a:srgbClr val="000000"/>
                                  </a:solidFill>
                                  <a:prstDash val="solid"/>
                                  <a:headEnd type="none" w="med" len="med"/>
                                  <a:tailEnd type="none" w="med" len="med"/>
                                </a:ln>
                              </wps:spPr>
                              <wps:bodyPr/>
                            </wps:wsp>
                            <wps:wsp>
                              <wps:cNvPr id="171" name="直接连接符 171"/>
                              <wps:cNvCnPr/>
                              <wps:spPr>
                                <a:xfrm flipH="1">
                                  <a:off x="987229" y="818515"/>
                                  <a:ext cx="2540" cy="1420495"/>
                                </a:xfrm>
                                <a:prstGeom prst="line">
                                  <a:avLst/>
                                </a:prstGeom>
                                <a:ln w="9525" cap="flat" cmpd="sng">
                                  <a:solidFill>
                                    <a:srgbClr val="000000"/>
                                  </a:solidFill>
                                  <a:prstDash val="solid"/>
                                  <a:headEnd type="none" w="med" len="med"/>
                                  <a:tailEnd type="none" w="med" len="med"/>
                                </a:ln>
                              </wps:spPr>
                              <wps:bodyPr/>
                            </wps:wsp>
                            <wps:wsp>
                              <wps:cNvPr id="175" name="直接连接符 175"/>
                              <wps:cNvCnPr/>
                              <wps:spPr>
                                <a:xfrm>
                                  <a:off x="2879529" y="1551940"/>
                                  <a:ext cx="0" cy="244475"/>
                                </a:xfrm>
                                <a:prstGeom prst="line">
                                  <a:avLst/>
                                </a:prstGeom>
                                <a:ln w="9525" cap="flat" cmpd="sng">
                                  <a:solidFill>
                                    <a:srgbClr val="000000"/>
                                  </a:solidFill>
                                  <a:prstDash val="solid"/>
                                  <a:headEnd type="none" w="med" len="med"/>
                                  <a:tailEnd type="none" w="med" len="med"/>
                                </a:ln>
                              </wps:spPr>
                              <wps:bodyPr/>
                            </wps:wsp>
                            <wps:wsp>
                              <wps:cNvPr id="176" name="矩形 176"/>
                              <wps:cNvSpPr/>
                              <wps:spPr>
                                <a:xfrm>
                                  <a:off x="1607624" y="1424305"/>
                                  <a:ext cx="880110" cy="2603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jc w:val="center"/>
                                    </w:pPr>
                                    <w:r>
                                      <w:rPr>
                                        <w:rFonts w:hint="eastAsia"/>
                                      </w:rPr>
                                      <w:t>冷却用水</w:t>
                                    </w:r>
                                  </w:p>
                                </w:txbxContent>
                              </wps:txbx>
                              <wps:bodyPr upright="1"/>
                            </wps:wsp>
                            <wps:wsp>
                              <wps:cNvPr id="177" name="直接连接符 177"/>
                              <wps:cNvCnPr/>
                              <wps:spPr>
                                <a:xfrm>
                                  <a:off x="980879" y="2245995"/>
                                  <a:ext cx="612140" cy="635"/>
                                </a:xfrm>
                                <a:prstGeom prst="line">
                                  <a:avLst/>
                                </a:prstGeom>
                                <a:ln w="9525" cap="flat" cmpd="sng">
                                  <a:solidFill>
                                    <a:srgbClr val="000000"/>
                                  </a:solidFill>
                                  <a:prstDash val="solid"/>
                                  <a:headEnd type="none" w="med" len="med"/>
                                  <a:tailEnd type="triangle" w="med" len="med"/>
                                </a:ln>
                              </wps:spPr>
                              <wps:bodyPr/>
                            </wps:wsp>
                            <wps:wsp>
                              <wps:cNvPr id="178" name="矩形 178"/>
                              <wps:cNvSpPr/>
                              <wps:spPr>
                                <a:xfrm>
                                  <a:off x="1624769" y="2110105"/>
                                  <a:ext cx="880110" cy="2603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jc w:val="center"/>
                                    </w:pPr>
                                    <w:r>
                                      <w:rPr>
                                        <w:rFonts w:hint="eastAsia"/>
                                        <w:lang w:val="en-US" w:eastAsia="zh-CN"/>
                                      </w:rPr>
                                      <w:t>生活</w:t>
                                    </w:r>
                                    <w:r>
                                      <w:rPr>
                                        <w:rFonts w:hint="eastAsia"/>
                                      </w:rPr>
                                      <w:t>用水</w:t>
                                    </w:r>
                                  </w:p>
                                </w:txbxContent>
                              </wps:txbx>
                              <wps:bodyPr upright="1"/>
                            </wps:wsp>
                            <wps:wsp>
                              <wps:cNvPr id="217" name="直接连接符 217"/>
                              <wps:cNvCnPr/>
                              <wps:spPr>
                                <a:xfrm>
                                  <a:off x="2081334" y="1795780"/>
                                  <a:ext cx="794385" cy="4445"/>
                                </a:xfrm>
                                <a:prstGeom prst="line">
                                  <a:avLst/>
                                </a:prstGeom>
                                <a:ln w="9525" cap="flat" cmpd="sng">
                                  <a:solidFill>
                                    <a:srgbClr val="000000"/>
                                  </a:solidFill>
                                  <a:prstDash val="solid"/>
                                  <a:headEnd type="none" w="med" len="med"/>
                                  <a:tailEnd type="none" w="med" len="med"/>
                                </a:ln>
                              </wps:spPr>
                              <wps:bodyPr/>
                            </wps:wsp>
                            <wps:wsp>
                              <wps:cNvPr id="218" name="直接连接符 218"/>
                              <wps:cNvCnPr/>
                              <wps:spPr>
                                <a:xfrm flipH="1" flipV="1">
                                  <a:off x="2080699" y="1699260"/>
                                  <a:ext cx="3175" cy="103505"/>
                                </a:xfrm>
                                <a:prstGeom prst="line">
                                  <a:avLst/>
                                </a:prstGeom>
                                <a:ln w="9525" cap="flat" cmpd="sng">
                                  <a:solidFill>
                                    <a:srgbClr val="000000"/>
                                  </a:solidFill>
                                  <a:prstDash val="solid"/>
                                  <a:headEnd type="none" w="med" len="med"/>
                                  <a:tailEnd type="triangle" w="med" len="med"/>
                                </a:ln>
                              </wps:spPr>
                              <wps:bodyPr/>
                            </wps:wsp>
                            <wps:wsp>
                              <wps:cNvPr id="266" name="矩形 266"/>
                              <wps:cNvSpPr/>
                              <wps:spPr>
                                <a:xfrm>
                                  <a:off x="2944495" y="1530350"/>
                                  <a:ext cx="688340" cy="229235"/>
                                </a:xfrm>
                                <a:prstGeom prst="rect">
                                  <a:avLst/>
                                </a:prstGeom>
                                <a:noFill/>
                                <a:ln>
                                  <a:noFill/>
                                </a:ln>
                              </wps:spPr>
                              <wps:txbx>
                                <w:txbxContent>
                                  <w:p>
                                    <w:pPr>
                                      <w:adjustRightInd w:val="0"/>
                                      <w:snapToGrid w:val="0"/>
                                      <w:rPr>
                                        <w:rFonts w:hint="default" w:eastAsia="宋体"/>
                                        <w:lang w:val="en-US" w:eastAsia="zh-CN"/>
                                      </w:rPr>
                                    </w:pPr>
                                    <w:r>
                                      <w:rPr>
                                        <w:rFonts w:hint="eastAsia"/>
                                        <w:lang w:val="en-US" w:eastAsia="zh-CN"/>
                                      </w:rPr>
                                      <w:t>216</w:t>
                                    </w:r>
                                  </w:p>
                                </w:txbxContent>
                              </wps:txbx>
                              <wps:bodyPr upright="1"/>
                            </wps:wsp>
                            <wps:wsp>
                              <wps:cNvPr id="267" name="曲线连接符 267"/>
                              <wps:cNvCnPr/>
                              <wps:spPr>
                                <a:xfrm flipV="1">
                                  <a:off x="1890199" y="1307465"/>
                                  <a:ext cx="368300" cy="114300"/>
                                </a:xfrm>
                                <a:prstGeom prst="curvedConnector3">
                                  <a:avLst>
                                    <a:gd name="adj1" fmla="val 50083"/>
                                  </a:avLst>
                                </a:prstGeom>
                                <a:ln w="9525" cap="flat" cmpd="sng">
                                  <a:solidFill>
                                    <a:srgbClr val="000000"/>
                                  </a:solidFill>
                                  <a:prstDash val="dash"/>
                                  <a:headEnd type="none" w="med" len="med"/>
                                  <a:tailEnd type="triangle" w="med" len="med"/>
                                </a:ln>
                              </wps:spPr>
                              <wps:bodyPr/>
                            </wps:wsp>
                            <wps:wsp>
                              <wps:cNvPr id="302" name="矩形 302"/>
                              <wps:cNvSpPr/>
                              <wps:spPr>
                                <a:xfrm>
                                  <a:off x="2240719" y="1101725"/>
                                  <a:ext cx="791210" cy="266700"/>
                                </a:xfrm>
                                <a:prstGeom prst="rect">
                                  <a:avLst/>
                                </a:prstGeom>
                                <a:noFill/>
                                <a:ln>
                                  <a:noFill/>
                                </a:ln>
                              </wps:spPr>
                              <wps:txbx>
                                <w:txbxContent>
                                  <w:p>
                                    <w:pPr>
                                      <w:adjustRightInd w:val="0"/>
                                      <w:snapToGrid w:val="0"/>
                                      <w:rPr>
                                        <w:rFonts w:hint="default" w:eastAsia="宋体"/>
                                        <w:lang w:val="en-US" w:eastAsia="zh-CN"/>
                                      </w:rPr>
                                    </w:pPr>
                                    <w:r>
                                      <w:rPr>
                                        <w:rFonts w:hint="eastAsia"/>
                                      </w:rPr>
                                      <w:t>蒸发</w:t>
                                    </w:r>
                                    <w:r>
                                      <w:rPr>
                                        <w:rFonts w:hint="eastAsia"/>
                                        <w:lang w:val="en-US" w:eastAsia="zh-CN"/>
                                      </w:rPr>
                                      <w:t>2.16</w:t>
                                    </w:r>
                                  </w:p>
                                </w:txbxContent>
                              </wps:txbx>
                              <wps:bodyPr upright="1"/>
                            </wps:wsp>
                            <wps:wsp>
                              <wps:cNvPr id="332" name="曲线连接符 332"/>
                              <wps:cNvCnPr/>
                              <wps:spPr>
                                <a:xfrm flipV="1">
                                  <a:off x="1862259" y="1996440"/>
                                  <a:ext cx="368300" cy="114300"/>
                                </a:xfrm>
                                <a:prstGeom prst="curvedConnector3">
                                  <a:avLst>
                                    <a:gd name="adj1" fmla="val 50083"/>
                                  </a:avLst>
                                </a:prstGeom>
                                <a:ln w="9525" cap="flat" cmpd="sng">
                                  <a:solidFill>
                                    <a:srgbClr val="000000"/>
                                  </a:solidFill>
                                  <a:prstDash val="dash"/>
                                  <a:headEnd type="none" w="med" len="med"/>
                                  <a:tailEnd type="triangle" w="med" len="med"/>
                                </a:ln>
                              </wps:spPr>
                              <wps:bodyPr/>
                            </wps:wsp>
                            <wps:wsp>
                              <wps:cNvPr id="333" name="矩形 333"/>
                              <wps:cNvSpPr/>
                              <wps:spPr>
                                <a:xfrm>
                                  <a:off x="2249170" y="1838325"/>
                                  <a:ext cx="583565" cy="246380"/>
                                </a:xfrm>
                                <a:prstGeom prst="rect">
                                  <a:avLst/>
                                </a:prstGeom>
                                <a:noFill/>
                                <a:ln>
                                  <a:noFill/>
                                </a:ln>
                              </wps:spPr>
                              <wps:txbx>
                                <w:txbxContent>
                                  <w:p>
                                    <w:pPr>
                                      <w:adjustRightInd w:val="0"/>
                                      <w:snapToGrid w:val="0"/>
                                      <w:rPr>
                                        <w:rFonts w:hint="default" w:eastAsia="宋体"/>
                                        <w:color w:val="auto"/>
                                        <w:lang w:val="en-US" w:eastAsia="zh-CN"/>
                                      </w:rPr>
                                    </w:pPr>
                                    <w:r>
                                      <w:rPr>
                                        <w:rFonts w:hint="eastAsia"/>
                                        <w:color w:val="auto"/>
                                      </w:rPr>
                                      <w:t>0.</w:t>
                                    </w:r>
                                    <w:r>
                                      <w:rPr>
                                        <w:rFonts w:hint="eastAsia"/>
                                        <w:color w:val="auto"/>
                                        <w:lang w:val="en-US" w:eastAsia="zh-CN"/>
                                      </w:rPr>
                                      <w:t>066</w:t>
                                    </w:r>
                                  </w:p>
                                </w:txbxContent>
                              </wps:txbx>
                              <wps:bodyPr upright="1"/>
                            </wps:wsp>
                            <wps:wsp>
                              <wps:cNvPr id="338" name="直接连接符 338"/>
                              <wps:cNvCnPr/>
                              <wps:spPr>
                                <a:xfrm>
                                  <a:off x="2506345" y="2244725"/>
                                  <a:ext cx="401955" cy="2540"/>
                                </a:xfrm>
                                <a:prstGeom prst="line">
                                  <a:avLst/>
                                </a:prstGeom>
                                <a:ln w="9525" cap="flat" cmpd="sng">
                                  <a:solidFill>
                                    <a:srgbClr val="000000"/>
                                  </a:solidFill>
                                  <a:prstDash val="solid"/>
                                  <a:headEnd type="none" w="med" len="med"/>
                                  <a:tailEnd type="triangle" w="med" len="med"/>
                                </a:ln>
                              </wps:spPr>
                              <wps:bodyPr/>
                            </wps:wsp>
                            <wps:wsp>
                              <wps:cNvPr id="339" name="直接连接符 339"/>
                              <wps:cNvCnPr/>
                              <wps:spPr>
                                <a:xfrm>
                                  <a:off x="3799205" y="2240915"/>
                                  <a:ext cx="401955" cy="2540"/>
                                </a:xfrm>
                                <a:prstGeom prst="line">
                                  <a:avLst/>
                                </a:prstGeom>
                                <a:ln w="9525" cap="flat" cmpd="sng">
                                  <a:solidFill>
                                    <a:srgbClr val="000000"/>
                                  </a:solidFill>
                                  <a:prstDash val="solid"/>
                                  <a:headEnd type="none" w="med" len="med"/>
                                  <a:tailEnd type="triangle" w="med" len="med"/>
                                </a:ln>
                              </wps:spPr>
                              <wps:bodyPr/>
                            </wps:wsp>
                            <wps:wsp>
                              <wps:cNvPr id="340" name="矩形 340"/>
                              <wps:cNvSpPr/>
                              <wps:spPr>
                                <a:xfrm>
                                  <a:off x="4211955" y="2038985"/>
                                  <a:ext cx="902970" cy="4400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rPr>
                                        <w:color w:val="FF0000"/>
                                      </w:rPr>
                                    </w:pPr>
                                    <w:r>
                                      <w:rPr>
                                        <w:rFonts w:hint="eastAsia"/>
                                        <w:color w:val="auto"/>
                                      </w:rPr>
                                      <w:t>园洲镇第</w:t>
                                    </w:r>
                                    <w:r>
                                      <w:rPr>
                                        <w:rFonts w:hint="eastAsia"/>
                                        <w:color w:val="auto"/>
                                        <w:lang w:val="en-US" w:eastAsia="zh-CN"/>
                                      </w:rPr>
                                      <w:t>五</w:t>
                                    </w:r>
                                    <w:r>
                                      <w:rPr>
                                        <w:rFonts w:hint="eastAsia"/>
                                        <w:color w:val="auto"/>
                                      </w:rPr>
                                      <w:t>污水处理厂</w:t>
                                    </w:r>
                                  </w:p>
                                </w:txbxContent>
                              </wps:txbx>
                              <wps:bodyPr upright="1"/>
                            </wps:wsp>
                            <wps:wsp>
                              <wps:cNvPr id="341" name="矩形 341"/>
                              <wps:cNvSpPr/>
                              <wps:spPr>
                                <a:xfrm>
                                  <a:off x="3801110" y="1999615"/>
                                  <a:ext cx="565150" cy="245110"/>
                                </a:xfrm>
                                <a:prstGeom prst="rect">
                                  <a:avLst/>
                                </a:prstGeom>
                                <a:noFill/>
                                <a:ln>
                                  <a:noFill/>
                                </a:ln>
                              </wps:spPr>
                              <wps:txbx>
                                <w:txbxContent>
                                  <w:p>
                                    <w:pPr>
                                      <w:adjustRightInd w:val="0"/>
                                      <w:snapToGrid w:val="0"/>
                                      <w:rPr>
                                        <w:rFonts w:hint="default" w:eastAsia="宋体"/>
                                        <w:color w:val="auto"/>
                                        <w:lang w:val="en-US" w:eastAsia="zh-CN"/>
                                      </w:rPr>
                                    </w:pPr>
                                    <w:r>
                                      <w:rPr>
                                        <w:rFonts w:hint="eastAsia" w:eastAsia="宋体"/>
                                        <w:color w:val="auto"/>
                                        <w:lang w:val="en-US" w:eastAsia="zh-CN"/>
                                      </w:rPr>
                                      <w:t>0.267</w:t>
                                    </w:r>
                                  </w:p>
                                </w:txbxContent>
                              </wps:txbx>
                              <wps:bodyPr upright="1"/>
                            </wps:wsp>
                            <wps:wsp>
                              <wps:cNvPr id="342" name="矩形 342"/>
                              <wps:cNvSpPr/>
                              <wps:spPr>
                                <a:xfrm>
                                  <a:off x="2479675" y="1997075"/>
                                  <a:ext cx="581660" cy="245110"/>
                                </a:xfrm>
                                <a:prstGeom prst="rect">
                                  <a:avLst/>
                                </a:prstGeom>
                                <a:noFill/>
                                <a:ln>
                                  <a:noFill/>
                                </a:ln>
                              </wps:spPr>
                              <wps:txbx>
                                <w:txbxContent>
                                  <w:p>
                                    <w:pPr>
                                      <w:adjustRightInd w:val="0"/>
                                      <w:snapToGrid w:val="0"/>
                                      <w:rPr>
                                        <w:rFonts w:hint="default" w:eastAsia="宋体"/>
                                        <w:color w:val="auto"/>
                                        <w:lang w:val="en-US" w:eastAsia="zh-CN"/>
                                      </w:rPr>
                                    </w:pPr>
                                    <w:r>
                                      <w:rPr>
                                        <w:rFonts w:hint="eastAsia" w:eastAsia="宋体"/>
                                        <w:color w:val="auto"/>
                                        <w:lang w:val="en-US" w:eastAsia="zh-CN"/>
                                      </w:rPr>
                                      <w:t>0.267</w:t>
                                    </w:r>
                                  </w:p>
                                </w:txbxContent>
                              </wps:txbx>
                              <wps:bodyPr upright="1"/>
                            </wps:wsp>
                            <wps:wsp>
                              <wps:cNvPr id="343" name="矩形 343"/>
                              <wps:cNvSpPr/>
                              <wps:spPr>
                                <a:xfrm>
                                  <a:off x="1082479" y="1970405"/>
                                  <a:ext cx="492125" cy="267335"/>
                                </a:xfrm>
                                <a:prstGeom prst="rect">
                                  <a:avLst/>
                                </a:prstGeom>
                                <a:noFill/>
                                <a:ln>
                                  <a:noFill/>
                                </a:ln>
                              </wps:spPr>
                              <wps:txbx>
                                <w:txbxContent>
                                  <w:p>
                                    <w:pPr>
                                      <w:adjustRightInd w:val="0"/>
                                      <w:snapToGrid w:val="0"/>
                                      <w:rPr>
                                        <w:rFonts w:hint="default" w:eastAsia="宋体"/>
                                        <w:color w:val="auto"/>
                                        <w:lang w:val="en-US" w:eastAsia="zh-CN"/>
                                      </w:rPr>
                                    </w:pPr>
                                    <w:r>
                                      <w:rPr>
                                        <w:rFonts w:hint="eastAsia"/>
                                        <w:color w:val="auto"/>
                                      </w:rPr>
                                      <w:t>0.</w:t>
                                    </w:r>
                                    <w:r>
                                      <w:rPr>
                                        <w:rFonts w:hint="eastAsia"/>
                                        <w:color w:val="auto"/>
                                        <w:lang w:val="en-US" w:eastAsia="zh-CN"/>
                                      </w:rPr>
                                      <w:t>33</w:t>
                                    </w:r>
                                  </w:p>
                                </w:txbxContent>
                              </wps:txbx>
                              <wps:bodyPr upright="1"/>
                            </wps:wsp>
                            <wps:wsp>
                              <wps:cNvPr id="131" name="直接连接符 75"/>
                              <wps:cNvCnPr/>
                              <wps:spPr>
                                <a:xfrm>
                                  <a:off x="2489200" y="812800"/>
                                  <a:ext cx="608330" cy="0"/>
                                </a:xfrm>
                                <a:prstGeom prst="line">
                                  <a:avLst/>
                                </a:prstGeom>
                                <a:ln w="9525" cap="flat" cmpd="sng">
                                  <a:solidFill>
                                    <a:srgbClr val="000000"/>
                                  </a:solidFill>
                                  <a:prstDash val="solid"/>
                                  <a:headEnd type="none" w="med" len="med"/>
                                  <a:tailEnd type="triangle" w="med" len="med"/>
                                </a:ln>
                              </wps:spPr>
                              <wps:bodyPr/>
                            </wps:wsp>
                            <wps:wsp>
                              <wps:cNvPr id="133" name="矩形 13"/>
                              <wps:cNvSpPr/>
                              <wps:spPr>
                                <a:xfrm>
                                  <a:off x="3064510" y="692150"/>
                                  <a:ext cx="647065" cy="332740"/>
                                </a:xfrm>
                                <a:prstGeom prst="rect">
                                  <a:avLst/>
                                </a:prstGeom>
                                <a:noFill/>
                                <a:ln>
                                  <a:noFill/>
                                </a:ln>
                              </wps:spPr>
                              <wps:txbx>
                                <w:txbxContent>
                                  <w:p>
                                    <w:pPr>
                                      <w:adjustRightInd w:val="0"/>
                                      <w:snapToGrid w:val="0"/>
                                      <w:jc w:val="center"/>
                                      <w:rPr>
                                        <w:rFonts w:hint="eastAsia" w:eastAsia="宋体"/>
                                        <w:lang w:val="en-US" w:eastAsia="zh-CN"/>
                                      </w:rPr>
                                    </w:pPr>
                                    <w:r>
                                      <w:rPr>
                                        <w:rFonts w:hint="eastAsia"/>
                                        <w:lang w:val="en-US" w:eastAsia="zh-CN"/>
                                      </w:rPr>
                                      <w:t>产品</w:t>
                                    </w:r>
                                  </w:p>
                                </w:txbxContent>
                              </wps:txbx>
                              <wps:bodyPr upright="1"/>
                            </wps:wsp>
                          </wpc:wpc>
                        </a:graphicData>
                      </a:graphic>
                    </wp:inline>
                  </w:drawing>
                </mc:Choice>
                <mc:Fallback>
                  <w:pict>
                    <v:group id="_x0000_s1026" o:spid="_x0000_s1026" o:spt="203" style="height:213.25pt;width:409.25pt;" coordsize="5197475,2708275" editas="canvas" o:gfxdata="UEsDBAoAAAAAAIdO4kAAAAAAAAAAAAAAAAAEAAAAZHJzL1BLAwQUAAAACACHTuJAxDH++dcAAAAF&#10;AQAADwAAAGRycy9kb3ducmV2LnhtbE2PQWvCQBCF7wX/wzKFXkrdRFRCmokHQSqlII2t5zU7TUKz&#10;szG7Jvrvu+3FXgYe7/HeN9nqYloxUO8aywjxNAJBXFrdcIXwsd88JSCcV6xVa5kQruRglU/uMpVq&#10;O/I7DYWvRChhlyqE2vsuldKVNRnlprYjDt6X7Y3yQfaV1L0aQ7lp5SyKltKohsNCrTpa11R+F2eD&#10;MJa74bB/e5G7x8PW8ml7Whefr4gP93H0DMLTxd/C8Isf0CEPTEd7Zu1EixAe8X83eEmcLEAcEeaz&#10;5QJknsn/9PkPUEsDBBQAAAAIAIdO4kBbNSxfuwcAAA48AAAOAAAAZHJzL2Uyb0RvYy54bWztW02P&#10;20QYviPxHyzfaebLYztqtoduWw4IKhW4exMnMXJsy/Z+9MydE7dKICGBhMQJcUAg1F/TLj+DZ8Zj&#10;O3HiJllgv5oets7MZGK/87zP++mHjy4WsXUW5kWUJiObPiC2FSbjdBIls5H9xedPP/JsqyiDZBLE&#10;aRKO7JdhYT86+vCDh+fZMGTpPI0nYW5hk6QYnmcje16W2XAwKMbzcBEUD9IsTDA5TfNFUOJjPhtM&#10;8uAcuy/iASNEDs7TfJLl6TgsCoweV5O22THfZcN0Oo3G4XE6Pl2ESVntmodxUOKRinmUFfaRvtvp&#10;NByXn02nRVha8cjGk5b6L34E1yfq7+DoYTCc5UE2j8bmFoJdbqHzTIsgSvCjzVbHQRlYp3m0ttUi&#10;GudpkU7LB+N0MageREsET0FJRzbP8vQ0088yG57PskboOKiO1K+87fjTs+e5FU1GtmS2lQQLnPjl&#10;t3+++f1rCwOQznk2G2LRszx7kT3PzcCs+qQe+GKaL9T/eBTrQsv1ZSPX8KK0xhh0qO8K17GtMeaY&#10;SzyGD1ry4zmOZ+174/mTLd8c1D88UPfX3M55BkwWraCKfyeoF/MgC7X8CyWDWlCiEdT3P7/56weL&#10;8kpQelEjpWJYQGC9IqKMeS4zYqgFxT1JPEBTyUkS4TAN0OZhg2GWF+WzMF1Y6mJk58C3hl1w9klR&#10;QqJYWi9Rv5ykT6M41pKOk5UBLFQjEF99n+qqvDi50EdcDE/SyUs88GmWR7M5foqqZ9TLIWAFi2uQ&#10;tAtRGEi++u3tNz/+/fo7/L385SeLiiWRP04MMOtHqcHRoFJIRzjAH8RKHeEKvyN3h+A0DD4l15P9&#10;Qo+jRIEiGPYIPU6s85HtOzhcaxyAIadgJlwuMmhZkcz0d4s0jibqcNRGRT47eRzn1lmgWEr/09LG&#10;zPIydbLHQTGv1ukptSwYzsNg8iSZWOXLDOqbgLZtdQuLcGJbcQiWV1d6ZRlEcbuyzKMgmcU9qzdD&#10;pMLFDWCBNlgwWqePSeEQqrld64SUSt00BJiLQzbcX6ue4wrZUhQn1Xw/Cu656vmt6lXi5v6Sxm0X&#10;NyWCeviOkrdDPKNUwbAWtyTUr5mOue+9uClt4d2huspUGpxvpzrfk9RQnceYLzswh33h3FiYLcbl&#10;wHParFyzzaMUJGWMXqV5rtxP8yTlcLe05kmPcoBBU3+teZ5HKDUIYJIYIrw60a2YqBVL9lT/U7+O&#10;3VeWXb+JXERlmGs5XNVY9pvVzYbylvlSlMkGVx2G8bVvtwfDECYqfMGZAsK6FEMZFQZgB2fKuF6b&#10;MXJTzhSVvAGD8aYwAvXY2Z1iPqNwVDXLMEpV8NqhGdeRElSmQz74XlhbEUEdMNZxyo6hzAp/HGhG&#10;h5bqtG4bzUikj1bMF8XIPsiixPUIN/zCEK11XRgH5g3euUGWy7fFa/fcU6fviJIx1Yq+x3e0pnGU&#10;fakCfBVKmjQOQ4jMnYbkJVvPVPhMuZk6U7HtBO6PJ7mvE3BjBO/2xhMUU7uB4uMOKHwkrFgV0nnU&#10;c+CoYp82pIOuGq2kghGTY+n3Kw+guO50GlX5jZ582p5RJnKXSHBVWEC4SX0c/QoYan4WQiV+MXUA&#10;wnq69ebYoY0FjPu3d5BJXMmMfRBMIIGzev6HKPNqKdl9Dcxtc/9ct59iXAWRfcJMkEwVYDDh+N2c&#10;vTyEmesZ/lsWZrprwQBGWhDskEYGybjSoABpK3rgGeVyvffZLEZ7eUZNtRDrCXqWQx2CFFYdb8Kr&#10;QfS5aspcX/C6OAh35uDNKF9uQ/H4prwZRluW6WQ21dRWLOgAWMc6m0NhVOSlb1xdXCBnvooPrv1q&#10;FQhTlU1/b/Bxl6rHTHY9XjXSQmO7JWI+dB8+SNVDwOu6SRv+Ss/jdQCMMJltS4rc87QUkw1Dv331&#10;6+Ufr9vmDTXVir6HoTfqIvV81I2NLnKCkn0n7ODS4yorrbWRIizRutofe45P87Nw8jhNEnTSpDlv&#10;+zqUhZhNTLgcTL5CPmW6iNEbhiYNyyEoo6pnwM66C0Rf1Rlt9dVrqnBN0A5SsdFVy1p3SYs5aXvU&#10;TFcCRloo7aDFTBCXGgDBnVzrwHJ9hBV18uI/KFvc8Q4szhuJd7VYTbWi30+LVT7ZHILvS9FNHh20&#10;+D53cnHeLT6qkRZKO2mxr8seyufyuMe71QnH405TfBSSVy59vxm457aY814PWU21ou/R4uVoySGS&#10;IwZSbhBDG8AagQoY6LowpCsC2L1f8PenCHCn7KhqzNtcCOArfX7b8cBdRESIeQweiN+tCh3wsKkT&#10;FxpxiyJoHbesFO3VSEsL2xlZoAdEq72iBcI9HwkTfL+NjnzCfFWoVo457D2putL6iWEbIx/aQTZD&#10;6JbVA7ho69DGY8fIPsiC7UZzLJCjbL0Pb7FLMDD0tGkHEY5a+06Tsw1Zd91jF43HfllLfNlR367L&#10;yLj7uhW+krhLqgJuq8uORyWSYFUDzkHiXKz5sxjZB+MUb0RB6AbjLhHdKodAt51+nUTRqzy0PPGW&#10;VToZ3337GIQH96ViF48yr8oXtVA/tMuvvUS02e7cVPIfpZvGlTWtDPvpHicSFFYhQELNuu8FSeGS&#10;OpREysOtHKOrOy7/n3nRr0LiNVEdb5lXWtV7qMufcb38Gu/R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sKAABbQ29udGVudF9UeXBlc10ueG1s&#10;UEsBAhQACgAAAAAAh07iQAAAAAAAAAAAAAAAAAYAAAAAAAAAAAAQAAAADQkAAF9yZWxzL1BLAQIU&#10;ABQAAAAIAIdO4kCKFGY80QAAAJQBAAALAAAAAAAAAAEAIAAAADEJAABfcmVscy8ucmVsc1BLAQIU&#10;AAoAAAAAAIdO4kAAAAAAAAAAAAAAAAAEAAAAAAAAAAAAEAAAAAAAAABkcnMvUEsBAhQAFAAAAAgA&#10;h07iQMQx/vnXAAAABQEAAA8AAAAAAAAAAQAgAAAAIgAAAGRycy9kb3ducmV2LnhtbFBLAQIUABQA&#10;AAAIAIdO4kBbNSxfuwcAAA48AAAOAAAAAAAAAAEAIAAAACYBAABkcnMvZTJvRG9jLnhtbFBLBQYA&#10;AAAABgAGAFkBAABTCwAAAAA=&#10;">
                      <o:lock v:ext="edit" aspectratio="f"/>
                      <v:shape id="_x0000_s1026" o:spid="_x0000_s1026" style="position:absolute;left:0;top:0;height:2708275;width:5197475;" filled="f" stroked="f" coordsize="21600,21600" o:gfxdata="UEsDBAoAAAAAAIdO4kAAAAAAAAAAAAAAAAAEAAAAZHJzL1BLAwQUAAAACACHTuJAxDH++dcAAAAF&#10;AQAADwAAAGRycy9kb3ducmV2LnhtbE2PQWvCQBCF7wX/wzKFXkrdRFRCmokHQSqlII2t5zU7TUKz&#10;szG7Jvrvu+3FXgYe7/HeN9nqYloxUO8aywjxNAJBXFrdcIXwsd88JSCcV6xVa5kQruRglU/uMpVq&#10;O/I7DYWvRChhlyqE2vsuldKVNRnlprYjDt6X7Y3yQfaV1L0aQ7lp5SyKltKohsNCrTpa11R+F2eD&#10;MJa74bB/e5G7x8PW8ml7Whefr4gP93H0DMLTxd/C8Isf0CEPTEd7Zu1EixAe8X83eEmcLEAcEeaz&#10;5QJknsn/9PkPUEsDBBQAAAAIAIdO4kBExvN+bwcAAIk7AAAOAAAAZHJzL2Uyb0RvYy54bWztW9tu&#10;40QYvkfiHSzfs5mTx3a07V60LFwgWGmBe9dxEiPHtmz39BK8wEogIYGExBXiCgnt07DLY/DNwXHi&#10;NJukLNu0TS9a1zOZjP/5/u8/+umzq1nmXCRVnRb5kUufENdJ8rgYpfnkyP3m6+efBK5TN1E+irIi&#10;T47c66R2nx1//NHTy3KYsGJaZKOkcrBIXg8vyyN32jTlcDCo42kyi+onRZnkGBwX1Sxq8G81GYyq&#10;6BKrz7IBI0QOLotqVFZFnNQ17p6aQdeuWG2zYDEep3FyWsTnsyRvzKpVkkUNHqmepmXtHuvdjsdJ&#10;3Hw1HtdJ42RHLp600b/xJbg+U78Hx0+j4aSKymka2y1E22yh90yzKM3xpfOlTqMmcs6rdGWpWRpX&#10;RV2MmydxMRuYB9ESwVNQ0pPNSZRfROZhYsi63SCu3uO6ZxO177x4nmYZpDHA6kN1T/29xGknajjL&#10;lyeZO3qunXNZAg51OQdG/d+2+HIalYk+xnoYf3nxonLS0ZErhevk0QyofPvjr3//9ZNDuTpB9d2Y&#10;9LJ8Udn/alyqHV+Nq5n6C0E7V/rUr4F5xgKfeebsk6vGiTHEA0kCoCLGBEmExzQ2Bt0SZVU3nyXF&#10;zFEXR24FaOkTjy6+qBsluGjYTlmS1TuEVw/NPtX+m6uzK7v5s2J0jQc+L6t0MsVXUbVTyFoL2Dzt&#10;/y5pH6Kwkn71x5vvf/7n9Q/4/fa3XxwqFkR+km8SuZCe8DzXUXL3hC/Cntw9gtPAuJY714PrhZ6l&#10;uQJFNFwj9Cx3Lo/c0MPhOnEEchqDFHA5KwGeOp/oz9ZFlo4U2tVCdTU5O8kq5yJSBKF/tLQxsjhN&#10;nexpVE/NPD1k4DNNotGn+chprkugMgdjumoLs2TkOlkCglVXOL5o2ERp1s1sqjTKJ9ma2ZCA0jh9&#10;5h1EDC7uAAt0jgWrdfqYttY6IaVSNw0B5kvuWdptVc/zhfTViQEjzOfEjK9HwQNXvbBTPSNuHi5o&#10;3GaSo0TQAJ9R8vZIAHkbALbiloSGLdMdxO1S2sG7R3UApaVkWJfNVBcGklqqCxgLZQ/msC+cWwuz&#10;wbgceE6blQ9s8ygFCS25F75cAMAWmicpD334KMqHCCgHGDT1t5oXBIRSiwAmiSXC2xPdkolasmTP&#10;9Y/6dqy+NO3Dm8hZ2iSVlsNtjeV6s3qzodwzX4oyOcdVj2FC7dtZS7oNwxAmDL7gTAFhfYqhjAoL&#10;MMv769F1IJk7IRnJ52Cw3hTudGZmM8uwkFE4qpplGKUqbuzRjO9J2fpT8L0w1xBBGw21ccqWocwS&#10;fxxoRoeWSmX3jWYkMjdL5ovizi7IosQPCLf8whCt9V0YD+YN3rnx1KXPN8VrD9xTp++IkjHUiX4N&#10;szvjLC2/VQG+ChBtjoIhRObenOQlW81UhEy5mY8sYt7VCbiraJn6a+MJNbQdKD7vgSJEwoqZkC6g&#10;gQdHFetEw9axhK5araSCEZtjeQyW//6Aogstei4g3THKRO4SCS6DBYSbNMTRL4Gh5WchhFn6AIT9&#10;yaVRhJQ9I71zkEl8yax9EEwgX7Z8/oco83Yp2V25ZN/cP9+fI2uFYvzNdmfBBUF6ECRjAgwmvLCf&#10;s5eHMHM1w39zKuLuvJCVYMDfMRgAyfjSogBpK3rgGaUijz6bxehanlFDG/3bBZ5hBCmsNt6EV4Po&#10;c9mU+aHgbXEQ7ow2dAdvZn+8GUY7lunZHDW0EQs6ANaxzs2hMCryMrSuLi6QM1/GB1fOsw6Eqcqm&#10;Pxp83KfqMZN9j1fd6aCxTcITug8fxPQQ8LZu0oW/Mgh4GwAjTGaPPC3F5Jyh37z6/e2fr7vmDTXU&#10;iX6XtBQNQtSNrS5ygpJ9L+zgMuAqK63SUpQiLNG6up6t4/PqIhmdFHmOTpqi4l1fh7IQk5GNkqLR&#10;d8injGcZ2rLQpOF4BGVU9QxYWXeB6Ks2o60++oEqXCO0gxg2um1Z6z5pMSdsHl3YrgTc6aC0hRYz&#10;QXxqAQR3cqUDyw8RVrTJi/dQtpi3tN3PDizO5xLva7Ea6kS/mxarfLI9hDCUop88OmjxQ+7k4rxf&#10;fFR3OihtpcWhLnsolg94wPvVCS/g3rz4KCQ3Lv16M/DAS0Scr/WQ1VAn+jVavBgteURyxEDKDWJo&#10;A1ghUAED3RaGdEUAq68X/KH8fxflf64a825urFVDu+CB+4iIEPNYPJCwXxU64OGmTlxoxB711uq4&#10;Zalor+50MNjMyAI9IFrtFS0QHoRImODzXXQUEhaqQrVyzGHvielKW08Mmxj50A5yM4T2rB7ARVeH&#10;th477uyCLNhuNMcCOcrWh/AW+wQDQ0/n7SDCU3Ox/u2Rdd89djH32O3rKRx3dpE4Mu6hboU3EveJ&#10;KeB2uuwFVCIJpnUZlZmDxFf8WbGbP0tJoIRuMe4T0a9yCHTb6ddJFL0eWp4o71ill/HdtY9BBHBf&#10;DLsElAUmX9RB/dAuv/IS0c12585KjCvB5I5v43EiQWEGARJq1n8vSAqftKEkUh6+cYz20byYFyHL&#10;WBs/+zapegV08X9cL75Be/w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3wkAAFtDb250ZW50X1R5cGVzXS54bWxQSwECFAAKAAAAAACHTuJAAAAA&#10;AAAAAAAAAAAABgAAAAAAAAAAABAAAADBCAAAX3JlbHMvUEsBAhQAFAAAAAgAh07iQIoUZjzRAAAA&#10;lAEAAAsAAAAAAAAAAQAgAAAA5QgAAF9yZWxzLy5yZWxzUEsBAhQACgAAAAAAh07iQAAAAAAAAAAA&#10;AAAAAAQAAAAAAAAAAAAQAAAAAAAAAGRycy9QSwECFAAUAAAACACHTuJAxDH++dcAAAAFAQAADwAA&#10;AAAAAAABACAAAAAiAAAAZHJzL2Rvd25yZXYueG1sUEsBAhQAFAAAAAgAh07iQETG835vBwAAiTsA&#10;AA4AAAAAAAAAAQAgAAAAJgEAAGRycy9lMm9Eb2MueG1sUEsFBgAAAAAGAAYAWQEAAAcLAAAAAA==&#10;">
                        <v:fill on="f" focussize="0,0"/>
                        <v:stroke on="f"/>
                        <v:imagedata o:title=""/>
                        <o:lock v:ext="edit" aspectratio="t"/>
                      </v:shape>
                      <v:rect id="矩形 13" o:spid="_x0000_s1026" o:spt="1" style="position:absolute;left:0;top:1228725;height:604520;width:386080;" filled="f" stroked="f" coordsize="21600,21600" o:gfxdata="UEsDBAoAAAAAAIdO4kAAAAAAAAAAAAAAAAAEAAAAZHJzL1BLAwQUAAAACACHTuJAxDH++dcAAAAF&#10;AQAADwAAAGRycy9kb3ducmV2LnhtbE2PQWvCQBCF7wX/wzKFXkrdRFRCmokHQSqlII2t5zU7TUKz&#10;szG7Jvrvu+3FXgYe7/HeN9nqYloxUO8aywjxNAJBXFrdcIXwsd88JSCcV6xVa5kQruRglU/uMpVq&#10;O/I7DYWvRChhlyqE2vsuldKVNRnlprYjDt6X7Y3yQfaV1L0aQ7lp5SyKltKohsNCrTpa11R+F2eD&#10;MJa74bB/e5G7x8PW8ml7Whefr4gP93H0DMLTxd/C8Isf0CEPTEd7Zu1EixAe8X83eEmcLEAcEeaz&#10;5QJknsn/9PkPUEsDBBQAAAAIAIdO4kAHpUj3qwEAAEgDAAAOAAAAZHJzL2Uyb0RvYy54bWytU0tu&#10;2zAU3BfoHQjua8pK4hqC5WyMdFO0AdIegKZIiwB/eKQt+TQBsushepyi1+gjpSZNssmiG+qRHMyb&#10;mUdtrkdryElC1N61dLmoKJFO+E67Q0u/f7v5sKYkJu46bryTLT3LSK+3799thtDI2vfedBIIkrjY&#10;DKGlfUqhYSyKXloeFz5Ih5fKg+UJt3BgHfAB2a1hdVWt2OChC+CFjBFPd9MlnRnhLYReKS3kzouj&#10;lS5NrCANT2gp9jpEui1qlZIifVUqykRMS9FpKis2wXqfV7bd8OYAPPRazBL4WyS88GS5dtj0kWrH&#10;EydH0K+orBbgo1dpIbxlk5GSCLpYVi+yuet5kMULRh3DY+jx/9GKL6dbILpr6eqSEsctTvz3/Y9f&#10;Px/I8iKnM4TYIOgu3MK8i1hmq6MCm79ogowl0TO+p7pef6yvplzlmIjAq4v1qlpj4gIBq+ryqi65&#10;syeKADF9kt6SXLQUcGwlTX76HBO2RehfSO7o/I02pozOuGcHCMwnLKuedOYqjftxFr/33RkNHwPo&#10;Q4+tlllpgWPApdH8GPIE/90X1NMPsP0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xDH++dcAAAAF&#10;AQAADwAAAAAAAAABACAAAAAiAAAAZHJzL2Rvd25yZXYueG1sUEsBAhQAFAAAAAgAh07iQAelSPer&#10;AQAASAMAAA4AAAAAAAAAAQAgAAAAJgEAAGRycy9lMm9Eb2MueG1sUEsFBgAAAAAGAAYAWQEAAEMF&#10;AAAAAA==&#10;">
                        <v:fill on="f" focussize="0,0"/>
                        <v:stroke on="f"/>
                        <v:imagedata o:title=""/>
                        <o:lock v:ext="edit" aspectratio="f"/>
                        <v:textbox>
                          <w:txbxContent>
                            <w:p>
                              <w:pPr>
                                <w:adjustRightInd w:val="0"/>
                                <w:snapToGrid w:val="0"/>
                                <w:jc w:val="center"/>
                              </w:pPr>
                              <w:r>
                                <w:rPr>
                                  <w:rFonts w:hint="eastAsia"/>
                                </w:rPr>
                                <w:t>新鲜水</w:t>
                              </w:r>
                            </w:p>
                          </w:txbxContent>
                        </v:textbox>
                      </v:rect>
                      <v:line id="直接连接符 14" o:spid="_x0000_s1026" o:spt="20" style="position:absolute;left:465455;top:1547495;height:635;width:502285;" filled="f" stroked="t" coordsize="21600,21600" o:gfxdata="UEsDBAoAAAAAAIdO4kAAAAAAAAAAAAAAAAAEAAAAZHJzL1BLAwQUAAAACACHTuJASUFj5tcAAAAF&#10;AQAADwAAAGRycy9kb3ducmV2LnhtbE2PwU7DMBBE70j8g7VI3KiTilZWyKYHpHJpAbVFCG5uvCQR&#10;8TqynTb8PYYLXFYazWjmbbmabC9O5EPnGCGfZSCIa2c6bhBeDusbBSJEzUb3jgnhiwKsqsuLUhfG&#10;nXlHp31sRCrhUGiENsahkDLULVkdZm4gTt6H81bHJH0jjdfnVG57Oc+ypbS647TQ6oHuW6o/96NF&#10;2G3XG/W6Gafavz/kT4fn7eNbUIjXV3l2ByLSFP/C8IOf0KFKTEc3sgmiR0iPxN+bPJWrBYgjwu18&#10;uQBZlfI/ffUNUEsDBBQAAAAIAIdO4kB6GxH8BAIAAOoDAAAOAAAAZHJzL2Uyb0RvYy54bWytU81u&#10;EzEQviPxDpbvZJOwm7arbHpoKBcEkYAHmNjeXUv+k+1mk5fgBZC4wYkj974N5TEYe0MDRUg9kIMz&#10;9nz+Zr5vx8vLvVZkJ3yQ1jR0NplSIgyzXJquoe/fXT87pyREMByUNaKhBxHo5erpk+XgajG3vVVc&#10;eIIkJtSDa2gfo6uLIrBeaAgT64TBZGu9hohb3xXcw4DsWhXz6XRRDNZz5y0TIeDpekzSI6N/DKFt&#10;W8nE2rIbLUwcWb1QEFFS6KULdJW7bVvB4pu2DSIS1VBUGvOKRTDeprVYLaHuPLhesmML8JgWHmjS&#10;IA0WvadaQwRy4+VfVFoyb4Nt44RZXYxCsiOoYjZ94M3bHpzIWtDq4O5ND/+Plr3ebTyRvKFnaIkB&#10;jV/87uO37x8+/7j9hOvd1y9kViabBhdqRF+ZjT/ugtv4pHnfep3+UQ3ZN7RcVGVVUXLA6arKs/Ki&#10;Gl0W+0gY5qvpfH6OeYaAxfOcLE4kzof4UlhNUtBQJU1yAGrYvQoRCyP0FyQdK0OGhl5U80QIOI4t&#10;jgGG2qGkYLp8N1gl+bVUKt0IvtteKU92kEYi/1J/yPsHLBVZQ+hHXE6NMnoB/IXhJB4cemXwjdDU&#10;ghacEiXwSaUICaGOINUJGb0E06l/oLG8MthFcnn0NUVbyw/Z7nyOI5D7PI5rmrHf9/n26Ymufg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JQWPm1wAAAAUBAAAPAAAAAAAAAAEAIAAAACIAAABkcnMv&#10;ZG93bnJldi54bWxQSwECFAAUAAAACACHTuJAehsR/AQCAADqAwAADgAAAAAAAAABACAAAAAmAQAA&#10;ZHJzL2Uyb0RvYy54bWxQSwUGAAAAAAYABgBZAQAAnAUAAAAA&#10;">
                        <v:fill on="f" focussize="0,0"/>
                        <v:stroke color="#000000" joinstyle="round" endarrow="block"/>
                        <v:imagedata o:title=""/>
                        <o:lock v:ext="edit" aspectratio="f"/>
                      </v:line>
                      <v:rect id="矩形 15" o:spid="_x0000_s1026" o:spt="1" style="position:absolute;left:466725;top:1276350;height:273050;width:574675;" filled="f" stroked="f" coordsize="21600,21600" o:gfxdata="UEsDBAoAAAAAAIdO4kAAAAAAAAAAAAAAAAAEAAAAZHJzL1BLAwQUAAAACACHTuJAxDH++dcAAAAF&#10;AQAADwAAAGRycy9kb3ducmV2LnhtbE2PQWvCQBCF7wX/wzKFXkrdRFRCmokHQSqlII2t5zU7TUKz&#10;szG7Jvrvu+3FXgYe7/HeN9nqYloxUO8aywjxNAJBXFrdcIXwsd88JSCcV6xVa5kQruRglU/uMpVq&#10;O/I7DYWvRChhlyqE2vsuldKVNRnlprYjDt6X7Y3yQfaV1L0aQ7lp5SyKltKohsNCrTpa11R+F2eD&#10;MJa74bB/e5G7x8PW8ml7Whefr4gP93H0DMLTxd/C8Isf0CEPTEd7Zu1EixAe8X83eEmcLEAcEeaz&#10;5QJknsn/9PkPUEsDBBQAAAAIAIdO4kClAu5TrgEAAE0DAAAOAAAAZHJzL2Uyb0RvYy54bWytU0tu&#10;2zAQ3RfoHQjua0pKLBWC5WyMZBM0AdIegKZIiwB/IGlLPk2B7HqIHqfoNTqk1KRNNllkQ81wHt7M&#10;e0Ntriat0In7IK3pcLkqMOKG2V6aQ4e/fb3+9BmjEKnpqbKGd/jMA77afvywGV3LKztY1XOPgMSE&#10;dnQdHmJ0LSGBDVzTsLKOGygK6zWNkPoD6T0dgV0rUhVFTUbre+ct4yHA7W4u4oXRv4XQCiEZ31l2&#10;1NzEmdVzRSNICoN0AW/ztEJwFu+ECDwi1WFQGvMJTSDep5NsN7Q9eOoGyZYR6FtGeKFJU2mg6RPV&#10;jkaKjl6+otKSeRusiCtmNZmFZEdARVm88OZhoI5nLWB1cE+mh/ejZV9O9x7JvsNNiZGhGjb++/uP&#10;Xz8fUblO7owutAB6cPd+yQKESeokvE5fEIGmDl/WdVOtMTrDo6qa+mK9mMuniBjU181l3UCdAaBq&#10;Loq5Tp55nA/xhluNUtBhD7vLltLTbYjQG6B/IamtsddSqbw/Zf67AGC6IWn0edgUxWk/LQr2tj+D&#10;6qPz8jBAqzIJzXBwOTdaXkRa4795Rj3/Bds/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xDH++dcA&#10;AAAFAQAADwAAAAAAAAABACAAAAAiAAAAZHJzL2Rvd25yZXYueG1sUEsBAhQAFAAAAAgAh07iQKUC&#10;7lOuAQAATQMAAA4AAAAAAAAAAQAgAAAAJgEAAGRycy9lMm9Eb2MueG1sUEsFBgAAAAAGAAYAWQEA&#10;AEYFAAAAAA==&#10;">
                        <v:fill on="f" focussize="0,0"/>
                        <v:stroke on="f"/>
                        <v:imagedata o:title=""/>
                        <o:lock v:ext="edit" aspectratio="f"/>
                        <v:textbox>
                          <w:txbxContent>
                            <w:p>
                              <w:pPr>
                                <w:adjustRightInd w:val="0"/>
                                <w:snapToGrid w:val="0"/>
                                <w:rPr>
                                  <w:rFonts w:hint="default" w:eastAsia="宋体"/>
                                  <w:color w:val="auto"/>
                                  <w:lang w:val="en-US" w:eastAsia="zh-CN"/>
                                </w:rPr>
                              </w:pPr>
                              <w:r>
                                <w:rPr>
                                  <w:rFonts w:hint="eastAsia" w:eastAsia="宋体"/>
                                  <w:color w:val="auto"/>
                                  <w:lang w:val="en-US" w:eastAsia="zh-CN"/>
                                </w:rPr>
                                <w:t>10.773</w:t>
                              </w:r>
                            </w:p>
                            <w:p>
                              <w:pPr>
                                <w:pStyle w:val="41"/>
                                <w:jc w:val="both"/>
                              </w:pPr>
                            </w:p>
                          </w:txbxContent>
                        </v:textbox>
                      </v:rect>
                      <v:rect id="矩形 39" o:spid="_x0000_s1026" o:spt="1" style="position:absolute;left:1041839;top:508635;height:273050;width:601980;" filled="f" stroked="f" coordsize="21600,21600" o:gfxdata="UEsDBAoAAAAAAIdO4kAAAAAAAAAAAAAAAAAEAAAAZHJzL1BLAwQUAAAACACHTuJAxDH++dcAAAAF&#10;AQAADwAAAGRycy9kb3ducmV2LnhtbE2PQWvCQBCF7wX/wzKFXkrdRFRCmokHQSqlII2t5zU7TUKz&#10;szG7Jvrvu+3FXgYe7/HeN9nqYloxUO8aywjxNAJBXFrdcIXwsd88JSCcV6xVa5kQruRglU/uMpVq&#10;O/I7DYWvRChhlyqE2vsuldKVNRnlprYjDt6X7Y3yQfaV1L0aQ7lp5SyKltKohsNCrTpa11R+F2eD&#10;MJa74bB/e5G7x8PW8ml7Whefr4gP93H0DMLTxd/C8Isf0CEPTEd7Zu1EixAe8X83eEmcLEAcEeaz&#10;5QJknsn/9PkPUEsDBBQAAAAIAIdO4kDQtx1fsAEAAE0DAAAOAAAAZHJzL2Uyb0RvYy54bWytU0tu&#10;2zAQ3RfoHQjua0l27dqC5WyMdFOkAdIcgKZIiwB/GNKWfJoA2eUQPU7Ra3RIqUmbbrLohhpyRu/N&#10;e0NurwajyVlAUM42tJqVlAjLXavssaH3364/rCkJkdmWaWdFQy8i0Kvd+3fb3tdi7jqnWwEEQWyo&#10;e9/QLkZfF0XgnTAszJwXFpPSgWERt3AsWmA9ohtdzMtyVfQOWg+OixDwdD8m6YQIbwF0Uiou9o6f&#10;jLBxRAWhWURJoVM+0F3uVkrB41cpg4hENxSVxrwiCcaHtBa7LauPwHyn+NQCe0sLrzQZpiySPkPt&#10;WWTkBOofKKM4uOBknHFnilFIdgRVVOUrb+465kXWglYH/2x6+H+w/OZ8C0S1Dd2gJZYZnPjPh6cf&#10;3x/JYpPc6X2osejO38K0CxgmqYMEk74oggx4k8qP1Rr/IZeGLsv1arEczRVDJBzzq7LarJGDY37+&#10;aVEus/nFC46HED8LZ0gKGgo4u2wpO38JEbmx9HdJorXuWmmd56ftXwdYmE6K1PrYbIricBgmBQfX&#10;XlD1yYM6dkhVpU5zObqciaYbkcb45z5XvbyC3S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EMf75&#10;1wAAAAUBAAAPAAAAAAAAAAEAIAAAACIAAABkcnMvZG93bnJldi54bWxQSwECFAAUAAAACACHTuJA&#10;0LcdX7ABAABNAwAADgAAAAAAAAABACAAAAAmAQAAZHJzL2Uyb0RvYy54bWxQSwUGAAAAAAYABgBZ&#10;AQAASAUAAAAA&#10;">
                        <v:fill on="f" focussize="0,0"/>
                        <v:stroke on="f"/>
                        <v:imagedata o:title=""/>
                        <o:lock v:ext="edit" aspectratio="f"/>
                        <v:textbox>
                          <w:txbxContent>
                            <w:p>
                              <w:pPr>
                                <w:adjustRightInd w:val="0"/>
                                <w:snapToGrid w:val="0"/>
                                <w:rPr>
                                  <w:rFonts w:hint="default" w:eastAsia="宋体"/>
                                  <w:lang w:val="en-US" w:eastAsia="zh-CN"/>
                                </w:rPr>
                              </w:pPr>
                              <w:r>
                                <w:rPr>
                                  <w:rFonts w:hint="eastAsia"/>
                                  <w:lang w:val="en-US" w:eastAsia="zh-CN"/>
                                </w:rPr>
                                <w:t>8.283</w:t>
                              </w:r>
                            </w:p>
                          </w:txbxContent>
                        </v:textbox>
                      </v:rect>
                      <v:line id="直接连接符 75" o:spid="_x0000_s1026" o:spt="20" style="position:absolute;left:986155;top:822960;height:0;width:608330;" filled="f" stroked="t" coordsize="21600,21600" o:gfxdata="UEsDBAoAAAAAAIdO4kAAAAAAAAAAAAAAAAAEAAAAZHJzL1BLAwQUAAAACACHTuJASUFj5tcAAAAF&#10;AQAADwAAAGRycy9kb3ducmV2LnhtbE2PwU7DMBBE70j8g7VI3KiTilZWyKYHpHJpAbVFCG5uvCQR&#10;8TqynTb8PYYLXFYazWjmbbmabC9O5EPnGCGfZSCIa2c6bhBeDusbBSJEzUb3jgnhiwKsqsuLUhfG&#10;nXlHp31sRCrhUGiENsahkDLULVkdZm4gTt6H81bHJH0jjdfnVG57Oc+ypbS647TQ6oHuW6o/96NF&#10;2G3XG/W6Gafavz/kT4fn7eNbUIjXV3l2ByLSFP/C8IOf0KFKTEc3sgmiR0iPxN+bPJWrBYgjwu18&#10;uQBZlfI/ffUNUEsDBBQAAAAIAIdO4kCSyNzcAgIAAOgDAAAOAAAAZHJzL2Uyb0RvYy54bWytU81u&#10;EzEQviPxDpbvZJNUCekqmx4aygVBJOgDTLzeXUv+k8fNJi/BCyBxgxNH7rxNy2N07A0NFCH1QA7O&#10;2DP+Zr5vPy8v9kaznQyonK34ZDTmTFrhamXbil9/uHqx4Awj2Bq0s7LiB4n8YvX82bL3pZy6zula&#10;BkYgFsveV7yL0ZdFgaKTBnDkvLSUbFwwEGkb2qIO0BO60cV0PJ4XvQu1D05IRDpdD0l+RAxPAXRN&#10;o4RcO3FjpI0DapAaIlHCTnnkqzxt00gR3zUNysh0xYlpzCs1oXib1mK1hLIN4DsljiPAU0Z4xMmA&#10;stT0AWoNEdhNUH9BGSWCQ9fEkXCmGIhkRYjFZPxIm/cdeJm5kNToH0TH/wcr3u42gamanDCZcGbB&#10;0Ce/+/T99uOXnz8+03r37St7OUs69R5LKr+0m3Dcod+ERHrfBJP+iQ7bV/x8MZ/MZpwdKr6YTs/n&#10;R5XlPjJB6fl4cXZG+gvK51RxQvAB42vpDEtBxbWyiT+UsHuDkbpS6a+SdKwt66nfbErdBJAZGzIB&#10;hcYTIbRtvotOq/pKaZ1uYGi3lzqwHSRD5F/iRrh/lKUma8BuqMupwSqdhPqVrVk8eBLK0gvhaQQj&#10;a860pAeVIgKEMoLSp8oYFNhW/6Oa2mtLUySJB1FTtHX1IWudz8kAec6jWZPDft/n26cHuro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SUFj5tcAAAAFAQAADwAAAAAAAAABACAAAAAiAAAAZHJzL2Rv&#10;d25yZXYueG1sUEsBAhQAFAAAAAgAh07iQJLI3NwCAgAA6AMAAA4AAAAAAAAAAQAgAAAAJgEAAGRy&#10;cy9lMm9Eb2MueG1sUEsFBgAAAAAGAAYAWQEAAJoFAAAAAA==&#10;">
                        <v:fill on="f" focussize="0,0"/>
                        <v:stroke color="#000000" joinstyle="round" endarrow="block"/>
                        <v:imagedata o:title=""/>
                        <o:lock v:ext="edit" aspectratio="f"/>
                      </v:line>
                      <v:rect id="矩形 76" o:spid="_x0000_s1026" o:spt="1" style="position:absolute;left:1613974;top:681355;height:260350;width:880110;" fillcolor="#FFFFFF" filled="t" stroked="t" coordsize="21600,21600" o:gfxdata="UEsDBAoAAAAAAIdO4kAAAAAAAAAAAAAAAAAEAAAAZHJzL1BLAwQUAAAACACHTuJAAVHkLNUAAAAF&#10;AQAADwAAAGRycy9kb3ducmV2LnhtbE2PwU7DMBBE70j8g7VI3KidQKsQ4vQAKhLHNr1w28RLEojX&#10;Uey0ga/HcIHLSqMZzbwttosdxIkm3zvWkKwUCOLGmZ5bDcdqd5OB8AHZ4OCYNHySh215eVFgbtyZ&#10;93Q6hFbEEvY5auhCGHMpfdORRb9yI3H03txkMUQ5tdJMeI7ldpCpUhtpsee40OFIjx01H4fZaqj7&#10;9Ihf++pZ2fvdbXhZqvf59Unr66tEPYAItIS/MPzgR3QoI1PtZjZeDBriI+H3Ri9LsjWIWsNdulmD&#10;LAv5n778BlBLAwQUAAAACACHTuJA0iX1ahECAAA2BAAADgAAAGRycy9lMm9Eb2MueG1srVPNjtMw&#10;EL4j8Q6W7zRJS7rdqOkeKOWCYKVdHsB1nMSS/+Rxm/RpkLjxEDwO4jUYO2X/4NADPjjjzPib+b4Z&#10;r29GrchReJDW1LSY5ZQIw20jTVfTL/e7NytKIDDTMGWNqOlJAL3ZvH61Hlwl5ra3qhGeIIiBanA1&#10;7UNwVZYB74VmMLNOGHS21msW8Oi7rPFsQHStsnmeL7PB+sZ5ywUA/t1OTnpG9JcA2raVXGwtP2hh&#10;woTqhWIBKUEvHdBNqrZtBQ+f2xZEIKqmyDSkHZOgvY97tlmzqvPM9ZKfS2CXlPCCk2bSYNIHqC0L&#10;jBy8/AtKS+4t2DbMuNXZRCQpgiyK/IU2dz1zInFBqcE9iA7/D5Z/Ot56IhuchKKkxDCNLf/19fvP&#10;H9/I1TLKMzioMOrO3frzCdCMXMfW6/hFFmREgGWxuL56S8mppstVsSjLSV0xBsLRv1rlRYG6c/TP&#10;l/miTOpnjzjOQ/ggrCbRqKnH5iVN2fEjBMyNoX9CYlqwSjY7qVQ6+G7/TnlyZNjoXVoxO155FqYM&#10;GWp6Xc6RK2c4vS1ODZraoQJgupTv2Q14Cpyn9S/gWNiWQT8VkBAm9loG4bESVvWCNe9NQ8LJocYG&#10;HxeNxWjRUKIEvsVopcjApLokEtkpgyRji6amRCuM+xFhorm3zQnbe3Bedj1KWqTSowfHKalzHv04&#10;r0/PCfTxuW9+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AFR5CzVAAAABQEAAA8AAAAAAAAAAQAg&#10;AAAAIgAAAGRycy9kb3ducmV2LnhtbFBLAQIUABQAAAAIAIdO4kDSJfVqEQIAADYEAAAOAAAAAAAA&#10;AAEAIAAAACQBAABkcnMvZTJvRG9jLnhtbFBLBQYAAAAABgAGAFkBAACnBQAAAAA=&#10;">
                        <v:fill on="t" focussize="0,0"/>
                        <v:stroke color="#000000" joinstyle="miter"/>
                        <v:imagedata o:title=""/>
                        <o:lock v:ext="edit" aspectratio="f"/>
                        <v:textbox>
                          <w:txbxContent>
                            <w:p>
                              <w:pPr>
                                <w:adjustRightInd w:val="0"/>
                                <w:snapToGrid w:val="0"/>
                                <w:jc w:val="center"/>
                              </w:pPr>
                              <w:r>
                                <w:rPr>
                                  <w:rFonts w:hint="eastAsia"/>
                                  <w:lang w:val="en-US" w:eastAsia="zh-CN"/>
                                </w:rPr>
                                <w:t>调配</w:t>
                              </w:r>
                              <w:r>
                                <w:rPr>
                                  <w:rFonts w:hint="eastAsia"/>
                                </w:rPr>
                                <w:t>用水</w:t>
                              </w:r>
                            </w:p>
                          </w:txbxContent>
                        </v:textbox>
                      </v:rect>
                      <v:line id="直接连接符 91" o:spid="_x0000_s1026" o:spt="20" style="position:absolute;left:980244;top:1548130;height:635;width:612140;" filled="f" stroked="t" coordsize="21600,21600" o:gfxdata="UEsDBAoAAAAAAIdO4kAAAAAAAAAAAAAAAAAEAAAAZHJzL1BLAwQUAAAACACHTuJASUFj5tcAAAAF&#10;AQAADwAAAGRycy9kb3ducmV2LnhtbE2PwU7DMBBE70j8g7VI3KiTilZWyKYHpHJpAbVFCG5uvCQR&#10;8TqynTb8PYYLXFYazWjmbbmabC9O5EPnGCGfZSCIa2c6bhBeDusbBSJEzUb3jgnhiwKsqsuLUhfG&#10;nXlHp31sRCrhUGiENsahkDLULVkdZm4gTt6H81bHJH0jjdfnVG57Oc+ypbS647TQ6oHuW6o/96NF&#10;2G3XG/W6Gafavz/kT4fn7eNbUIjXV3l2ByLSFP/C8IOf0KFKTEc3sgmiR0iPxN+bPJWrBYgjwu18&#10;uQBZlfI/ffUNUEsDBBQAAAAIAIdO4kDuh/N9AgIAAOsDAAAOAAAAZHJzL2Uyb0RvYy54bWytU0uO&#10;EzEQ3SNxB8t70p9JokwrnVlMGDYIIgEHqLjd3Zb8k+1JJ5fgAkjsYMWSPbdhOAZldzOBQUizoBfu&#10;sv38qt5zeX11VJIcuPPC6JoWs5wSrplphO5q+u7tzbMVJT6AbkAazWt64p5ebZ4+WQ+24qXpjWy4&#10;I0iifTXYmvYh2CrLPOu5Aj8zlmvcbI1TEHDquqxxMCC7klmZ58tsMK6xzjDuPa5ux006MbrHEJq2&#10;FYxvDbtVXIeR1XEJASX5XlhPN6natuUsvG5bzwORNUWlIY2YBON9HLPNGqrOge0Fm0qAx5TwQJMC&#10;oTHpPdUWApBbJ/6iUoI5400bZsyobBSSHEEVRf7Amzc9WJ60oNXe3pvu/x8te3XYOSIa7IRySYkG&#10;hVd+9+Hr9/effnz7iOPdl8/ksog+DdZXCL/WOzfNvN25KPrYOhX/KIcca3q5ysv5nJITki7mq+Ji&#10;spkfA2G4vyzKYo4XwBCwvFhE7uxMYp0PL7hRJAY1lUJHC6CCw0sfRugvSFyWmgyYclEukBCwH1vs&#10;AwyVRU1ed+msN1I0N0LKeMK7bn8tHTlA7In0TSX8AYtJtuD7EZe2IgyqnkPzXDcknCx6pfGR0FiC&#10;4g0lkuObilFCBhDyjAxOgO7kP9DogNRoRHR59DVGe9Ockt1pHXsgWTX1a2yy3+fp9PmNbn4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SUFj5tcAAAAFAQAADwAAAAAAAAABACAAAAAiAAAAZHJzL2Rv&#10;d25yZXYueG1sUEsBAhQAFAAAAAgAh07iQO6H830CAgAA6wMAAA4AAAAAAAAAAQAgAAAAJgEAAGRy&#10;cy9lMm9Eb2MueG1sUEsFBgAAAAAGAAYAWQEAAJoFAAAAAA==&#10;">
                        <v:fill on="f" focussize="0,0"/>
                        <v:stroke color="#000000" joinstyle="round" endarrow="block"/>
                        <v:imagedata o:title=""/>
                        <o:lock v:ext="edit" aspectratio="f"/>
                      </v:line>
                      <v:rect id="_x0000_s1026" o:spid="_x0000_s1026" o:spt="1" style="position:absolute;left:2921000;top:2112010;height:266700;width:875665;" fillcolor="#FFFFFF" filled="t" stroked="t" coordsize="21600,21600" o:gfxdata="UEsDBAoAAAAAAIdO4kAAAAAAAAAAAAAAAAAEAAAAZHJzL1BLAwQUAAAACACHTuJAAVHkLNUAAAAF&#10;AQAADwAAAGRycy9kb3ducmV2LnhtbE2PwU7DMBBE70j8g7VI3KidQKsQ4vQAKhLHNr1w28RLEojX&#10;Uey0ga/HcIHLSqMZzbwttosdxIkm3zvWkKwUCOLGmZ5bDcdqd5OB8AHZ4OCYNHySh215eVFgbtyZ&#10;93Q6hFbEEvY5auhCGHMpfdORRb9yI3H03txkMUQ5tdJMeI7ldpCpUhtpsee40OFIjx01H4fZaqj7&#10;9Ihf++pZ2fvdbXhZqvf59Unr66tEPYAItIS/MPzgR3QoI1PtZjZeDBriI+H3Ri9LsjWIWsNdulmD&#10;LAv5n778BlBLAwQUAAAACACHTuJArIw2bQ4CAAA4BAAADgAAAGRycy9lMm9Eb2MueG1srVNLbtsw&#10;FNwX6B0I7mtJLqwkguUs6rqbog2Q9gA0SUkE+AMfbcmnKdBdD9HjFL1GHyk3idNNFvVCfhRHw5l5&#10;j+vbyWhylAGUsy2tFiUl0nInlO1b+vXL7s01JRCZFUw7K1t6kkBvN69frUffyKUbnBYyECSx0Iy+&#10;pUOMvikK4IM0DBbOS4ubnQuGRVyGvhCBjchudLEsy7oYXRA+OC4B8O123qRnxvASQtd1isut4wcj&#10;bZxZg9QsoiUYlAe6yWq7TvL4uetARqJbik5jfuIhWO/Ts9isWdMH5gfFzxLYSyQ882SYsnjoA9WW&#10;RUYOQf1DZRQPDlwXF9yZYjaSE0EXVfksm/uBeZm9YNTgH0KH/0fLPx3vAlECJ6F+S4llBlv++9uP&#10;Xz+/k/QG8xk9NAi793fhvAIsk9mpCyb9ow0ytXR5s6zKEpM9YV1VydCcr5wi4Qi4vlrV9YoSngB1&#10;fYVYZCweiXyA+EE6Q1LR0oDty6my40eIM/QvJJ0LTiuxU1rnRej373QgR4at3uXfmf0Cpi0ZW3qz&#10;WiYdDOe3w7nB0njMAGyfz7v4Ap4So79kcdZyAUvCtgyGWUDemt0bFWXAD1gzSCbeW0HiyWPKFq8X&#10;TWKMFJRoibcxVRkZmdIvQWJ22mKEqUdzV1IVp/2ENKncO3HCBh98UP2AkVZZetrBgcrZn4c/TezT&#10;dSZ9vPCb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AFR5CzVAAAABQEAAA8AAAAAAAAAAQAgAAAA&#10;IgAAAGRycy9kb3ducmV2LnhtbFBLAQIUABQAAAAIAIdO4kCsjDZtDgIAADgEAAAOAAAAAAAAAAEA&#10;IAAAACQBAABkcnMvZTJvRG9jLnhtbFBLBQYAAAAABgAGAFkBAACkBQAAAAA=&#10;">
                        <v:fill on="t" focussize="0,0"/>
                        <v:stroke color="#000000" joinstyle="miter"/>
                        <v:imagedata o:title=""/>
                        <o:lock v:ext="edit" aspectratio="f"/>
                        <v:textbox>
                          <w:txbxContent>
                            <w:p>
                              <w:pPr>
                                <w:adjustRightInd w:val="0"/>
                                <w:snapToGrid w:val="0"/>
                                <w:jc w:val="center"/>
                              </w:pPr>
                              <w:r>
                                <w:rPr>
                                  <w:rFonts w:hint="eastAsia"/>
                                </w:rPr>
                                <w:t>三级化粪池</w:t>
                              </w:r>
                            </w:p>
                          </w:txbxContent>
                        </v:textbox>
                      </v:rect>
                      <v:rect id="_x0000_s1026" o:spid="_x0000_s1026" o:spt="1" style="position:absolute;left:1078034;top:1254760;height:267335;width:539750;" filled="f" stroked="f" coordsize="21600,21600" o:gfxdata="UEsDBAoAAAAAAIdO4kAAAAAAAAAAAAAAAAAEAAAAZHJzL1BLAwQUAAAACACHTuJAxDH++dcAAAAF&#10;AQAADwAAAGRycy9kb3ducmV2LnhtbE2PQWvCQBCF7wX/wzKFXkrdRFRCmokHQSqlII2t5zU7TUKz&#10;szG7Jvrvu+3FXgYe7/HeN9nqYloxUO8aywjxNAJBXFrdcIXwsd88JSCcV6xVa5kQruRglU/uMpVq&#10;O/I7DYWvRChhlyqE2vsuldKVNRnlprYjDt6X7Y3yQfaV1L0aQ7lp5SyKltKohsNCrTpa11R+F2eD&#10;MJa74bB/e5G7x8PW8ml7Whefr4gP93H0DMLTxd/C8Isf0CEPTEd7Zu1EixAe8X83eEmcLEAcEeaz&#10;5QJknsn/9PkPUEsDBBQAAAAIAIdO4kDPseKbsAEAAFADAAAOAAAAZHJzL2Uyb0RvYy54bWytU0tu&#10;2zAQ3RfoHQjua8l2bCeC5WyMdFO0AdIegKZIiwB/mKEt+TQFuushepyi1+hQUpM22WTRDTUzHLx5&#10;7w21ve2dZWcFaIKv+XxWcqa8DI3xx5p/+Xz37pozTMI3wgavan5RyG93b99su1ipRWiDbRQwAvFY&#10;dbHmbUqxKgqUrXICZyEqT5c6gBOJUjgWDYiO0J0tFmW5LroATYQgFSJV9+MlnxDhNYBBayPVPsiT&#10;Uz6NqKCsSCQJWxOR7wa2WiuZPmmNKjFbc1KahpOGUHzIZ7HbiuoIIrZGThTEayg80+SE8TT0EWov&#10;kmAnMC+gnJEQMOg0k8EVo5DBEVIxL59589CKqAYtZDXGR9Px/8HKj+d7YKahl7CmxXvhaOW/vn7/&#10;+eMbyxXyp4tYUdtDvIcpQwqz2F6Dy1+SwXpCKDfX5fKKswvFi9XVZj35q/rEJDWsljebFTkvqWGx&#10;3iyXq4xfPAFFwPReBcdyUHOg9Q2uivMHTGPrn5Y814c7Yy3VRWX9PwXCzJUicx/Z5ij1h36ScAjN&#10;hYSfIphjS6PmA5PcREYPnKZHkTf5dz6APv0Iu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EMf75&#10;1wAAAAUBAAAPAAAAAAAAAAEAIAAAACIAAABkcnMvZG93bnJldi54bWxQSwECFAAUAAAACACHTuJA&#10;z7Him7ABAABQAwAADgAAAAAAAAABACAAAAAmAQAAZHJzL2Uyb0RvYy54bWxQSwUGAAAAAAYABgBZ&#10;AQAASAUAAAAA&#10;">
                        <v:fill on="f" focussize="0,0"/>
                        <v:stroke on="f"/>
                        <v:imagedata o:title=""/>
                        <o:lock v:ext="edit" aspectratio="f"/>
                        <v:textbox>
                          <w:txbxContent>
                            <w:p>
                              <w:pPr>
                                <w:adjustRightInd w:val="0"/>
                                <w:snapToGrid w:val="0"/>
                                <w:rPr>
                                  <w:rFonts w:hint="default" w:eastAsia="宋体"/>
                                  <w:lang w:val="en-US" w:eastAsia="zh-CN"/>
                                </w:rPr>
                              </w:pPr>
                              <w:r>
                                <w:rPr>
                                  <w:rFonts w:hint="eastAsia"/>
                                  <w:lang w:val="en-US" w:eastAsia="zh-CN"/>
                                </w:rPr>
                                <w:t>2.16</w:t>
                              </w:r>
                            </w:p>
                          </w:txbxContent>
                        </v:textbox>
                      </v:rect>
                      <v:line id="_x0000_s1026" o:spid="_x0000_s1026" o:spt="20" style="position:absolute;left:2495354;top:1546225;flip:y;height:635;width:389255;" filled="f" stroked="t" coordsize="21600,21600" o:gfxdata="UEsDBAoAAAAAAIdO4kAAAAAAAAAAAAAAAAAEAAAAZHJzL1BLAwQUAAAACACHTuJAdgPPKNQAAAAF&#10;AQAADwAAAGRycy9kb3ducmV2LnhtbE2PQUvEMBCF74L/IYzgzU1a3aXWThcR9SIIrtVz2oxtMZmU&#10;Jttd/73Ri14GHu/x3jfV9uisWGgOo2eEbKVAEHfejNwjNK8PFwWIEDUbbT0TwhcF2NanJ5UujT/w&#10;Cy272ItUwqHUCEOMUyll6AZyOqz8RJy8Dz87HZOce2lmfUjlzspcqY10euS0MOiJ7gbqPnd7h3D7&#10;/nR/+by0zltz3TdvxjXqMUc8P8vUDYhIx/gXhh/8hA51Ymr9nk0QFiE9En9v8oqsWINoEa7yzRpk&#10;Xcn/9PU3UEsDBBQAAAAIAIdO4kDZfjBgBQIAAPMDAAAOAAAAZHJzL2Uyb0RvYy54bWytU82O0zAQ&#10;viPxDpbvNN20Kduo6R62LBcElfi5Tx07seQ/2d6mfQleAIkbnDhy521YHoOxUxZYLj2QgzX2fP5m&#10;vi/j1dVBK7LnPkhrGnoxmVLCDbOtNF1D3765eXJJSYhgWlDW8IYeeaBX68ePVoOreWl7q1ruCZKY&#10;UA+uoX2Mri6KwHquIUys4waTwnoNEbe+K1oPA7JrVZTT6aIYrG+dt4yHgKebMUlPjP4cQiuEZHxj&#10;2a3mJo6sniuIKCn00gW6zt0KwVl8JUTgkaiGotKYVyyC8S6txXoFdefB9ZKdWoBzWnigSYM0WPSe&#10;agMRyK2X/1BpybwNVsQJs7oYhWRHUMXF9IE3r3twPGtBq4O7Nz38P1r2cr/1RLY4CU/REwMaf/nd&#10;h6/f33/68e0jrndfPpOUQqMGF2rEX5utP+2C2/qk+iC8JkJJ9w55sg+ojBwaWs6X1ayaU3LERDVf&#10;lGU1Ws4PkTAEzC6XZVVRwhCwmOVkMfIlXudDfM6tJiloqJIm2QE17F+EiD0g9BckHStDhoYuKyxC&#10;GOBsCpwJDLVDfcF0+W6wSrY3Uql0I/hud6082UOaj/yl/pD3L1gqsoHQj7icGmX0HNpnpiXx6NA3&#10;gw+GphY0bylRHN9XipAQ6ghSnYPE0spgB8ns0d4U7Wx7zK7nc5yF3ONpbtOw/bnPt3+/1fV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dgPPKNQAAAAFAQAADwAAAAAAAAABACAAAAAiAAAAZHJzL2Rv&#10;d25yZXYueG1sUEsBAhQAFAAAAAgAh07iQNl+MGAFAgAA8wMAAA4AAAAAAAAAAQAgAAAAIwEAAGRy&#10;cy9lMm9Eb2MueG1sUEsFBgAAAAAGAAYAWQEAAJoFAAAAAA==&#10;">
                        <v:fill on="f" focussize="0,0"/>
                        <v:stroke color="#000000" joinstyle="round"/>
                        <v:imagedata o:title=""/>
                        <o:lock v:ext="edit" aspectratio="f"/>
                      </v:line>
                      <v:line id="_x0000_s1026" o:spid="_x0000_s1026" o:spt="20" style="position:absolute;left:987229;top:818515;flip:x;height:1420495;width:2540;" filled="f" stroked="t" coordsize="21600,21600" o:gfxdata="UEsDBAoAAAAAAIdO4kAAAAAAAAAAAAAAAAAEAAAAZHJzL1BLAwQUAAAACACHTuJAdgPPKNQAAAAF&#10;AQAADwAAAGRycy9kb3ducmV2LnhtbE2PQUvEMBCF74L/IYzgzU1a3aXWThcR9SIIrtVz2oxtMZmU&#10;Jttd/73Ri14GHu/x3jfV9uisWGgOo2eEbKVAEHfejNwjNK8PFwWIEDUbbT0TwhcF2NanJ5UujT/w&#10;Cy272ItUwqHUCEOMUyll6AZyOqz8RJy8Dz87HZOce2lmfUjlzspcqY10euS0MOiJ7gbqPnd7h3D7&#10;/nR/+by0zltz3TdvxjXqMUc8P8vUDYhIx/gXhh/8hA51Ymr9nk0QFiE9En9v8oqsWINoEa7yzRpk&#10;Xcn/9PU3UEsDBBQAAAAIAIdO4kC09wNzBQIAAPMDAAAOAAAAZHJzL2Uyb0RvYy54bWytU0uOEzEQ&#10;3SNxB8t70ulWwiStdGYxYWCBYCTgAI4/aUv+yeVJJ5fgAkjsYMWSPbdhOAZldxhg2GRBL6yyq/zq&#10;vdfl1eXBGrKXEbR3Ha0nU0qk415ot+vou7fXTxaUQGJOMOOd7OhRAr1cP360GkIrG997I2QkCOKg&#10;HUJH+5RCW1XAe2kZTHyQDpPKR8sSbuOuEpENiG5N1UynT6vBRxGi5xIATzdjkp4Q4zmAXinN5cbz&#10;WytdGlGjNCyhJOh1ALoubJWSPL1WCmQipqOoNJUVm2C8zWu1XrF2F1noNT9RYOdQeKDJMu2w6T3U&#10;hiVGbqP+B8pqHj14lSbc22oUUhxBFfX0gTdvehZk0YJWQ7g3Hf4fLH+1v4lEC5yEi5oSxyz+8rsP&#10;X7+///Tj20dc7758JjmFRg0BWqy/cjfxtINwE7Pqg4qWKKPDC8QpPqAycujocnHRNEtKjh1d1It5&#10;PR8Nl4dEOKab+Qx/BMdsPWums2VJVyNexg0R0nPpLclBR4122Q7Wsv1LSMgBS3+V5GPjyIA9580c&#10;QRnOpsKZwNAG1AduV+6CN1pca2PyDYi77ZWJZM/yfJQvM0Tcv8pykw2DfqwrqVFIL5l45gRJx4C+&#10;OXwwNFOwUlBiJL6vHCEgaxPT5pxKbG0cMshmj/bmaOvFsbheznEWCsfT3OZh+3Nfbv9+q+u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dgPPKNQAAAAFAQAADwAAAAAAAAABACAAAAAiAAAAZHJzL2Rv&#10;d25yZXYueG1sUEsBAhQAFAAAAAgAh07iQLT3A3MFAgAA8wMAAA4AAAAAAAAAAQAgAAAAIwEAAGRy&#10;cy9lMm9Eb2MueG1sUEsFBgAAAAAGAAYAWQEAAJoFAAAAAA==&#10;">
                        <v:fill on="f" focussize="0,0"/>
                        <v:stroke color="#000000" joinstyle="round"/>
                        <v:imagedata o:title=""/>
                        <o:lock v:ext="edit" aspectratio="f"/>
                      </v:line>
                      <v:line id="_x0000_s1026" o:spid="_x0000_s1026" o:spt="20" style="position:absolute;left:2879529;top:1551940;height:244475;width:0;" filled="f" stroked="t" coordsize="21600,21600" o:gfxdata="UEsDBAoAAAAAAIdO4kAAAAAAAAAAAAAAAAAEAAAAZHJzL1BLAwQUAAAACACHTuJAejXAhtUAAAAF&#10;AQAADwAAAGRycy9kb3ducmV2LnhtbE2PzU7DMBCE70h9B2uRuFStnUCrKMTpoZAbFwqo1228JBHx&#10;Oo3dH3h6XC7lstJoRjPfFquz7cWRRt851pDMFQji2pmOGw3vb9UsA+EDssHeMWn4Jg+rcnJTYG7c&#10;iV/puAmNiCXsc9TQhjDkUvq6JYt+7gbi6H260WKIcmykGfEUy20vU6WW0mLHcaHFgdYt1V+bg9Xg&#10;qw/aVz/Teqq2942jdP/08oxa390m6hFEoHO4huGCH9GhjEw7d2DjRa8hPhL+bvSyJFuA2Gl4SJcL&#10;kGUh/9OXv1BLAwQUAAAACACHTuJA/Au2bfoBAADnAwAADgAAAGRycy9lMm9Eb2MueG1srVO9jhMx&#10;EO6ReAfLPdkkSrjLKpsrLhwNgkjAA0xsb9aS/+TxZZOX4AWQ6KCipOdtOB6DsTfcwdGkYAvv2DP+&#10;Zr7PM8urgzVsryJq7xo+GY05U054qd2u4e/f3Ty75AwTOAnGO9Xwo0J+tXr6ZNmHWk19541UkRGI&#10;w7oPDe9SCnVVoeiUBRz5oBw5Wx8tJNrGXSUj9IRuTTUdj59XvY8yRC8UIp2uByc/IcZzAH3baqHW&#10;Xtxa5dKAGpWBRJSw0wH5qlTbtkqkN22LKjHTcGKaykpJyN7mtVotod5FCJ0WpxLgnBIecbKgHSW9&#10;h1pDAnYb9T9QVovo0bdpJLytBiJFEWIxGT/S5m0HQRUuJDWGe9Hx/8GK1/tNZFpSJ1zMOXNg6cnv&#10;Pn778eHzz++faL37+oVlFwnVB6wp/tpt4mmHYRMz60Mbbf4TH3Zo+PTyYjGfLjg7Eux8PlnMTkKr&#10;Q2KCAkh9Qb7pbDYboKsHjBAxvVTesmw03GiXJYAa9q8wUV4K/R2Sj41jfcMpHVUvgPqxpT4g0wbi&#10;hG5X7qI3Wt5oY/INjLvttYlsD7knypfZEe5fYTnJGrAb4opr6JZOgXzhJEvHQFo5GhKeS7BKcmYU&#10;zVS2CBDqBNqcE0mpjaMKssCDpNnaenksSpdzev9S46lXc4P9uS+3H+Zz9Q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6NcCG1QAAAAUBAAAPAAAAAAAAAAEAIAAAACIAAABkcnMvZG93bnJldi54bWxQ&#10;SwECFAAUAAAACACHTuJA/Au2bfoBAADnAwAADgAAAAAAAAABACAAAAAkAQAAZHJzL2Uyb0RvYy54&#10;bWxQSwUGAAAAAAYABgBZAQAAkAUAAAAA&#10;">
                        <v:fill on="f" focussize="0,0"/>
                        <v:stroke color="#000000" joinstyle="round"/>
                        <v:imagedata o:title=""/>
                        <o:lock v:ext="edit" aspectratio="f"/>
                      </v:line>
                      <v:rect id="_x0000_s1026" o:spid="_x0000_s1026" o:spt="1" style="position:absolute;left:1607624;top:1424305;height:260350;width:880110;" fillcolor="#FFFFFF" filled="t" stroked="t" coordsize="21600,21600" o:gfxdata="UEsDBAoAAAAAAIdO4kAAAAAAAAAAAAAAAAAEAAAAZHJzL1BLAwQUAAAACACHTuJAAVHkLNUAAAAF&#10;AQAADwAAAGRycy9kb3ducmV2LnhtbE2PwU7DMBBE70j8g7VI3KidQKsQ4vQAKhLHNr1w28RLEojX&#10;Uey0ga/HcIHLSqMZzbwttosdxIkm3zvWkKwUCOLGmZ5bDcdqd5OB8AHZ4OCYNHySh215eVFgbtyZ&#10;93Q6hFbEEvY5auhCGHMpfdORRb9yI3H03txkMUQ5tdJMeI7ldpCpUhtpsee40OFIjx01H4fZaqj7&#10;9Ihf++pZ2fvdbXhZqvf59Unr66tEPYAItIS/MPzgR3QoI1PtZjZeDBriI+H3Ri9LsjWIWsNdulmD&#10;LAv5n778BlBLAwQUAAAACACHTuJAZPaP5xECAAA4BAAADgAAAGRycy9lMm9Eb2MueG1srVPNjtMw&#10;EL4j8Q6W7zRpts2WqOkeKOWCYKVdHsB1nMSS/+Rxm/RpkLjxEDwO4jUYO2X/4NADOSTjePzN930z&#10;Xt+MWpGj8CCtqel8llMiDLeNNF1Nv9zv3qwogcBMw5Q1oqYnAfRm8/rVenCVKGxvVSM8QRAD1eBq&#10;2ofgqiwD3gvNYGadMLjZWq9ZwKXvssazAdG1yoo8L7PB+sZ5ywUA/t1Om/SM6C8BtG0rudhaftDC&#10;hAnVC8UCSoJeOqCbxLZtBQ+f2xZEIKqmqDSkNxbBeB/f2WbNqs4z10t+psAuofBCk2bSYNEHqC0L&#10;jBy8/AtKS+4t2DbMuNXZJCQ5girm+Qtv7nrmRNKCVoN7MB3+Hyz/dLz1RDY4CdclJYZpbPmvr99/&#10;/vhG4h/0Z3BQYdqdu/XnFWAYxY6t1/GLMsiICGV+XRYLSk4YL4rFVb6c/BVjIBwTVqt8PkfnOSYU&#10;ZX61TP5nj0DOQ/ggrCYxqKnH9iVX2fEjBCyOqX9SYl2wSjY7qVRa+G7/TnlyZNjqXXpidTzyLE0Z&#10;MtT07bJYIg+G89vi3GCoHXoApkv1np2Ap8B5ev4FHIltGfQTgYQwqdcyCI9MWNUL1rw3DQknhy4b&#10;vF40ktGioUQJvI0xSpmBSXVJJqpTBkXGHk1diVEY9yPCxHBvmxM2+OC87Hq0dJ6oxx0cqOTOefjj&#10;xD5dJ9DHC7/5D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AFR5CzVAAAABQEAAA8AAAAAAAAAAQAg&#10;AAAAIgAAAGRycy9kb3ducmV2LnhtbFBLAQIUABQAAAAIAIdO4kBk9o/nEQIAADgEAAAOAAAAAAAA&#10;AAEAIAAAACQBAABkcnMvZTJvRG9jLnhtbFBLBQYAAAAABgAGAFkBAACnBQAAAAA=&#10;">
                        <v:fill on="t" focussize="0,0"/>
                        <v:stroke color="#000000" joinstyle="miter"/>
                        <v:imagedata o:title=""/>
                        <o:lock v:ext="edit" aspectratio="f"/>
                        <v:textbox>
                          <w:txbxContent>
                            <w:p>
                              <w:pPr>
                                <w:adjustRightInd w:val="0"/>
                                <w:snapToGrid w:val="0"/>
                                <w:jc w:val="center"/>
                              </w:pPr>
                              <w:r>
                                <w:rPr>
                                  <w:rFonts w:hint="eastAsia"/>
                                </w:rPr>
                                <w:t>冷却用水</w:t>
                              </w:r>
                            </w:p>
                          </w:txbxContent>
                        </v:textbox>
                      </v:rect>
                      <v:line id="_x0000_s1026" o:spid="_x0000_s1026" o:spt="20" style="position:absolute;left:980879;top:2245995;height:635;width:612140;" filled="f" stroked="t" coordsize="21600,21600" o:gfxdata="UEsDBAoAAAAAAIdO4kAAAAAAAAAAAAAAAAAEAAAAZHJzL1BLAwQUAAAACACHTuJASUFj5tcAAAAF&#10;AQAADwAAAGRycy9kb3ducmV2LnhtbE2PwU7DMBBE70j8g7VI3KiTilZWyKYHpHJpAbVFCG5uvCQR&#10;8TqynTb8PYYLXFYazWjmbbmabC9O5EPnGCGfZSCIa2c6bhBeDusbBSJEzUb3jgnhiwKsqsuLUhfG&#10;nXlHp31sRCrhUGiENsahkDLULVkdZm4gTt6H81bHJH0jjdfnVG57Oc+ypbS647TQ6oHuW6o/96NF&#10;2G3XG/W6Gafavz/kT4fn7eNbUIjXV3l2ByLSFP/C8IOf0KFKTEc3sgmiR0iPxN+bPJWrBYgjwu18&#10;uQBZlfI/ffUNUEsDBBQAAAAIAIdO4kDyIwkgBQIAAOwDAAAOAAAAZHJzL2Uyb0RvYy54bWytU0uO&#10;EzEQ3SNxB8t70kkz+bXSmcWEYYMgEnCAiu3utuSfbE86uQQXQGIHK5bs5zYMx6DsDhMYhDQLsnDK&#10;rudX9V6XV5cHrche+CCtqelkNKZEGGa5NG1N37+7fragJEQwHJQ1oqZHEejl+umTVe8qUdrOKi48&#10;QRITqt7VtIvRVUURWCc0hJF1wmCysV5DxK1vC+6hR3atinI8nhW99dx5y0QIeLoZkvTE6B9DaJtG&#10;MrGx7EYLEwdWLxRElBQ66QJd526bRrD4pmmCiETVFJXGvGIRjHdpLdYrqFoPrpPs1AI8poUHmjRI&#10;g0XvqTYQgdx4+ReVlszbYJs4YlYXg5DsCKqYjB9487YDJ7IWtDq4e9PD/6Nlr/dbTyTHSZjPKTGg&#10;8ZPfffz2/cPnH7efcL37+oWkFBrVu1Ah/sps/WkX3NYn1YfG6/SPesihpsvFeDFfUnKsaVleTJfL&#10;6eCzOETCMD+blJML/AIMAbPnOVmcSZwP8aWwmqSgpkqa5AFUsH8VIhZG6C9IOlaG9FhyWk6REHAg&#10;GxwEDLVDUcG0+W6wSvJrqVS6EXy7u1Ke7CENRf6l/pD3D1gqsoHQDbicGmR0AvgLw0k8OjTL4Cuh&#10;qQUtOCVK4KNKERJCFUGqMzJ6CaZV/0BjeWWwi+Ty4GuKdpYfs935HIcg93ka2DRlv+/z7fMjXf8E&#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SUFj5tcAAAAFAQAADwAAAAAAAAABACAAAAAiAAAAZHJz&#10;L2Rvd25yZXYueG1sUEsBAhQAFAAAAAgAh07iQPIjCSAFAgAA7AMAAA4AAAAAAAAAAQAgAAAAJgEA&#10;AGRycy9lMm9Eb2MueG1sUEsFBgAAAAAGAAYAWQEAAJ0FAAAAAA==&#10;">
                        <v:fill on="f" focussize="0,0"/>
                        <v:stroke color="#000000" joinstyle="round" endarrow="block"/>
                        <v:imagedata o:title=""/>
                        <o:lock v:ext="edit" aspectratio="f"/>
                      </v:line>
                      <v:rect id="_x0000_s1026" o:spid="_x0000_s1026" o:spt="1" style="position:absolute;left:1624769;top:2110105;height:260350;width:880110;" fillcolor="#FFFFFF" filled="t" stroked="t" coordsize="21600,21600" o:gfxdata="UEsDBAoAAAAAAIdO4kAAAAAAAAAAAAAAAAAEAAAAZHJzL1BLAwQUAAAACACHTuJAAVHkLNUAAAAF&#10;AQAADwAAAGRycy9kb3ducmV2LnhtbE2PwU7DMBBE70j8g7VI3KidQKsQ4vQAKhLHNr1w28RLEojX&#10;Uey0ga/HcIHLSqMZzbwttosdxIkm3zvWkKwUCOLGmZ5bDcdqd5OB8AHZ4OCYNHySh215eVFgbtyZ&#10;93Q6hFbEEvY5auhCGHMpfdORRb9yI3H03txkMUQ5tdJMeI7ldpCpUhtpsee40OFIjx01H4fZaqj7&#10;9Ihf++pZ2fvdbXhZqvf59Unr66tEPYAItIS/MPzgR3QoI1PtZjZeDBriI+H3Ri9LsjWIWsNdulmD&#10;LAv5n778BlBLAwQUAAAACACHTuJACePrPw8CAAA4BAAADgAAAGRycy9lMm9Eb2MueG1srVPLrtMw&#10;EN0j8Q+W9zRpoL29UdO7oJQNgitd+ADXdhJLfsnjNunXILHjI/gcxG8wdsp9waILskjG9uTMOWfG&#10;65vRaHKUAZSzDZ3PSkqk5U4o2zX0y+fdqxUlEJkVTDsrG3qSQG82L1+sB1/LyvVOCxkIglioB9/Q&#10;PkZfFwXwXhoGM+elxcPWBcMiLkNXiMAGRDe6qMpyWQwuCB8clwC4u50O6RkxXALo2lZxuXX8YKSN&#10;E2qQmkWUBL3yQDeZbdtKHj+1LchIdENRacxvLILxPr2LzZrVXWC+V/xMgV1C4Zkmw5TFovdQWxYZ&#10;OQT1F5RRPDhwbZxxZ4pJSHYEVczLZ97c9czLrAWtBn9vOvw/WP7xeBuIEjgJV9h4ywy2/NfX7z9/&#10;fCNpB/0ZPNSYdudvw3kFGCaxYxtM+qIMMiLCsnpztbym5NTQaj5HPYvJXzlGwjFhtSpxmxKeEpbl&#10;60X2v3gA8gHie+kMSUFDA7Yvu8qOHyBicUz9k5LqgtNK7JTWeRG6/VsdyJFhq3f5SdXxlydp2pKh&#10;odeLaoE8GM5vi3ODofHoAdgu13vyBzwGLvPzL+BEbMugnwhkhEm9UVEGZMLqXjLxzgoSTx5dtni9&#10;aCJjpKBES7yNKcqZkSl9SSaq0xZFph5NXUlRHPcjwqRw78QJG3zwQXU9WjrP1NMJDlR25zz8aWIf&#10;rzPow4Xf/A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BUeQs1QAAAAUBAAAPAAAAAAAAAAEAIAAA&#10;ACIAAABkcnMvZG93bnJldi54bWxQSwECFAAUAAAACACHTuJACePrPw8CAAA4BAAADgAAAAAAAAAB&#10;ACAAAAAkAQAAZHJzL2Uyb0RvYy54bWxQSwUGAAAAAAYABgBZAQAApQUAAAAA&#10;">
                        <v:fill on="t" focussize="0,0"/>
                        <v:stroke color="#000000" joinstyle="miter"/>
                        <v:imagedata o:title=""/>
                        <o:lock v:ext="edit" aspectratio="f"/>
                        <v:textbox>
                          <w:txbxContent>
                            <w:p>
                              <w:pPr>
                                <w:adjustRightInd w:val="0"/>
                                <w:snapToGrid w:val="0"/>
                                <w:jc w:val="center"/>
                              </w:pPr>
                              <w:r>
                                <w:rPr>
                                  <w:rFonts w:hint="eastAsia"/>
                                  <w:lang w:val="en-US" w:eastAsia="zh-CN"/>
                                </w:rPr>
                                <w:t>生活</w:t>
                              </w:r>
                              <w:r>
                                <w:rPr>
                                  <w:rFonts w:hint="eastAsia"/>
                                </w:rPr>
                                <w:t>用水</w:t>
                              </w:r>
                            </w:p>
                          </w:txbxContent>
                        </v:textbox>
                      </v:rect>
                      <v:line id="_x0000_s1026" o:spid="_x0000_s1026" o:spt="20" style="position:absolute;left:2081334;top:1795780;height:4445;width:794385;" filled="f" stroked="t" coordsize="21600,21600" o:gfxdata="UEsDBAoAAAAAAIdO4kAAAAAAAAAAAAAAAAAEAAAAZHJzL1BLAwQUAAAACACHTuJAejXAhtUAAAAF&#10;AQAADwAAAGRycy9kb3ducmV2LnhtbE2PzU7DMBCE70h9B2uRuFStnUCrKMTpoZAbFwqo1228JBHx&#10;Oo3dH3h6XC7lstJoRjPfFquz7cWRRt851pDMFQji2pmOGw3vb9UsA+EDssHeMWn4Jg+rcnJTYG7c&#10;iV/puAmNiCXsc9TQhjDkUvq6JYt+7gbi6H260WKIcmykGfEUy20vU6WW0mLHcaHFgdYt1V+bg9Xg&#10;qw/aVz/Teqq2942jdP/08oxa390m6hFEoHO4huGCH9GhjEw7d2DjRa8hPhL+bvSyJFuA2Gl4SJcL&#10;kGUh/9OXv1BLAwQUAAAACACHTuJAJCcZ/fwBAADqAwAADgAAAGRycy9lMm9Eb2MueG1srVNLjhMx&#10;EN0jcQfLe9KdH0la6cxiwrBBEAk4gGO705b8k8uTTi7BBZDYwYole27DcAzK7mYGhk0W9MJddj0/&#10;13sur69ORpOjDKCcrel4VFIiLXdC2UNN37+7ebakBCKzgmlnZU3PEujV5umTdecrOXGt00IGgiQW&#10;qs7XtI3RV0UBvJWGwch5aTHZuGBYxGk4FCKwDtmNLiZl+bzoXBA+OC4BcHXbJ+nAGC4hdE2juNw6&#10;fmukjT1rkJpFlASt8kA3udqmkTy+aRqQkeiaotKYRzwE430ai82aVYfAfKv4UAK7pIRHmgxTFg+9&#10;p9qyyMhtUP9QGcWDA9fEEXem6IVkR1DFuHzkzduWeZm1oNXg702H/0fLXx93gShR08l4QYllBq/8&#10;7uO3Hx8+//z+Cce7r19ISqFRnYcK8dd2F4YZ+F1Iqk9NMOmPesgJqcrleDqdUXLGBlus5ovlYLQ8&#10;RcIRsFjNpss5JRwBs9lsntiLBxofIL6UzpAU1FQrm1xgFTu+gthDf0PSsrakq+lqPkmMDFuywVbA&#10;0HiUBfaQ94LTStwordMOCIf9tQ7kyFJb5G8o4S9YOmTLoO1xOZVgrGolEy+sIPHs0S6L74SmEowU&#10;lGiJzypFGRmZ0pcgUb22aELyuHc1RXsnztnsvI4tkG0a2jX12J/zvPvhiW5+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o1wIbVAAAABQEAAA8AAAAAAAAAAQAgAAAAIgAAAGRycy9kb3ducmV2Lnht&#10;bFBLAQIUABQAAAAIAIdO4kAkJxn9/AEAAOoDAAAOAAAAAAAAAAEAIAAAACQBAABkcnMvZTJvRG9j&#10;LnhtbFBLBQYAAAAABgAGAFkBAACSBQAAAAA=&#10;">
                        <v:fill on="f" focussize="0,0"/>
                        <v:stroke color="#000000" joinstyle="round"/>
                        <v:imagedata o:title=""/>
                        <o:lock v:ext="edit" aspectratio="f"/>
                      </v:line>
                      <v:line id="_x0000_s1026" o:spid="_x0000_s1026" o:spt="20" style="position:absolute;left:2080699;top:1699260;flip:x y;height:103505;width:3175;" filled="f" stroked="t" coordsize="21600,21600" o:gfxdata="UEsDBAoAAAAAAIdO4kAAAAAAAAAAAAAAAAAEAAAAZHJzL1BLAwQUAAAACACHTuJAb/6PQ9YAAAAF&#10;AQAADwAAAGRycy9kb3ducmV2LnhtbE2PzWrDMBCE74W+g9hCLqGRZBpjXMuhFJqGXkp+HkCxtrZb&#10;aWUsOUnfvmovzWVhmGHm22p1cZadcAy9JwVyIYAhNd701Co47F/uC2AhajLaekIF3xhgVd/eVLo0&#10;/kxbPO1iy1IJhVIr6GIcSs5D06HTYeEHpOR9+NHpmOTYcjPqcyp3lmdC5NzpntJCpwd87rD52k1O&#10;wdPw/jllG7k2Yp/N53aTS//6ptTsTopHYBEv8T8Mv/gJHerEdPQTmcCsgvRI/LvJK2SxBHZU8JDl&#10;S+B1xa/p6x9QSwMEFAAAAAgAh07iQEapOq0NAgAAAgQAAA4AAABkcnMvZTJvRG9jLnhtbK1Ty24T&#10;MRTdI/EPlvdkJqkSmlEmXTQUFggi8djfeOwZS37JdjPJT/ADSOxgxbJ7/ob2M3rtGVooQuoCL6xr&#10;3+Pje46vV2cHrcie+yCtqel0UlLCDbONNG1NP7y/eHZKSYhgGlDW8JoeeaBn66dPVr2r+Mx2VjXc&#10;EyQxoepdTbsYXVUUgXVcQ5hYxw0mhfUaIi59WzQeemTXqpiV5aLorW+ct4yHgLubIUlHRv8YQiuE&#10;ZHxj2aXmJg6sniuIKCl00gW6ztUKwVl8K0TgkaiaotKYZ7wE412ai/UKqtaD6yQbS4DHlPBAkwZp&#10;8NI7qg1EIJde/kWlJfM2WBEnzOpiEJIdQRXT8oE37zpwPGtBq4O7Mz38P1r2Zr/1RDY1nU3x4Q1o&#10;fPLrz1c/P329+fEF5+vv30hKoVG9CxXiz83Wj6vgtj6pPgiviVDSvcKOojn6mKKUQ43kgPTlablY&#10;Lik5YgKD2WI0nx8iYQg4mT6fU8JSujyZl/N0YzFQJxrnQ3zJrSYpqKmSJjkDFexfhzhAf0HStjKk&#10;r+lyPkucgG0qsD0w1A6lBtPms8Eq2VxIpdKJ4NvdufJkD6lV8hhL+AOWLtlA6AZcTiUYVB2H5oVp&#10;SDw6tNDg36GpBM0bShTHr5aijIwg1T0yegmmVf9AowPKoBHJ+8HtFO1sc8yPkPexNbJVYxun3vt9&#10;nU/ff931L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G/+j0PWAAAABQEAAA8AAAAAAAAAAQAgAAAA&#10;IgAAAGRycy9kb3ducmV2LnhtbFBLAQIUABQAAAAIAIdO4kBGqTqtDQIAAAIEAAAOAAAAAAAAAAEA&#10;IAAAACUBAABkcnMvZTJvRG9jLnhtbFBLBQYAAAAABgAGAFkBAACkBQAAAAA=&#10;">
                        <v:fill on="f" focussize="0,0"/>
                        <v:stroke color="#000000" joinstyle="round" endarrow="block"/>
                        <v:imagedata o:title=""/>
                        <o:lock v:ext="edit" aspectratio="f"/>
                      </v:line>
                      <v:rect id="_x0000_s1026" o:spid="_x0000_s1026" o:spt="1" style="position:absolute;left:2944495;top:1530350;height:229235;width:688340;" filled="f" stroked="f" coordsize="21600,21600" o:gfxdata="UEsDBAoAAAAAAIdO4kAAAAAAAAAAAAAAAAAEAAAAZHJzL1BLAwQUAAAACACHTuJAxDH++dcAAAAF&#10;AQAADwAAAGRycy9kb3ducmV2LnhtbE2PQWvCQBCF7wX/wzKFXkrdRFRCmokHQSqlII2t5zU7TUKz&#10;szG7Jvrvu+3FXgYe7/HeN9nqYloxUO8aywjxNAJBXFrdcIXwsd88JSCcV6xVa5kQruRglU/uMpVq&#10;O/I7DYWvRChhlyqE2vsuldKVNRnlprYjDt6X7Y3yQfaV1L0aQ7lp5SyKltKohsNCrTpa11R+F2eD&#10;MJa74bB/e5G7x8PW8ml7Whefr4gP93H0DMLTxd/C8Isf0CEPTEd7Zu1EixAe8X83eEmcLEAcEeaz&#10;5QJknsn/9PkPUEsDBBQAAAAIAIdO4kDvBHGBsQEAAFADAAAOAAAAZHJzL2Uyb0RvYy54bWytU0tu&#10;2zAQ3RfoHQjua8ryB7ZgORsj3RRtgLQHoCnSIsAfhrQln6ZAdz1Ej1P0Gh1KStImmyyyoWaGgzfv&#10;vaF2N7015CIhau9qOp8VlEgnfKPdqabfvt5+2FASE3cNN97Jml5lpDf79+92Xahk6VtvGgkEQVys&#10;ulDTNqVQMRZFKy2PMx+kw0vlwfKEKZxYA7xDdGtYWRRr1nloAnghY8TqYbykEyK8BtArpYU8eHG2&#10;0qURFaThCSXFVodI9wNbpaRIX5SKMhFTU1SahhOHYHzMJ9vveHUCHlotJgr8NRSeabJcOxz6CHXg&#10;iZMz6BdQVgvw0as0E96yUcjgCKqYF8+8uW95kIMWtDqGR9Pj28GKz5c7ILqpableU+K4xZX/+f7z&#10;968fJFfQny7ECtvuwx1MWcQwi+0V2PxFGaRHhO1yudyuKLniu1otisVq8lf2iQhsWG82iyU6L7Ch&#10;LLflYpXx2RNQgJg+Sm9JDmoKuL7BVX75FNPY+tCS5zp/q43BOq+M+6+AmLnCMveRbY5Sf+wnCUff&#10;XFH4OYA+tThqPjDJTWj0wGl6FHmT/+YD6NOPsP8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xDH+&#10;+dcAAAAFAQAADwAAAAAAAAABACAAAAAiAAAAZHJzL2Rvd25yZXYueG1sUEsBAhQAFAAAAAgAh07i&#10;QO8EcYGxAQAAUAMAAA4AAAAAAAAAAQAgAAAAJgEAAGRycy9lMm9Eb2MueG1sUEsFBgAAAAAGAAYA&#10;WQEAAEkFAAAAAA==&#10;">
                        <v:fill on="f" focussize="0,0"/>
                        <v:stroke on="f"/>
                        <v:imagedata o:title=""/>
                        <o:lock v:ext="edit" aspectratio="f"/>
                        <v:textbox>
                          <w:txbxContent>
                            <w:p>
                              <w:pPr>
                                <w:adjustRightInd w:val="0"/>
                                <w:snapToGrid w:val="0"/>
                                <w:rPr>
                                  <w:rFonts w:hint="default" w:eastAsia="宋体"/>
                                  <w:lang w:val="en-US" w:eastAsia="zh-CN"/>
                                </w:rPr>
                              </w:pPr>
                              <w:r>
                                <w:rPr>
                                  <w:rFonts w:hint="eastAsia"/>
                                  <w:lang w:val="en-US" w:eastAsia="zh-CN"/>
                                </w:rPr>
                                <w:t>216</w:t>
                              </w:r>
                            </w:p>
                          </w:txbxContent>
                        </v:textbox>
                      </v:rect>
                      <v:shape id="_x0000_s1026" o:spid="_x0000_s1026" o:spt="38" type="#_x0000_t38" style="position:absolute;left:1890199;top:1307465;flip:y;height:114300;width:368300;" filled="f" stroked="t" coordsize="21600,21600" o:gfxdata="UEsDBAoAAAAAAIdO4kAAAAAAAAAAAAAAAAAEAAAAZHJzL1BLAwQUAAAACACHTuJAREZMEdUAAAAF&#10;AQAADwAAAGRycy9kb3ducmV2LnhtbE2PwU7DMBBE70j9B2uRuCDqpGqjKMTpoRJSD1xo+gGbeIkD&#10;8TqKnTbw9Rgu9LLSaEYzb8v9Ygdxocn3jhWk6wQEcet0z52Cc/3ylIPwAVnj4JgUfJGHfbW6K7HQ&#10;7spvdDmFTsQS9gUqMCGMhZS+NWTRr91IHL13N1kMUU6d1BNeY7kd5CZJMmmx57hgcKSDofbzNFsF&#10;S4szzt8fWJtsy91jfXxt6qNSD/dp8gwi0BL+w/CLH9GhikyNm1l7MSiIj4S/G708zXcgGgXbTbYD&#10;WZXylr76AVBLAwQUAAAACACHTuJA1S/KWy8CAAAyBAAADgAAAGRycy9lMm9Eb2MueG1srVPLbhMx&#10;FN0j8Q+W92QmSZMmUSZdJJQNgkg89o4fM0Z+yXYyyU/wA0jsYNUVSzb9m5bP4NoztFCE1AWzGF3b&#10;x+fec+718uKoFTpwH6Q1FR4OSoy4oZZJU1f43dvLZzOMQiSGEWUNr/CJB3yxevpk2boFH9nGKsY9&#10;AhITFq2rcBOjWxRFoA3XJAys4wYOhfWaRFj6umCetMCuVTEqy2nRWs+ct5SHALub7hD3jP4xhFYI&#10;SfnG0r3mJnasnisSQVJopAt4lasVgtP4WojAI1IVBqUx/yEJxLv0L1ZLsqg9cY2kfQnkMSU80KSJ&#10;NJD0jmpDIkF7L/+i0pJ6G6yIA2p10QnJjoCKYfnAmzcNcTxrAauDuzM9/D9a+uqw9UiyCo+m5xgZ&#10;oqHlN5++3X6//nH9+ebjl9urrygdgVGtCwvAr83W96vgtj6pPgqvkVDSvYeJyj6AMnSExWxeDudz&#10;jE4Qj8vzs+mks5wfI6IAGE9n4xKaQRNgeJZi4C46ykTtfIgvuNUoBRWme3/gbG2NgdZaP87JyOFl&#10;iNl91isg7MMQI6EVNPNAFJqU5WzcM/doyPGLO11VBrUVnk9GEyiGwFwLmCcItQNvgqlzomCVZJdS&#10;qXQj+Hq3Vh4BP0xS/voMf8BSkg0JTYdjEHUONJyw54aheHJguYG3hlMFmjOMFIenmaI8npFIdY+M&#10;XhJTq3+gQZUyYGDqVdedFO0sO+Wm5X0YpWxxP/ZpVn9f59v3T331E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ERGTBHVAAAABQEAAA8AAAAAAAAAAQAgAAAAIgAAAGRycy9kb3ducmV2LnhtbFBLAQIU&#10;ABQAAAAIAIdO4kDVL8pbLwIAADIEAAAOAAAAAAAAAAEAIAAAACQBAABkcnMvZTJvRG9jLnhtbFBL&#10;BQYAAAAABgAGAFkBAADFBQAAAAA=&#10;" adj="10818">
                        <v:fill on="f" focussize="0,0"/>
                        <v:stroke color="#000000" joinstyle="round" dashstyle="dash" endarrow="block"/>
                        <v:imagedata o:title=""/>
                        <o:lock v:ext="edit" aspectratio="f"/>
                      </v:shape>
                      <v:rect id="_x0000_s1026" o:spid="_x0000_s1026" o:spt="1" style="position:absolute;left:2240719;top:1101725;height:266700;width:791210;" filled="f" stroked="f" coordsize="21600,21600" o:gfxdata="UEsDBAoAAAAAAIdO4kAAAAAAAAAAAAAAAAAEAAAAZHJzL1BLAwQUAAAACACHTuJAxDH++dcAAAAF&#10;AQAADwAAAGRycy9kb3ducmV2LnhtbE2PQWvCQBCF7wX/wzKFXkrdRFRCmokHQSqlII2t5zU7TUKz&#10;szG7Jvrvu+3FXgYe7/HeN9nqYloxUO8aywjxNAJBXFrdcIXwsd88JSCcV6xVa5kQruRglU/uMpVq&#10;O/I7DYWvRChhlyqE2vsuldKVNRnlprYjDt6X7Y3yQfaV1L0aQ7lp5SyKltKohsNCrTpa11R+F2eD&#10;MJa74bB/e5G7x8PW8ml7Whefr4gP93H0DMLTxd/C8Isf0CEPTEd7Zu1EixAe8X83eEmcLEAcEeaz&#10;5QJknsn/9PkPUEsDBBQAAAAIAIdO4kARXOgOsQEAAFADAAAOAAAAZHJzL2Uyb0RvYy54bWytU0uO&#10;1DAQ3SNxB8t72kmAbibq9GxawwbBSMMcwO3YHUv+yeXupE+DxI5DcBzENSg7YQaGzSzYOFXlp1f1&#10;Xjnb68kacpYRtHcdrVcVJdIJ32t37Oj955tX7yiBxF3PjXeyoxcJ9Hr38sV2DK1s/OBNLyNBEgft&#10;GDo6pBRaxkAM0nJY+SAdXiofLU+YxiPrIx+R3RrWVNWajT72IXohAbC6ny/pwhifQ+iV0kLuvThZ&#10;6dLMGqXhCSXBoAPQXZlWKSnSJ6VAJmI6ikpTObEJxod8st2Wt8fIw6DFMgJ/zghPNFmuHTZ9oNrz&#10;xMkp6n+orBbRg1dpJbxls5DiCKqoqyfe3A08yKIFrYbwYDr8P1rx8Xwbie47+rpqKHHc4sp/fvn2&#10;4/tXkivozxigRdhduI1LBhhmsZOKNn9RBpk62jRvqk19RckF31Vd1Zvm7eyvnBIRCNhc1U2NzgsE&#10;NOv1pir+s0eiECG9l96SHHQ04vqKq/z8ARI2R+hvSO7r/I02pqzQuL8KCMwVlmefp81Rmg7TIuHg&#10;+wsKP4WojwO2qvOkBY5Gl0bLo8ib/DMvqMcfYfc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xDH+&#10;+dcAAAAFAQAADwAAAAAAAAABACAAAAAiAAAAZHJzL2Rvd25yZXYueG1sUEsBAhQAFAAAAAgAh07i&#10;QBFc6A6xAQAAUAMAAA4AAAAAAAAAAQAgAAAAJgEAAGRycy9lMm9Eb2MueG1sUEsFBgAAAAAGAAYA&#10;WQEAAEkFAAAAAA==&#10;">
                        <v:fill on="f" focussize="0,0"/>
                        <v:stroke on="f"/>
                        <v:imagedata o:title=""/>
                        <o:lock v:ext="edit" aspectratio="f"/>
                        <v:textbox>
                          <w:txbxContent>
                            <w:p>
                              <w:pPr>
                                <w:adjustRightInd w:val="0"/>
                                <w:snapToGrid w:val="0"/>
                                <w:rPr>
                                  <w:rFonts w:hint="default" w:eastAsia="宋体"/>
                                  <w:lang w:val="en-US" w:eastAsia="zh-CN"/>
                                </w:rPr>
                              </w:pPr>
                              <w:r>
                                <w:rPr>
                                  <w:rFonts w:hint="eastAsia"/>
                                </w:rPr>
                                <w:t>蒸发</w:t>
                              </w:r>
                              <w:r>
                                <w:rPr>
                                  <w:rFonts w:hint="eastAsia"/>
                                  <w:lang w:val="en-US" w:eastAsia="zh-CN"/>
                                </w:rPr>
                                <w:t>2.16</w:t>
                              </w:r>
                            </w:p>
                          </w:txbxContent>
                        </v:textbox>
                      </v:rect>
                      <v:shape id="_x0000_s1026" o:spid="_x0000_s1026" o:spt="38" type="#_x0000_t38" style="position:absolute;left:1862259;top:1996440;flip:y;height:114300;width:368300;" filled="f" stroked="t" coordsize="21600,21600" o:gfxdata="UEsDBAoAAAAAAIdO4kAAAAAAAAAAAAAAAAAEAAAAZHJzL1BLAwQUAAAACACHTuJAREZMEdUAAAAF&#10;AQAADwAAAGRycy9kb3ducmV2LnhtbE2PwU7DMBBE70j9B2uRuCDqpGqjKMTpoRJSD1xo+gGbeIkD&#10;8TqKnTbw9Rgu9LLSaEYzb8v9Ygdxocn3jhWk6wQEcet0z52Cc/3ylIPwAVnj4JgUfJGHfbW6K7HQ&#10;7spvdDmFTsQS9gUqMCGMhZS+NWTRr91IHL13N1kMUU6d1BNeY7kd5CZJMmmx57hgcKSDofbzNFsF&#10;S4szzt8fWJtsy91jfXxt6qNSD/dp8gwi0BL+w/CLH9GhikyNm1l7MSiIj4S/G708zXcgGgXbTbYD&#10;WZXylr76AVBLAwQUAAAACACHTuJAAS92xi8CAAAyBAAADgAAAGRycy9lMm9Eb2MueG1srVPLjtMw&#10;FN0j8Q+W9zRp0lZt1HQWLcMGQSUee9d2GiO/ZLtN+xP8ABI7WLGaJZv5mxk+g2snzMAgpFmQRXRt&#10;H597z7nXy4uTkujInRdG13g8yjHimhom9L7G795ePptj5APRjEijeY3P3OOL1dMny85WvDCtkYw7&#10;BCTaV52tcRuCrbLM05Yr4kfGcg2HjXGKBFi6fcYc6YBdyazI81nWGcesM5R7D7ub/hAPjO4xhKZp&#10;BOUbQw+K69CzOi5JAEm+FdbjVaq2aTgNr5vG84BkjUFpSH9IAvEu/rPVklR7R2wr6FACeUwJDzQp&#10;IjQkvaPakEDQwYm/qJSgznjThBE1KuuFJEdAxTh/4M2bllietIDV3t6Z7v8fLX113DokWI3LssBI&#10;EwUtv/l0dfv9+sf155uPX26/fUXxCIzqrK8Av9ZbN6y83bqo+tQ4hRop7HuYqOQDKEMnWMxnRTFd&#10;YHSGeLGYTSaD5fwUEAVAOZuXOTSDRsB4EmPgznrKSG2dDy+4USgGNaYHd+RsbbSG1hpXpmTk+NKH&#10;5D4bFBD2YYxRoyQ080gkmub5vByYBzTk+MUdr0qNuhovpsUUiiEw1w3ME4TKgjde71Mib6Rgl0LK&#10;eMO7/W4tHQJ+mKT0DRn+gMUkG+LbHscgiihStZyw55qhcLZguYa3hmMFijOMJIenGaOEDETIe2Rw&#10;gui9/AcaVEkNBsZe9d2J0c6wc2pa2odRShYPYx9n9fd1un3/1Fc/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ERGTBHVAAAABQEAAA8AAAAAAAAAAQAgAAAAIgAAAGRycy9kb3ducmV2LnhtbFBLAQIU&#10;ABQAAAAIAIdO4kABL3bGLwIAADIEAAAOAAAAAAAAAAEAIAAAACQBAABkcnMvZTJvRG9jLnhtbFBL&#10;BQYAAAAABgAGAFkBAADFBQAAAAA=&#10;" adj="10818">
                        <v:fill on="f" focussize="0,0"/>
                        <v:stroke color="#000000" joinstyle="round" dashstyle="dash" endarrow="block"/>
                        <v:imagedata o:title=""/>
                        <o:lock v:ext="edit" aspectratio="f"/>
                      </v:shape>
                      <v:rect id="_x0000_s1026" o:spid="_x0000_s1026" o:spt="1" style="position:absolute;left:2249170;top:1838325;height:246380;width:583565;" filled="f" stroked="f" coordsize="21600,21600" o:gfxdata="UEsDBAoAAAAAAIdO4kAAAAAAAAAAAAAAAAAEAAAAZHJzL1BLAwQUAAAACACHTuJAxDH++dcAAAAF&#10;AQAADwAAAGRycy9kb3ducmV2LnhtbE2PQWvCQBCF7wX/wzKFXkrdRFRCmokHQSqlII2t5zU7TUKz&#10;szG7Jvrvu+3FXgYe7/HeN9nqYloxUO8aywjxNAJBXFrdcIXwsd88JSCcV6xVa5kQruRglU/uMpVq&#10;O/I7DYWvRChhlyqE2vsuldKVNRnlprYjDt6X7Y3yQfaV1L0aQ7lp5SyKltKohsNCrTpa11R+F2eD&#10;MJa74bB/e5G7x8PW8ml7Whefr4gP93H0DMLTxd/C8Isf0CEPTEd7Zu1EixAe8X83eEmcLEAcEeaz&#10;5QJknsn/9PkPUEsDBBQAAAAIAIdO4kDLNJtsswEAAFADAAAOAAAAZHJzL2Uyb0RvYy54bWytU0tu&#10;2zAQ3RfoHQjua9lS7KqC5WyMdFO0AdIcgKZIiwB/4NCWfJoC3fUQPU7Ra3RIqUmbbLLIhpoZPryZ&#10;94baXo9Gk7MIoJxt6WqxpERY7jpljy29/3rzrqYEIrMd086Kll4E0Ovd2zfbwTeidL3TnQgESSw0&#10;g29pH6NvigJ4LwyDhfPC4qV0wbCIaTgWXWADshtdlMvlphhc6HxwXABgdT9d0pkxvITQSam42Dt+&#10;MsLGiTUIzSJKgl55oLs8rZSCxy9SgohEtxSVxnxiE4wP6Sx2W9YcA/O94vMI7CUjPNFkmLLY9IFq&#10;zyIjp6CeURnFgwMn44I7U0xCsiOoYrV84s1dz7zIWtBq8A+mw+vR8s/n20BU19KqqiixzODKf3/7&#10;8evnd5Iq6M/goUHYnb8NcwYYJrGjDCZ9UQYZW1qWVx9W79HZC76ruqqrcj35K8ZIOALWdbXerCnh&#10;CCivNlWd/S8eiXyA+FE4Q1LQ0oDry66y8yeI2ByhfyGpr3U3Suu8Qm3/KyAwVYo0+zRtiuJ4GGcJ&#10;B9ddUPjJB3XssdUqTZrhaHRuND+KtMl/84x6/BF2f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E&#10;Mf751wAAAAUBAAAPAAAAAAAAAAEAIAAAACIAAABkcnMvZG93bnJldi54bWxQSwECFAAUAAAACACH&#10;TuJAyzSbbLMBAABQAwAADgAAAAAAAAABACAAAAAmAQAAZHJzL2Uyb0RvYy54bWxQSwUGAAAAAAYA&#10;BgBZAQAASwUAAAAA&#10;">
                        <v:fill on="f" focussize="0,0"/>
                        <v:stroke on="f"/>
                        <v:imagedata o:title=""/>
                        <o:lock v:ext="edit" aspectratio="f"/>
                        <v:textbox>
                          <w:txbxContent>
                            <w:p>
                              <w:pPr>
                                <w:adjustRightInd w:val="0"/>
                                <w:snapToGrid w:val="0"/>
                                <w:rPr>
                                  <w:rFonts w:hint="default" w:eastAsia="宋体"/>
                                  <w:color w:val="auto"/>
                                  <w:lang w:val="en-US" w:eastAsia="zh-CN"/>
                                </w:rPr>
                              </w:pPr>
                              <w:r>
                                <w:rPr>
                                  <w:rFonts w:hint="eastAsia"/>
                                  <w:color w:val="auto"/>
                                </w:rPr>
                                <w:t>0.</w:t>
                              </w:r>
                              <w:r>
                                <w:rPr>
                                  <w:rFonts w:hint="eastAsia"/>
                                  <w:color w:val="auto"/>
                                  <w:lang w:val="en-US" w:eastAsia="zh-CN"/>
                                </w:rPr>
                                <w:t>066</w:t>
                              </w:r>
                            </w:p>
                          </w:txbxContent>
                        </v:textbox>
                      </v:rect>
                      <v:line id="_x0000_s1026" o:spid="_x0000_s1026" o:spt="20" style="position:absolute;left:2506345;top:2244725;height:2540;width:401955;" filled="f" stroked="t" coordsize="21600,21600" o:gfxdata="UEsDBAoAAAAAAIdO4kAAAAAAAAAAAAAAAAAEAAAAZHJzL1BLAwQUAAAACACHTuJASUFj5tcAAAAF&#10;AQAADwAAAGRycy9kb3ducmV2LnhtbE2PwU7DMBBE70j8g7VI3KiTilZWyKYHpHJpAbVFCG5uvCQR&#10;8TqynTb8PYYLXFYazWjmbbmabC9O5EPnGCGfZSCIa2c6bhBeDusbBSJEzUb3jgnhiwKsqsuLUhfG&#10;nXlHp31sRCrhUGiENsahkDLULVkdZm4gTt6H81bHJH0jjdfnVG57Oc+ypbS647TQ6oHuW6o/96NF&#10;2G3XG/W6Gafavz/kT4fn7eNbUIjXV3l2ByLSFP/C8IOf0KFKTEc3sgmiR0iPxN+bPJWrBYgjwu18&#10;uQBZlfI/ffUNUEsDBBQAAAAIAIdO4kBuNGGKBgIAAO4DAAAOAAAAZHJzL2Uyb0RvYy54bWytU0uO&#10;1DAQ3SNxB8t7OulPBibq9CymGTYIWoI5QLXtJJb8k+3pdF+CCyCxgxVL9tyG4RhTdpppGIQ0C7Jw&#10;yvbzq3rP5eXFXiuyEz5Iaxo6nZSUCMMsl6Zr6PX7q2cvKAkRDAdljWjoQQR6sXr6ZDm4WsxsbxUX&#10;niCJCfXgGtrH6OqiCKwXGsLEOmFws7VeQ8Sp7wruYUB2rYpZWZ4Vg/XcectECLi6HjfpkdE/htC2&#10;rWRibdmNFiaOrF4oiCgp9NIFusrVtq1g8W3bBhGJaigqjXnEJBhv01isllB3Hlwv2bEEeEwJDzRp&#10;kAaT3lOtIQK58fIvKi2Zt8G2ccKsLkYh2RFUMS0fePOuByeyFrQ6uHvTw/+jZW92G08kb+h8jhdv&#10;QOOV33789uPD55/fP+F4+/ULSVto1OBCjfhLs/HHWXAbn1TvW6/TH/WQfUNnVXk2X1SUHDCeLRbP&#10;Z9VotNhHwhCwKKfnFe6zBKgW+RqKE43zIb4SVpMUNFRJk1yAGnavQ8TUCP0FScvKkKGh5xVmIQyw&#10;JVtsBQy1Q1nBdPlssEryK6lUOhF8t71UnuwgtUX+UoHI+wcsJVlD6Edc3hp19AL4S8NJPDi0y+A7&#10;oakELTglSuCzShESQh1BqhMyegmmU/9AY3plsIrk8+hsiraWH7LheR3bINd5bNnUZ7/P8+nTM13d&#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ElBY+bXAAAABQEAAA8AAAAAAAAAAQAgAAAAIgAAAGRy&#10;cy9kb3ducmV2LnhtbFBLAQIUABQAAAAIAIdO4kBuNGGKBgIAAO4DAAAOAAAAAAAAAAEAIAAAACYB&#10;AABkcnMvZTJvRG9jLnhtbFBLBQYAAAAABgAGAFkBAACeBQAAAAA=&#10;">
                        <v:fill on="f" focussize="0,0"/>
                        <v:stroke color="#000000" joinstyle="round" endarrow="block"/>
                        <v:imagedata o:title=""/>
                        <o:lock v:ext="edit" aspectratio="f"/>
                      </v:line>
                      <v:line id="_x0000_s1026" o:spid="_x0000_s1026" o:spt="20" style="position:absolute;left:3799205;top:2240915;height:2540;width:401955;" filled="f" stroked="t" coordsize="21600,21600" o:gfxdata="UEsDBAoAAAAAAIdO4kAAAAAAAAAAAAAAAAAEAAAAZHJzL1BLAwQUAAAACACHTuJASUFj5tcAAAAF&#10;AQAADwAAAGRycy9kb3ducmV2LnhtbE2PwU7DMBBE70j8g7VI3KiTilZWyKYHpHJpAbVFCG5uvCQR&#10;8TqynTb8PYYLXFYazWjmbbmabC9O5EPnGCGfZSCIa2c6bhBeDusbBSJEzUb3jgnhiwKsqsuLUhfG&#10;nXlHp31sRCrhUGiENsahkDLULVkdZm4gTt6H81bHJH0jjdfnVG57Oc+ypbS647TQ6oHuW6o/96NF&#10;2G3XG/W6Gafavz/kT4fn7eNbUIjXV3l2ByLSFP/C8IOf0KFKTEc3sgmiR0iPxN+bPJWrBYgjwu18&#10;uQBZlfI/ffUNUEsDBBQAAAAIAIdO4kAq+UMsBQIAAO4DAAAOAAAAZHJzL2Uyb0RvYy54bWytU82O&#10;0zAQviPxDpbvNGm2BRI13cOW5YJgJeABpraTWPKfbG/TvgQvgMQNThy579uwPAZjp2xhEdIe6MEd&#10;ez5/M9+X8ep8rxXZCR+kNS2dz0pKhGGWS9O39P27yyfPKQkRDAdljWjpQQR6vn78aDW6RlR2sIoL&#10;T5DEhGZ0LR1idE1RBDYIDWFmnTCY7KzXEHHr+4J7GJFdq6Iqy6fFaD133jIRAp5upiQ9MvqHENqu&#10;k0xsLLvWwsSJ1QsFESWFQbpA17nbrhMsvum6ICJRLUWlMa9YBONtWov1CpregxskO7YAD2nhniYN&#10;0mDRO6oNRCDXXv5FpSXzNtguzpjVxSQkO4Iq5uU9b94O4ETWglYHd2d6+H+07PXuyhPJW3p2VlNi&#10;QOMnv/347fuHzz9uPuF6+/ULSSk0anShQfyFufLHXXBXPqned16nf9RD9kj1rK6rcknJoaVVtSjr&#10;+XIyWuwjYQhYlPN6iXmWAMtF/gzFicb5EF8Kq0kKWqqkSS5AA7tXIWJphP6CpGNlyNjSelklRsCR&#10;7HAUMNQOZQXT57vBKskvpVLpRvD99kJ5soM0FvmXGkTeP2CpyAbCMOFyatIxCOAvDCfx4NAug++E&#10;pha04JQogc8qRUgITQSpTsjoJZhe/QON5ZXBLpLPk7Mp2lp+yIbncxyD3OdxZNOc/b7Pt0/PdP0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SUFj5tcAAAAFAQAADwAAAAAAAAABACAAAAAiAAAAZHJz&#10;L2Rvd25yZXYueG1sUEsBAhQAFAAAAAgAh07iQCr5QywFAgAA7gMAAA4AAAAAAAAAAQAgAAAAJgEA&#10;AGRycy9lMm9Eb2MueG1sUEsFBgAAAAAGAAYAWQEAAJ0FAAAAAA==&#10;">
                        <v:fill on="f" focussize="0,0"/>
                        <v:stroke color="#000000" joinstyle="round" endarrow="block"/>
                        <v:imagedata o:title=""/>
                        <o:lock v:ext="edit" aspectratio="f"/>
                      </v:line>
                      <v:rect id="_x0000_s1026" o:spid="_x0000_s1026" o:spt="1" style="position:absolute;left:4211955;top:2038985;height:440055;width:902970;" fillcolor="#FFFFFF" filled="t" stroked="t" coordsize="21600,21600" o:gfxdata="UEsDBAoAAAAAAIdO4kAAAAAAAAAAAAAAAAAEAAAAZHJzL1BLAwQUAAAACACHTuJAAVHkLNUAAAAF&#10;AQAADwAAAGRycy9kb3ducmV2LnhtbE2PwU7DMBBE70j8g7VI3KidQKsQ4vQAKhLHNr1w28RLEojX&#10;Uey0ga/HcIHLSqMZzbwttosdxIkm3zvWkKwUCOLGmZ5bDcdqd5OB8AHZ4OCYNHySh215eVFgbtyZ&#10;93Q6hFbEEvY5auhCGHMpfdORRb9yI3H03txkMUQ5tdJMeI7ldpCpUhtpsee40OFIjx01H4fZaqj7&#10;9Ihf++pZ2fvdbXhZqvf59Unr66tEPYAItIS/MPzgR3QoI1PtZjZeDBriI+H3Ri9LsjWIWsNdulmD&#10;LAv5n778BlBLAwQUAAAACACHTuJAx6aa7g4CAAA4BAAADgAAAGRycy9lMm9Eb2MueG1srVPLrtMw&#10;EN0j8Q+W99ykuS20UdO7oJQNgitd+ADXdhJLfsnjNunXILHjI/gcxG8wdsp9waILsnDG8eTMOWfG&#10;65vRaHKUAZSzDZ1dlZRIy51Qtmvol8+7V0tKIDIrmHZWNvQkgd5sXr5YD76WleudFjIQBLFQD76h&#10;fYy+LgrgvTQMrpyXFg9bFwyLuA1dIQIbEN3ooirL18XggvDBcQmAX7fTIT0jhksAXdsqLreOH4y0&#10;cUINUrOIkqBXHugms21byeOntgUZiW4oKo15xSIY79NabNas7gLzveJnCuwSCs80GaYsFr2H2rLI&#10;yCGov6CM4sGBa+MVd6aYhGRHUMWsfObNXc+8zFrQavD3psP/g+Ufj7eBKNHQ6zl6YpnBlv/6+v3n&#10;j28kfUF/Bg81pt3523DeAYZJ7NgGk94og4wNnVez2WqxoOTU0Kq8Xq6Wi8lfOUbCMWFVVqs3WIVj&#10;wnxelpiLiMUDkA8Q30tnSAoaGrB92VV2/ABxSv2TkuqC00rslNZ5E7r9Wx3IkWGrd/k5oz9J05YM&#10;yGRRIU/OcH5bnBsMjUcPwHa53pM/4DFwmZ9/ASdiWwb9RCAjTOqNijIgeVb3kol3VpB48uiyxetF&#10;ExkjBSVa4m1MUc6MTOlLMtE7bdHC1KOpKymK435EmBTunThhgw8+qK5HS2eZejrBgcren4c/Tezj&#10;fQZ9uPCb3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AFR5CzVAAAABQEAAA8AAAAAAAAAAQAgAAAA&#10;IgAAAGRycy9kb3ducmV2LnhtbFBLAQIUABQAAAAIAIdO4kDHppruDgIAADgEAAAOAAAAAAAAAAEA&#10;IAAAACQBAABkcnMvZTJvRG9jLnhtbFBLBQYAAAAABgAGAFkBAACkBQAAAAA=&#10;">
                        <v:fill on="t" focussize="0,0"/>
                        <v:stroke color="#000000" joinstyle="miter"/>
                        <v:imagedata o:title=""/>
                        <o:lock v:ext="edit" aspectratio="f"/>
                        <v:textbox>
                          <w:txbxContent>
                            <w:p>
                              <w:pPr>
                                <w:adjustRightInd w:val="0"/>
                                <w:snapToGrid w:val="0"/>
                                <w:rPr>
                                  <w:color w:val="FF0000"/>
                                </w:rPr>
                              </w:pPr>
                              <w:r>
                                <w:rPr>
                                  <w:rFonts w:hint="eastAsia"/>
                                  <w:color w:val="auto"/>
                                </w:rPr>
                                <w:t>园洲镇第</w:t>
                              </w:r>
                              <w:r>
                                <w:rPr>
                                  <w:rFonts w:hint="eastAsia"/>
                                  <w:color w:val="auto"/>
                                  <w:lang w:val="en-US" w:eastAsia="zh-CN"/>
                                </w:rPr>
                                <w:t>五</w:t>
                              </w:r>
                              <w:r>
                                <w:rPr>
                                  <w:rFonts w:hint="eastAsia"/>
                                  <w:color w:val="auto"/>
                                </w:rPr>
                                <w:t>污水处理厂</w:t>
                              </w:r>
                            </w:p>
                          </w:txbxContent>
                        </v:textbox>
                      </v:rect>
                      <v:rect id="_x0000_s1026" o:spid="_x0000_s1026" o:spt="1" style="position:absolute;left:3801110;top:1999615;height:245110;width:565150;" filled="f" stroked="f" coordsize="21600,21600" o:gfxdata="UEsDBAoAAAAAAIdO4kAAAAAAAAAAAAAAAAAEAAAAZHJzL1BLAwQUAAAACACHTuJAxDH++dcAAAAF&#10;AQAADwAAAGRycy9kb3ducmV2LnhtbE2PQWvCQBCF7wX/wzKFXkrdRFRCmokHQSqlII2t5zU7TUKz&#10;szG7Jvrvu+3FXgYe7/HeN9nqYloxUO8aywjxNAJBXFrdcIXwsd88JSCcV6xVa5kQruRglU/uMpVq&#10;O/I7DYWvRChhlyqE2vsuldKVNRnlprYjDt6X7Y3yQfaV1L0aQ7lp5SyKltKohsNCrTpa11R+F2eD&#10;MJa74bB/e5G7x8PW8ml7Whefr4gP93H0DMLTxd/C8Isf0CEPTEd7Zu1EixAe8X83eEmcLEAcEeaz&#10;5QJknsn/9PkPUEsDBBQAAAAIAIdO4kDBMyvorwEAAFADAAAOAAAAZHJzL2Uyb0RvYy54bWytU0tu&#10;2zAQ3RfoHQjua0pOZMSC5WyMZBM0AdIegKZIiwB/GNKWfJoC2fUQPU7Ra3QoqUmbbrLIhpoZPryZ&#10;94baXA/WkJOEqL1raLkoKJFO+Fa7Q0O/frn5dEVJTNy13HgnG3qWkV5vP37Y9KGWS99500ogSOJi&#10;3YeGdimFmrEoOml5XPggHV4qD5YnTOHAWuA9slvDlkWxYr2HNoAXMkas7qZLOjPCWwi9UlrInRdH&#10;K12aWEEanlBS7HSIdDtOq5QU6V6pKBMxDUWlaTyxCcb7fLLthtcH4KHTYh6Bv2WEV5os1w6bPlPt&#10;eOLkCPo/KqsF+OhVWghv2SRkdARVlMUrbx47HuSoBa2O4dn0+H604vPpAYhuG3pxWVLiuMWV//r2&#10;/eePJ5Ir6E8fYo2wx/AAcxYxzGIHBTZ/UQYZkOGqKMsSnT3ju1qv16uymvyVQyICAdWqKiu8FwhY&#10;XlYZi4zshShATLfSW5KDhgKub3SVn+5imqB/ILmv8zfaGKzz2rh/CsiZKyzPPk2bozTsh1nC3rdn&#10;FH4MoA8dthqVjnA0epxpfhR5k3/nI+nLj7D9D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Qx/vnX&#10;AAAABQEAAA8AAAAAAAAAAQAgAAAAIgAAAGRycy9kb3ducmV2LnhtbFBLAQIUABQAAAAIAIdO4kDB&#10;MyvorwEAAFADAAAOAAAAAAAAAAEAIAAAACYBAABkcnMvZTJvRG9jLnhtbFBLBQYAAAAABgAGAFkB&#10;AABHBQAAAAA=&#10;">
                        <v:fill on="f" focussize="0,0"/>
                        <v:stroke on="f"/>
                        <v:imagedata o:title=""/>
                        <o:lock v:ext="edit" aspectratio="f"/>
                        <v:textbox>
                          <w:txbxContent>
                            <w:p>
                              <w:pPr>
                                <w:adjustRightInd w:val="0"/>
                                <w:snapToGrid w:val="0"/>
                                <w:rPr>
                                  <w:rFonts w:hint="default" w:eastAsia="宋体"/>
                                  <w:color w:val="auto"/>
                                  <w:lang w:val="en-US" w:eastAsia="zh-CN"/>
                                </w:rPr>
                              </w:pPr>
                              <w:r>
                                <w:rPr>
                                  <w:rFonts w:hint="eastAsia" w:eastAsia="宋体"/>
                                  <w:color w:val="auto"/>
                                  <w:lang w:val="en-US" w:eastAsia="zh-CN"/>
                                </w:rPr>
                                <w:t>0.267</w:t>
                              </w:r>
                            </w:p>
                          </w:txbxContent>
                        </v:textbox>
                      </v:rect>
                      <v:rect id="_x0000_s1026" o:spid="_x0000_s1026" o:spt="1" style="position:absolute;left:2479675;top:1997075;height:245110;width:581660;" filled="f" stroked="f" coordsize="21600,21600" o:gfxdata="UEsDBAoAAAAAAIdO4kAAAAAAAAAAAAAAAAAEAAAAZHJzL1BLAwQUAAAACACHTuJAxDH++dcAAAAF&#10;AQAADwAAAGRycy9kb3ducmV2LnhtbE2PQWvCQBCF7wX/wzKFXkrdRFRCmokHQSqlII2t5zU7TUKz&#10;szG7Jvrvu+3FXgYe7/HeN9nqYloxUO8aywjxNAJBXFrdcIXwsd88JSCcV6xVa5kQruRglU/uMpVq&#10;O/I7DYWvRChhlyqE2vsuldKVNRnlprYjDt6X7Y3yQfaV1L0aQ7lp5SyKltKohsNCrTpa11R+F2eD&#10;MJa74bB/e5G7x8PW8ml7Whefr4gP93H0DMLTxd/C8Isf0CEPTEd7Zu1EixAe8X83eEmcLEAcEeaz&#10;5QJknsn/9PkPUEsDBBQAAAAIAIdO4kDTNQalsQEAAFADAAAOAAAAZHJzL2Uyb0RvYy54bWytU0tu&#10;2zAQ3RfoHQjua33qTyxYzsZIN0USIO0BaIq0CPCHIW3JpymQXQ7R4xS9Roe0mrTpJotuqJnhw5t5&#10;b6jN9Wg0OQkIytmWVrOSEmG565Q9tPTrl5sPV5SEyGzHtLOipWcR6PX2/bvN4BtRu97pTgBBEhua&#10;wbe0j9E3RRF4LwwLM+eFxUvpwLCIKRyKDtiA7EYXdVkui8FB58FxEQJWd5dLOjHCWwidlIqLneNH&#10;I2y8sILQLKKk0Csf6DZPK6Xg8U7KICLRLUWlMZ/YBON9OovthjUHYL5XfBqBvWWEV5oMUxabPlPt&#10;WGTkCOofKqM4uOBknHFniouQ7AiqqMpX3jz0zIusBa0O/tn08P9o+e3pHojqWvpxXlNimcGV//z2&#10;9OP7I0kV9GfwoUHYg7+HKQsYJrGjBJO+KIOMLa3nq/VytaDkjO9qvV6VGGd/xRgJR8Diqlou0XmO&#10;gHq+qKrsf/FC5CHET8IZkoKWAq4vu8pOn0NEKoT+hqS+1t0orXMLbf8qIDBVijT7ZdoUxXE/ThL2&#10;rjuj8KMHdeixVZUmzXA0OjeaHkXa5J95Rr38CNt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xDH+&#10;+dcAAAAFAQAADwAAAAAAAAABACAAAAAiAAAAZHJzL2Rvd25yZXYueG1sUEsBAhQAFAAAAAgAh07i&#10;QNM1BqWxAQAAUAMAAA4AAAAAAAAAAQAgAAAAJgEAAGRycy9lMm9Eb2MueG1sUEsFBgAAAAAGAAYA&#10;WQEAAEkFAAAAAA==&#10;">
                        <v:fill on="f" focussize="0,0"/>
                        <v:stroke on="f"/>
                        <v:imagedata o:title=""/>
                        <o:lock v:ext="edit" aspectratio="f"/>
                        <v:textbox>
                          <w:txbxContent>
                            <w:p>
                              <w:pPr>
                                <w:adjustRightInd w:val="0"/>
                                <w:snapToGrid w:val="0"/>
                                <w:rPr>
                                  <w:rFonts w:hint="default" w:eastAsia="宋体"/>
                                  <w:color w:val="auto"/>
                                  <w:lang w:val="en-US" w:eastAsia="zh-CN"/>
                                </w:rPr>
                              </w:pPr>
                              <w:r>
                                <w:rPr>
                                  <w:rFonts w:hint="eastAsia" w:eastAsia="宋体"/>
                                  <w:color w:val="auto"/>
                                  <w:lang w:val="en-US" w:eastAsia="zh-CN"/>
                                </w:rPr>
                                <w:t>0.267</w:t>
                              </w:r>
                            </w:p>
                          </w:txbxContent>
                        </v:textbox>
                      </v:rect>
                      <v:rect id="_x0000_s1026" o:spid="_x0000_s1026" o:spt="1" style="position:absolute;left:1082479;top:1970405;height:267335;width:492125;" filled="f" stroked="f" coordsize="21600,21600" o:gfxdata="UEsDBAoAAAAAAIdO4kAAAAAAAAAAAAAAAAAEAAAAZHJzL1BLAwQUAAAACACHTuJAxDH++dcAAAAF&#10;AQAADwAAAGRycy9kb3ducmV2LnhtbE2PQWvCQBCF7wX/wzKFXkrdRFRCmokHQSqlII2t5zU7TUKz&#10;szG7Jvrvu+3FXgYe7/HeN9nqYloxUO8aywjxNAJBXFrdcIXwsd88JSCcV6xVa5kQruRglU/uMpVq&#10;O/I7DYWvRChhlyqE2vsuldKVNRnlprYjDt6X7Y3yQfaV1L0aQ7lp5SyKltKohsNCrTpa11R+F2eD&#10;MJa74bB/e5G7x8PW8ml7Whefr4gP93H0DMLTxd/C8Isf0CEPTEd7Zu1EixAe8X83eEmcLEAcEeaz&#10;5QJknsn/9PkPUEsDBBQAAAAIAIdO4kDfezevsgEAAFADAAAOAAAAZHJzL2Uyb0RvYy54bWytU0tu&#10;2zAQ3RfoHQjua8myE8eC5WyMdFMkAdIcgKZIiwB/4NCWfJoC2eUQPU7Ra3RIqUmbbrLohpoZPryZ&#10;94baXA9Gk5MIoJxt6HxWUiIsd62yh4Y+fr35dEUJRGZbpp0VDT0LoNfbjx82va9F5TqnWxEIklio&#10;e9/QLkZfFwXwThgGM+eFxUvpgmER03Ao2sB6ZDe6qMrysuhdaH1wXABgdTde0okxvIfQSam42Dl+&#10;NMLGkTUIzSJKgk55oNs8rZSCxzspQUSiG4pKYz6xCcb7dBbbDasPgflO8WkE9p4R3mgyTFls+kK1&#10;Y5GRY1D/UBnFgwMn44w7U4xCsiOoYl6+8eahY15kLWg1+BfT4f/R8tvTfSCqbehiuaDEMoMr//nt&#10;+cf3J5Iq6E/voUbYg78PUwYYJrGDDCZ9UQYZ8C2VV9VytabkjPF6VS7Li9FfMUTCEbBcV/PqghKO&#10;gOpytVjk++KVyAeIn4UzJAUNDbi+7Co7fYGIzRH6G5L6WnejtM4r1PavAgJTpUizj9OmKA77YZKw&#10;d+0ZhR99UIcOW83TpBmORudG06NIm/wzz6jXH2H7C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Qx&#10;/vnXAAAABQEAAA8AAAAAAAAAAQAgAAAAIgAAAGRycy9kb3ducmV2LnhtbFBLAQIUABQAAAAIAIdO&#10;4kDfezevsgEAAFADAAAOAAAAAAAAAAEAIAAAACYBAABkcnMvZTJvRG9jLnhtbFBLBQYAAAAABgAG&#10;AFkBAABKBQAAAAA=&#10;">
                        <v:fill on="f" focussize="0,0"/>
                        <v:stroke on="f"/>
                        <v:imagedata o:title=""/>
                        <o:lock v:ext="edit" aspectratio="f"/>
                        <v:textbox>
                          <w:txbxContent>
                            <w:p>
                              <w:pPr>
                                <w:adjustRightInd w:val="0"/>
                                <w:snapToGrid w:val="0"/>
                                <w:rPr>
                                  <w:rFonts w:hint="default" w:eastAsia="宋体"/>
                                  <w:color w:val="auto"/>
                                  <w:lang w:val="en-US" w:eastAsia="zh-CN"/>
                                </w:rPr>
                              </w:pPr>
                              <w:r>
                                <w:rPr>
                                  <w:rFonts w:hint="eastAsia"/>
                                  <w:color w:val="auto"/>
                                </w:rPr>
                                <w:t>0.</w:t>
                              </w:r>
                              <w:r>
                                <w:rPr>
                                  <w:rFonts w:hint="eastAsia"/>
                                  <w:color w:val="auto"/>
                                  <w:lang w:val="en-US" w:eastAsia="zh-CN"/>
                                </w:rPr>
                                <w:t>33</w:t>
                              </w:r>
                            </w:p>
                          </w:txbxContent>
                        </v:textbox>
                      </v:rect>
                      <v:line id="直接连接符 75" o:spid="_x0000_s1026" o:spt="20" style="position:absolute;left:2489200;top:812800;height:0;width:608330;" filled="f" stroked="t" coordsize="21600,21600" o:gfxdata="UEsDBAoAAAAAAIdO4kAAAAAAAAAAAAAAAAAEAAAAZHJzL1BLAwQUAAAACACHTuJASUFj5tcAAAAF&#10;AQAADwAAAGRycy9kb3ducmV2LnhtbE2PwU7DMBBE70j8g7VI3KiTilZWyKYHpHJpAbVFCG5uvCQR&#10;8TqynTb8PYYLXFYazWjmbbmabC9O5EPnGCGfZSCIa2c6bhBeDusbBSJEzUb3jgnhiwKsqsuLUhfG&#10;nXlHp31sRCrhUGiENsahkDLULVkdZm4gTt6H81bHJH0jjdfnVG57Oc+ypbS647TQ6oHuW6o/96NF&#10;2G3XG/W6Gafavz/kT4fn7eNbUIjXV3l2ByLSFP/C8IOf0KFKTEc3sgmiR0iPxN+bPJWrBYgjwu18&#10;uQBZlfI/ffUNUEsDBBQAAAAIAIdO4kDRQr9nAgIAAOkDAAAOAAAAZHJzL2Uyb0RvYy54bWytU81u&#10;EzEQviPxDpbvZPNDSrrKpoeGckEQCfoAE69315L/5HGzyUvwAkjc4MSRO29DeQzG3rSBIqQe2IN3&#10;7Bl/M9/nmeXF3mi2kwGVsxWfjMacSStcrWxb8ev3V88WnGEEW4N2Vlb8IJFfrJ4+Wfa+lFPXOV3L&#10;wAjEYtn7incx+rIoUHTSAI6cl5acjQsGIm1DW9QBekI3upiOx2dF70LtgxMSkU7Xg5MfEcNjAF3T&#10;KCHXTtwYaeOAGqSGSJSwUx75KlfbNFLEt02DMjJdcWIa80pJyN6mtVgtoWwD+E6JYwnwmBIecDKg&#10;LCW9h1pDBHYT1F9QRong0DVxJJwpBiJZEWIxGT/Q5l0HXmYuJDX6e9Hx/8GKN7tNYKqmTphNOLNg&#10;6MlvP3778eHzz++faL39+oW9mCedeo8lhV/aTTju0G9CIr1vgkl/osP2FZ8+X5zTS3N2qPhiMl2Q&#10;mWWW+8gE+c/Gi9mM3IL82VWcIHzA+Eo6w5JRca1sEgBK2L3GSCgUeheSjrVlfcXP59M5wQF1Y0Nd&#10;QKbxxAhtm++i06q+UlqnGxja7aUObAepI/KXqiPcP8JSkjVgN8Rl10Cik1C/tDWLB09KWRoRnkow&#10;suZMS5qoZGW6EZQ+RcagwLb6H9GUXluqImk8qJqsrasPWex8Th2Q6zx2a2qx3/f59mlCV7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SUFj5tcAAAAFAQAADwAAAAAAAAABACAAAAAiAAAAZHJzL2Rv&#10;d25yZXYueG1sUEsBAhQAFAAAAAgAh07iQNFCv2cCAgAA6QMAAA4AAAAAAAAAAQAgAAAAJgEAAGRy&#10;cy9lMm9Eb2MueG1sUEsFBgAAAAAGAAYAWQEAAJoFAAAAAA==&#10;">
                        <v:fill on="f" focussize="0,0"/>
                        <v:stroke color="#000000" joinstyle="round" endarrow="block"/>
                        <v:imagedata o:title=""/>
                        <o:lock v:ext="edit" aspectratio="f"/>
                      </v:line>
                      <v:rect id="矩形 13" o:spid="_x0000_s1026" o:spt="1" style="position:absolute;left:3064510;top:692150;height:332740;width:647065;" filled="f" stroked="f" coordsize="21600,21600" o:gfxdata="UEsDBAoAAAAAAIdO4kAAAAAAAAAAAAAAAAAEAAAAZHJzL1BLAwQUAAAACACHTuJAxDH++dcAAAAF&#10;AQAADwAAAGRycy9kb3ducmV2LnhtbE2PQWvCQBCF7wX/wzKFXkrdRFRCmokHQSqlII2t5zU7TUKz&#10;szG7Jvrvu+3FXgYe7/HeN9nqYloxUO8aywjxNAJBXFrdcIXwsd88JSCcV6xVa5kQruRglU/uMpVq&#10;O/I7DYWvRChhlyqE2vsuldKVNRnlprYjDt6X7Y3yQfaV1L0aQ7lp5SyKltKohsNCrTpa11R+F2eD&#10;MJa74bB/e5G7x8PW8ml7Whefr4gP93H0DMLTxd/C8Isf0CEPTEd7Zu1EixAe8X83eEmcLEAcEeaz&#10;5QJknsn/9PkPUEsDBBQAAAAIAIdO4kDzFHRlsQEAAE4DAAAOAAAAZHJzL2Uyb0RvYy54bWytU0tu&#10;2zAQ3RfoHQjua0mWrTSC5WyMdFO0AdIcgKZIiwB/GNKWfJoC3fUQPU7Ra3RIq0mbbLLohprhDN6b&#10;94ba3ExGk5OAoJztaLUoKRGWu17ZQ0cfvty+e09JiMz2TDsrOnoWgd5s377ZjL4VSzc43QsgCGJD&#10;O/qODjH6tigCH4RhYeG8sFiUDgyLmMKh6IGNiG50sSzLphgd9B4cFyHg7e5SpDMivAbQSam42Dl+&#10;NMLGCyoIzSJKCoPygW7ztFIKHj9LGUQkuqOoNOYTSTDep7PYblh7AOYHxecR2GtGeKbJMGWR9BFq&#10;xyIjR1AvoIzi4IKTccGdKS5CsiOooiqfeXM/MC+yFrQ6+EfTw/+D5Z9Od0BUjy+hrimxzODKf339&#10;/vPHN1LVyZ7Rhxa77v0dzFnAMGmdJJj0RRVk6mhdNqt1hcaeO9pcL6v17K6YIuFYb1ZXZbOmhGO9&#10;rpdXq1wvnnA8hPhBOENS0FHA5WVP2eljiMiNrX9aEq11t0rrvEBt/7nAxnRTpNEvw6YoTvtpVrB3&#10;/RllHz2ow4BUVRKa29HmTDQ/ibTHv/Pc9fQbbH8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xDH+&#10;+dcAAAAFAQAADwAAAAAAAAABACAAAAAiAAAAZHJzL2Rvd25yZXYueG1sUEsBAhQAFAAAAAgAh07i&#10;QPMUdGWxAQAATgMAAA4AAAAAAAAAAQAgAAAAJgEAAGRycy9lMm9Eb2MueG1sUEsFBgAAAAAGAAYA&#10;WQEAAEkFAAAAAA==&#10;">
                        <v:fill on="f" focussize="0,0"/>
                        <v:stroke on="f"/>
                        <v:imagedata o:title=""/>
                        <o:lock v:ext="edit" aspectratio="f"/>
                        <v:textbox>
                          <w:txbxContent>
                            <w:p>
                              <w:pPr>
                                <w:adjustRightInd w:val="0"/>
                                <w:snapToGrid w:val="0"/>
                                <w:jc w:val="center"/>
                                <w:rPr>
                                  <w:rFonts w:hint="eastAsia" w:eastAsia="宋体"/>
                                  <w:lang w:val="en-US" w:eastAsia="zh-CN"/>
                                </w:rPr>
                              </w:pPr>
                              <w:r>
                                <w:rPr>
                                  <w:rFonts w:hint="eastAsia"/>
                                  <w:lang w:val="en-US" w:eastAsia="zh-CN"/>
                                </w:rPr>
                                <w:t>产品</w:t>
                              </w:r>
                            </w:p>
                          </w:txbxContent>
                        </v:textbox>
                      </v:rect>
                      <w10:wrap type="none"/>
                      <w10:anchorlock/>
                    </v:group>
                  </w:pict>
                </mc:Fallback>
              </mc:AlternateContent>
            </w:r>
          </w:p>
          <w:p>
            <w:pPr>
              <w:widowControl/>
              <w:adjustRightInd w:val="0"/>
              <w:snapToGrid w:val="0"/>
              <w:spacing w:line="360" w:lineRule="auto"/>
              <w:jc w:val="center"/>
              <w:rPr>
                <w:b/>
                <w:bCs/>
                <w:color w:val="auto"/>
                <w:szCs w:val="21"/>
                <w:highlight w:val="none"/>
              </w:rPr>
            </w:pPr>
            <w:r>
              <w:rPr>
                <w:b/>
                <w:bCs/>
                <w:color w:val="auto"/>
                <w:sz w:val="21"/>
                <w:szCs w:val="21"/>
                <w:highlight w:val="none"/>
              </w:rPr>
              <w:t xml:space="preserve">图2-1 项目水平衡示意图 </w:t>
            </w:r>
            <w:r>
              <w:rPr>
                <w:rFonts w:hint="eastAsia"/>
                <w:b/>
                <w:bCs/>
                <w:color w:val="auto"/>
                <w:sz w:val="21"/>
                <w:szCs w:val="21"/>
                <w:highlight w:val="none"/>
                <w:lang w:val="en-US" w:eastAsia="zh-CN"/>
              </w:rPr>
              <w:t xml:space="preserve">  </w:t>
            </w:r>
            <w:r>
              <w:rPr>
                <w:b/>
                <w:bCs/>
                <w:color w:val="auto"/>
                <w:sz w:val="21"/>
                <w:szCs w:val="21"/>
                <w:highlight w:val="none"/>
              </w:rPr>
              <w:t>单位m</w:t>
            </w:r>
            <w:r>
              <w:rPr>
                <w:b/>
                <w:bCs/>
                <w:color w:val="auto"/>
                <w:sz w:val="21"/>
                <w:szCs w:val="21"/>
                <w:highlight w:val="none"/>
                <w:vertAlign w:val="superscript"/>
              </w:rPr>
              <w:t>3</w:t>
            </w:r>
            <w:r>
              <w:rPr>
                <w:b/>
                <w:bCs/>
                <w:color w:val="auto"/>
                <w:sz w:val="21"/>
                <w:szCs w:val="21"/>
                <w:highlight w:val="none"/>
              </w:rPr>
              <w:t>/d</w:t>
            </w:r>
          </w:p>
          <w:p>
            <w:pPr>
              <w:numPr>
                <w:ilvl w:val="0"/>
                <w:numId w:val="5"/>
              </w:numPr>
              <w:adjustRightInd w:val="0"/>
              <w:snapToGrid w:val="0"/>
              <w:spacing w:line="348" w:lineRule="auto"/>
              <w:ind w:firstLine="422" w:firstLineChars="200"/>
              <w:rPr>
                <w:b/>
                <w:bCs/>
                <w:color w:val="auto"/>
                <w:szCs w:val="21"/>
                <w:highlight w:val="none"/>
              </w:rPr>
            </w:pPr>
            <w:r>
              <w:rPr>
                <w:rFonts w:hint="eastAsia"/>
                <w:b/>
                <w:bCs/>
                <w:color w:val="auto"/>
                <w:szCs w:val="21"/>
                <w:highlight w:val="none"/>
              </w:rPr>
              <w:t>能源供应</w:t>
            </w:r>
          </w:p>
          <w:p>
            <w:pPr>
              <w:adjustRightInd w:val="0"/>
              <w:snapToGrid w:val="0"/>
              <w:spacing w:line="348" w:lineRule="auto"/>
              <w:ind w:firstLine="420" w:firstLineChars="200"/>
              <w:rPr>
                <w:color w:val="auto"/>
                <w:szCs w:val="21"/>
                <w:highlight w:val="none"/>
              </w:rPr>
            </w:pPr>
            <w:r>
              <w:rPr>
                <w:rFonts w:hint="eastAsia"/>
                <w:color w:val="auto"/>
                <w:szCs w:val="21"/>
                <w:highlight w:val="none"/>
              </w:rPr>
              <w:t>项目用电由</w:t>
            </w:r>
            <w:r>
              <w:rPr>
                <w:color w:val="auto"/>
                <w:szCs w:val="21"/>
                <w:highlight w:val="none"/>
              </w:rPr>
              <w:t>市政电网供应，项目年用电量30万千瓦时，能满足本项目的营运需要，项目内不设备用发电机</w:t>
            </w:r>
            <w:r>
              <w:rPr>
                <w:rFonts w:hint="eastAsia"/>
                <w:color w:val="auto"/>
                <w:szCs w:val="21"/>
                <w:highlight w:val="none"/>
              </w:rPr>
              <w:t>。</w:t>
            </w:r>
          </w:p>
          <w:p>
            <w:pPr>
              <w:adjustRightInd w:val="0"/>
              <w:snapToGrid w:val="0"/>
              <w:spacing w:line="360" w:lineRule="auto"/>
              <w:ind w:firstLine="422" w:firstLineChars="200"/>
              <w:rPr>
                <w:b/>
                <w:bCs/>
                <w:color w:val="auto"/>
                <w:szCs w:val="21"/>
                <w:highlight w:val="none"/>
              </w:rPr>
            </w:pPr>
            <w:r>
              <w:rPr>
                <w:b/>
                <w:bCs/>
                <w:color w:val="auto"/>
                <w:szCs w:val="21"/>
                <w:highlight w:val="none"/>
              </w:rPr>
              <w:t>八、项目</w:t>
            </w:r>
            <w:r>
              <w:rPr>
                <w:rFonts w:hint="eastAsia"/>
                <w:b/>
                <w:bCs/>
                <w:color w:val="auto"/>
                <w:szCs w:val="21"/>
                <w:highlight w:val="none"/>
                <w:lang w:val="en-US" w:eastAsia="zh-CN"/>
              </w:rPr>
              <w:t>厂区平面布置及</w:t>
            </w:r>
            <w:r>
              <w:rPr>
                <w:b/>
                <w:bCs/>
                <w:color w:val="auto"/>
                <w:szCs w:val="21"/>
                <w:highlight w:val="none"/>
              </w:rPr>
              <w:t>四至情况</w:t>
            </w:r>
          </w:p>
          <w:p>
            <w:pPr>
              <w:spacing w:line="360" w:lineRule="auto"/>
              <w:ind w:firstLine="422" w:firstLineChars="200"/>
              <w:rPr>
                <w:rFonts w:ascii="Times New Roman" w:hAnsi="Times New Roman" w:eastAsia="宋体" w:cs="Times New Roman"/>
                <w:color w:val="auto"/>
                <w:szCs w:val="21"/>
                <w:highlight w:val="none"/>
              </w:rPr>
            </w:pPr>
            <w:r>
              <w:rPr>
                <w:rFonts w:ascii="Times New Roman" w:hAnsi="Times New Roman" w:eastAsia="宋体" w:cs="Times New Roman"/>
                <w:b/>
                <w:bCs/>
                <w:color w:val="auto"/>
                <w:szCs w:val="21"/>
                <w:highlight w:val="none"/>
              </w:rPr>
              <w:t>平面布置：</w:t>
            </w:r>
            <w:r>
              <w:rPr>
                <w:rFonts w:ascii="Times New Roman" w:hAnsi="Times New Roman" w:eastAsia="宋体" w:cs="Times New Roman"/>
                <w:color w:val="auto"/>
                <w:szCs w:val="21"/>
                <w:highlight w:val="none"/>
              </w:rPr>
              <w:t>项目主要建筑物包括</w:t>
            </w:r>
            <w:r>
              <w:rPr>
                <w:rFonts w:hint="eastAsia" w:ascii="Times New Roman" w:hAnsi="Times New Roman" w:eastAsia="宋体" w:cs="Times New Roman"/>
                <w:color w:val="auto"/>
                <w:szCs w:val="21"/>
                <w:highlight w:val="none"/>
                <w:lang w:val="en-US" w:eastAsia="zh-CN"/>
              </w:rPr>
              <w:t>1栋1层厂房</w:t>
            </w:r>
            <w:r>
              <w:rPr>
                <w:rFonts w:hint="eastAsia" w:ascii="Times New Roman" w:hAnsi="Times New Roman" w:eastAsia="宋体" w:cs="Times New Roman"/>
                <w:color w:val="auto"/>
                <w:szCs w:val="21"/>
                <w:highlight w:val="none"/>
                <w:lang w:eastAsia="zh-CN"/>
              </w:rPr>
              <w:t>，</w:t>
            </w:r>
            <w:r>
              <w:rPr>
                <w:rFonts w:hint="eastAsia" w:ascii="Times New Roman" w:hAnsi="Times New Roman" w:eastAsia="宋体" w:cs="Times New Roman"/>
                <w:color w:val="auto"/>
                <w:szCs w:val="21"/>
                <w:highlight w:val="none"/>
                <w:lang w:val="en-US" w:eastAsia="zh-CN"/>
              </w:rPr>
              <w:t>项目</w:t>
            </w:r>
            <w:r>
              <w:rPr>
                <w:rFonts w:hint="eastAsia" w:ascii="Times New Roman" w:hAnsi="Times New Roman" w:eastAsia="宋体" w:cs="Times New Roman"/>
                <w:color w:val="auto"/>
                <w:szCs w:val="21"/>
                <w:highlight w:val="none"/>
              </w:rPr>
              <w:t>厂房</w:t>
            </w:r>
            <w:r>
              <w:rPr>
                <w:rFonts w:hint="eastAsia" w:ascii="Times New Roman" w:hAnsi="Times New Roman" w:eastAsia="宋体" w:cs="Times New Roman"/>
                <w:color w:val="auto"/>
                <w:szCs w:val="21"/>
                <w:highlight w:val="none"/>
                <w:lang w:val="en-US" w:eastAsia="zh-CN"/>
              </w:rPr>
              <w:t>布置</w:t>
            </w:r>
            <w:r>
              <w:rPr>
                <w:rFonts w:hint="eastAsia" w:ascii="Times New Roman" w:hAnsi="Times New Roman" w:eastAsia="宋体" w:cs="Times New Roman"/>
                <w:color w:val="auto"/>
                <w:szCs w:val="21"/>
                <w:highlight w:val="none"/>
              </w:rPr>
              <w:t>包括</w:t>
            </w:r>
            <w:r>
              <w:rPr>
                <w:rFonts w:hint="eastAsia" w:ascii="Times New Roman" w:hAnsi="Times New Roman" w:eastAsia="宋体" w:cs="Times New Roman"/>
                <w:color w:val="auto"/>
                <w:szCs w:val="21"/>
                <w:highlight w:val="none"/>
                <w:lang w:val="en-US" w:eastAsia="zh-CN"/>
              </w:rPr>
              <w:t>原料区、投料区、搅拌区、成品区、办公区。原料区、投料区、搅拌区</w:t>
            </w:r>
            <w:r>
              <w:rPr>
                <w:rFonts w:hint="eastAsia" w:ascii="Times New Roman" w:hAnsi="Times New Roman" w:eastAsia="宋体" w:cs="Times New Roman"/>
                <w:color w:val="auto"/>
                <w:szCs w:val="21"/>
                <w:highlight w:val="none"/>
              </w:rPr>
              <w:t>位于</w:t>
            </w:r>
            <w:r>
              <w:rPr>
                <w:rFonts w:hint="eastAsia" w:ascii="Times New Roman" w:hAnsi="Times New Roman" w:eastAsia="宋体" w:cs="Times New Roman"/>
                <w:color w:val="auto"/>
                <w:szCs w:val="21"/>
                <w:highlight w:val="none"/>
                <w:lang w:val="en-US" w:eastAsia="zh-CN"/>
              </w:rPr>
              <w:t>厂房</w:t>
            </w:r>
            <w:r>
              <w:rPr>
                <w:rFonts w:hint="eastAsia" w:ascii="Times New Roman" w:hAnsi="Times New Roman" w:eastAsia="宋体" w:cs="Times New Roman"/>
                <w:color w:val="auto"/>
                <w:szCs w:val="21"/>
                <w:highlight w:val="none"/>
              </w:rPr>
              <w:t>的</w:t>
            </w:r>
            <w:r>
              <w:rPr>
                <w:rFonts w:hint="eastAsia" w:ascii="Times New Roman" w:hAnsi="Times New Roman" w:eastAsia="宋体" w:cs="Times New Roman"/>
                <w:color w:val="auto"/>
                <w:szCs w:val="21"/>
                <w:highlight w:val="none"/>
                <w:lang w:val="en-US" w:eastAsia="zh-CN"/>
              </w:rPr>
              <w:t>东南面，</w:t>
            </w:r>
            <w:r>
              <w:rPr>
                <w:rFonts w:hint="eastAsia" w:ascii="Times New Roman" w:hAnsi="Times New Roman" w:eastAsia="宋体" w:cs="Times New Roman"/>
                <w:color w:val="auto"/>
                <w:szCs w:val="21"/>
                <w:highlight w:val="none"/>
              </w:rPr>
              <w:t>成品</w:t>
            </w:r>
            <w:r>
              <w:rPr>
                <w:rFonts w:hint="eastAsia" w:ascii="Times New Roman" w:hAnsi="Times New Roman" w:eastAsia="宋体" w:cs="Times New Roman"/>
                <w:color w:val="auto"/>
                <w:szCs w:val="21"/>
                <w:highlight w:val="none"/>
                <w:lang w:val="en-US" w:eastAsia="zh-CN"/>
              </w:rPr>
              <w:t>区和办公室位于厂房的西北侧，</w:t>
            </w:r>
            <w:r>
              <w:rPr>
                <w:rFonts w:hint="eastAsia" w:ascii="Times New Roman" w:hAnsi="Times New Roman" w:eastAsia="宋体" w:cs="Times New Roman"/>
                <w:color w:val="auto"/>
                <w:szCs w:val="21"/>
                <w:highlight w:val="none"/>
              </w:rPr>
              <w:t>位于</w:t>
            </w:r>
            <w:r>
              <w:rPr>
                <w:rFonts w:hint="eastAsia" w:ascii="Times New Roman" w:hAnsi="Times New Roman" w:eastAsia="宋体" w:cs="Times New Roman"/>
                <w:color w:val="auto"/>
                <w:szCs w:val="21"/>
                <w:highlight w:val="none"/>
                <w:lang w:val="en-US" w:eastAsia="zh-CN"/>
              </w:rPr>
              <w:t>两侧中间的区域为过道，危险废物暂存间设置在厂区西北角，</w:t>
            </w:r>
            <w:r>
              <w:rPr>
                <w:rFonts w:hint="eastAsia" w:ascii="Times New Roman" w:hAnsi="Times New Roman" w:eastAsia="宋体" w:cs="Times New Roman"/>
                <w:color w:val="auto"/>
                <w:szCs w:val="21"/>
                <w:highlight w:val="none"/>
              </w:rPr>
              <w:t>总平面布置图见附图</w:t>
            </w:r>
            <w:r>
              <w:rPr>
                <w:rFonts w:hint="eastAsia" w:ascii="Times New Roman" w:hAnsi="Times New Roman" w:eastAsia="宋体" w:cs="Times New Roman"/>
                <w:color w:val="auto"/>
                <w:szCs w:val="21"/>
                <w:highlight w:val="none"/>
                <w:lang w:val="en-US" w:eastAsia="zh-CN"/>
              </w:rPr>
              <w:t>3</w:t>
            </w:r>
            <w:r>
              <w:rPr>
                <w:rFonts w:hint="eastAsia"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项目车间平面布置功能区划分清晰、布置合理，</w:t>
            </w:r>
            <w:r>
              <w:rPr>
                <w:rFonts w:hint="eastAsia" w:ascii="Times New Roman" w:hAnsi="Times New Roman" w:eastAsia="宋体" w:cs="Times New Roman"/>
                <w:color w:val="auto"/>
                <w:szCs w:val="21"/>
                <w:highlight w:val="none"/>
              </w:rPr>
              <w:t>生产布置依照生产工艺流程呈</w:t>
            </w:r>
            <w:r>
              <w:rPr>
                <w:rFonts w:hint="eastAsia" w:ascii="Times New Roman" w:hAnsi="Times New Roman" w:eastAsia="宋体" w:cs="Times New Roman"/>
                <w:color w:val="auto"/>
                <w:szCs w:val="21"/>
                <w:highlight w:val="none"/>
                <w:lang w:val="en-US" w:eastAsia="zh-CN"/>
              </w:rPr>
              <w:t>两侧</w:t>
            </w:r>
            <w:r>
              <w:rPr>
                <w:rFonts w:hint="eastAsia" w:ascii="Times New Roman" w:hAnsi="Times New Roman" w:eastAsia="宋体" w:cs="Times New Roman"/>
                <w:color w:val="auto"/>
                <w:szCs w:val="21"/>
                <w:highlight w:val="none"/>
              </w:rPr>
              <w:t>布置，项目交通便利，厂房内部布置合理。</w:t>
            </w:r>
          </w:p>
          <w:p>
            <w:pPr>
              <w:spacing w:line="360" w:lineRule="auto"/>
              <w:ind w:firstLine="420" w:firstLineChars="200"/>
              <w:rPr>
                <w:bCs/>
                <w:color w:val="auto"/>
                <w:szCs w:val="21"/>
                <w:highlight w:val="none"/>
              </w:rPr>
            </w:pPr>
            <w:r>
              <w:rPr>
                <w:color w:val="auto"/>
                <w:szCs w:val="21"/>
                <w:highlight w:val="none"/>
              </w:rPr>
              <w:t>本项目租用</w:t>
            </w:r>
            <w:r>
              <w:rPr>
                <w:rFonts w:hint="eastAsia"/>
                <w:color w:val="auto"/>
                <w:szCs w:val="21"/>
                <w:highlight w:val="none"/>
              </w:rPr>
              <w:t>已有</w:t>
            </w:r>
            <w:r>
              <w:rPr>
                <w:color w:val="auto"/>
                <w:szCs w:val="21"/>
                <w:highlight w:val="none"/>
              </w:rPr>
              <w:t>厂房进行生产，地理位置中心坐标为：</w:t>
            </w:r>
            <w:r>
              <w:rPr>
                <w:color w:val="0000FF"/>
                <w:szCs w:val="21"/>
                <w:highlight w:val="none"/>
              </w:rPr>
              <w:t>东经</w:t>
            </w:r>
            <w:r>
              <w:rPr>
                <w:color w:val="0000FF"/>
                <w:highlight w:val="none"/>
              </w:rPr>
              <w:t>11</w:t>
            </w:r>
            <w:r>
              <w:rPr>
                <w:rFonts w:hint="eastAsia"/>
                <w:color w:val="0000FF"/>
                <w:highlight w:val="none"/>
              </w:rPr>
              <w:t>4</w:t>
            </w:r>
            <w:r>
              <w:rPr>
                <w:color w:val="0000FF"/>
                <w:highlight w:val="none"/>
              </w:rPr>
              <w:t>度</w:t>
            </w:r>
            <w:r>
              <w:rPr>
                <w:rFonts w:hint="eastAsia"/>
                <w:color w:val="0000FF"/>
                <w:highlight w:val="none"/>
              </w:rPr>
              <w:t>1</w:t>
            </w:r>
            <w:r>
              <w:rPr>
                <w:color w:val="0000FF"/>
                <w:highlight w:val="none"/>
              </w:rPr>
              <w:t>分</w:t>
            </w:r>
            <w:r>
              <w:rPr>
                <w:rFonts w:hint="eastAsia"/>
                <w:color w:val="0000FF"/>
                <w:highlight w:val="none"/>
              </w:rPr>
              <w:t>1</w:t>
            </w:r>
            <w:r>
              <w:rPr>
                <w:rFonts w:hint="eastAsia"/>
                <w:color w:val="0000FF"/>
                <w:highlight w:val="none"/>
                <w:lang w:val="en-US" w:eastAsia="zh-CN"/>
              </w:rPr>
              <w:t>6.536</w:t>
            </w:r>
            <w:r>
              <w:rPr>
                <w:color w:val="0000FF"/>
                <w:highlight w:val="none"/>
              </w:rPr>
              <w:t>秒，北纬23度</w:t>
            </w:r>
            <w:r>
              <w:rPr>
                <w:rFonts w:hint="eastAsia"/>
                <w:color w:val="0000FF"/>
                <w:highlight w:val="none"/>
              </w:rPr>
              <w:t>7分2</w:t>
            </w:r>
            <w:r>
              <w:rPr>
                <w:rFonts w:hint="eastAsia"/>
                <w:color w:val="0000FF"/>
                <w:highlight w:val="none"/>
                <w:lang w:val="en-US" w:eastAsia="zh-CN"/>
              </w:rPr>
              <w:t>0.976</w:t>
            </w:r>
            <w:r>
              <w:rPr>
                <w:color w:val="0000FF"/>
                <w:highlight w:val="none"/>
              </w:rPr>
              <w:t>秒</w:t>
            </w:r>
            <w:r>
              <w:rPr>
                <w:color w:val="0000FF"/>
                <w:szCs w:val="21"/>
                <w:highlight w:val="none"/>
              </w:rPr>
              <w:t>。项目</w:t>
            </w:r>
            <w:r>
              <w:rPr>
                <w:rFonts w:hint="eastAsia"/>
                <w:color w:val="0000FF"/>
                <w:szCs w:val="21"/>
                <w:highlight w:val="none"/>
                <w:lang w:val="en-US" w:eastAsia="zh-CN"/>
              </w:rPr>
              <w:t>东面、南面和</w:t>
            </w:r>
            <w:r>
              <w:rPr>
                <w:rFonts w:hint="eastAsia"/>
                <w:color w:val="0000FF"/>
                <w:szCs w:val="21"/>
                <w:highlight w:val="none"/>
              </w:rPr>
              <w:t>北</w:t>
            </w:r>
            <w:r>
              <w:rPr>
                <w:color w:val="0000FF"/>
                <w:szCs w:val="21"/>
                <w:highlight w:val="none"/>
              </w:rPr>
              <w:t>面</w:t>
            </w:r>
            <w:r>
              <w:rPr>
                <w:rFonts w:hint="eastAsia"/>
                <w:color w:val="0000FF"/>
                <w:szCs w:val="21"/>
                <w:highlight w:val="none"/>
                <w:lang w:val="en-US" w:eastAsia="zh-CN"/>
              </w:rPr>
              <w:t>厂房</w:t>
            </w:r>
            <w:r>
              <w:rPr>
                <w:color w:val="0000FF"/>
                <w:szCs w:val="21"/>
                <w:highlight w:val="none"/>
              </w:rPr>
              <w:t>、西面为</w:t>
            </w:r>
            <w:r>
              <w:rPr>
                <w:rFonts w:hint="eastAsia"/>
                <w:color w:val="0000FF"/>
                <w:szCs w:val="21"/>
                <w:highlight w:val="none"/>
              </w:rPr>
              <w:t>园洲昌发五金加工厂</w:t>
            </w:r>
            <w:r>
              <w:rPr>
                <w:color w:val="auto"/>
                <w:szCs w:val="21"/>
                <w:highlight w:val="none"/>
              </w:rPr>
              <w:t>，项目四至关系图见附图2。</w:t>
            </w:r>
            <w:r>
              <w:rPr>
                <w:bCs/>
                <w:color w:val="auto"/>
                <w:szCs w:val="21"/>
                <w:highlight w:val="none"/>
              </w:rPr>
              <w:t>项目周边最近敏感点</w:t>
            </w:r>
            <w:r>
              <w:rPr>
                <w:rFonts w:hint="eastAsia"/>
                <w:bCs/>
                <w:color w:val="auto"/>
                <w:szCs w:val="21"/>
                <w:highlight w:val="none"/>
              </w:rPr>
              <w:t>草莓公寓</w:t>
            </w:r>
            <w:r>
              <w:rPr>
                <w:bCs/>
                <w:color w:val="auto"/>
                <w:szCs w:val="21"/>
                <w:highlight w:val="none"/>
              </w:rPr>
              <w:t>位于项目西侧，与厂界最近距离1</w:t>
            </w:r>
            <w:r>
              <w:rPr>
                <w:rFonts w:hint="eastAsia"/>
                <w:bCs/>
                <w:color w:val="auto"/>
                <w:szCs w:val="21"/>
                <w:highlight w:val="none"/>
              </w:rPr>
              <w:t>76</w:t>
            </w:r>
            <w:r>
              <w:rPr>
                <w:bCs/>
                <w:color w:val="auto"/>
                <w:szCs w:val="21"/>
                <w:highlight w:val="none"/>
              </w:rPr>
              <w:t>m，</w:t>
            </w:r>
            <w:r>
              <w:rPr>
                <w:color w:val="auto"/>
                <w:szCs w:val="21"/>
                <w:highlight w:val="none"/>
              </w:rPr>
              <w:t>项目周边敏感点示意图见附图4，项目现场勘查图见附图5。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20" w:hRule="atLeast"/>
          <w:jc w:val="center"/>
        </w:trPr>
        <w:tc>
          <w:tcPr>
            <w:tcW w:w="475" w:type="dxa"/>
            <w:vAlign w:val="center"/>
          </w:tcPr>
          <w:p>
            <w:pPr>
              <w:pStyle w:val="33"/>
              <w:adjustRightInd w:val="0"/>
              <w:snapToGrid w:val="0"/>
              <w:spacing w:before="0" w:beforeAutospacing="0" w:after="0" w:afterAutospacing="0"/>
              <w:jc w:val="center"/>
              <w:rPr>
                <w:rFonts w:ascii="Times New Roman" w:hAnsi="Times New Roman"/>
                <w:color w:val="auto"/>
                <w:sz w:val="21"/>
                <w:szCs w:val="21"/>
                <w:highlight w:val="none"/>
              </w:rPr>
            </w:pPr>
            <w:r>
              <w:rPr>
                <w:rFonts w:ascii="Times New Roman" w:hAnsi="Times New Roman"/>
                <w:color w:val="auto"/>
                <w:sz w:val="21"/>
                <w:szCs w:val="21"/>
                <w:highlight w:val="none"/>
              </w:rPr>
              <w:t>工艺流程和产排污环节</w:t>
            </w:r>
          </w:p>
        </w:tc>
        <w:tc>
          <w:tcPr>
            <w:tcW w:w="8585" w:type="dxa"/>
          </w:tcPr>
          <w:p>
            <w:pPr>
              <w:adjustRightInd w:val="0"/>
              <w:snapToGrid w:val="0"/>
              <w:ind w:right="-21" w:rightChars="-10"/>
              <w:rPr>
                <w:color w:val="auto"/>
                <w:highlight w:val="none"/>
              </w:rPr>
            </w:pPr>
          </w:p>
          <w:p>
            <w:pPr>
              <w:tabs>
                <w:tab w:val="left" w:pos="7901"/>
              </w:tabs>
              <w:spacing w:line="360" w:lineRule="auto"/>
              <w:rPr>
                <w:color w:val="auto"/>
                <w:highlight w:val="none"/>
              </w:rPr>
            </w:pPr>
            <w:r>
              <w:rPr>
                <w:color w:val="auto"/>
                <w:highlight w:val="none"/>
              </w:rPr>
              <mc:AlternateContent>
                <mc:Choice Requires="wpc">
                  <w:drawing>
                    <wp:inline distT="0" distB="0" distL="114300" distR="114300">
                      <wp:extent cx="5197475" cy="4045585"/>
                      <wp:effectExtent l="0" t="0" r="0" b="0"/>
                      <wp:docPr id="173" name="画布 17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63" name="矩形 13"/>
                              <wps:cNvSpPr/>
                              <wps:spPr>
                                <a:xfrm>
                                  <a:off x="1546860" y="59055"/>
                                  <a:ext cx="2119630" cy="686435"/>
                                </a:xfrm>
                                <a:prstGeom prst="rect">
                                  <a:avLst/>
                                </a:prstGeom>
                                <a:noFill/>
                                <a:ln>
                                  <a:noFill/>
                                </a:ln>
                              </wps:spPr>
                              <wps:txbx>
                                <w:txbxContent>
                                  <w:p>
                                    <w:pPr>
                                      <w:adjustRightInd w:val="0"/>
                                      <w:snapToGrid w:val="0"/>
                                      <w:jc w:val="center"/>
                                      <w:rPr>
                                        <w:rFonts w:ascii="Times New Roman" w:hAnsi="Times New Roman" w:cs="Times New Roman"/>
                                        <w:bCs/>
                                        <w:color w:val="auto"/>
                                        <w:kern w:val="0"/>
                                        <w:sz w:val="21"/>
                                        <w:szCs w:val="21"/>
                                      </w:rPr>
                                    </w:pPr>
                                    <w:r>
                                      <w:rPr>
                                        <w:rFonts w:hint="eastAsia"/>
                                        <w:szCs w:val="21"/>
                                      </w:rPr>
                                      <w:t>聚醚多元醇</w:t>
                                    </w:r>
                                    <w:r>
                                      <w:rPr>
                                        <w:rFonts w:hint="eastAsia"/>
                                        <w:szCs w:val="21"/>
                                        <w:lang w:eastAsia="zh-CN"/>
                                      </w:rPr>
                                      <w:t>、</w:t>
                                    </w:r>
                                    <w:r>
                                      <w:rPr>
                                        <w:rFonts w:hint="default" w:ascii="Times New Roman" w:hAnsi="Times New Roman" w:cs="Times New Roman"/>
                                        <w:bCs/>
                                        <w:color w:val="auto"/>
                                        <w:kern w:val="0"/>
                                        <w:sz w:val="21"/>
                                        <w:szCs w:val="21"/>
                                      </w:rPr>
                                      <w:t>氯化石蜡</w:t>
                                    </w:r>
                                    <w:r>
                                      <w:rPr>
                                        <w:rFonts w:hint="eastAsia" w:cs="Times New Roman"/>
                                        <w:bCs/>
                                        <w:color w:val="auto"/>
                                        <w:kern w:val="0"/>
                                        <w:sz w:val="21"/>
                                        <w:szCs w:val="21"/>
                                        <w:lang w:eastAsia="zh-CN"/>
                                      </w:rPr>
                                      <w:t>、</w:t>
                                    </w:r>
                                    <w:r>
                                      <w:rPr>
                                        <w:rFonts w:ascii="Times New Roman" w:hAnsi="Times New Roman" w:cs="Times New Roman"/>
                                        <w:bCs/>
                                        <w:color w:val="auto"/>
                                        <w:kern w:val="0"/>
                                        <w:sz w:val="21"/>
                                        <w:szCs w:val="21"/>
                                      </w:rPr>
                                      <w:t>滑石粉</w:t>
                                    </w:r>
                                  </w:p>
                                  <w:p>
                                    <w:pPr>
                                      <w:adjustRightInd w:val="0"/>
                                      <w:snapToGrid w:val="0"/>
                                      <w:jc w:val="center"/>
                                      <w:rPr>
                                        <w:rFonts w:hint="default"/>
                                        <w:sz w:val="21"/>
                                        <w:szCs w:val="21"/>
                                      </w:rPr>
                                    </w:pPr>
                                    <w:r>
                                      <w:rPr>
                                        <w:sz w:val="21"/>
                                        <w:szCs w:val="21"/>
                                      </w:rPr>
                                      <w:t>钙粉</w:t>
                                    </w:r>
                                    <w:r>
                                      <w:rPr>
                                        <w:rFonts w:hint="eastAsia"/>
                                        <w:sz w:val="21"/>
                                        <w:szCs w:val="21"/>
                                        <w:lang w:eastAsia="zh-CN"/>
                                      </w:rPr>
                                      <w:t>、</w:t>
                                    </w:r>
                                    <w:r>
                                      <w:rPr>
                                        <w:rFonts w:ascii="Times New Roman" w:hAnsi="Times New Roman" w:cs="Times New Roman"/>
                                        <w:bCs/>
                                        <w:color w:val="auto"/>
                                        <w:kern w:val="0"/>
                                        <w:sz w:val="21"/>
                                        <w:szCs w:val="21"/>
                                      </w:rPr>
                                      <w:t>棕榈油</w:t>
                                    </w:r>
                                    <w:r>
                                      <w:rPr>
                                        <w:rFonts w:hint="eastAsia" w:cs="Times New Roman"/>
                                        <w:bCs/>
                                        <w:color w:val="auto"/>
                                        <w:kern w:val="0"/>
                                        <w:sz w:val="21"/>
                                        <w:szCs w:val="21"/>
                                        <w:lang w:eastAsia="zh-CN"/>
                                      </w:rPr>
                                      <w:t>、</w:t>
                                    </w:r>
                                    <w:r>
                                      <w:rPr>
                                        <w:sz w:val="21"/>
                                        <w:szCs w:val="21"/>
                                      </w:rPr>
                                      <w:t>防沉剂</w:t>
                                    </w:r>
                                    <w:r>
                                      <w:rPr>
                                        <w:rFonts w:hint="eastAsia"/>
                                        <w:sz w:val="21"/>
                                        <w:szCs w:val="21"/>
                                        <w:lang w:eastAsia="zh-CN"/>
                                      </w:rPr>
                                      <w:t>、</w:t>
                                    </w:r>
                                    <w:r>
                                      <w:rPr>
                                        <w:sz w:val="21"/>
                                        <w:szCs w:val="21"/>
                                      </w:rPr>
                                      <w:t>氧化镁</w:t>
                                    </w:r>
                                    <w:r>
                                      <w:rPr>
                                        <w:rFonts w:hint="eastAsia"/>
                                        <w:sz w:val="21"/>
                                        <w:szCs w:val="21"/>
                                        <w:lang w:eastAsia="zh-CN"/>
                                      </w:rPr>
                                      <w:t>、</w:t>
                                    </w:r>
                                    <w:r>
                                      <w:rPr>
                                        <w:sz w:val="21"/>
                                        <w:szCs w:val="21"/>
                                      </w:rPr>
                                      <w:t>色浆</w:t>
                                    </w:r>
                                  </w:p>
                                  <w:p>
                                    <w:pPr>
                                      <w:pStyle w:val="41"/>
                                      <w:rPr>
                                        <w:rFonts w:hint="default"/>
                                        <w:sz w:val="21"/>
                                        <w:szCs w:val="21"/>
                                      </w:rPr>
                                    </w:pPr>
                                  </w:p>
                                  <w:p>
                                    <w:pPr>
                                      <w:pStyle w:val="41"/>
                                      <w:rPr>
                                        <w:rFonts w:hint="default"/>
                                        <w:sz w:val="21"/>
                                        <w:szCs w:val="21"/>
                                      </w:rPr>
                                    </w:pPr>
                                  </w:p>
                                  <w:p>
                                    <w:pPr>
                                      <w:pStyle w:val="94"/>
                                      <w:spacing w:before="120" w:after="120"/>
                                      <w:ind w:left="0" w:firstLine="0"/>
                                    </w:pPr>
                                  </w:p>
                                </w:txbxContent>
                              </wps:txbx>
                              <wps:bodyPr upright="1"/>
                            </wps:wsp>
                            <wps:wsp>
                              <wps:cNvPr id="65" name="直接连接符 75"/>
                              <wps:cNvCnPr/>
                              <wps:spPr>
                                <a:xfrm>
                                  <a:off x="2633980" y="616585"/>
                                  <a:ext cx="5715" cy="294005"/>
                                </a:xfrm>
                                <a:prstGeom prst="line">
                                  <a:avLst/>
                                </a:prstGeom>
                                <a:ln w="12700" cap="flat" cmpd="sng">
                                  <a:solidFill>
                                    <a:schemeClr val="tx1"/>
                                  </a:solidFill>
                                  <a:prstDash val="solid"/>
                                  <a:headEnd type="none" w="med" len="med"/>
                                  <a:tailEnd type="triangle" w="med" len="med"/>
                                </a:ln>
                              </wps:spPr>
                              <wps:bodyPr/>
                            </wps:wsp>
                            <wps:wsp>
                              <wps:cNvPr id="66" name="矩形 76"/>
                              <wps:cNvSpPr/>
                              <wps:spPr>
                                <a:xfrm>
                                  <a:off x="2369185" y="899160"/>
                                  <a:ext cx="556260" cy="2603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jc w:val="center"/>
                                    </w:pPr>
                                    <w:r>
                                      <w:rPr>
                                        <w:rFonts w:hint="eastAsia"/>
                                      </w:rPr>
                                      <w:t>投料</w:t>
                                    </w:r>
                                  </w:p>
                                </w:txbxContent>
                              </wps:txbx>
                              <wps:bodyPr upright="1"/>
                            </wps:wsp>
                            <wps:wsp>
                              <wps:cNvPr id="67" name="矩形 49"/>
                              <wps:cNvSpPr/>
                              <wps:spPr>
                                <a:xfrm>
                                  <a:off x="2209800" y="1451610"/>
                                  <a:ext cx="860425" cy="2603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jc w:val="center"/>
                                    </w:pPr>
                                    <w:r>
                                      <w:rPr>
                                        <w:rFonts w:hint="eastAsia"/>
                                      </w:rPr>
                                      <w:t>混合搅拌</w:t>
                                    </w:r>
                                  </w:p>
                                </w:txbxContent>
                              </wps:txbx>
                              <wps:bodyPr upright="1"/>
                            </wps:wsp>
                            <wps:wsp>
                              <wps:cNvPr id="68" name="矩形 51"/>
                              <wps:cNvSpPr/>
                              <wps:spPr>
                                <a:xfrm>
                                  <a:off x="2368550" y="2002790"/>
                                  <a:ext cx="556260" cy="2603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jc w:val="center"/>
                                      <w:rPr>
                                        <w:rFonts w:hint="default" w:eastAsia="宋体"/>
                                        <w:lang w:val="en-US" w:eastAsia="zh-CN"/>
                                      </w:rPr>
                                    </w:pPr>
                                    <w:r>
                                      <w:rPr>
                                        <w:rFonts w:hint="eastAsia"/>
                                        <w:lang w:val="en-US" w:eastAsia="zh-CN"/>
                                      </w:rPr>
                                      <w:t>研磨</w:t>
                                    </w:r>
                                    <w:r>
                                      <w:rPr>
                                        <w:rFonts w:hint="eastAsia"/>
                                        <w:lang w:val="en-US" w:eastAsia="zh-CN"/>
                                      </w:rPr>
                                      <w:tab/>
                                    </w:r>
                                  </w:p>
                                </w:txbxContent>
                              </wps:txbx>
                              <wps:bodyPr upright="1"/>
                            </wps:wsp>
                            <wps:wsp>
                              <wps:cNvPr id="69" name="矩形 53"/>
                              <wps:cNvSpPr/>
                              <wps:spPr>
                                <a:xfrm>
                                  <a:off x="2357755" y="2552700"/>
                                  <a:ext cx="556260" cy="2603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jc w:val="center"/>
                                      <w:rPr>
                                        <w:rFonts w:hint="eastAsia" w:eastAsia="宋体"/>
                                        <w:lang w:val="en-US" w:eastAsia="zh-CN"/>
                                      </w:rPr>
                                    </w:pPr>
                                    <w:r>
                                      <w:rPr>
                                        <w:rFonts w:hint="eastAsia"/>
                                        <w:lang w:val="en-US" w:eastAsia="zh-CN"/>
                                      </w:rPr>
                                      <w:t>脱水</w:t>
                                    </w:r>
                                  </w:p>
                                </w:txbxContent>
                              </wps:txbx>
                              <wps:bodyPr upright="1"/>
                            </wps:wsp>
                            <wps:wsp>
                              <wps:cNvPr id="72" name="直接连接符 14"/>
                              <wps:cNvCnPr/>
                              <wps:spPr>
                                <a:xfrm>
                                  <a:off x="2936240" y="1031240"/>
                                  <a:ext cx="320040" cy="0"/>
                                </a:xfrm>
                                <a:prstGeom prst="line">
                                  <a:avLst/>
                                </a:prstGeom>
                                <a:ln w="9525" cap="flat" cmpd="sng">
                                  <a:solidFill>
                                    <a:srgbClr val="000000"/>
                                  </a:solidFill>
                                  <a:prstDash val="dash"/>
                                  <a:headEnd type="none" w="med" len="med"/>
                                  <a:tailEnd type="triangle" w="med" len="med"/>
                                </a:ln>
                              </wps:spPr>
                              <wps:bodyPr/>
                            </wps:wsp>
                            <wps:wsp>
                              <wps:cNvPr id="77" name="矩形 13"/>
                              <wps:cNvSpPr/>
                              <wps:spPr>
                                <a:xfrm>
                                  <a:off x="3256280" y="885825"/>
                                  <a:ext cx="1045845" cy="290195"/>
                                </a:xfrm>
                                <a:prstGeom prst="rect">
                                  <a:avLst/>
                                </a:prstGeom>
                                <a:noFill/>
                                <a:ln>
                                  <a:noFill/>
                                </a:ln>
                              </wps:spPr>
                              <wps:txbx>
                                <w:txbxContent>
                                  <w:p>
                                    <w:pPr>
                                      <w:adjustRightInd w:val="0"/>
                                      <w:snapToGrid w:val="0"/>
                                      <w:jc w:val="center"/>
                                      <w:rPr>
                                        <w:rFonts w:hint="default"/>
                                        <w:sz w:val="21"/>
                                        <w:szCs w:val="21"/>
                                      </w:rPr>
                                    </w:pPr>
                                    <w:r>
                                      <w:rPr>
                                        <w:rFonts w:hint="eastAsia" w:cs="Times New Roman"/>
                                        <w:bCs/>
                                        <w:color w:val="auto"/>
                                        <w:kern w:val="0"/>
                                        <w:sz w:val="21"/>
                                        <w:szCs w:val="21"/>
                                        <w:lang w:val="en-US" w:eastAsia="zh-CN"/>
                                      </w:rPr>
                                      <w:t>颗粒物、</w:t>
                                    </w:r>
                                    <w:r>
                                      <w:rPr>
                                        <w:sz w:val="21"/>
                                        <w:szCs w:val="21"/>
                                      </w:rPr>
                                      <w:t>噪声</w:t>
                                    </w:r>
                                  </w:p>
                                  <w:p>
                                    <w:pPr>
                                      <w:pStyle w:val="41"/>
                                      <w:rPr>
                                        <w:rFonts w:hint="default"/>
                                        <w:sz w:val="21"/>
                                        <w:szCs w:val="21"/>
                                      </w:rPr>
                                    </w:pPr>
                                  </w:p>
                                  <w:p>
                                    <w:pPr>
                                      <w:pStyle w:val="41"/>
                                      <w:rPr>
                                        <w:rFonts w:hint="default"/>
                                        <w:sz w:val="21"/>
                                        <w:szCs w:val="21"/>
                                      </w:rPr>
                                    </w:pPr>
                                  </w:p>
                                  <w:p>
                                    <w:pPr>
                                      <w:pStyle w:val="94"/>
                                      <w:spacing w:before="120" w:after="120"/>
                                      <w:ind w:left="0" w:firstLine="0"/>
                                    </w:pPr>
                                  </w:p>
                                </w:txbxContent>
                              </wps:txbx>
                              <wps:bodyPr upright="1"/>
                            </wps:wsp>
                            <wps:wsp>
                              <wps:cNvPr id="78" name="矩形 13"/>
                              <wps:cNvSpPr/>
                              <wps:spPr>
                                <a:xfrm>
                                  <a:off x="3276600" y="2555240"/>
                                  <a:ext cx="1750060" cy="285115"/>
                                </a:xfrm>
                                <a:prstGeom prst="rect">
                                  <a:avLst/>
                                </a:prstGeom>
                                <a:noFill/>
                                <a:ln>
                                  <a:noFill/>
                                </a:ln>
                              </wps:spPr>
                              <wps:txbx>
                                <w:txbxContent>
                                  <w:p>
                                    <w:pPr>
                                      <w:adjustRightInd w:val="0"/>
                                      <w:snapToGrid w:val="0"/>
                                      <w:jc w:val="center"/>
                                      <w:rPr>
                                        <w:rFonts w:hint="default"/>
                                        <w:sz w:val="21"/>
                                        <w:szCs w:val="21"/>
                                        <w:lang w:val="en-US"/>
                                      </w:rPr>
                                    </w:pPr>
                                    <w:r>
                                      <w:rPr>
                                        <w:rFonts w:hint="eastAsia"/>
                                        <w:sz w:val="21"/>
                                        <w:szCs w:val="21"/>
                                        <w:lang w:val="en-US" w:eastAsia="zh-CN"/>
                                      </w:rPr>
                                      <w:t>非甲烷总烃、冷却水、噪声</w:t>
                                    </w:r>
                                  </w:p>
                                  <w:p>
                                    <w:pPr>
                                      <w:pStyle w:val="41"/>
                                      <w:rPr>
                                        <w:rFonts w:hint="default"/>
                                        <w:sz w:val="21"/>
                                        <w:szCs w:val="21"/>
                                      </w:rPr>
                                    </w:pPr>
                                  </w:p>
                                  <w:p>
                                    <w:pPr>
                                      <w:pStyle w:val="94"/>
                                      <w:spacing w:before="120" w:after="120"/>
                                      <w:ind w:left="0" w:firstLine="0"/>
                                    </w:pPr>
                                  </w:p>
                                </w:txbxContent>
                              </wps:txbx>
                              <wps:bodyPr upright="1"/>
                            </wps:wsp>
                            <wps:wsp>
                              <wps:cNvPr id="79" name="矩形 13"/>
                              <wps:cNvSpPr/>
                              <wps:spPr>
                                <a:xfrm>
                                  <a:off x="3404870" y="1473200"/>
                                  <a:ext cx="1263015" cy="271145"/>
                                </a:xfrm>
                                <a:prstGeom prst="rect">
                                  <a:avLst/>
                                </a:prstGeom>
                                <a:noFill/>
                                <a:ln>
                                  <a:noFill/>
                                </a:ln>
                              </wps:spPr>
                              <wps:txbx>
                                <w:txbxContent>
                                  <w:p>
                                    <w:pPr>
                                      <w:adjustRightInd w:val="0"/>
                                      <w:snapToGrid w:val="0"/>
                                      <w:jc w:val="center"/>
                                      <w:rPr>
                                        <w:rFonts w:hint="default"/>
                                        <w:sz w:val="21"/>
                                        <w:szCs w:val="21"/>
                                      </w:rPr>
                                    </w:pPr>
                                    <w:r>
                                      <w:rPr>
                                        <w:rFonts w:hint="eastAsia"/>
                                        <w:sz w:val="21"/>
                                        <w:szCs w:val="21"/>
                                        <w:lang w:val="en-US" w:eastAsia="zh-CN"/>
                                      </w:rPr>
                                      <w:t>非甲烷总烃、噪声</w:t>
                                    </w:r>
                                  </w:p>
                                  <w:p>
                                    <w:pPr>
                                      <w:pStyle w:val="94"/>
                                      <w:spacing w:before="120" w:after="120"/>
                                      <w:ind w:left="0" w:firstLine="0"/>
                                    </w:pPr>
                                  </w:p>
                                </w:txbxContent>
                              </wps:txbx>
                              <wps:bodyPr upright="1"/>
                            </wps:wsp>
                            <wps:wsp>
                              <wps:cNvPr id="44" name="矩形 13"/>
                              <wps:cNvSpPr/>
                              <wps:spPr>
                                <a:xfrm>
                                  <a:off x="1101090" y="2543175"/>
                                  <a:ext cx="591820" cy="307340"/>
                                </a:xfrm>
                                <a:prstGeom prst="rect">
                                  <a:avLst/>
                                </a:prstGeom>
                                <a:noFill/>
                                <a:ln>
                                  <a:noFill/>
                                </a:ln>
                              </wps:spPr>
                              <wps:txbx>
                                <w:txbxContent>
                                  <w:p>
                                    <w:pPr>
                                      <w:adjustRightInd w:val="0"/>
                                      <w:snapToGrid w:val="0"/>
                                      <w:jc w:val="center"/>
                                      <w:rPr>
                                        <w:szCs w:val="21"/>
                                      </w:rPr>
                                    </w:pPr>
                                    <w:r>
                                      <w:rPr>
                                        <w:rFonts w:hint="eastAsia"/>
                                        <w:szCs w:val="21"/>
                                        <w:lang w:val="en-US" w:eastAsia="zh-CN"/>
                                      </w:rPr>
                                      <w:t>电</w:t>
                                    </w:r>
                                    <w:r>
                                      <w:rPr>
                                        <w:rFonts w:hint="eastAsia"/>
                                        <w:szCs w:val="21"/>
                                      </w:rPr>
                                      <w:t>加热</w:t>
                                    </w:r>
                                  </w:p>
                                  <w:p>
                                    <w:pPr>
                                      <w:pStyle w:val="41"/>
                                      <w:rPr>
                                        <w:rFonts w:hint="default"/>
                                        <w:sz w:val="21"/>
                                        <w:szCs w:val="21"/>
                                      </w:rPr>
                                    </w:pPr>
                                  </w:p>
                                  <w:p>
                                    <w:pPr>
                                      <w:pStyle w:val="94"/>
                                      <w:spacing w:before="120" w:after="120"/>
                                      <w:ind w:left="0" w:firstLine="0"/>
                                    </w:pPr>
                                  </w:p>
                                </w:txbxContent>
                              </wps:txbx>
                              <wps:bodyPr upright="1"/>
                            </wps:wsp>
                            <wps:wsp>
                              <wps:cNvPr id="16" name="直接连接符 75"/>
                              <wps:cNvCnPr/>
                              <wps:spPr>
                                <a:xfrm>
                                  <a:off x="2640965" y="1162685"/>
                                  <a:ext cx="5715" cy="294005"/>
                                </a:xfrm>
                                <a:prstGeom prst="line">
                                  <a:avLst/>
                                </a:prstGeom>
                                <a:ln w="12700" cap="flat" cmpd="sng">
                                  <a:solidFill>
                                    <a:schemeClr val="tx1"/>
                                  </a:solidFill>
                                  <a:prstDash val="solid"/>
                                  <a:headEnd type="none" w="med" len="med"/>
                                  <a:tailEnd type="triangle" w="med" len="med"/>
                                </a:ln>
                              </wps:spPr>
                              <wps:bodyPr/>
                            </wps:wsp>
                            <wps:wsp>
                              <wps:cNvPr id="25" name="直接连接符 75"/>
                              <wps:cNvCnPr/>
                              <wps:spPr>
                                <a:xfrm>
                                  <a:off x="2640965" y="1711325"/>
                                  <a:ext cx="5715" cy="294005"/>
                                </a:xfrm>
                                <a:prstGeom prst="line">
                                  <a:avLst/>
                                </a:prstGeom>
                                <a:ln w="12700" cap="flat" cmpd="sng">
                                  <a:solidFill>
                                    <a:schemeClr val="tx1"/>
                                  </a:solidFill>
                                  <a:prstDash val="solid"/>
                                  <a:headEnd type="none" w="med" len="med"/>
                                  <a:tailEnd type="triangle" w="med" len="med"/>
                                </a:ln>
                              </wps:spPr>
                              <wps:bodyPr/>
                            </wps:wsp>
                            <wps:wsp>
                              <wps:cNvPr id="31" name="直接连接符 75"/>
                              <wps:cNvCnPr/>
                              <wps:spPr>
                                <a:xfrm>
                                  <a:off x="2640965" y="2259965"/>
                                  <a:ext cx="5715" cy="294005"/>
                                </a:xfrm>
                                <a:prstGeom prst="line">
                                  <a:avLst/>
                                </a:prstGeom>
                                <a:ln w="12700" cap="flat" cmpd="sng">
                                  <a:solidFill>
                                    <a:schemeClr val="tx1"/>
                                  </a:solidFill>
                                  <a:prstDash val="solid"/>
                                  <a:headEnd type="none" w="med" len="med"/>
                                  <a:tailEnd type="triangle" w="med" len="med"/>
                                </a:ln>
                              </wps:spPr>
                              <wps:bodyPr/>
                            </wps:wsp>
                            <wps:wsp>
                              <wps:cNvPr id="32" name="直接连接符 75"/>
                              <wps:cNvCnPr/>
                              <wps:spPr>
                                <a:xfrm>
                                  <a:off x="2652395" y="2817495"/>
                                  <a:ext cx="5715" cy="294005"/>
                                </a:xfrm>
                                <a:prstGeom prst="line">
                                  <a:avLst/>
                                </a:prstGeom>
                                <a:ln w="12700" cap="flat" cmpd="sng">
                                  <a:solidFill>
                                    <a:schemeClr val="tx1"/>
                                  </a:solidFill>
                                  <a:prstDash val="solid"/>
                                  <a:headEnd type="none" w="med" len="med"/>
                                  <a:tailEnd type="triangle" w="med" len="med"/>
                                </a:ln>
                              </wps:spPr>
                              <wps:bodyPr/>
                            </wps:wsp>
                            <wps:wsp>
                              <wps:cNvPr id="34" name="矩形 49"/>
                              <wps:cNvSpPr/>
                              <wps:spPr>
                                <a:xfrm>
                                  <a:off x="2218055" y="3113405"/>
                                  <a:ext cx="860425" cy="2603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jc w:val="center"/>
                                      <w:rPr>
                                        <w:rFonts w:hint="default" w:eastAsia="宋体"/>
                                        <w:lang w:val="en-US" w:eastAsia="zh-CN"/>
                                      </w:rPr>
                                    </w:pPr>
                                    <w:r>
                                      <w:rPr>
                                        <w:rFonts w:hint="eastAsia"/>
                                        <w:lang w:val="en-US" w:eastAsia="zh-CN"/>
                                      </w:rPr>
                                      <w:t>试样检测</w:t>
                                    </w:r>
                                  </w:p>
                                </w:txbxContent>
                              </wps:txbx>
                              <wps:bodyPr upright="1"/>
                            </wps:wsp>
                            <wps:wsp>
                              <wps:cNvPr id="35" name="直接连接符 75"/>
                              <wps:cNvCnPr/>
                              <wps:spPr>
                                <a:xfrm>
                                  <a:off x="2649855" y="3373755"/>
                                  <a:ext cx="5715" cy="294005"/>
                                </a:xfrm>
                                <a:prstGeom prst="line">
                                  <a:avLst/>
                                </a:prstGeom>
                                <a:ln w="12700" cap="flat" cmpd="sng">
                                  <a:solidFill>
                                    <a:schemeClr val="tx1"/>
                                  </a:solidFill>
                                  <a:prstDash val="solid"/>
                                  <a:headEnd type="none" w="med" len="med"/>
                                  <a:tailEnd type="triangle" w="med" len="med"/>
                                </a:ln>
                              </wps:spPr>
                              <wps:bodyPr/>
                            </wps:wsp>
                            <wps:wsp>
                              <wps:cNvPr id="36" name="矩形 51"/>
                              <wps:cNvSpPr/>
                              <wps:spPr>
                                <a:xfrm>
                                  <a:off x="2370455" y="3665855"/>
                                  <a:ext cx="556260" cy="2603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jc w:val="center"/>
                                      <w:rPr>
                                        <w:rFonts w:hint="default" w:eastAsia="宋体"/>
                                        <w:lang w:val="en-US" w:eastAsia="zh-CN"/>
                                      </w:rPr>
                                    </w:pPr>
                                    <w:r>
                                      <w:rPr>
                                        <w:rFonts w:hint="eastAsia"/>
                                        <w:lang w:val="en-US" w:eastAsia="zh-CN"/>
                                      </w:rPr>
                                      <w:t>分装</w:t>
                                    </w:r>
                                    <w:r>
                                      <w:rPr>
                                        <w:rFonts w:hint="eastAsia"/>
                                        <w:lang w:val="en-US" w:eastAsia="zh-CN"/>
                                      </w:rPr>
                                      <w:tab/>
                                    </w:r>
                                  </w:p>
                                </w:txbxContent>
                              </wps:txbx>
                              <wps:bodyPr upright="1"/>
                            </wps:wsp>
                            <wps:wsp>
                              <wps:cNvPr id="37" name="直接连接符 14"/>
                              <wps:cNvCnPr/>
                              <wps:spPr>
                                <a:xfrm>
                                  <a:off x="3081655" y="1583055"/>
                                  <a:ext cx="320040" cy="0"/>
                                </a:xfrm>
                                <a:prstGeom prst="line">
                                  <a:avLst/>
                                </a:prstGeom>
                                <a:ln w="9525" cap="flat" cmpd="sng">
                                  <a:solidFill>
                                    <a:srgbClr val="000000"/>
                                  </a:solidFill>
                                  <a:prstDash val="dash"/>
                                  <a:headEnd type="none" w="med" len="med"/>
                                  <a:tailEnd type="triangle" w="med" len="med"/>
                                </a:ln>
                              </wps:spPr>
                              <wps:bodyPr/>
                            </wps:wsp>
                            <wps:wsp>
                              <wps:cNvPr id="38" name="直接连接符 14"/>
                              <wps:cNvCnPr/>
                              <wps:spPr>
                                <a:xfrm>
                                  <a:off x="2935605" y="2122805"/>
                                  <a:ext cx="320040" cy="0"/>
                                </a:xfrm>
                                <a:prstGeom prst="line">
                                  <a:avLst/>
                                </a:prstGeom>
                                <a:ln w="9525" cap="flat" cmpd="sng">
                                  <a:solidFill>
                                    <a:srgbClr val="000000"/>
                                  </a:solidFill>
                                  <a:prstDash val="dash"/>
                                  <a:headEnd type="none" w="med" len="med"/>
                                  <a:tailEnd type="triangle" w="med" len="med"/>
                                </a:ln>
                              </wps:spPr>
                              <wps:bodyPr/>
                            </wps:wsp>
                            <wps:wsp>
                              <wps:cNvPr id="39" name="矩形 13"/>
                              <wps:cNvSpPr/>
                              <wps:spPr>
                                <a:xfrm>
                                  <a:off x="3259455" y="1989455"/>
                                  <a:ext cx="1212850" cy="284480"/>
                                </a:xfrm>
                                <a:prstGeom prst="rect">
                                  <a:avLst/>
                                </a:prstGeom>
                                <a:noFill/>
                                <a:ln>
                                  <a:noFill/>
                                </a:ln>
                              </wps:spPr>
                              <wps:txbx>
                                <w:txbxContent>
                                  <w:p>
                                    <w:pPr>
                                      <w:adjustRightInd w:val="0"/>
                                      <w:snapToGrid w:val="0"/>
                                      <w:jc w:val="center"/>
                                      <w:rPr>
                                        <w:rFonts w:hint="default"/>
                                        <w:sz w:val="21"/>
                                        <w:szCs w:val="21"/>
                                      </w:rPr>
                                    </w:pPr>
                                    <w:r>
                                      <w:rPr>
                                        <w:rFonts w:hint="eastAsia"/>
                                        <w:sz w:val="21"/>
                                        <w:szCs w:val="21"/>
                                        <w:lang w:val="en-US" w:eastAsia="zh-CN"/>
                                      </w:rPr>
                                      <w:t>非甲烷总烃、噪声</w:t>
                                    </w:r>
                                  </w:p>
                                  <w:p>
                                    <w:pPr>
                                      <w:pStyle w:val="94"/>
                                      <w:spacing w:before="120" w:after="120"/>
                                      <w:ind w:left="0" w:firstLine="0"/>
                                    </w:pPr>
                                  </w:p>
                                </w:txbxContent>
                              </wps:txbx>
                              <wps:bodyPr upright="1"/>
                            </wps:wsp>
                            <wps:wsp>
                              <wps:cNvPr id="40" name="直接连接符 14"/>
                              <wps:cNvCnPr/>
                              <wps:spPr>
                                <a:xfrm>
                                  <a:off x="2922905" y="2675255"/>
                                  <a:ext cx="320040" cy="0"/>
                                </a:xfrm>
                                <a:prstGeom prst="line">
                                  <a:avLst/>
                                </a:prstGeom>
                                <a:ln w="9525" cap="flat" cmpd="sng">
                                  <a:solidFill>
                                    <a:srgbClr val="000000"/>
                                  </a:solidFill>
                                  <a:prstDash val="dash"/>
                                  <a:headEnd type="none" w="med" len="med"/>
                                  <a:tailEnd type="triangle" w="med" len="med"/>
                                </a:ln>
                              </wps:spPr>
                              <wps:bodyPr/>
                            </wps:wsp>
                            <wps:wsp>
                              <wps:cNvPr id="42" name="直接连接符 14"/>
                              <wps:cNvCnPr/>
                              <wps:spPr>
                                <a:xfrm>
                                  <a:off x="3088005" y="3221355"/>
                                  <a:ext cx="320040" cy="0"/>
                                </a:xfrm>
                                <a:prstGeom prst="line">
                                  <a:avLst/>
                                </a:prstGeom>
                                <a:ln w="9525" cap="flat" cmpd="sng">
                                  <a:solidFill>
                                    <a:srgbClr val="000000"/>
                                  </a:solidFill>
                                  <a:prstDash val="dash"/>
                                  <a:headEnd type="none" w="med" len="med"/>
                                  <a:tailEnd type="triangle" w="med" len="med"/>
                                </a:ln>
                              </wps:spPr>
                              <wps:bodyPr/>
                            </wps:wsp>
                            <wps:wsp>
                              <wps:cNvPr id="43" name="矩形 13"/>
                              <wps:cNvSpPr/>
                              <wps:spPr>
                                <a:xfrm>
                                  <a:off x="3411855" y="3113405"/>
                                  <a:ext cx="1750060" cy="285115"/>
                                </a:xfrm>
                                <a:prstGeom prst="rect">
                                  <a:avLst/>
                                </a:prstGeom>
                                <a:noFill/>
                                <a:ln>
                                  <a:noFill/>
                                </a:ln>
                              </wps:spPr>
                              <wps:txbx>
                                <w:txbxContent>
                                  <w:p>
                                    <w:pPr>
                                      <w:adjustRightInd w:val="0"/>
                                      <w:snapToGrid w:val="0"/>
                                      <w:jc w:val="center"/>
                                      <w:rPr>
                                        <w:rFonts w:hint="default"/>
                                        <w:sz w:val="21"/>
                                        <w:szCs w:val="21"/>
                                        <w:lang w:val="en-US"/>
                                      </w:rPr>
                                    </w:pPr>
                                    <w:r>
                                      <w:rPr>
                                        <w:rFonts w:hint="eastAsia"/>
                                        <w:sz w:val="21"/>
                                        <w:szCs w:val="21"/>
                                        <w:lang w:val="en-US" w:eastAsia="zh-CN"/>
                                      </w:rPr>
                                      <w:t>非甲烷总烃、固废、噪声</w:t>
                                    </w:r>
                                  </w:p>
                                  <w:p>
                                    <w:pPr>
                                      <w:pStyle w:val="41"/>
                                      <w:rPr>
                                        <w:rFonts w:hint="default"/>
                                        <w:sz w:val="21"/>
                                        <w:szCs w:val="21"/>
                                      </w:rPr>
                                    </w:pPr>
                                  </w:p>
                                  <w:p>
                                    <w:pPr>
                                      <w:pStyle w:val="94"/>
                                      <w:spacing w:before="120" w:after="120"/>
                                      <w:ind w:left="0" w:firstLine="0"/>
                                    </w:pPr>
                                  </w:p>
                                </w:txbxContent>
                              </wps:txbx>
                              <wps:bodyPr upright="1"/>
                            </wps:wsp>
                            <wps:wsp>
                              <wps:cNvPr id="45" name="直接连接符 14"/>
                              <wps:cNvCnPr/>
                              <wps:spPr>
                                <a:xfrm flipV="1">
                                  <a:off x="1791335" y="2681605"/>
                                  <a:ext cx="543560" cy="635"/>
                                </a:xfrm>
                                <a:prstGeom prst="line">
                                  <a:avLst/>
                                </a:prstGeom>
                                <a:ln w="9525" cap="flat" cmpd="sng">
                                  <a:solidFill>
                                    <a:srgbClr val="000000"/>
                                  </a:solidFill>
                                  <a:prstDash val="dash"/>
                                  <a:headEnd type="none" w="med" len="med"/>
                                  <a:tailEnd type="triangle" w="med" len="med"/>
                                </a:ln>
                              </wps:spPr>
                              <wps:bodyPr/>
                            </wps:wsp>
                            <wps:wsp>
                              <wps:cNvPr id="46" name="等腰三角形 46"/>
                              <wps:cNvSpPr/>
                              <wps:spPr>
                                <a:xfrm>
                                  <a:off x="1912620" y="2466340"/>
                                  <a:ext cx="133350" cy="133350"/>
                                </a:xfrm>
                                <a:prstGeom prst="triangle">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4" name="直接连接符 14"/>
                              <wps:cNvCnPr/>
                              <wps:spPr>
                                <a:xfrm>
                                  <a:off x="2935605" y="3773805"/>
                                  <a:ext cx="320040" cy="0"/>
                                </a:xfrm>
                                <a:prstGeom prst="line">
                                  <a:avLst/>
                                </a:prstGeom>
                                <a:ln w="9525" cap="flat" cmpd="sng">
                                  <a:solidFill>
                                    <a:srgbClr val="000000"/>
                                  </a:solidFill>
                                  <a:prstDash val="dash"/>
                                  <a:headEnd type="none" w="med" len="med"/>
                                  <a:tailEnd type="triangle" w="med" len="med"/>
                                </a:ln>
                              </wps:spPr>
                              <wps:bodyPr/>
                            </wps:wsp>
                            <wps:wsp>
                              <wps:cNvPr id="60" name="矩形 13"/>
                              <wps:cNvSpPr/>
                              <wps:spPr>
                                <a:xfrm>
                                  <a:off x="3259455" y="3653155"/>
                                  <a:ext cx="1263015" cy="271145"/>
                                </a:xfrm>
                                <a:prstGeom prst="rect">
                                  <a:avLst/>
                                </a:prstGeom>
                                <a:noFill/>
                                <a:ln>
                                  <a:noFill/>
                                </a:ln>
                              </wps:spPr>
                              <wps:txbx>
                                <w:txbxContent>
                                  <w:p>
                                    <w:pPr>
                                      <w:adjustRightInd w:val="0"/>
                                      <w:snapToGrid w:val="0"/>
                                      <w:jc w:val="center"/>
                                      <w:rPr>
                                        <w:rFonts w:hint="default"/>
                                        <w:sz w:val="21"/>
                                        <w:szCs w:val="21"/>
                                      </w:rPr>
                                    </w:pPr>
                                    <w:r>
                                      <w:rPr>
                                        <w:rFonts w:hint="eastAsia"/>
                                        <w:sz w:val="21"/>
                                        <w:szCs w:val="21"/>
                                        <w:lang w:val="en-US" w:eastAsia="zh-CN"/>
                                      </w:rPr>
                                      <w:t>非甲烷总烃、噪声</w:t>
                                    </w:r>
                                  </w:p>
                                  <w:p>
                                    <w:pPr>
                                      <w:pStyle w:val="94"/>
                                      <w:spacing w:before="120" w:after="120"/>
                                      <w:ind w:left="0" w:firstLine="0"/>
                                    </w:pPr>
                                  </w:p>
                                </w:txbxContent>
                              </wps:txbx>
                              <wps:bodyPr upright="1"/>
                            </wps:wsp>
                          </wpc:wpc>
                        </a:graphicData>
                      </a:graphic>
                    </wp:inline>
                  </w:drawing>
                </mc:Choice>
                <mc:Fallback>
                  <w:pict>
                    <v:group id="_x0000_s1026" o:spid="_x0000_s1026" o:spt="203" style="height:318.55pt;width:409.25pt;" coordsize="5197475,4045585" editas="canvas" o:gfxdata="UEsDBAoAAAAAAIdO4kAAAAAAAAAAAAAAAAAEAAAAZHJzL1BLAwQUAAAACACHTuJAfk17xNcAAAAF&#10;AQAADwAAAGRycy9kb3ducmV2LnhtbE2PQUvDQBCF70L/wzIFL2I3UawhZtNDobRIoZhqz9vsmASz&#10;s2l2m9R/79iLXgYe7/HeN9niYlsxYO8bRwriWQQCqXSmoUrB+351n4DwQZPRrSNU8I0eFvnkJtOp&#10;cSO94VCESnAJ+VQrqEPoUil9WaPVfuY6JPY+XW91YNlX0vR65HLbyocomkurG+KFWne4rLH8Ks5W&#10;wVjuhsN+u5a7u8PG0WlzWhYfr0rdTuPoBUTAS/gLwy8+o0POTEd3JuNFq4AfCdfLXhInTyCOCuaP&#10;zzHIPJP/6fMfUEsDBBQAAAAIAIdO4kB79c75CwcAAEA6AAAOAAAAZHJzL2Uyb0RvYy54bWztW0tv&#10;20YQvhfofyB4b8TlcvkQYgeGHQcFgiZA+jjTFCUR4KtLyrJ7LXrIpYeitwItUKAtCrRADz0EKIr+&#10;mabJz+g3S4qSGPkh2XGtmj7IK+5quTv77czsN7P3H5wksXYcyiLK0h2d3TN0LUyDbBClox39ow8P&#10;33N1rSj9dODHWRru6KdhoT/Yffed+9O8H5rZOIsHodTQSVr0p/mOPi7LvN/rFcE4TPziXpaHKSqH&#10;mUz8El/lqDeQ/hS9J3HPNAy7N83kIJdZEBYFnh5UlXrdo7xMh9lwGAXhQRZMkjAtq15lGPslplSM&#10;o7zQd9Voh8MwKJ8Mh0VYavGOjpmW6hMvQfmIPnu79/3+SPr5OArqIfiXGUJrTokfpXhp09WBX/ra&#10;REZvdJVEgcyKbFjeC7KkV01ESQSzYEZLNo9kNsnVXEb96ShvhI6Fakl9426DD46fSi0aAAkO17XU&#10;T7Dkr77+4+WLzzV6AvlM81EfzR7J/Fn+VNYPRtU3mvLJUCb0H5PRTpRkTxvJhielFuChYJ5jOULX&#10;AtRZhiWEKyrZB2Ms0Bu/C8YPL/hlb/biHo2vGc40ByqLuaiKq4nq2djPQ7UCBcmgFpU9l9R3P7/8&#10;83uN1YJSjRopFf0CAlshIiYs27UBQQhDeIaoRTETlsmYZ3NUk7DQ0OKqQTNjv5/LonwUZolGhR1d&#10;AuYKff7x46LECqHprAm9Ps0OozhWUI/TpQdoSE8gw9lgqVSeHJ2odS76R9ngFLOe5DIajfEqRqum&#10;mkPKhI2bEDdwUwPzm9//+fKH1399i89Xv/yoAVH1OLE4+2mNztlUZghpoGnanHtuJXeb2Q0GZ4IX&#10;DqshanqWYVwg9ThKCRp+/wypx6k2hcBMx6Cl9KEqh1BRKCY5tluRjtSPiyyOBrQ81FMhR0f7sdSO&#10;fVJX6k/JGzWLzWhtD/xiXLVTVdVmGof+4GE60MrTHNs4hf7WaQxJONC1OIS6p5LCQelH8bxlKSM/&#10;HcVntF4NkgoZ/wEa7AYN1eZz7AUQXLz5TG57DNqHNp/reQz7UEmkAYGwTdqbtPlQ4ELVb775llZu&#10;aYEP1R+9Hb0vNaug4wmT4HgjyEmiMpRKDpti6Gy0rcbPbVMyTgtWlrcerEwDqqXSLcwSzGYtXEHh&#10;W2o9O1ytpZu2HVdwp2vjVakroUwoGU7YrEupK1dAB5G6gvtsOl4LV6LTVxvZvG3HldfG1Xo+qMmF&#10;48DzVLgSQnkpnR3s33k76JgNrlrONrMWDOIlnG2P26ZVG0SDMyovAYxDnVE9OVoX+FiXc7Xfur80&#10;gM9dzWFTJ2mbHG2n7RGtecrlJixTfdpyXeHC+VlafwYawLXIwyXT5hnMu+DA9T8/5jptT2FteTu2&#10;XXugpoBKb2845gjwb/WOM13BcNrFimx+tNlyXsFpm9B1BQ4iy3VqDWc5pM9aCAfhYDSUgsNwLrjT&#10;AresxrZsxpsxcKTwfyufxeIA9LLABU72Zg1wbji82gF3FuBsTpW0bPnaxJlleHblLDIGfmTG3jak&#10;ScecreLZVjMf/xVzRuzDNfGoC3CAWoOlb+3DDg63Hw6cvQU4mKbwSFMseXodr76Shb9d2oGfefBb&#10;21gIk8OXV1baZY5V+fV+vzMWWxRm4W1fbW0+nLkU2SQUcJgIqwqnzVHQ8eGbxeq2nLdELPvanBAP&#10;zHgFMO5wIjM7q0Nx320imfj8iLJheMShbJIKBTaF9Nso6MIjdzE8wufkZevouyaNzQ0XmSIVwJhw&#10;+RvZOh2N3c4uuWV+7ZxWvRoSTI8LG16M8muZCWq7pWo6JNxyJFyV78XZdmZrmOeq8pLHwUwGWr0h&#10;2C0L0Y+7TLBTdG814bSmEjY9EwGieuvZDvKiuq23VW6edSa5sCYSYI6RZVX7e6bJeIeE7XL4rSvm&#10;TnOLIXuzBsAqXqGLcta5ZXWyOkXYN1fC2jCO8o8p75vyk+sUf+Z4jNNBngL3NvzjtickkLI+CzTb&#10;F2Wvd8kdkpyEOpX+hnLqrfm5+9fnr7/47e8Xz1//9BXdZUANhnPp/ETmMdOmmCthwbLtOuY65/mA&#10;FMqhVlkedflcn6hhL85JrV9KPCBu/ZzUH82PR8h8D0p53fn2551zNJnhtgSmXeTBYYR8/cd+UT71&#10;JS4X4SGuX5VP8DGMMww+q0u6Ns7kZ6ueU3tcZEEt8vlxWQnXBz6d+DJEVv/7Ka64eMwiX6tUXyzh&#10;0HrIxZqjxZp0kuxnuGCA+A9Gp4rUvoxnxaHMkk9wS2uP3ooqPw3w7kqG9Zf9srpEhXteQbi3p5rh&#10;RlPul4/TZ3kwUxhptjcps2GkLqUQpqrY543DXczZ7Os7BHLH4d0hcMsIRzJLS/nY6yb9LBwCuS04&#10;azugUIfbkvSjrs7hYqHKAasvQdLNxcXvaqvOL37u/g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7CQAAW0NvbnRlbnRfVHlwZXNdLnhtbFBLAQIU&#10;AAoAAAAAAIdO4kAAAAAAAAAAAAAAAAAGAAAAAAAAAAAAEAAAAF0IAABfcmVscy9QSwECFAAUAAAA&#10;CACHTuJAihRmPNEAAACUAQAACwAAAAAAAAABACAAAACBCAAAX3JlbHMvLnJlbHNQSwECFAAKAAAA&#10;AACHTuJAAAAAAAAAAAAAAAAABAAAAAAAAAAAABAAAAAAAAAAZHJzL1BLAQIUABQAAAAIAIdO4kB+&#10;TXvE1wAAAAUBAAAPAAAAAAAAAAEAIAAAACIAAABkcnMvZG93bnJldi54bWxQSwECFAAUAAAACACH&#10;TuJAe/XO+QsHAABAOgAADgAAAAAAAAABACAAAAAmAQAAZHJzL2Uyb0RvYy54bWxQSwUGAAAAAAYA&#10;BgBZAQAAowoAAAAA&#10;">
                      <o:lock v:ext="edit" aspectratio="f"/>
                      <v:shape id="_x0000_s1026" o:spid="_x0000_s1026" style="position:absolute;left:0;top:0;height:4045585;width:5197475;" filled="f" stroked="f" coordsize="21600,21600" o:gfxdata="UEsDBAoAAAAAAIdO4kAAAAAAAAAAAAAAAAAEAAAAZHJzL1BLAwQUAAAACACHTuJAfk17xNcAAAAF&#10;AQAADwAAAGRycy9kb3ducmV2LnhtbE2PQUvDQBCF70L/wzIFL2I3UawhZtNDobRIoZhqz9vsmASz&#10;s2l2m9R/79iLXgYe7/HeN9niYlsxYO8bRwriWQQCqXSmoUrB+351n4DwQZPRrSNU8I0eFvnkJtOp&#10;cSO94VCESnAJ+VQrqEPoUil9WaPVfuY6JPY+XW91YNlX0vR65HLbyocomkurG+KFWne4rLH8Ks5W&#10;wVjuhsN+u5a7u8PG0WlzWhYfr0rdTuPoBUTAS/gLwy8+o0POTEd3JuNFq4AfCdfLXhInTyCOCuaP&#10;zzHIPJP/6fMfUEsDBBQAAAAIAIdO4kDbBgR2zQYAALk5AAAOAAAAZHJzL2Uyb0RvYy54bWztW8uO&#10;5DQU3SPxD1H2TMVxnEdpqketbhohjZiRhsfanUpVRcoLJ/1iz2I2LNgigYQECAkkFizYIH4GmPkM&#10;zrXTVV2ZflV1z0wXnVpUO2W3Y18fXx8fXz98dJxn1mGi6rQsRjZ74NhWUsTlOC2mI/uTj/feC22r&#10;bmQxlllZJCP7JKntR1vvvvPwqBombjkrs3GiLFRS1MOjamTPmqYaDgZ1PEtyWT8oq6RA5qRUuWzw&#10;qKaDsZJHqD3PBq7j+IOjUo0rVcZJXePXXZNptzWq61RYTiZpnOyW8UGeFI2pVSWZbNClepZWtb2l&#10;WzuZJHHzZDKpk8bKRjZ62uhvvATpffoebD2Uw6mS1SyN2ybI6zSh06dcpgVeOq9qVzbSOlDpK1Xl&#10;aazKupw0D+IyH5iOaIugF8zp2GZHFofSdCaGrU8biNQt1rs/pXYX5V6aZbDGALUP6Tf6e4TRTig7&#10;K5YLmV902bbMUQU41NUcGPXNmvhsJqtED2M9jD86fKqsdDyyfW5bhcyByhff/fzPn99bjNMI0rtR&#10;6Fn1VLVPNZLU4uOJyukvDG0dA+3C80MfY38yskXkCGHGPzlurBjZLmORz5EdIx8FPa4LDBb1VKpu&#10;PkjK3KLEyFbAlx52efi4bsh6cnhaZMlgl1iwHprGUiea4/3jtgf75fgEvT6oVDqd4VWMmgqDayub&#10;Lr9+c4u5ub/5/d+vfnj517f4fvHLj1agDdPafae4yu6uz3kUGrv7zBdhx/AiYHgVWd2NPMe5wupZ&#10;WhA05PACq2eFdQSDuYFDQynhoybwDUjmFTBUF1P9z3WZpWMCPdVUq+n+TqasQ0l+Qn+0vZFzthiN&#10;7a6sZ6aczjIImiVy/H4xtpqTCuAs4DhtakOejG0rS+BnKYUBlMNGptmiZKNSWUyzC0oDTTTx9Kgv&#10;QGKQ8RbQ4M/RYCZf4FOXrj35XO5HDCNPky+MIoZ5qC1yOvuE8F2amxoGvsOFzl9/8i2N3NIA7+kP&#10;vR21LxUz0ImES3B8I8jJ0yZR2g7rYuhitJ2Pn7vmZIIOrLxoNVi5DlyL8S3ME8xnHVzB4Xt6PMm9&#10;9Li6tm/adFyBxy5xBaGX0FXcVSjgg8hdgbe6QdTBVe+v1lvzNh1XURdXq3FQl4sgAPPUuBJCs5R+&#10;HRze+3UwcOe46pBt5p1ZEK9BtiPuu167IDqcUXoJYBzujPKJaF3Bsa5HtV87XxqDc5s+rEuSNolo&#10;B11GtOIul7tg0u1uKwxFCPKzNP7M8UToEcOlpS1yWHTFhut/vs0NukxhZXsHvt8yUFfApXcnHAsE&#10;hK92xrmhYNjtYkTW39rM1ZrN1BWC7hK6qsE9xwuD1sN5AfmzDsIhODhzSSFg2Bfca4N73nxtWU83&#10;YxAnwX8NZ/E4AL1scIGdvdsCnDsBNzPg3gKcLaSSzlq+snDmOZFvyCJj0Ed65azV2DZpQSf1od2K&#10;3iIc4Naw0nfmYS+knie7ni+EvS0hlbPXAAfXFRF5iiWm1+vq56rwdwwOF278Vl4shMvB5fUqHbLA&#10;M7xeDucKe+8dNsA7dLnayno4C+lkk1DAsUR45jhtgYJeD7+XuiXOsm+NhERQxg3AeMBJzOxXHTr3&#10;3SROyhdbFLMlXPl4JICM1KLApyP9Lgr649y1QgI2/HiEL8TLzl5nRRmbOyEiRQzAmAj5K9E6vYzd&#10;jS65Y7x2IaveDAluxIUPFqN5LXMhbXdcTY+EO46Em+q92NuerjUsCnV6iXEwl0FWnwvsnofTj/ss&#10;sNPp3vmC04pO2I1cHBC1U88PEBfVT72NonneheLCikjAcowoq5bvuS7jPRI2i/B7N4yd5h5D9GYL&#10;gPN0hf6Us40ta4PV6YR9fSdsTbK0+pTivilq+DR+PYgYp408Hdz74MddJiQQsn560OxfFb3eB3co&#10;Igk0agilf0Mx9d5i3/3r85df/vb3H89f/vQ13WVADppz7fhEFjHXpzNXwoLn++2Z60LnA1IohlpH&#10;ebTpSznRXL24JLR+KfCAtPVLQn8smU0R+R436rbj7S/b51iqxG0JdLuu4r0U8fqPZd08lQq3evAj&#10;7j01T/A1yUo0vmxTtjUr1Rfn/U7lcZEFuYjnxy0hXB/4/ECqBFH9Hxa44hIxj7hWox88EdB4qLM5&#10;+2dzioN8p8QFA5z/oHU6SeWb7DQ5UWX+Ga5HbdNbkSWLGO82NmwfdhpzewkXrOJke1sXw1WiSjaP&#10;i2d0Mcg4jKLcPmjKSaovpRCmzGHXG4e7WKjZt7cJ5EHA+03ghgmOtCwtxWOvGvRzZhPIfcFZl4DC&#10;HW5K0I+5OFfFOgasvX1IVwbPPuupurhxufU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PQkAAFtDb250ZW50X1R5cGVzXS54bWxQSwECFAAKAAAA&#10;AACHTuJAAAAAAAAAAAAAAAAABgAAAAAAAAAAABAAAAAfCAAAX3JlbHMvUEsBAhQAFAAAAAgAh07i&#10;QIoUZjzRAAAAlAEAAAsAAAAAAAAAAQAgAAAAQwgAAF9yZWxzLy5yZWxzUEsBAhQACgAAAAAAh07i&#10;QAAAAAAAAAAAAAAAAAQAAAAAAAAAAAAQAAAAAAAAAGRycy9QSwECFAAUAAAACACHTuJAfk17xNcA&#10;AAAFAQAADwAAAAAAAAABACAAAAAiAAAAZHJzL2Rvd25yZXYueG1sUEsBAhQAFAAAAAgAh07iQNsG&#10;BHbNBgAAuTkAAA4AAAAAAAAAAQAgAAAAJgEAAGRycy9lMm9Eb2MueG1sUEsFBgAAAAAGAAYAWQEA&#10;AGUKAAAAAA==&#10;">
                        <v:fill on="f" focussize="0,0"/>
                        <v:stroke on="f"/>
                        <v:imagedata o:title=""/>
                        <o:lock v:ext="edit" aspectratio="t"/>
                      </v:shape>
                      <v:rect id="矩形 13" o:spid="_x0000_s1026" o:spt="1" style="position:absolute;left:1546860;top:59055;height:686435;width:2119630;" filled="f" stroked="f" coordsize="21600,21600" o:gfxdata="UEsDBAoAAAAAAIdO4kAAAAAAAAAAAAAAAAAEAAAAZHJzL1BLAwQUAAAACACHTuJAfk17xNcAAAAF&#10;AQAADwAAAGRycy9kb3ducmV2LnhtbE2PQUvDQBCF70L/wzIFL2I3UawhZtNDobRIoZhqz9vsmASz&#10;s2l2m9R/79iLXgYe7/HeN9niYlsxYO8bRwriWQQCqXSmoUrB+351n4DwQZPRrSNU8I0eFvnkJtOp&#10;cSO94VCESnAJ+VQrqEPoUil9WaPVfuY6JPY+XW91YNlX0vR65HLbyocomkurG+KFWne4rLH8Ks5W&#10;wVjuhsN+u5a7u8PG0WlzWhYfr0rdTuPoBUTAS/gLwy8+o0POTEd3JuNFq4AfCdfLXhInTyCOCuaP&#10;zzHIPJP/6fMfUEsDBBQAAAAIAIdO4kCKFoXargEAAE0DAAAOAAAAZHJzL2Uyb0RvYy54bWytU0tu&#10;2zAQ3RfoHQjua0p2LCSC5WyMZBO0AdIegKYoiwB/4NCWfJoC3fUQPU7Ra3RIKd9usuiGmuE8vJn3&#10;htpcj0aTkwygnG1ouSgokVa4VtlDQ799vfl0SQlEbluunZUNPUug19uPHzaDr+XS9U63MhAksVAP&#10;vqF9jL5mDEQvDYeF89JisXPB8IhpOLA28AHZjWbLoqjY4ELrgxMSAG93U5HOjOE9hK7rlJA7J45G&#10;2jixBql5REnQKw90m6ftOinil64DGYluKCqN+cQmGO/TybYbXh8C970S8wj8PSO80WS4stj0iWrH&#10;IyfHoP6hMkoEB66LC+EMm4RkR1BFWbzx5qHnXmYtaDX4J9Ph/9GKz6f7QFTb0GpFieUGN/7n+8/f&#10;v36QcpXcGTzUCHrw92HOAMMkdeyCSV8UQUZ8SeuL6rJCX88NXV8V6/XkrRwjEVheluVVtcKywDoC&#10;L1YZwJ55fIB4K50hKWhowN1lS/npDiL2RugjJLW17kZpnfen7asLBKYblkafhk1RHPfjrGDv2jOq&#10;PvqgDj22KtOoGY4u50bzi0hrfJln1PNfsP0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fk17xNcA&#10;AAAFAQAADwAAAAAAAAABACAAAAAiAAAAZHJzL2Rvd25yZXYueG1sUEsBAhQAFAAAAAgAh07iQIoW&#10;hdquAQAATQMAAA4AAAAAAAAAAQAgAAAAJgEAAGRycy9lMm9Eb2MueG1sUEsFBgAAAAAGAAYAWQEA&#10;AEYFAAAAAA==&#10;">
                        <v:fill on="f" focussize="0,0"/>
                        <v:stroke on="f"/>
                        <v:imagedata o:title=""/>
                        <o:lock v:ext="edit" aspectratio="f"/>
                        <v:textbox>
                          <w:txbxContent>
                            <w:p>
                              <w:pPr>
                                <w:adjustRightInd w:val="0"/>
                                <w:snapToGrid w:val="0"/>
                                <w:jc w:val="center"/>
                                <w:rPr>
                                  <w:rFonts w:ascii="Times New Roman" w:hAnsi="Times New Roman" w:cs="Times New Roman"/>
                                  <w:bCs/>
                                  <w:color w:val="auto"/>
                                  <w:kern w:val="0"/>
                                  <w:sz w:val="21"/>
                                  <w:szCs w:val="21"/>
                                </w:rPr>
                              </w:pPr>
                              <w:r>
                                <w:rPr>
                                  <w:rFonts w:hint="eastAsia"/>
                                  <w:szCs w:val="21"/>
                                </w:rPr>
                                <w:t>聚醚多元醇</w:t>
                              </w:r>
                              <w:r>
                                <w:rPr>
                                  <w:rFonts w:hint="eastAsia"/>
                                  <w:szCs w:val="21"/>
                                  <w:lang w:eastAsia="zh-CN"/>
                                </w:rPr>
                                <w:t>、</w:t>
                              </w:r>
                              <w:r>
                                <w:rPr>
                                  <w:rFonts w:hint="default" w:ascii="Times New Roman" w:hAnsi="Times New Roman" w:cs="Times New Roman"/>
                                  <w:bCs/>
                                  <w:color w:val="auto"/>
                                  <w:kern w:val="0"/>
                                  <w:sz w:val="21"/>
                                  <w:szCs w:val="21"/>
                                </w:rPr>
                                <w:t>氯化石蜡</w:t>
                              </w:r>
                              <w:r>
                                <w:rPr>
                                  <w:rFonts w:hint="eastAsia" w:cs="Times New Roman"/>
                                  <w:bCs/>
                                  <w:color w:val="auto"/>
                                  <w:kern w:val="0"/>
                                  <w:sz w:val="21"/>
                                  <w:szCs w:val="21"/>
                                  <w:lang w:eastAsia="zh-CN"/>
                                </w:rPr>
                                <w:t>、</w:t>
                              </w:r>
                              <w:r>
                                <w:rPr>
                                  <w:rFonts w:ascii="Times New Roman" w:hAnsi="Times New Roman" w:cs="Times New Roman"/>
                                  <w:bCs/>
                                  <w:color w:val="auto"/>
                                  <w:kern w:val="0"/>
                                  <w:sz w:val="21"/>
                                  <w:szCs w:val="21"/>
                                </w:rPr>
                                <w:t>滑石粉</w:t>
                              </w:r>
                            </w:p>
                            <w:p>
                              <w:pPr>
                                <w:adjustRightInd w:val="0"/>
                                <w:snapToGrid w:val="0"/>
                                <w:jc w:val="center"/>
                                <w:rPr>
                                  <w:rFonts w:hint="default"/>
                                  <w:sz w:val="21"/>
                                  <w:szCs w:val="21"/>
                                </w:rPr>
                              </w:pPr>
                              <w:r>
                                <w:rPr>
                                  <w:sz w:val="21"/>
                                  <w:szCs w:val="21"/>
                                </w:rPr>
                                <w:t>钙粉</w:t>
                              </w:r>
                              <w:r>
                                <w:rPr>
                                  <w:rFonts w:hint="eastAsia"/>
                                  <w:sz w:val="21"/>
                                  <w:szCs w:val="21"/>
                                  <w:lang w:eastAsia="zh-CN"/>
                                </w:rPr>
                                <w:t>、</w:t>
                              </w:r>
                              <w:r>
                                <w:rPr>
                                  <w:rFonts w:ascii="Times New Roman" w:hAnsi="Times New Roman" w:cs="Times New Roman"/>
                                  <w:bCs/>
                                  <w:color w:val="auto"/>
                                  <w:kern w:val="0"/>
                                  <w:sz w:val="21"/>
                                  <w:szCs w:val="21"/>
                                </w:rPr>
                                <w:t>棕榈油</w:t>
                              </w:r>
                              <w:r>
                                <w:rPr>
                                  <w:rFonts w:hint="eastAsia" w:cs="Times New Roman"/>
                                  <w:bCs/>
                                  <w:color w:val="auto"/>
                                  <w:kern w:val="0"/>
                                  <w:sz w:val="21"/>
                                  <w:szCs w:val="21"/>
                                  <w:lang w:eastAsia="zh-CN"/>
                                </w:rPr>
                                <w:t>、</w:t>
                              </w:r>
                              <w:r>
                                <w:rPr>
                                  <w:sz w:val="21"/>
                                  <w:szCs w:val="21"/>
                                </w:rPr>
                                <w:t>防沉剂</w:t>
                              </w:r>
                              <w:r>
                                <w:rPr>
                                  <w:rFonts w:hint="eastAsia"/>
                                  <w:sz w:val="21"/>
                                  <w:szCs w:val="21"/>
                                  <w:lang w:eastAsia="zh-CN"/>
                                </w:rPr>
                                <w:t>、</w:t>
                              </w:r>
                              <w:r>
                                <w:rPr>
                                  <w:sz w:val="21"/>
                                  <w:szCs w:val="21"/>
                                </w:rPr>
                                <w:t>氧化镁</w:t>
                              </w:r>
                              <w:r>
                                <w:rPr>
                                  <w:rFonts w:hint="eastAsia"/>
                                  <w:sz w:val="21"/>
                                  <w:szCs w:val="21"/>
                                  <w:lang w:eastAsia="zh-CN"/>
                                </w:rPr>
                                <w:t>、</w:t>
                              </w:r>
                              <w:r>
                                <w:rPr>
                                  <w:sz w:val="21"/>
                                  <w:szCs w:val="21"/>
                                </w:rPr>
                                <w:t>色浆</w:t>
                              </w:r>
                            </w:p>
                            <w:p>
                              <w:pPr>
                                <w:pStyle w:val="41"/>
                                <w:rPr>
                                  <w:rFonts w:hint="default"/>
                                  <w:sz w:val="21"/>
                                  <w:szCs w:val="21"/>
                                </w:rPr>
                              </w:pPr>
                            </w:p>
                            <w:p>
                              <w:pPr>
                                <w:pStyle w:val="41"/>
                                <w:rPr>
                                  <w:rFonts w:hint="default"/>
                                  <w:sz w:val="21"/>
                                  <w:szCs w:val="21"/>
                                </w:rPr>
                              </w:pPr>
                            </w:p>
                            <w:p>
                              <w:pPr>
                                <w:pStyle w:val="94"/>
                                <w:spacing w:before="120" w:after="120"/>
                                <w:ind w:left="0" w:firstLine="0"/>
                              </w:pPr>
                            </w:p>
                          </w:txbxContent>
                        </v:textbox>
                      </v:rect>
                      <v:line id="直接连接符 75" o:spid="_x0000_s1026" o:spt="20" style="position:absolute;left:2633980;top:616585;height:294005;width:5715;" filled="f" stroked="t" coordsize="21600,21600" o:gfxdata="UEsDBAoAAAAAAIdO4kAAAAAAAAAAAAAAAAAEAAAAZHJzL1BLAwQUAAAACACHTuJAAgsxf9UAAAAF&#10;AQAADwAAAGRycy9kb3ducmV2LnhtbE2PQUvDQBCF74L/YRnBi7SbtFhDzKagIB48WQV73GanSTA7&#10;m2YnSf33jl70MvB4M+99U2zPvlMTDrENZCBdJqCQquBaqg28vz0tMlCRLTnbBUIDXxhhW15eFDZ3&#10;YaZXnHZcKwmhmFsDDXOfax2rBr2Ny9AjiXcMg7cscqi1G+ws4b7TqyTZaG9bkobG9vjYYPW5G71g&#10;aD/wx/PLOD5M1X7er058sz4Zc32VJvegGM/8tww/+HIDpTAdwkguqs6APMK/U7wszW5BHQxs1ncp&#10;6LLQ/+nLb1BLAwQUAAAACACHTuJAGDwzxAYCAADsAwAADgAAAGRycy9lMm9Eb2MueG1srVPNbhMx&#10;EL4j8Q6W72Q3KfnpKpseGsoFQSTgASa2d9eS/2S72eQleAEkbnDiyL1vQ3kMxt60KUVIPZCDM/aM&#10;v5nv28/Li71WZCd8kNbUdDwqKRGGWS5NW9OPH65eLCgJEQwHZY2o6UEEerF6/mzZu0pMbGcVF54g&#10;iAlV72raxeiqogisExrCyDphMNlYryHi1rcF99AjulbFpCxnRW89d94yEQKerockPSL6pwDappFM&#10;rC271sLEAdULBREphU66QFd52qYRLL5rmiAiUTVFpjGv2ATjbVqL1RKq1oPrJDuOAE8Z4REnDdJg&#10;03uoNUQg117+BaUl8zbYJo6Y1cVAJCuCLMblI23ed+BE5oJSB3cvevh/sOztbuOJ5DWdTSkxoPGL&#10;337+8fPT1183X3C9/f6NzKdJpt6FCqsvzcYfd8FtfOK8b7xO/8iG7Gs6mZ2dnS9Q4AOCjmfTRb4O&#10;ldhHwjA/nY+xFcPs5PxlWeZscUJxPsTXwmqSgpoqaZIEUMHuTYjYGUvvStKxMqRHG0/mJXZkgIZs&#10;0AgYaoekgmnz5WCV5FdSqXQl+HZ7qTzZQTJF/iWCCPxHWeqyhtANdTk12KUTwF8ZTuLBoVoGXwlN&#10;M2jBKVECH1WKEBCqCFKdKqOXYFr1j2psrwxOkXQelE3R1vJDFjyfownynEfDJpc93Ofbp0e6+g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CCzF/1QAAAAUBAAAPAAAAAAAAAAEAIAAAACIAAABkcnMv&#10;ZG93bnJldi54bWxQSwECFAAUAAAACACHTuJAGDwzxAYCAADsAwAADgAAAAAAAAABACAAAAAkAQAA&#10;ZHJzL2Uyb0RvYy54bWxQSwUGAAAAAAYABgBZAQAAnAUAAAAA&#10;">
                        <v:fill on="f" focussize="0,0"/>
                        <v:stroke weight="1pt" color="#000000 [3213]" joinstyle="round" endarrow="block"/>
                        <v:imagedata o:title=""/>
                        <o:lock v:ext="edit" aspectratio="f"/>
                      </v:line>
                      <v:rect id="矩形 76" o:spid="_x0000_s1026" o:spt="1" style="position:absolute;left:2369185;top:899160;height:260350;width:556260;" fillcolor="#FFFFFF" filled="t" stroked="t" coordsize="21600,21600" o:gfxdata="UEsDBAoAAAAAAIdO4kAAAAAAAAAAAAAAAAAEAAAAZHJzL1BLAwQUAAAACACHTuJAuy1hEdUAAAAF&#10;AQAADwAAAGRycy9kb3ducmV2LnhtbE2PwU7DMBBE75X4B2uRuLV2WlFCiNMDqEgc2/TCbRMvSSBe&#10;R7HTBr4ewwUuK41mNPM23822F2cafedYQ7JSIIhrZzpuNJzK/TIF4QOywd4xafgkD7viapFjZtyF&#10;D3Q+hkbEEvYZamhDGDIpfd2SRb9yA3H03txoMUQ5NtKMeInltpdrpbbSYsdxocWBHluqP46T1VB1&#10;6xN+HcpnZe/3m/Ayl+/T65PWN9eJegARaA5/YfjBj+hQRKbKTWy86DXER8LvjV6apLcgKg3bzV0C&#10;ssjlf/riG1BLAwQUAAAACACHTuJA7828bw8CAAA1BAAADgAAAGRycy9lMm9Eb2MueG1srVPNjtMw&#10;EL4j8Q6W7zRtVw3bqOkeKOWCYKVdHmDqOIkl/8njNunTIHHjIXgcxGswdsv+waEHcnDGnvE3830z&#10;Xt2MRrODDKicrflsMuVMWuEaZbuaf7nfvrnmDCPYBrSzsuZHifxm/frVavCVnLve6UYGRiAWq8HX&#10;vI/RV0WBopcGcOK8tORsXTAQaRu6ogkwELrRxXw6LYvBhcYHJyQinW5OTn5GDJcAurZVQm6c2Btp&#10;4wk1SA2RKGGvPPJ1rrZtpYif2xZlZLrmxDTmlZKQvUtrsV5B1QXwvRLnEuCSEl5wMqAsJX2A2kAE&#10;tg/qLyijRHDo2jgRzhQnIlkRYjGbvtDmrgcvMxeSGv2D6Pj/YMWnw21gqql5WXJmwVDHf339/vPH&#10;N/a2TOoMHisKuvO34bxDMhPVsQ0m/YkEG2s+vyqXs+sFZ8eaXy+Xs/IsrhwjE+RfLMo5nTFBfjKu&#10;FtlfPOL4gPGDdIYlo+aBepclhcNHjJSbQv+EpLTotGq2Suu8Cd3unQ7sANTnbf5S8XTlWZi2bKj5&#10;cjGnMgXQ8LY0NGQaTwKg7XK+ZzfwKfA0f/8CToVtAPtTARkhhUFlVJRJOKh6Cc1727B49KSxpbfF&#10;UzFGNpxpSU8xWTkygtKXRBI7bYlkatGpKcmK424kmGTuXHOk7u59UF1Pks5y6clD05TVOU9+Gten&#10;+wz6+NrX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7LWER1QAAAAUBAAAPAAAAAAAAAAEAIAAA&#10;ACIAAABkcnMvZG93bnJldi54bWxQSwECFAAUAAAACACHTuJA7828bw8CAAA1BAAADgAAAAAAAAAB&#10;ACAAAAAkAQAAZHJzL2Uyb0RvYy54bWxQSwUGAAAAAAYABgBZAQAApQUAAAAA&#10;">
                        <v:fill on="t" focussize="0,0"/>
                        <v:stroke color="#000000" joinstyle="miter"/>
                        <v:imagedata o:title=""/>
                        <o:lock v:ext="edit" aspectratio="f"/>
                        <v:textbox>
                          <w:txbxContent>
                            <w:p>
                              <w:pPr>
                                <w:adjustRightInd w:val="0"/>
                                <w:snapToGrid w:val="0"/>
                                <w:jc w:val="center"/>
                              </w:pPr>
                              <w:r>
                                <w:rPr>
                                  <w:rFonts w:hint="eastAsia"/>
                                </w:rPr>
                                <w:t>投料</w:t>
                              </w:r>
                            </w:p>
                          </w:txbxContent>
                        </v:textbox>
                      </v:rect>
                      <v:rect id="矩形 49" o:spid="_x0000_s1026" o:spt="1" style="position:absolute;left:2209800;top:1451610;height:260350;width:860425;" fillcolor="#FFFFFF" filled="t" stroked="t" coordsize="21600,21600" o:gfxdata="UEsDBAoAAAAAAIdO4kAAAAAAAAAAAAAAAAAEAAAAZHJzL1BLAwQUAAAACACHTuJAuy1hEdUAAAAF&#10;AQAADwAAAGRycy9kb3ducmV2LnhtbE2PwU7DMBBE75X4B2uRuLV2WlFCiNMDqEgc2/TCbRMvSSBe&#10;R7HTBr4ewwUuK41mNPM23822F2cafedYQ7JSIIhrZzpuNJzK/TIF4QOywd4xafgkD7viapFjZtyF&#10;D3Q+hkbEEvYZamhDGDIpfd2SRb9yA3H03txoMUQ5NtKMeInltpdrpbbSYsdxocWBHluqP46T1VB1&#10;6xN+HcpnZe/3m/Ayl+/T65PWN9eJegARaA5/YfjBj+hQRKbKTWy86DXER8LvjV6apLcgKg3bzV0C&#10;ssjlf/riG1BLAwQUAAAACACHTuJAuZEV5g8CAAA2BAAADgAAAGRycy9lMm9Eb2MueG1srVPLrtMw&#10;EN0j8Q+W9zRpaEsbNb0LStkguNKFD5jaTmLJL9luk34NEjs+gs9B/AZjt9wXLLogi2Qcj8+cc2a8&#10;vhm1Ikfhg7SmodNJSYkwzHJpuoZ++bx7taQkRDAclDWioScR6M3m5Yv14GpR2d4qLjxBEBPqwTW0&#10;j9HVRRFYLzSEiXXC4GZrvYaIS98V3MOA6FoVVVkuisF67rxlIgT8uz1v0guivwbQtq1kYmvZQQsT&#10;z6heKIgoKfTSBbrJbNtWsPipbYOIRDUUlcb8xiIY79O72Kyh7jy4XrILBbiGwjNNGqTBovdQW4hA&#10;Dl7+BaUl8zbYNk6Y1cVZSHYEVUzLZ97c9eBE1oJWB3dvevh/sOzj8dYTyRu6eEOJAY0d//X1+88f&#10;38hsldwZXKgx6c7d+ssqYJikjq3X6YsiyNjQqipXyxJ9PeFUzebTxfTirhgjYZiwXJSzak4Jw4Rq&#10;Ub6e5/3iAcj5EN8Lq0kKGuqxedlTOH4IEYtj6p+UVDdYJflOKpUXvtu/VZ4cARu9y09ij0eepClD&#10;hoau5pkH4PS2ODVISTt0IJgu13tyIjwGLvPzL+BEbAuhPxPICCkNai2jSM5B3Qvg7wwn8eTQZIOX&#10;iyYyWnBKlMC7mKKcGUGqazJRnTIoMvXo3JUUxXE/IkwK95afsL0H52XXo6XTTD3t4Dhldy6jn+b1&#10;8TqDPlz3z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7LWER1QAAAAUBAAAPAAAAAAAAAAEAIAAA&#10;ACIAAABkcnMvZG93bnJldi54bWxQSwECFAAUAAAACACHTuJAuZEV5g8CAAA2BAAADgAAAAAAAAAB&#10;ACAAAAAkAQAAZHJzL2Uyb0RvYy54bWxQSwUGAAAAAAYABgBZAQAApQUAAAAA&#10;">
                        <v:fill on="t" focussize="0,0"/>
                        <v:stroke color="#000000" joinstyle="miter"/>
                        <v:imagedata o:title=""/>
                        <o:lock v:ext="edit" aspectratio="f"/>
                        <v:textbox>
                          <w:txbxContent>
                            <w:p>
                              <w:pPr>
                                <w:adjustRightInd w:val="0"/>
                                <w:snapToGrid w:val="0"/>
                                <w:jc w:val="center"/>
                              </w:pPr>
                              <w:r>
                                <w:rPr>
                                  <w:rFonts w:hint="eastAsia"/>
                                </w:rPr>
                                <w:t>混合搅拌</w:t>
                              </w:r>
                            </w:p>
                          </w:txbxContent>
                        </v:textbox>
                      </v:rect>
                      <v:rect id="矩形 51" o:spid="_x0000_s1026" o:spt="1" style="position:absolute;left:2368550;top:2002790;height:260350;width:556260;" fillcolor="#FFFFFF" filled="t" stroked="t" coordsize="21600,21600" o:gfxdata="UEsDBAoAAAAAAIdO4kAAAAAAAAAAAAAAAAAEAAAAZHJzL1BLAwQUAAAACACHTuJAuy1hEdUAAAAF&#10;AQAADwAAAGRycy9kb3ducmV2LnhtbE2PwU7DMBBE75X4B2uRuLV2WlFCiNMDqEgc2/TCbRMvSSBe&#10;R7HTBr4ewwUuK41mNPM23822F2cafedYQ7JSIIhrZzpuNJzK/TIF4QOywd4xafgkD7viapFjZtyF&#10;D3Q+hkbEEvYZamhDGDIpfd2SRb9yA3H03txoMUQ5NtKMeInltpdrpbbSYsdxocWBHluqP46T1VB1&#10;6xN+HcpnZe/3m/Ayl+/T65PWN9eJegARaA5/YfjBj+hQRKbKTWy86DXER8LvjV6apLcgKg3bzV0C&#10;ssjlf/riG1BLAwQUAAAACACHTuJALsf/kwoCAAA2BAAADgAAAGRycy9lMm9Eb2MueG1srVNLjtQw&#10;EN0jcQfLeybpjBJmok7PgqbZIBhphgO4HSex5J9c7k76NEjsOATHQVyDshPmB4tekIXzHL+8qnpV&#10;Xt9MWpGj8CCtaejqIqdEGG5bafqGfrnfvbmiBAIzLVPWiIaeBNCbzetX69HVorCDVa3wBEUM1KNr&#10;6BCCq7MM+CA0gwvrhMHDznrNAm59n7WejaiuVVbkeZWN1rfOWy4A8Ot2PqSLoj9H0Had5GJr+UEL&#10;E2ZVLxQLWBIM0gHdpGy7TvDwuetABKIaipWGtGIQxPu4Zps1q3vP3CD5kgI7J4UXNWkmDQZ9kNqy&#10;wMjBy7+ktOTegu3CBbc6mwtJjmAVq/yFN3cDcyLVglaDezAd/p8s/3S89US2Da2w74Zp7Pivr99/&#10;/vhGylV0Z3RQI+nO3fplBwhjqVPndXxjEWRqaHFZXZUl+npCnOfF2+vFXTEFwpFQllVR4TmPhCq/&#10;RC4qZo9CzkP4IKwmETTUY/OSp+z4EcJM/UOJccEq2e6kUmnj+/075cmRYaN36VnUn9GUIWNDr8ui&#10;xDwYTm+HU4NQO3QATJ/iPfsDngrn6fmXcExsy2CYE0gKkcZqLYPwCQ2Cte9NS8LJockGLxeNyWjR&#10;UqIE3sWIEjMwqc5honfKoIWxR3NXIgrTfkKZCPe2PWF7D87LfkBLU0cTHccpeb+MfpzXp/sk+njd&#10;N7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uy1hEdUAAAAFAQAADwAAAAAAAAABACAAAAAiAAAA&#10;ZHJzL2Rvd25yZXYueG1sUEsBAhQAFAAAAAgAh07iQC7H/5MKAgAANgQAAA4AAAAAAAAAAQAgAAAA&#10;JAEAAGRycy9lMm9Eb2MueG1sUEsFBgAAAAAGAAYAWQEAAKAFAAAAAA==&#10;">
                        <v:fill on="t" focussize="0,0"/>
                        <v:stroke color="#000000" joinstyle="miter"/>
                        <v:imagedata o:title=""/>
                        <o:lock v:ext="edit" aspectratio="f"/>
                        <v:textbox>
                          <w:txbxContent>
                            <w:p>
                              <w:pPr>
                                <w:adjustRightInd w:val="0"/>
                                <w:snapToGrid w:val="0"/>
                                <w:jc w:val="center"/>
                                <w:rPr>
                                  <w:rFonts w:hint="default" w:eastAsia="宋体"/>
                                  <w:lang w:val="en-US" w:eastAsia="zh-CN"/>
                                </w:rPr>
                              </w:pPr>
                              <w:r>
                                <w:rPr>
                                  <w:rFonts w:hint="eastAsia"/>
                                  <w:lang w:val="en-US" w:eastAsia="zh-CN"/>
                                </w:rPr>
                                <w:t>研磨</w:t>
                              </w:r>
                              <w:r>
                                <w:rPr>
                                  <w:rFonts w:hint="eastAsia"/>
                                  <w:lang w:val="en-US" w:eastAsia="zh-CN"/>
                                </w:rPr>
                                <w:tab/>
                              </w:r>
                            </w:p>
                          </w:txbxContent>
                        </v:textbox>
                      </v:rect>
                      <v:rect id="矩形 53" o:spid="_x0000_s1026" o:spt="1" style="position:absolute;left:2357755;top:2552700;height:260350;width:556260;" fillcolor="#FFFFFF" filled="t" stroked="t" coordsize="21600,21600" o:gfxdata="UEsDBAoAAAAAAIdO4kAAAAAAAAAAAAAAAAAEAAAAZHJzL1BLAwQUAAAACACHTuJAuy1hEdUAAAAF&#10;AQAADwAAAGRycy9kb3ducmV2LnhtbE2PwU7DMBBE75X4B2uRuLV2WlFCiNMDqEgc2/TCbRMvSSBe&#10;R7HTBr4ewwUuK41mNPM23822F2cafedYQ7JSIIhrZzpuNJzK/TIF4QOywd4xafgkD7viapFjZtyF&#10;D3Q+hkbEEvYZamhDGDIpfd2SRb9yA3H03txoMUQ5NtKMeInltpdrpbbSYsdxocWBHluqP46T1VB1&#10;6xN+HcpnZe/3m/Ayl+/T65PWN9eJegARaA5/YfjBj+hQRKbKTWy86DXER8LvjV6apLcgKg3bzV0C&#10;ssjlf/riG1BLAwQUAAAACACHTuJAIZNbdg8CAAA2BAAADgAAAGRycy9lMm9Eb2MueG1srVPNjtMw&#10;EL4j8Q6W7zRpqnTZqOkeKOWCYKVdHmBqO4kl/8l2m/RpkLjxEDwO4jUYu2X/4NADOSTjePzN930z&#10;Xt1MWpGD8EFa09L5rKREGGa5NH1Lv9xv37ylJEQwHJQ1oqVHEejN+vWr1egaUdnBKi48QRATmtG1&#10;dIjRNUUR2CA0hJl1wuBmZ72GiEvfF9zDiOhaFVVZLovReu68ZSIE/Ls5bdIzor8E0HadZGJj2V4L&#10;E0+oXiiIKCkM0gW6zmy7TrD4ueuCiES1FJXG/MYiGO/Su1ivoOk9uEGyMwW4hMILTRqkwaIPUBuI&#10;QPZe/gWlJfM22C7OmNXFSUh2BFXMyxfe3A3gRNaCVgf3YHr4f7Ds0+HWE8lburymxIDGjv/6+v3n&#10;j2+kXiR3RhcaTLpzt/68ChgmqVPndfqiCDK1tFrUV1d1TckR47qursqzu2KKhGFCXS+rJfrOUsKy&#10;XNR5v3gEcj7ED8JqkoKWemxe9hQOH0PE4pj6JyXVDVZJvpVK5YXvd++UJwfARm/zk9jjkWdpypCx&#10;pdd1hTwZ4PR2ODUYaocOBNPnes9OhKfAZX7+BZyIbSAMJwIZIaVBo2UUyTloBgH8veEkHh2abPBy&#10;0URGC06JEngXU5QzI0h1SSaqUwZFph6dupKiOO0mhEnhzvIjtnfvvOwHtHSeqacdHKfsznn007w+&#10;XWfQx+u+/g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7LWER1QAAAAUBAAAPAAAAAAAAAAEAIAAA&#10;ACIAAABkcnMvZG93bnJldi54bWxQSwECFAAUAAAACACHTuJAIZNbdg8CAAA2BAAADgAAAAAAAAAB&#10;ACAAAAAkAQAAZHJzL2Uyb0RvYy54bWxQSwUGAAAAAAYABgBZAQAApQUAAAAA&#10;">
                        <v:fill on="t" focussize="0,0"/>
                        <v:stroke color="#000000" joinstyle="miter"/>
                        <v:imagedata o:title=""/>
                        <o:lock v:ext="edit" aspectratio="f"/>
                        <v:textbox>
                          <w:txbxContent>
                            <w:p>
                              <w:pPr>
                                <w:adjustRightInd w:val="0"/>
                                <w:snapToGrid w:val="0"/>
                                <w:jc w:val="center"/>
                                <w:rPr>
                                  <w:rFonts w:hint="eastAsia" w:eastAsia="宋体"/>
                                  <w:lang w:val="en-US" w:eastAsia="zh-CN"/>
                                </w:rPr>
                              </w:pPr>
                              <w:r>
                                <w:rPr>
                                  <w:rFonts w:hint="eastAsia"/>
                                  <w:lang w:val="en-US" w:eastAsia="zh-CN"/>
                                </w:rPr>
                                <w:t>脱水</w:t>
                              </w:r>
                            </w:p>
                          </w:txbxContent>
                        </v:textbox>
                      </v:rect>
                      <v:line id="直接连接符 14" o:spid="_x0000_s1026" o:spt="20" style="position:absolute;left:2936240;top:1031240;height:0;width:320040;" filled="f" stroked="t" coordsize="21600,21600" o:gfxdata="UEsDBAoAAAAAAIdO4kAAAAAAAAAAAAAAAAAEAAAAZHJzL1BLAwQUAAAACACHTuJAtCrU/9cAAAAF&#10;AQAADwAAAGRycy9kb3ducmV2LnhtbE2Py07DQAxF90j8w8hIbBCdhKptFDKpEI8VC9qUBUs34yaB&#10;jCfKTB/w9Rg2sLFk3avj42J5cr060Bg6zwbSSQKKuPa248bA6+bpOgMVIrLF3jMZ+KQAy/L8rMDc&#10;+iOv6VDFRgmEQ44G2hiHXOtQt+QwTPxALNnOjw6jrGOj7YhHgbte3yTJXDvsWC60ONB9S/VHtXcG&#10;5m8veLerVrPVsH6sp9XXg796fjfm8iJNbkFFOsW/MvzoizqU4rT1e7ZB9Qbkkfg7JcvSbAZqK+Dp&#10;IgVdFvq/ffkNUEsDBBQAAAAIAIdO4kAfsvu9/wEAAOgDAAAOAAAAZHJzL2Uyb0RvYy54bWytU81u&#10;EzEQviPxDpbvZJNNW+gqmx4aygVBJeABJrY3a8l/8rjZ5CV4ASRucOLInbehPAZjb2igCKkHcnDG&#10;ns/fzPfteHGxs4ZtVUTtXctnkylnygkvtdu0/N3bqyfPOMMEToLxTrV8r5BfLB8/WgyhUbXvvZEq&#10;MiJx2Ayh5X1KoakqFL2ygBMflKNk56OFRNu4qWSEgditqerp9KwafJQheqEQ6XQ1JvmBMT6E0Hed&#10;FmrlxY1VLo2sURlIJAl7HZAvS7ddp0R63XWoEjMtJ6WprFSE4nVeq+UCmk2E0GtxaAEe0sI9TRa0&#10;o6J3VCtIwG6i/ovKahE9+i5NhLfVKKQ4Qipm03vevOkhqKKFrMZwZzr+P1rxansdmZYtf1pz5sDS&#10;F7/98PX7+08/vn2k9fbLZzY7yTYNARtCX7rreNhhuI5Z866LNv+TGrZreX0+P6tPyOA9jdd0Pstx&#10;sVntEhMEmNMY5LwgQElVR44QMb1Q3rIctNxolw2ABrYvMRELQX9B8rFxbGj5+Wl9SnRA09jRFFBo&#10;AylCtyl30Rstr7Qx+QbGzfrSRLaFPBHll7sj3j9gucgKsB9xkqJRQ69APneSpX0gpxy9EJ47sEpy&#10;ZhQ9qBwVtQm0OSJT1OA25h9oqm4cNZE9Hl3N0drLfTG7nNMAlDYPw5on7Pd9uX18oM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tCrU/9cAAAAFAQAADwAAAAAAAAABACAAAAAiAAAAZHJzL2Rvd25y&#10;ZXYueG1sUEsBAhQAFAAAAAgAh07iQB+y+73/AQAA6AMAAA4AAAAAAAAAAQAgAAAAJgEAAGRycy9l&#10;Mm9Eb2MueG1sUEsFBgAAAAAGAAYAWQEAAJcFAAAAAA==&#10;">
                        <v:fill on="f" focussize="0,0"/>
                        <v:stroke color="#000000" joinstyle="round" dashstyle="dash" endarrow="block"/>
                        <v:imagedata o:title=""/>
                        <o:lock v:ext="edit" aspectratio="f"/>
                      </v:line>
                      <v:rect id="矩形 13" o:spid="_x0000_s1026" o:spt="1" style="position:absolute;left:3256280;top:885825;height:290195;width:1045845;" filled="f" stroked="f" coordsize="21600,21600" o:gfxdata="UEsDBAoAAAAAAIdO4kAAAAAAAAAAAAAAAAAEAAAAZHJzL1BLAwQUAAAACACHTuJAfk17xNcAAAAF&#10;AQAADwAAAGRycy9kb3ducmV2LnhtbE2PQUvDQBCF70L/wzIFL2I3UawhZtNDobRIoZhqz9vsmASz&#10;s2l2m9R/79iLXgYe7/HeN9niYlsxYO8bRwriWQQCqXSmoUrB+351n4DwQZPRrSNU8I0eFvnkJtOp&#10;cSO94VCESnAJ+VQrqEPoUil9WaPVfuY6JPY+XW91YNlX0vR65HLbyocomkurG+KFWne4rLH8Ks5W&#10;wVjuhsN+u5a7u8PG0WlzWhYfr0rdTuPoBUTAS/gLwy8+o0POTEd3JuNFq4AfCdfLXhInTyCOCuaP&#10;zzHIPJP/6fMfUEsDBBQAAAAIAIdO4kAqmRZhsgEAAE4DAAAOAAAAZHJzL2Uyb0RvYy54bWytU0tu&#10;2zAQ3RfoHQjua30SJYpgOhsj3RRJgDQHoCnSIsAfSNqST1Mguxyixyl6jQ4pNWnTTRbdkDPDhzfz&#10;3kjr60krdOQ+SGsIrlYlRtww20uzJ/jx682nFqMQqempsoYTfOIBX28+fliPruO1HazquUdAYkI3&#10;OoKHGF1XFIENXNOwso4beBTWaxoh9fui93QEdq2KuiwvitH63nnLeAhQ3c6PeGH07yG0QkjGt5Yd&#10;NDdxZvVc0QiSwiBdwJs8rRCcxTshAo9IEQxKYz6hCcS7dBabNe32nrpBsmUE+p4R3mjSVBpo+kK1&#10;pZGig5f/UGnJvA1WxBWzupiFZEdARVW+8eZhoI5nLWB1cC+mh/9Hy26P9x7JnuDLS4wM1bDxn9+e&#10;f3x/QtVZcmd0oQPQg7v3SxYgTFIn4XW6QQSaCD6rm4u6BV9PBLdt09bNbC6fImLwXpXnTXveYMQA&#10;UF+V1VUGFK9Ezof4mVuNUkCwh+VlT+nxS4jQHKC/IamvsTdSqbxAZf4qADBVijT7PG2K4rSbFgk7&#10;259A9sF5uR+gVZVGzXCwOTdaPom0xz/zjHr9DTa/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H5N&#10;e8TXAAAABQEAAA8AAAAAAAAAAQAgAAAAIgAAAGRycy9kb3ducmV2LnhtbFBLAQIUABQAAAAIAIdO&#10;4kAqmRZhsgEAAE4DAAAOAAAAAAAAAAEAIAAAACYBAABkcnMvZTJvRG9jLnhtbFBLBQYAAAAABgAG&#10;AFkBAABKBQAAAAA=&#10;">
                        <v:fill on="f" focussize="0,0"/>
                        <v:stroke on="f"/>
                        <v:imagedata o:title=""/>
                        <o:lock v:ext="edit" aspectratio="f"/>
                        <v:textbox>
                          <w:txbxContent>
                            <w:p>
                              <w:pPr>
                                <w:adjustRightInd w:val="0"/>
                                <w:snapToGrid w:val="0"/>
                                <w:jc w:val="center"/>
                                <w:rPr>
                                  <w:rFonts w:hint="default"/>
                                  <w:sz w:val="21"/>
                                  <w:szCs w:val="21"/>
                                </w:rPr>
                              </w:pPr>
                              <w:r>
                                <w:rPr>
                                  <w:rFonts w:hint="eastAsia" w:cs="Times New Roman"/>
                                  <w:bCs/>
                                  <w:color w:val="auto"/>
                                  <w:kern w:val="0"/>
                                  <w:sz w:val="21"/>
                                  <w:szCs w:val="21"/>
                                  <w:lang w:val="en-US" w:eastAsia="zh-CN"/>
                                </w:rPr>
                                <w:t>颗粒物、</w:t>
                              </w:r>
                              <w:r>
                                <w:rPr>
                                  <w:sz w:val="21"/>
                                  <w:szCs w:val="21"/>
                                </w:rPr>
                                <w:t>噪声</w:t>
                              </w:r>
                            </w:p>
                            <w:p>
                              <w:pPr>
                                <w:pStyle w:val="41"/>
                                <w:rPr>
                                  <w:rFonts w:hint="default"/>
                                  <w:sz w:val="21"/>
                                  <w:szCs w:val="21"/>
                                </w:rPr>
                              </w:pPr>
                            </w:p>
                            <w:p>
                              <w:pPr>
                                <w:pStyle w:val="41"/>
                                <w:rPr>
                                  <w:rFonts w:hint="default"/>
                                  <w:sz w:val="21"/>
                                  <w:szCs w:val="21"/>
                                </w:rPr>
                              </w:pPr>
                            </w:p>
                            <w:p>
                              <w:pPr>
                                <w:pStyle w:val="94"/>
                                <w:spacing w:before="120" w:after="120"/>
                                <w:ind w:left="0" w:firstLine="0"/>
                              </w:pPr>
                            </w:p>
                          </w:txbxContent>
                        </v:textbox>
                      </v:rect>
                      <v:rect id="矩形 13" o:spid="_x0000_s1026" o:spt="1" style="position:absolute;left:3276600;top:2555240;height:285115;width:1750060;" filled="f" stroked="f" coordsize="21600,21600" o:gfxdata="UEsDBAoAAAAAAIdO4kAAAAAAAAAAAAAAAAAEAAAAZHJzL1BLAwQUAAAACACHTuJAfk17xNcAAAAF&#10;AQAADwAAAGRycy9kb3ducmV2LnhtbE2PQUvDQBCF70L/wzIFL2I3UawhZtNDobRIoZhqz9vsmASz&#10;s2l2m9R/79iLXgYe7/HeN9niYlsxYO8bRwriWQQCqXSmoUrB+351n4DwQZPRrSNU8I0eFvnkJtOp&#10;cSO94VCESnAJ+VQrqEPoUil9WaPVfuY6JPY+XW91YNlX0vR65HLbyocomkurG+KFWne4rLH8Ks5W&#10;wVjuhsN+u5a7u8PG0WlzWhYfr0rdTuPoBUTAS/gLwy8+o0POTEd3JuNFq4AfCdfLXhInTyCOCuaP&#10;zzHIPJP/6fMfUEsDBBQAAAAIAIdO4kA4VzUgrwEAAE8DAAAOAAAAZHJzL2Uyb0RvYy54bWytU0tu&#10;2zAQ3RfoHQjuY0pKZQeC6WyMdFO0AdIegKYoiwB/GNKWfJoC3fUQPU7Ra3QoqUmbbrLIRhoOH968&#10;90ba3o7WkLOCqL3jtFwVlCgnfavdkdMvn++ubiiJSbhWGO8UpxcV6e3u7ZvtEBpV+d6bVgFBEheb&#10;IXDapxQaxqLslRVx5YNyeNl5sCLhEY6sBTEguzWsKoo1Gzy0AbxUMWJ3P1/ShRFeQui7Tku19/Jk&#10;lUszKygjElqKvQ6R7ia1Xadk+tR1USViOEWnaXriEKwP+cl2W9EcQYRey0WCeImEZ56s0A6HPlLt&#10;RRLkBPo/Kqsl+Oi7tJLestnIlAi6KItn2Tz0IqjJC0Ydw2Po8fVo5cfzPRDdcrrBvTthceO/vn7/&#10;+eMbKa9zOkOIDYIewj0sp4hltjp2YPMbTZCR0+tqs14XmOuF06qu6+rdkq4aE5EIKDc1rh8BMiNu&#10;6rKs8wD2xBQgpvfKW5ILTgG3N4Uqzh9imqF/IHmw83faGOyLxrh/GsiZOyyLn+XmKo2HcfFw8O0F&#10;fZ8C6GOPo8pJSQZhzpOm5ZvIi/z7PJE+/Qe7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H5Ne8TX&#10;AAAABQEAAA8AAAAAAAAAAQAgAAAAIgAAAGRycy9kb3ducmV2LnhtbFBLAQIUABQAAAAIAIdO4kA4&#10;VzUgrwEAAE8DAAAOAAAAAAAAAAEAIAAAACYBAABkcnMvZTJvRG9jLnhtbFBLBQYAAAAABgAGAFkB&#10;AABHBQAAAAA=&#10;">
                        <v:fill on="f" focussize="0,0"/>
                        <v:stroke on="f"/>
                        <v:imagedata o:title=""/>
                        <o:lock v:ext="edit" aspectratio="f"/>
                        <v:textbox>
                          <w:txbxContent>
                            <w:p>
                              <w:pPr>
                                <w:adjustRightInd w:val="0"/>
                                <w:snapToGrid w:val="0"/>
                                <w:jc w:val="center"/>
                                <w:rPr>
                                  <w:rFonts w:hint="default"/>
                                  <w:sz w:val="21"/>
                                  <w:szCs w:val="21"/>
                                  <w:lang w:val="en-US"/>
                                </w:rPr>
                              </w:pPr>
                              <w:r>
                                <w:rPr>
                                  <w:rFonts w:hint="eastAsia"/>
                                  <w:sz w:val="21"/>
                                  <w:szCs w:val="21"/>
                                  <w:lang w:val="en-US" w:eastAsia="zh-CN"/>
                                </w:rPr>
                                <w:t>非甲烷总烃、冷却水、噪声</w:t>
                              </w:r>
                            </w:p>
                            <w:p>
                              <w:pPr>
                                <w:pStyle w:val="41"/>
                                <w:rPr>
                                  <w:rFonts w:hint="default"/>
                                  <w:sz w:val="21"/>
                                  <w:szCs w:val="21"/>
                                </w:rPr>
                              </w:pPr>
                            </w:p>
                            <w:p>
                              <w:pPr>
                                <w:pStyle w:val="94"/>
                                <w:spacing w:before="120" w:after="120"/>
                                <w:ind w:left="0" w:firstLine="0"/>
                              </w:pPr>
                            </w:p>
                          </w:txbxContent>
                        </v:textbox>
                      </v:rect>
                      <v:rect id="矩形 13" o:spid="_x0000_s1026" o:spt="1" style="position:absolute;left:3404870;top:1473200;height:271145;width:1263015;" filled="f" stroked="f" coordsize="21600,21600" o:gfxdata="UEsDBAoAAAAAAIdO4kAAAAAAAAAAAAAAAAAEAAAAZHJzL1BLAwQUAAAACACHTuJAfk17xNcAAAAF&#10;AQAADwAAAGRycy9kb3ducmV2LnhtbE2PQUvDQBCF70L/wzIFL2I3UawhZtNDobRIoZhqz9vsmASz&#10;s2l2m9R/79iLXgYe7/HeN9niYlsxYO8bRwriWQQCqXSmoUrB+351n4DwQZPRrSNU8I0eFvnkJtOp&#10;cSO94VCESnAJ+VQrqEPoUil9WaPVfuY6JPY+XW91YNlX0vR65HLbyocomkurG+KFWne4rLH8Ks5W&#10;wVjuhsN+u5a7u8PG0WlzWhYfr0rdTuPoBUTAS/gLwy8+o0POTEd3JuNFq4AfCdfLXhInTyCOCuaP&#10;zzHIPJP/6fMfUEsDBBQAAAAIAIdO4kBYtivqsgEAAE8DAAAOAAAAZHJzL2Uyb0RvYy54bWytU0tu&#10;2zAQ3RfoHQjua0m2E6eC5WyMdFO0AdIegKZIiwB/mKEt+TQFuushepyi1+hQUpM23WTRDTUzfHgz&#10;7w21vR2cZWcFaIJveLUoOVNehtb4Y8M/f7p7c8MZJuFbYYNXDb8o5Le716+2fazVMnTBtgoYkXis&#10;+9jwLqVYFwXKTjmBixCVp0sdwIlEKRyLFkRP7M4Wy7K8LvoAbYQgFSJV99MlnxnhJYRBayPVPsiT&#10;Uz5NrKCsSCQJOxOR78ZptVYyfdQaVWK24aQ0jSc1ofiQz2K3FfURROyMnEcQLxnhmSYnjKemj1R7&#10;kQQ7gfmHyhkJAYNOCxlcMQkZHSEVVfnMm4dORDVqIasxPpqO/49WfjjfAzNtwzdvOfPC0cZ/fvn2&#10;4/tXVq2yO33EmkAP8R7mDCnMUgcNLn9JBBsavlqX65sN+XqhV7XerGjXk7tqSEwSoFper8rqijNJ&#10;iOWmqtZXGVA8MUXA9E4Fx3LQcKDtjaaK83tME/Q3JDf24c5YS3VRW/9XgThzpcjDT+PmKA2HYdZw&#10;CO2FdJ8imGNHrapxkgwin8eZ5jeRF/lnPpI+/Qe7X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H5N&#10;e8TXAAAABQEAAA8AAAAAAAAAAQAgAAAAIgAAAGRycy9kb3ducmV2LnhtbFBLAQIUABQAAAAIAIdO&#10;4kBYtivqsgEAAE8DAAAOAAAAAAAAAAEAIAAAACYBAABkcnMvZTJvRG9jLnhtbFBLBQYAAAAABgAG&#10;AFkBAABKBQAAAAA=&#10;">
                        <v:fill on="f" focussize="0,0"/>
                        <v:stroke on="f"/>
                        <v:imagedata o:title=""/>
                        <o:lock v:ext="edit" aspectratio="f"/>
                        <v:textbox>
                          <w:txbxContent>
                            <w:p>
                              <w:pPr>
                                <w:adjustRightInd w:val="0"/>
                                <w:snapToGrid w:val="0"/>
                                <w:jc w:val="center"/>
                                <w:rPr>
                                  <w:rFonts w:hint="default"/>
                                  <w:sz w:val="21"/>
                                  <w:szCs w:val="21"/>
                                </w:rPr>
                              </w:pPr>
                              <w:r>
                                <w:rPr>
                                  <w:rFonts w:hint="eastAsia"/>
                                  <w:sz w:val="21"/>
                                  <w:szCs w:val="21"/>
                                  <w:lang w:val="en-US" w:eastAsia="zh-CN"/>
                                </w:rPr>
                                <w:t>非甲烷总烃、噪声</w:t>
                              </w:r>
                            </w:p>
                            <w:p>
                              <w:pPr>
                                <w:pStyle w:val="94"/>
                                <w:spacing w:before="120" w:after="120"/>
                                <w:ind w:left="0" w:firstLine="0"/>
                              </w:pPr>
                            </w:p>
                          </w:txbxContent>
                        </v:textbox>
                      </v:rect>
                      <v:rect id="矩形 13" o:spid="_x0000_s1026" o:spt="1" style="position:absolute;left:1101090;top:2543175;height:307340;width:591820;" filled="f" stroked="f" coordsize="21600,21600" o:gfxdata="UEsDBAoAAAAAAIdO4kAAAAAAAAAAAAAAAAAEAAAAZHJzL1BLAwQUAAAACACHTuJAfk17xNcAAAAF&#10;AQAADwAAAGRycy9kb3ducmV2LnhtbE2PQUvDQBCF70L/wzIFL2I3UawhZtNDobRIoZhqz9vsmASz&#10;s2l2m9R/79iLXgYe7/HeN9niYlsxYO8bRwriWQQCqXSmoUrB+351n4DwQZPRrSNU8I0eFvnkJtOp&#10;cSO94VCESnAJ+VQrqEPoUil9WaPVfuY6JPY+XW91YNlX0vR65HLbyocomkurG+KFWne4rLH8Ks5W&#10;wVjuhsN+u5a7u8PG0WlzWhYfr0rdTuPoBUTAS/gLwy8+o0POTEd3JuNFq4AfCdfLXhInTyCOCuaP&#10;zzHIPJP/6fMfUEsDBBQAAAAIAIdO4kAnv9A1sAEAAE4DAAAOAAAAZHJzL2Uyb0RvYy54bWytU0uO&#10;1DAQ3SNxB8t72kl/mJmo07NpDRsEIw0cwO3YHUv+yeXupE+DxI5DcBzENSg7YQaGzSzYOFXlp1f1&#10;Xjnb29EacpYRtHctrRcVJdIJ32l3bOnnT3dvrimBxF3HjXeypRcJ9Hb3+tV2CI1c+t6bTkaCJA6a&#10;IbS0Tyk0jIHopeWw8EE6vFQ+Wp4wjUfWRT4guzVsWVVv2eBjF6IXEgCr++mSzozxJYReKS3k3ouT&#10;lS5NrFEanlAS9DoA3ZVplZIifVQKZCKmpag0lRObYHzIJ9tteXOMPPRazCPwl4zwTJPl2mHTR6o9&#10;T5ycov6HymoRPXiVFsJbNgkpjqCKunrmzUPPgyxa0GoIj6bD/6MVH873keiupes1JY5b3PjPL99+&#10;fP9K6lV2ZwjQIOgh3Mc5Awyz1FFFm78ogoz4kmoUcIO+Xlq63KxX9dVmcleOiQgEbG7q6yXeCwSs&#10;qqvVurjPnohChPROekty0NKIyyue8vN7SNgcob8hua/zd9qYskDj/iogMFdYnn2aNkdpPIyzhIPv&#10;Lij7FKI+9tiqzpMWONpcGs1PIu/xz7ygnn6D3S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TXvE&#10;1wAAAAUBAAAPAAAAAAAAAAEAIAAAACIAAABkcnMvZG93bnJldi54bWxQSwECFAAUAAAACACHTuJA&#10;J7/QNbABAABOAwAADgAAAAAAAAABACAAAAAmAQAAZHJzL2Uyb0RvYy54bWxQSwUGAAAAAAYABgBZ&#10;AQAASAUAAAAA&#10;">
                        <v:fill on="f" focussize="0,0"/>
                        <v:stroke on="f"/>
                        <v:imagedata o:title=""/>
                        <o:lock v:ext="edit" aspectratio="f"/>
                        <v:textbox>
                          <w:txbxContent>
                            <w:p>
                              <w:pPr>
                                <w:adjustRightInd w:val="0"/>
                                <w:snapToGrid w:val="0"/>
                                <w:jc w:val="center"/>
                                <w:rPr>
                                  <w:szCs w:val="21"/>
                                </w:rPr>
                              </w:pPr>
                              <w:r>
                                <w:rPr>
                                  <w:rFonts w:hint="eastAsia"/>
                                  <w:szCs w:val="21"/>
                                  <w:lang w:val="en-US" w:eastAsia="zh-CN"/>
                                </w:rPr>
                                <w:t>电</w:t>
                              </w:r>
                              <w:r>
                                <w:rPr>
                                  <w:rFonts w:hint="eastAsia"/>
                                  <w:szCs w:val="21"/>
                                </w:rPr>
                                <w:t>加热</w:t>
                              </w:r>
                            </w:p>
                            <w:p>
                              <w:pPr>
                                <w:pStyle w:val="41"/>
                                <w:rPr>
                                  <w:rFonts w:hint="default"/>
                                  <w:sz w:val="21"/>
                                  <w:szCs w:val="21"/>
                                </w:rPr>
                              </w:pPr>
                            </w:p>
                            <w:p>
                              <w:pPr>
                                <w:pStyle w:val="94"/>
                                <w:spacing w:before="120" w:after="120"/>
                                <w:ind w:left="0" w:firstLine="0"/>
                              </w:pPr>
                            </w:p>
                          </w:txbxContent>
                        </v:textbox>
                      </v:rect>
                      <v:line id="直接连接符 75" o:spid="_x0000_s1026" o:spt="20" style="position:absolute;left:2640965;top:1162685;height:294005;width:5715;" filled="f" stroked="t" coordsize="21600,21600" o:gfxdata="UEsDBAoAAAAAAIdO4kAAAAAAAAAAAAAAAAAEAAAAZHJzL1BLAwQUAAAACACHTuJAAgsxf9UAAAAF&#10;AQAADwAAAGRycy9kb3ducmV2LnhtbE2PQUvDQBCF74L/YRnBi7SbtFhDzKagIB48WQV73GanSTA7&#10;m2YnSf33jl70MvB4M+99U2zPvlMTDrENZCBdJqCQquBaqg28vz0tMlCRLTnbBUIDXxhhW15eFDZ3&#10;YaZXnHZcKwmhmFsDDXOfax2rBr2Ny9AjiXcMg7cscqi1G+ws4b7TqyTZaG9bkobG9vjYYPW5G71g&#10;aD/wx/PLOD5M1X7er058sz4Zc32VJvegGM/8tww/+HIDpTAdwkguqs6APMK/U7wszW5BHQxs1ncp&#10;6LLQ/+nLb1BLAwQUAAAACACHTuJAP7BQLgYCAADtAwAADgAAAGRycy9lMm9Eb2MueG1srVPNjtMw&#10;EL4j8Q6W7zRptE13o6Z72LJcEKwEPMDUdhJL/pPtbdqX4AWQuMGJI3fehuUxGDtlC4uQ9kAOztgz&#10;8818n8ery71WZCd8kNa0dD4rKRGGWS5N39J3b6+fnVMSIhgOyhrR0oMI9HL99MlqdI2o7GAVF54g&#10;iAnN6Fo6xOiaoghsEBrCzDph0NlZryHi1vcF9zAiulZFVZZ1MVrPnbdMhICnm8lJj4j+MYC26yQT&#10;G8tutTBxQvVCQURKYZAu0HXutusEi6+7LohIVEuRacwrFkF7m9ZivYKm9+AGyY4twGNaeMBJgzRY&#10;9B5qAxHIrZd/QWnJvA22izNmdTERyYogi3n5QJs3AziRuaDUwd2LHv4fLHu1u/FEcpyEmhIDGm/8&#10;7sPX7+8//fj2Ede7L5/JcpFkGl1oMPrK3PjjLrgbnzjvO6/TH9mQfUur+qy8qBeUHBB0Xlf1ec6H&#10;RuwjYRiwWM7Ry9BdXZyVZfYWJxjnQ3whrCbJaKmSJmkADexehoilMfRXSDpWhoxYqFqWeKcMcCI7&#10;nAQ0tUNWwfQ5OVgl+bVUKqUE32+vlCc7SFORv8QQgf8IS1U2EIYpLrumeRkE8OeGk3hwKJfBZ0JT&#10;D1pwSpTAV5UsBIQmglSnyOglmF79IxrLK4NdJKEnaZO1tfyQFc/nOAW5z+PEpjH7fZ+zT690/R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CCzF/1QAAAAUBAAAPAAAAAAAAAAEAIAAAACIAAABkcnMv&#10;ZG93bnJldi54bWxQSwECFAAUAAAACACHTuJAP7BQLgYCAADtAwAADgAAAAAAAAABACAAAAAkAQAA&#10;ZHJzL2Uyb0RvYy54bWxQSwUGAAAAAAYABgBZAQAAnAUAAAAA&#10;">
                        <v:fill on="f" focussize="0,0"/>
                        <v:stroke weight="1pt" color="#000000 [3213]" joinstyle="round" endarrow="block"/>
                        <v:imagedata o:title=""/>
                        <o:lock v:ext="edit" aspectratio="f"/>
                      </v:line>
                      <v:line id="直接连接符 75" o:spid="_x0000_s1026" o:spt="20" style="position:absolute;left:2640965;top:1711325;height:294005;width:5715;" filled="f" stroked="t" coordsize="21600,21600" o:gfxdata="UEsDBAoAAAAAAIdO4kAAAAAAAAAAAAAAAAAEAAAAZHJzL1BLAwQUAAAACACHTuJAAgsxf9UAAAAF&#10;AQAADwAAAGRycy9kb3ducmV2LnhtbE2PQUvDQBCF74L/YRnBi7SbtFhDzKagIB48WQV73GanSTA7&#10;m2YnSf33jl70MvB4M+99U2zPvlMTDrENZCBdJqCQquBaqg28vz0tMlCRLTnbBUIDXxhhW15eFDZ3&#10;YaZXnHZcKwmhmFsDDXOfax2rBr2Ny9AjiXcMg7cscqi1G+ws4b7TqyTZaG9bkobG9vjYYPW5G71g&#10;aD/wx/PLOD5M1X7er058sz4Zc32VJvegGM/8tww/+HIDpTAdwkguqs6APMK/U7wszW5BHQxs1ncp&#10;6LLQ/+nLb1BLAwQUAAAACACHTuJAbq/5qwQCAADtAwAADgAAAGRycy9lMm9Eb2MueG1srVNLjhMx&#10;EN0jcQfLe9KdMEmYVjqzmDBsEIwEHKDidndb8k8uTzq5BBdAYgcrluy5DcMxKLvDBAYhzYIsnLLr&#10;+VW91+XVxd5otpMBlbM1n05KzqQVrlG2q/m7t1dPnnGGEWwD2llZ84NEfrF+/Gg1+ErOXO90IwMj&#10;EovV4Gvex+irokDRSwM4cV5aSrYuGIi0DV3RBBiI3ehiVpaLYnCh8cEJiUinmzHJj4zhIYSubZWQ&#10;GydujLRxZA1SQyRJ2CuPfJ27bVsp4uu2RRmZrjkpjXmlIhRv01qsV1B1AXyvxLEFeEgL9zQZUJaK&#10;3lFtIAK7CeovKqNEcOjaOBHOFKOQ7AipmJb3vHnTg5dZC1mN/s50/H+04tXuOjDV1Hw258yCoS9+&#10;++Hr9/effnz7SOvtl89sOU82DR4rQl/a63Dcob8OSfO+DSb9kxq2J6LFWXm+ILYDjddyOn1KzNlm&#10;uY9MEGC+nFJWUHp2flaWOVucaHzA+EI6w1JQc61s8gAq2L3ESEQE/QVJx9qygQrNliV9UwE0kS1N&#10;AoXGkyq0Xb6MTqvmSmmdrmDotpc6sB2kqci/1CER/wFLVTaA/YjLqVFIL6F5bhsWD57ssvRMeOrB&#10;yIYzLelVpShLjqD0CRmDAtvpf6CpvLbURTJ6tDZFW9ccsuP5nKYg93mc2DRmv+/z7dMrXf8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Agsxf9UAAAAFAQAADwAAAAAAAAABACAAAAAiAAAAZHJzL2Rv&#10;d25yZXYueG1sUEsBAhQAFAAAAAgAh07iQG6v+asEAgAA7QMAAA4AAAAAAAAAAQAgAAAAJAEAAGRy&#10;cy9lMm9Eb2MueG1sUEsFBgAAAAAGAAYAWQEAAJoFAAAAAA==&#10;">
                        <v:fill on="f" focussize="0,0"/>
                        <v:stroke weight="1pt" color="#000000 [3213]" joinstyle="round" endarrow="block"/>
                        <v:imagedata o:title=""/>
                        <o:lock v:ext="edit" aspectratio="f"/>
                      </v:line>
                      <v:line id="直接连接符 75" o:spid="_x0000_s1026" o:spt="20" style="position:absolute;left:2640965;top:2259965;height:294005;width:5715;" filled="f" stroked="t" coordsize="21600,21600" o:gfxdata="UEsDBAoAAAAAAIdO4kAAAAAAAAAAAAAAAAAEAAAAZHJzL1BLAwQUAAAACACHTuJAAgsxf9UAAAAF&#10;AQAADwAAAGRycy9kb3ducmV2LnhtbE2PQUvDQBCF74L/YRnBi7SbtFhDzKagIB48WQV73GanSTA7&#10;m2YnSf33jl70MvB4M+99U2zPvlMTDrENZCBdJqCQquBaqg28vz0tMlCRLTnbBUIDXxhhW15eFDZ3&#10;YaZXnHZcKwmhmFsDDXOfax2rBr2Ny9AjiXcMg7cscqi1G+ws4b7TqyTZaG9bkobG9vjYYPW5G71g&#10;aD/wx/PLOD5M1X7er058sz4Zc32VJvegGM/8tww/+HIDpTAdwkguqs6APMK/U7wszW5BHQxs1ncp&#10;6LLQ/+nLb1BLAwQUAAAACACHTuJACdburgMCAADtAwAADgAAAGRycy9lMm9Eb2MueG1srVNNjtMw&#10;FN4jcQfLe5o0TFsaNZ3FlGGDoBJwANd2Ekv+k5+naS/BBZDYwYole27DcAyenTKFQUizIAvn2e/z&#10;5/d9fl5dHowmexlAOdvQ6aSkRFruhLJdQ9+9vX7yjBKIzAqmnZUNPUqgl+vHj1aDr2XleqeFDARJ&#10;LNSDb2gfo6+LAngvDYOJ89JisnXBsIjT0BUisAHZjS6qspwXgwvCB8clAK5uxiQ9MYaHELq2VVxu&#10;HL8x0saRNUjNIkqCXnmg61xt20oeX7ctyEh0Q1FpzCMegvEujcV6xeouMN8rfiqBPaSEe5oMUxYP&#10;vaPasMjITVB/URnFgwPXxgl3phiFZEdQxbS8582bnnmZtaDV4O9Mh/9Hy1/tt4Eo0dCnU0osM3jj&#10;tx++fn//6ce3jzjefvlMFrNk0+ChRvSV3YbTDPw2JM2HNpj0RzXk0NBqflEu5zNKjhhXs2WKs83y&#10;EAlHwGwxxSxP6eVFWeZscabxAeIL6QxJQUO1sskDVrP9S4hIhNBfkLSsLRmwj6tFiXfKGXZki52A&#10;ofGoCmyXN4PTSlwrrdMWCN3uSgeyZ6kr8pcqROI/YOmUDYN+xOXUKKSXTDy3gsSjR7ssPhOaajBS&#10;UKIlvqoUZcmRKX1GxqCY7fQ/0Hi8tlhFMnq0NkU7J47Z8byOXZDrPHVsarPf53n3+ZWufw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CCzF/1QAAAAUBAAAPAAAAAAAAAAEAIAAAACIAAABkcnMvZG93&#10;bnJldi54bWxQSwECFAAUAAAACACHTuJACdburgMCAADtAwAADgAAAAAAAAABACAAAAAkAQAAZHJz&#10;L2Uyb0RvYy54bWxQSwUGAAAAAAYABgBZAQAAmQUAAAAA&#10;">
                        <v:fill on="f" focussize="0,0"/>
                        <v:stroke weight="1pt" color="#000000 [3213]" joinstyle="round" endarrow="block"/>
                        <v:imagedata o:title=""/>
                        <o:lock v:ext="edit" aspectratio="f"/>
                      </v:line>
                      <v:line id="直接连接符 75" o:spid="_x0000_s1026" o:spt="20" style="position:absolute;left:2652395;top:2817495;height:294005;width:5715;" filled="f" stroked="t" coordsize="21600,21600" o:gfxdata="UEsDBAoAAAAAAIdO4kAAAAAAAAAAAAAAAAAEAAAAZHJzL1BLAwQUAAAACACHTuJAAgsxf9UAAAAF&#10;AQAADwAAAGRycy9kb3ducmV2LnhtbE2PQUvDQBCF74L/YRnBi7SbtFhDzKagIB48WQV73GanSTA7&#10;m2YnSf33jl70MvB4M+99U2zPvlMTDrENZCBdJqCQquBaqg28vz0tMlCRLTnbBUIDXxhhW15eFDZ3&#10;YaZXnHZcKwmhmFsDDXOfax2rBr2Ny9AjiXcMg7cscqi1G+ws4b7TqyTZaG9bkobG9vjYYPW5G71g&#10;aD/wx/PLOD5M1X7er058sz4Zc32VJvegGM/8tww/+HIDpTAdwkguqs6APMK/U7wszW5BHQxs1ncp&#10;6LLQ/+nLb1BLAwQUAAAACACHTuJAsX1/RgUCAADtAwAADgAAAGRycy9lMm9Eb2MueG1srVNNbhMx&#10;FN4jcQfLezKTadO0o0y6aCgbBJGgB3Bsz4wl/8nPzSSX4AJI7GDFkj23oRyDZ0/aQBFSF8zC8+z3&#10;+fP7Pj8vLndGk60MoJxt6HRSUiItd0LZrqE3769fnFMCkVnBtLOyoXsJ9HL5/Nli8LWsXO+0kIEg&#10;iYV68A3tY/R1UQDvpWEwcV5aTLYuGBZxGrpCBDYgu9FFVZZnxeCC8MFxCYCrqzFJD4zhKYSubRWX&#10;K8dvjbRxZA1Ss4iSoFce6DJX27aSx7dtCzIS3VBUGvOIh2C8SWOxXLC6C8z3ih9KYE8p4ZEmw5TF&#10;Qx+oViwychvUX1RG8eDAtXHCnSlGIdkRVDEtH3nzrmdeZi1oNfgH0+H/0fI323UgSjT0pKLEMoM3&#10;fvfx248Pn39+/4Tj3dcvZD5LNg0eakRf2XU4zMCvQ9K8a4NJf1RDdg2tzmbVycWMkj3G59P5KcbZ&#10;ZrmLhCNgNp9ilqf0xWlZ5mxxpPEB4ivpDElBQ7WyyQNWs+1riEiE0HtIWtaWDNjH1bzEO+UMO7LF&#10;TsDQeFQFtsubwWklrpXWaQuEbnOlA9my1BX5SxUi8R+wdMqKQT/icmoU0ksmXlpB4t6jXRafCU01&#10;GCko0RJfVYqy5MiUPiJjUMx2+h9oPF5brCIZPVqboo0T++x4XscuyHUeOja12e/zvPv4Spe/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ILMX/VAAAABQEAAA8AAAAAAAAAAQAgAAAAIgAAAGRycy9k&#10;b3ducmV2LnhtbFBLAQIUABQAAAAIAIdO4kCxfX9GBQIAAO0DAAAOAAAAAAAAAAEAIAAAACQBAABk&#10;cnMvZTJvRG9jLnhtbFBLBQYAAAAABgAGAFkBAACbBQAAAAA=&#10;">
                        <v:fill on="f" focussize="0,0"/>
                        <v:stroke weight="1pt" color="#000000 [3213]" joinstyle="round" endarrow="block"/>
                        <v:imagedata o:title=""/>
                        <o:lock v:ext="edit" aspectratio="f"/>
                      </v:line>
                      <v:rect id="矩形 49" o:spid="_x0000_s1026" o:spt="1" style="position:absolute;left:2218055;top:3113405;height:260350;width:860425;" fillcolor="#FFFFFF" filled="t" stroked="t" coordsize="21600,21600" o:gfxdata="UEsDBAoAAAAAAIdO4kAAAAAAAAAAAAAAAAAEAAAAZHJzL1BLAwQUAAAACACHTuJAuy1hEdUAAAAF&#10;AQAADwAAAGRycy9kb3ducmV2LnhtbE2PwU7DMBBE75X4B2uRuLV2WlFCiNMDqEgc2/TCbRMvSSBe&#10;R7HTBr4ewwUuK41mNPM23822F2cafedYQ7JSIIhrZzpuNJzK/TIF4QOywd4xafgkD7viapFjZtyF&#10;D3Q+hkbEEvYZamhDGDIpfd2SRb9yA3H03txoMUQ5NtKMeInltpdrpbbSYsdxocWBHluqP46T1VB1&#10;6xN+HcpnZe/3m/Ayl+/T65PWN9eJegARaA5/YfjBj+hQRKbKTWy86DXER8LvjV6apLcgKg3bzV0C&#10;ssjlf/riG1BLAwQUAAAACACHTuJASe/few8CAAA2BAAADgAAAGRycy9lMm9Eb2MueG1srVPLrtMw&#10;EN0j8Q+W9zSPPtQbNb0LStkguNKFD3AdJ7Hklzxuk34NEjs+gs9B/AZjp9wXLLogi2Qcj8+cc2a8&#10;uR21IifhQVpT02KWUyIMt400XU2/fN6/WVMCgZmGKWtETc8C6O329avN4CpR2t6qRniCIAaqwdW0&#10;D8FVWQa8F5rBzDphcLO1XrOAS99ljWcDomuVlXm+ygbrG+ctFwD4dzdt0guivwbQtq3kYmf5UQsT&#10;JlQvFAsoCXrpgG4T27YVPHxqWxCBqJqi0pDeWATjQ3xn2w2rOs9cL/mFAruGwgtNmkmDRR+gdiww&#10;cvTyLygtubdg2zDjVmeTkOQIqijyF97c98yJpAWtBvdgOvw/WP7xdOeJbGo6X1BimMaO//r6/eeP&#10;b2RxE90ZHFSYdO/u/GUFGEapY+t1/KIIMta0LIt1vlxSckasopgv8uXkrhgD4ZiwXuWLEvc5JpSr&#10;fL5M7mePQM5DeC+sJjGoqcfmJU/Z6QMELI6pf1JiXbBKNnupVFr47vBWeXJi2Oh9emJ1PPIsTRky&#10;1PRmmXgwnN4WpwYpaYcOgOlSvWcn4Clwnp5/AUdiOwb9RCAhTOq1DMIjE1b1gjXvTEPC2aHJBi8X&#10;jWS0aChRAu9ijFJmYFJdk4nqlEGRsUdTV2IUxsOIMDE82OaM7T06L7seLS0S9biD45TcuYx+nNen&#10;6wT6eN23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7LWER1QAAAAUBAAAPAAAAAAAAAAEAIAAA&#10;ACIAAABkcnMvZG93bnJldi54bWxQSwECFAAUAAAACACHTuJASe/few8CAAA2BAAADgAAAAAAAAAB&#10;ACAAAAAkAQAAZHJzL2Uyb0RvYy54bWxQSwUGAAAAAAYABgBZAQAApQUAAAAA&#10;">
                        <v:fill on="t" focussize="0,0"/>
                        <v:stroke color="#000000" joinstyle="miter"/>
                        <v:imagedata o:title=""/>
                        <o:lock v:ext="edit" aspectratio="f"/>
                        <v:textbox>
                          <w:txbxContent>
                            <w:p>
                              <w:pPr>
                                <w:adjustRightInd w:val="0"/>
                                <w:snapToGrid w:val="0"/>
                                <w:jc w:val="center"/>
                                <w:rPr>
                                  <w:rFonts w:hint="default" w:eastAsia="宋体"/>
                                  <w:lang w:val="en-US" w:eastAsia="zh-CN"/>
                                </w:rPr>
                              </w:pPr>
                              <w:r>
                                <w:rPr>
                                  <w:rFonts w:hint="eastAsia"/>
                                  <w:lang w:val="en-US" w:eastAsia="zh-CN"/>
                                </w:rPr>
                                <w:t>试样检测</w:t>
                              </w:r>
                            </w:p>
                          </w:txbxContent>
                        </v:textbox>
                      </v:rect>
                      <v:line id="直接连接符 75" o:spid="_x0000_s1026" o:spt="20" style="position:absolute;left:2649855;top:3373755;height:294005;width:5715;" filled="f" stroked="t" coordsize="21600,21600" o:gfxdata="UEsDBAoAAAAAAIdO4kAAAAAAAAAAAAAAAAAEAAAAZHJzL1BLAwQUAAAACACHTuJAAgsxf9UAAAAF&#10;AQAADwAAAGRycy9kb3ducmV2LnhtbE2PQUvDQBCF74L/YRnBi7SbtFhDzKagIB48WQV73GanSTA7&#10;m2YnSf33jl70MvB4M+99U2zPvlMTDrENZCBdJqCQquBaqg28vz0tMlCRLTnbBUIDXxhhW15eFDZ3&#10;YaZXnHZcKwmhmFsDDXOfax2rBr2Ny9AjiXcMg7cscqi1G+ws4b7TqyTZaG9bkobG9vjYYPW5G71g&#10;aD/wx/PLOD5M1X7er058sz4Zc32VJvegGM/8tww/+HIDpTAdwkguqs6APMK/U7wszW5BHQxs1ncp&#10;6LLQ/+nLb1BLAwQUAAAACACHTuJA3O4OyQUCAADtAwAADgAAAGRycy9lMm9Eb2MueG1srVNNbhMx&#10;FN4jcQfLezKTSdO0o0y6aCgbBJGAA7zYnhlL/pPtZpJLcAEkdrBiyZ7bUI7Bsyc0UITUBbPwPPt9&#10;/vy+z8/Lq71WZCd8kNY0dDopKRGGWS5N19B3b2+eXVASIhgOyhrR0IMI9Gr19MlycLWobG8VF54g&#10;iQn14Brax+jqogisFxrCxDphMNlaryHi1HcF9zAgu1ZFVZbnxWA9d94yEQKursckPTL6xxDatpVM&#10;rC271cLEkdULBRElhV66QFe52rYVLL5u2yAiUQ1FpTGPeAjG2zQWqyXUnQfXS3YsAR5TwgNNGqTB&#10;Q++p1hCB3Hr5F5WWzNtg2zhhVhejkOwIqpiWD7x504MTWQtaHdy96eH/0bJXu40nkjd0NqfEgMYb&#10;v/vw9fv7Tz++fcTx7stnspgnmwYXakRfm40/zoLb+KR533qd/qiG7BtanZ9dXsyR7YCks8VsgXG2&#10;WewjYQiYL6aYZZiuLs/KMmeLE43zIb4QVpMUNFRJkzyAGnYvQ0QihP6CpGVlyIB9XC1KvFMG2JEt&#10;dgKG2qGqYLq8OVgl+Y1UKm0JvtteK092kLoif6lCJP4Dlk5ZQ+hHXE6NQnoB/LnhJB4c2mXwmdBU&#10;gxacEiXwVaUoS44g1QkZvQTTqX+g8XhlsIpk9GhtiraWH7LjeR27INd57NjUZr/P8+7TK139B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ILMX/VAAAABQEAAA8AAAAAAAAAAQAgAAAAIgAAAGRycy9k&#10;b3ducmV2LnhtbFBLAQIUABQAAAAIAIdO4kDc7g7JBQIAAO0DAAAOAAAAAAAAAAEAIAAAACQBAABk&#10;cnMvZTJvRG9jLnhtbFBLBQYAAAAABgAGAFkBAACbBQAAAAA=&#10;">
                        <v:fill on="f" focussize="0,0"/>
                        <v:stroke weight="1pt" color="#000000 [3213]" joinstyle="round" endarrow="block"/>
                        <v:imagedata o:title=""/>
                        <o:lock v:ext="edit" aspectratio="f"/>
                      </v:line>
                      <v:rect id="矩形 51" o:spid="_x0000_s1026" o:spt="1" style="position:absolute;left:2370455;top:3665855;height:260350;width:556260;" fillcolor="#FFFFFF" filled="t" stroked="t" coordsize="21600,21600" o:gfxdata="UEsDBAoAAAAAAIdO4kAAAAAAAAAAAAAAAAAEAAAAZHJzL1BLAwQUAAAACACHTuJAuy1hEdUAAAAF&#10;AQAADwAAAGRycy9kb3ducmV2LnhtbE2PwU7DMBBE75X4B2uRuLV2WlFCiNMDqEgc2/TCbRMvSSBe&#10;R7HTBr4ewwUuK41mNPM23822F2cafedYQ7JSIIhrZzpuNJzK/TIF4QOywd4xafgkD7viapFjZtyF&#10;D3Q+hkbEEvYZamhDGDIpfd2SRb9yA3H03txoMUQ5NtKMeInltpdrpbbSYsdxocWBHluqP46T1VB1&#10;6xN+HcpnZe/3m/Ayl+/T65PWN9eJegARaA5/YfjBj+hQRKbKTWy86DXER8LvjV6apLcgKg3bzV0C&#10;ssjlf/riG1BLAwQUAAAACACHTuJAdERYIgwCAAA2BAAADgAAAGRycy9lMm9Eb2MueG1srVPLrtMw&#10;EN0j8Q+W9zRpSsqlanoXlLJBcKV7+QDXdhJLfsnjNunXILHjI/gcxG8wdsp9waILvEjG8cmZOWfG&#10;6+vRaHKUAZSzDZ3PSkqk5U4o2zX0y93u1RUlEJkVTDsrG3qSQK83L1+sB7+SleudFjIQJLGwGnxD&#10;+xj9qiiA99IwmDkvLR62LhgWcRu6QgQ2ILvRRVWWy2JwQfjguATAr9vpkJ4ZwyWErm0Vl1vHD0ba&#10;OLEGqVlESdArD3STq21byePntgUZiW4oKo35iUkw3qdnsVmzVReY7xU/l8AuKeGZJsOUxaT3VFsW&#10;GTkE9ReVUTw4cG2ccWeKSUh2BFXMy2fe3PbMy6wFrQZ/bzr8P1r+6XgTiBINXSwpscxgx399/f7z&#10;xzdSz5M7g4cVgm79TTjvAMMkdWyDSW8UQcaGVos35eu6puSUuJb1FcbZXTlGwhFQ18tqib5zBGCw&#10;qLP7xQORDxA/SGdIChoasHnZU3b8CBGpEPoHkvKC00rslNZ5E7r9Ox3IkWGjd3ml7PjLE5i2ZGjo&#10;27rCOjnD6W1xajA0Hh0A2+V8T/6Ax8RlXv8iToVtGfRTAZlhUm9UlCH70Esm3ltB4smjyRYvF03F&#10;GCko0RLvYooyMjKlL0GiOm1RZOrR1JUUxXE/Ik0K906csL0HH1TXo6W5oxmO45TdOY9+mtfH+0z6&#10;cN03v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7LWER1QAAAAUBAAAPAAAAAAAAAAEAIAAAACIA&#10;AABkcnMvZG93bnJldi54bWxQSwECFAAUAAAACACHTuJAdERYIgwCAAA2BAAADgAAAAAAAAABACAA&#10;AAAkAQAAZHJzL2Uyb0RvYy54bWxQSwUGAAAAAAYABgBZAQAAogUAAAAA&#10;">
                        <v:fill on="t" focussize="0,0"/>
                        <v:stroke color="#000000" joinstyle="miter"/>
                        <v:imagedata o:title=""/>
                        <o:lock v:ext="edit" aspectratio="f"/>
                        <v:textbox>
                          <w:txbxContent>
                            <w:p>
                              <w:pPr>
                                <w:adjustRightInd w:val="0"/>
                                <w:snapToGrid w:val="0"/>
                                <w:jc w:val="center"/>
                                <w:rPr>
                                  <w:rFonts w:hint="default" w:eastAsia="宋体"/>
                                  <w:lang w:val="en-US" w:eastAsia="zh-CN"/>
                                </w:rPr>
                              </w:pPr>
                              <w:r>
                                <w:rPr>
                                  <w:rFonts w:hint="eastAsia"/>
                                  <w:lang w:val="en-US" w:eastAsia="zh-CN"/>
                                </w:rPr>
                                <w:t>分装</w:t>
                              </w:r>
                              <w:r>
                                <w:rPr>
                                  <w:rFonts w:hint="eastAsia"/>
                                  <w:lang w:val="en-US" w:eastAsia="zh-CN"/>
                                </w:rPr>
                                <w:tab/>
                              </w:r>
                            </w:p>
                          </w:txbxContent>
                        </v:textbox>
                      </v:rect>
                      <v:line id="直接连接符 14" o:spid="_x0000_s1026" o:spt="20" style="position:absolute;left:3081655;top:1583055;height:0;width:320040;" filled="f" stroked="t" coordsize="21600,21600" o:gfxdata="UEsDBAoAAAAAAIdO4kAAAAAAAAAAAAAAAAAEAAAAZHJzL1BLAwQUAAAACACHTuJAtCrU/9cAAAAF&#10;AQAADwAAAGRycy9kb3ducmV2LnhtbE2Py07DQAxF90j8w8hIbBCdhKptFDKpEI8VC9qUBUs34yaB&#10;jCfKTB/w9Rg2sLFk3avj42J5cr060Bg6zwbSSQKKuPa248bA6+bpOgMVIrLF3jMZ+KQAy/L8rMDc&#10;+iOv6VDFRgmEQ44G2hiHXOtQt+QwTPxALNnOjw6jrGOj7YhHgbte3yTJXDvsWC60ONB9S/VHtXcG&#10;5m8veLerVrPVsH6sp9XXg796fjfm8iJNbkFFOsW/MvzoizqU4rT1e7ZB9Qbkkfg7JcvSbAZqK+Dp&#10;IgVdFvq/ffkNUEsDBBQAAAAIAIdO4kBBUYrdAQIAAOgDAAAOAAAAZHJzL2Uyb0RvYy54bWytU0uO&#10;EzEQ3SNxB8t70p3MZAitdGYxYdggiAQcoOJPtyX/ZHvSySW4ABI7WLFkz20YjkHZHSYwCGkW9MJd&#10;tp9f1XsuLy/3RpOdCFE529LppKZEWOa4sl1L3729frKgJCawHLSzoqUHEenl6vGj5eAbMXO901wE&#10;giQ2NoNvaZ+Sb6oqsl4YiBPnhcVN6YKBhNPQVTzAgOxGV7O6vqgGF7gPjokYcXU9btIjY3gIoZNS&#10;MbF27MYIm0bWIDQklBR75SNdlWqlFCy9ljKKRHRLUWkqIybBeJvHarWEpgvge8WOJcBDSrinyYCy&#10;mPSOag0JyE1Qf1EZxYKLTqYJc6YahRRHUMW0vufNmx68KFrQ6ujvTI//j5a92m0CUbylZ08psWDw&#10;xm8/fP3+/tOPbx9xvP3ymUzPs02Djw2ir+wmHGfRb0LWvJfB5D+qIXskqhfTi/mckgO213xxVmNc&#10;bBb7RFgGYBuc4wUwBJQbqE4cPsT0QjhDctBSrWw2ABrYvYwJWRD6C5KXtSVDS5/NZ5iOAXajxC7A&#10;0HhUFG1XzkanFb9WWucTMXTbKx3IDnJHlC9Xh7x/wHKSNcR+xHGMRg29AP7ccpIOHp2y+EJorsAI&#10;TokW+KByVNQmUPqETEGB7fQ/0JhdWywiezy6mqOt44didlnHBihlHps1d9jv83L69EB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0KtT/1wAAAAUBAAAPAAAAAAAAAAEAIAAAACIAAABkcnMvZG93&#10;bnJldi54bWxQSwECFAAUAAAACACHTuJAQVGK3QECAADoAwAADgAAAAAAAAABACAAAAAmAQAAZHJz&#10;L2Uyb0RvYy54bWxQSwUGAAAAAAYABgBZAQAAmQUAAAAA&#10;">
                        <v:fill on="f" focussize="0,0"/>
                        <v:stroke color="#000000" joinstyle="round" dashstyle="dash" endarrow="block"/>
                        <v:imagedata o:title=""/>
                        <o:lock v:ext="edit" aspectratio="f"/>
                      </v:line>
                      <v:line id="直接连接符 14" o:spid="_x0000_s1026" o:spt="20" style="position:absolute;left:2935605;top:2122805;height:0;width:320040;" filled="f" stroked="t" coordsize="21600,21600" o:gfxdata="UEsDBAoAAAAAAIdO4kAAAAAAAAAAAAAAAAAEAAAAZHJzL1BLAwQUAAAACACHTuJAtCrU/9cAAAAF&#10;AQAADwAAAGRycy9kb3ducmV2LnhtbE2Py07DQAxF90j8w8hIbBCdhKptFDKpEI8VC9qUBUs34yaB&#10;jCfKTB/w9Rg2sLFk3avj42J5cr060Bg6zwbSSQKKuPa248bA6+bpOgMVIrLF3jMZ+KQAy/L8rMDc&#10;+iOv6VDFRgmEQ44G2hiHXOtQt+QwTPxALNnOjw6jrGOj7YhHgbte3yTJXDvsWC60ONB9S/VHtXcG&#10;5m8veLerVrPVsH6sp9XXg796fjfm8iJNbkFFOsW/MvzoizqU4rT1e7ZB9Qbkkfg7JcvSbAZqK+Dp&#10;IgVdFvq/ffkNUEsDBBQAAAAIAIdO4kATQ85uAQIAAOgDAAAOAAAAZHJzL2Uyb0RvYy54bWytU0uO&#10;EzEQ3SNxB8t70klnMppppTOLCcMGQSTgABV/ui35J9uTTi7BBZDYwYole27DcAzK7jCBQUizoBfu&#10;sv38qt5zeXm1N5rsRIjK2ZbOJlNKhGWOK9u19N3bm2cXlMQEloN2VrT0ICK9Wj19shx8I2rXO81F&#10;IEhiYzP4lvYp+aaqIuuFgThxXljclC4YSDgNXcUDDMhudFVPp+fV4AL3wTERI66ux016ZAyPIXRS&#10;KibWjt0aYdPIGoSGhJJir3ykq1KtlIKl11JGkYhuKSpNZcQkGG/zWK2W0HQBfK/YsQR4TAkPNBlQ&#10;FpPeU60hAbkN6i8qo1hw0ck0Yc5Uo5DiCKqYTR9486YHL4oWtDr6e9Pj/6Nlr3abQBRv6Rzv3YLB&#10;G7/78PX7+08/vn3E8e7LZzI7yzYNPjaIvrabcJxFvwlZ814Gk/+ohuxbWl/OF+fTBSUHjGd1fYFx&#10;sVnsE2EImGMbnOEFMASUG6hOHD7E9EI4Q3LQUq1sNgAa2L2MCVkQ+guSl7UlQ0svFzWmY4DdKLEL&#10;MDQeFUXblbPRacVvlNb5RAzd9loHsoPcEeXL1SHvH7CcZA2xH3Eco1FDL4A/t5ykg0enLL4Qmisw&#10;glOiBT6oHBW1CZQ+IVNQYDv9DzRm1xaLyB6PruZo6/ihmF3WsQFKmcdmzR32+7ycPj3Q1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0KtT/1wAAAAUBAAAPAAAAAAAAAAEAIAAAACIAAABkcnMvZG93&#10;bnJldi54bWxQSwECFAAUAAAACACHTuJAE0PObgECAADoAwAADgAAAAAAAAABACAAAAAmAQAAZHJz&#10;L2Uyb0RvYy54bWxQSwUGAAAAAAYABgBZAQAAmQUAAAAA&#10;">
                        <v:fill on="f" focussize="0,0"/>
                        <v:stroke color="#000000" joinstyle="round" dashstyle="dash" endarrow="block"/>
                        <v:imagedata o:title=""/>
                        <o:lock v:ext="edit" aspectratio="f"/>
                      </v:line>
                      <v:rect id="矩形 13" o:spid="_x0000_s1026" o:spt="1" style="position:absolute;left:3259455;top:1989455;height:284480;width:1212850;" filled="f" stroked="f" coordsize="21600,21600" o:gfxdata="UEsDBAoAAAAAAIdO4kAAAAAAAAAAAAAAAAAEAAAAZHJzL1BLAwQUAAAACACHTuJAfk17xNcAAAAF&#10;AQAADwAAAGRycy9kb3ducmV2LnhtbE2PQUvDQBCF70L/wzIFL2I3UawhZtNDobRIoZhqz9vsmASz&#10;s2l2m9R/79iLXgYe7/HeN9niYlsxYO8bRwriWQQCqXSmoUrB+351n4DwQZPRrSNU8I0eFvnkJtOp&#10;cSO94VCESnAJ+VQrqEPoUil9WaPVfuY6JPY+XW91YNlX0vR65HLbyocomkurG+KFWne4rLH8Ks5W&#10;wVjuhsN+u5a7u8PG0WlzWhYfr0rdTuPoBUTAS/gLwy8+o0POTEd3JuNFq4AfCdfLXhInTyCOCuaP&#10;zzHIPJP/6fMfUEsDBBQAAAAIAIdO4kApArT+rwEAAE8DAAAOAAAAZHJzL2Uyb0RvYy54bWytU82O&#10;0zAQviPxDpbv1E22RWnUdC/VckGw0sIDuI7dWPKfxm6TPg0SNx6Cx0G8BmM37MJy2QMXZ2b85Zv5&#10;Ptvb28kacpYQtXcdrRZLSqQTvtfu2NHPn+7eNJTExF3PjXeyoxcZ6e3u9avtGFpZ+8GbXgJBEhfb&#10;MXR0SCm0jEUxSMvjwgfpcFN5sDxhCkfWAx+R3RpWL5dv2eihD+CFjBGr++smnRnhJYReKS3k3ouT&#10;lS5dWUEanlBSHHSIdFemVUqK9FGpKBMxHUWlqazYBONDXtluy9sj8DBoMY/AXzLCM02Wa4dNH6n2&#10;PHFyAv0PldUCfPQqLYS37CqkOIIqquUzbx4GHmTRglbH8Gh6/H+04sP5HojuO3qzocRxiyf+88u3&#10;H9+/kuomuzOG2CLoIdzDnEUMs9RJgc1fFEEm/L9eb1brNSUXvFWbpsTFXTklIhBQ1VXdrNF4gYi6&#10;Wa2aYj97YgoQ0zvpLclBRwFPr5jKz+9jQi6E/obkxs7faWNKD+P+KiAwV1ge/jpujtJ0mGYNB99f&#10;UPcpgD4O2KrKUgscfS6N5juRD/LPvKCe3sHu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H5Ne8TX&#10;AAAABQEAAA8AAAAAAAAAAQAgAAAAIgAAAGRycy9kb3ducmV2LnhtbFBLAQIUABQAAAAIAIdO4kAp&#10;ArT+rwEAAE8DAAAOAAAAAAAAAAEAIAAAACYBAABkcnMvZTJvRG9jLnhtbFBLBQYAAAAABgAGAFkB&#10;AABHBQAAAAA=&#10;">
                        <v:fill on="f" focussize="0,0"/>
                        <v:stroke on="f"/>
                        <v:imagedata o:title=""/>
                        <o:lock v:ext="edit" aspectratio="f"/>
                        <v:textbox>
                          <w:txbxContent>
                            <w:p>
                              <w:pPr>
                                <w:adjustRightInd w:val="0"/>
                                <w:snapToGrid w:val="0"/>
                                <w:jc w:val="center"/>
                                <w:rPr>
                                  <w:rFonts w:hint="default"/>
                                  <w:sz w:val="21"/>
                                  <w:szCs w:val="21"/>
                                </w:rPr>
                              </w:pPr>
                              <w:r>
                                <w:rPr>
                                  <w:rFonts w:hint="eastAsia"/>
                                  <w:sz w:val="21"/>
                                  <w:szCs w:val="21"/>
                                  <w:lang w:val="en-US" w:eastAsia="zh-CN"/>
                                </w:rPr>
                                <w:t>非甲烷总烃、噪声</w:t>
                              </w:r>
                            </w:p>
                            <w:p>
                              <w:pPr>
                                <w:pStyle w:val="94"/>
                                <w:spacing w:before="120" w:after="120"/>
                                <w:ind w:left="0" w:firstLine="0"/>
                              </w:pPr>
                            </w:p>
                          </w:txbxContent>
                        </v:textbox>
                      </v:rect>
                      <v:line id="直接连接符 14" o:spid="_x0000_s1026" o:spt="20" style="position:absolute;left:2922905;top:2675255;height:0;width:320040;" filled="f" stroked="t" coordsize="21600,21600" o:gfxdata="UEsDBAoAAAAAAIdO4kAAAAAAAAAAAAAAAAAEAAAAZHJzL1BLAwQUAAAACACHTuJAtCrU/9cAAAAF&#10;AQAADwAAAGRycy9kb3ducmV2LnhtbE2Py07DQAxF90j8w8hIbBCdhKptFDKpEI8VC9qUBUs34yaB&#10;jCfKTB/w9Rg2sLFk3avj42J5cr060Bg6zwbSSQKKuPa248bA6+bpOgMVIrLF3jMZ+KQAy/L8rMDc&#10;+iOv6VDFRgmEQ44G2hiHXOtQt+QwTPxALNnOjw6jrGOj7YhHgbte3yTJXDvsWC60ONB9S/VHtXcG&#10;5m8veLerVrPVsH6sp9XXg796fjfm8iJNbkFFOsW/MvzoizqU4rT1e7ZB9Qbkkfg7JcvSbAZqK+Dp&#10;IgVdFvq/ffkNUEsDBBQAAAAIAIdO4kC/C8LKAQIAAOgDAAAOAAAAZHJzL2Uyb0RvYy54bWytU82O&#10;0zAQviPxDpbvNG3YLjRquoctywVBJeABpraTWPKfPN6mfQleAIkbnDhy37dheQzGSdnCIqQ9kIMz&#10;tj9/M9/n8fJibw3bqYjau5rPJlPOlBNeatfW/P27qyfPOcMEToLxTtX8oJBfrB4/WvahUqXvvJEq&#10;MiJxWPWh5l1KoSoKFJ2ygBMflKPNxkcLiaaxLWSEntitKcrp9LzofZQheqEQaXU9bvIjY3wIoW8a&#10;LdTai2urXBpZozKQSBJ2OiBfDdU2jRLpTdOgSszUnJSmYaQkFG/zWKyWULURQqfFsQR4SAn3NFnQ&#10;jpLeUa0hAbuO+i8qq0X06Js0Ed4Wo5DBEVIxm97z5m0HQQ1ayGoMd6bj/6MVr3ebyLSs+RlZ4sDS&#10;jd9+/Pb9w+cfN59ovP36hc3Osk19wIrQl24TjzMMm5g175to85/UsH3Ny0VZLqZzzg4Unz+bl/P5&#10;aLPaJyYI8JTaIGcTBBhuoDhxhIjppfKW5aDmRrtsAFSwe4WJ8hL0FyQvG8f6mi8oB9EBdWNDXUCh&#10;DaQIXTucRW+0vNLG5BMY2+2liWwHuSOGL1dHvH/AcpI1YDfiJEWjhk6BfOEkS4dATjl6ITxXYJXk&#10;zCh6UDkiPqgSaHNCpqjBteYfaMpuHBWRPR5dzdHWy8Ng9rBODTCUeWzW3GG/z4fTpwe6+gl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0KtT/1wAAAAUBAAAPAAAAAAAAAAEAIAAAACIAAABkcnMvZG93&#10;bnJldi54bWxQSwECFAAUAAAACACHTuJAvwvCygECAADoAwAADgAAAAAAAAABACAAAAAmAQAAZHJz&#10;L2Uyb0RvYy54bWxQSwUGAAAAAAYABgBZAQAAmQUAAAAA&#10;">
                        <v:fill on="f" focussize="0,0"/>
                        <v:stroke color="#000000" joinstyle="round" dashstyle="dash" endarrow="block"/>
                        <v:imagedata o:title=""/>
                        <o:lock v:ext="edit" aspectratio="f"/>
                      </v:line>
                      <v:line id="直接连接符 14" o:spid="_x0000_s1026" o:spt="20" style="position:absolute;left:3088005;top:3221355;height:0;width:320040;" filled="f" stroked="t" coordsize="21600,21600" o:gfxdata="UEsDBAoAAAAAAIdO4kAAAAAAAAAAAAAAAAAEAAAAZHJzL1BLAwQUAAAACACHTuJAtCrU/9cAAAAF&#10;AQAADwAAAGRycy9kb3ducmV2LnhtbE2Py07DQAxF90j8w8hIbBCdhKptFDKpEI8VC9qUBUs34yaB&#10;jCfKTB/w9Rg2sLFk3avj42J5cr060Bg6zwbSSQKKuPa248bA6+bpOgMVIrLF3jMZ+KQAy/L8rMDc&#10;+iOv6VDFRgmEQ44G2hiHXOtQt+QwTPxALNnOjw6jrGOj7YhHgbte3yTJXDvsWC60ONB9S/VHtXcG&#10;5m8veLerVrPVsH6sp9XXg796fjfm8iJNbkFFOsW/MvzoizqU4rT1e7ZB9Qbkkfg7JcvSbAZqK+Dp&#10;IgVdFvq/ffkNUEsDBBQAAAAIAIdO4kBJdKFmAgIAAOgDAAAOAAAAZHJzL2Uyb0RvYy54bWytU82O&#10;0zAQviPxDpbvNGm2RSVquoctywVBJeABprbTWPKfPN6mfQleAIkbnDhy521YHoNxUrawCGkP5OCM&#10;7c/fzPd5vLw8WMP2KqL2ruHTScmZcsJL7XYNf/f2+smCM0zgJBjvVMOPCvnl6vGjZR9qVfnOG6ki&#10;IxKHdR8a3qUU6qJA0SkLOPFBOdpsfbSQaBp3hYzQE7s1RVWWT4veRxmiFwqRVtfjJj8xxocQ+rbV&#10;Qq29uLHKpZE1KgOJJGGnA/LVUG3bKpFety2qxEzDSWkaRkpC8TaPxWoJ9S5C6LQ4lQAPKeGeJgva&#10;UdI7qjUkYDdR/0VltYgefZsmwttiFDI4Qiqm5T1v3nQQ1KCFrMZwZzr+P1rxar+JTMuGzyrOHFi6&#10;8dsPX7+///Tj20cab798ZtNZtqkPWBP6ym3iaYZhE7PmQxtt/pMadmj4RblYlOWcsyPFVTW9mM9H&#10;m9UhMZEB1AYzugBBgOEGijNHiJheKG9ZDhputMsGQA37l5goL0F/QfKycaxv+LN5RekEUDe21AUU&#10;2kCK0O2Gs+iNltfamHwC4257ZSLbQ+6I4cvVEe8fsJxkDdiNOEnRqKFTIJ87ydIxkFOOXgjPFVgl&#10;OTOKHlSOiA/qBNqckSlqcDvzDzRlN46KyB6PruZo6+VxMHtYpwYYyjw1a+6w3+fD6fMDXf0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CrU/9cAAAAFAQAADwAAAAAAAAABACAAAAAiAAAAZHJzL2Rv&#10;d25yZXYueG1sUEsBAhQAFAAAAAgAh07iQEl0oWYCAgAA6AMAAA4AAAAAAAAAAQAgAAAAJgEAAGRy&#10;cy9lMm9Eb2MueG1sUEsFBgAAAAAGAAYAWQEAAJoFAAAAAA==&#10;">
                        <v:fill on="f" focussize="0,0"/>
                        <v:stroke color="#000000" joinstyle="round" dashstyle="dash" endarrow="block"/>
                        <v:imagedata o:title=""/>
                        <o:lock v:ext="edit" aspectratio="f"/>
                      </v:line>
                      <v:rect id="矩形 13" o:spid="_x0000_s1026" o:spt="1" style="position:absolute;left:3411855;top:3113405;height:285115;width:1750060;" filled="f" stroked="f" coordsize="21600,21600" o:gfxdata="UEsDBAoAAAAAAIdO4kAAAAAAAAAAAAAAAAAEAAAAZHJzL1BLAwQUAAAACACHTuJAfk17xNcAAAAF&#10;AQAADwAAAGRycy9kb3ducmV2LnhtbE2PQUvDQBCF70L/wzIFL2I3UawhZtNDobRIoZhqz9vsmASz&#10;s2l2m9R/79iLXgYe7/HeN9niYlsxYO8bRwriWQQCqXSmoUrB+351n4DwQZPRrSNU8I0eFvnkJtOp&#10;cSO94VCESnAJ+VQrqEPoUil9WaPVfuY6JPY+XW91YNlX0vR65HLbyocomkurG+KFWne4rLH8Ks5W&#10;wVjuhsN+u5a7u8PG0WlzWhYfr0rdTuPoBUTAS/gLwy8+o0POTEd3JuNFq4AfCdfLXhInTyCOCuaP&#10;zzHIPJP/6fMfUEsDBBQAAAAIAIdO4kBWXLSirwEAAE8DAAAOAAAAZHJzL2Uyb0RvYy54bWytUzuO&#10;2zAQ7QPkDgT7mKJtJYZgeRtjt1kkC2xyAJoiLQL8gaQt+TQB0uUQOU6Qa2RIab9ptkhDzgwf3sx7&#10;I22vRqPRWYSonG0xXVQYCctdp+yxxd++Xn/YYBQTsx3TzooWX0TEV7v377aDb8TS9U53IiAgsbEZ&#10;fIv7lHxDSOS9MCwunBcWHqULhiVIw5F0gQ3AbjRZVtVHMrjQ+eC4iBGq++kRz4zhLYROSsXF3vGT&#10;ETZNrEFolkBS7JWPeFemlVLw9EXKKBLSLQalqZzQBOJDPsluy5pjYL5XfB6BvWWEV5oMUxaaPlLt&#10;WWLoFNQ/VEbx4KKTacGdIZOQ4giooNUrb+575kXRAlZH/2h6/H+0/PP5LiDVtXi9wsgyAxv/8/3n&#10;718/EF1ldwYfGwDd+7swZxHCLHWUweQbRKCxxas1pZu6xugCMaWrdVVP7ooxIQ4A+qmG9YPxHBDL&#10;TU1pAZAnJh9iuhHOoBy0OMD2iqnsfBsTdAfoAyQ3tu5aaV02qO2LAgBzheThp3FzlMbDOGs4uO4C&#10;uk8+qGMPrWgetcDB59Jo/ibyIp/nBfX0H+z+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H5Ne8TX&#10;AAAABQEAAA8AAAAAAAAAAQAgAAAAIgAAAGRycy9kb3ducmV2LnhtbFBLAQIUABQAAAAIAIdO4kBW&#10;XLSirwEAAE8DAAAOAAAAAAAAAAEAIAAAACYBAABkcnMvZTJvRG9jLnhtbFBLBQYAAAAABgAGAFkB&#10;AABHBQAAAAA=&#10;">
                        <v:fill on="f" focussize="0,0"/>
                        <v:stroke on="f"/>
                        <v:imagedata o:title=""/>
                        <o:lock v:ext="edit" aspectratio="f"/>
                        <v:textbox>
                          <w:txbxContent>
                            <w:p>
                              <w:pPr>
                                <w:adjustRightInd w:val="0"/>
                                <w:snapToGrid w:val="0"/>
                                <w:jc w:val="center"/>
                                <w:rPr>
                                  <w:rFonts w:hint="default"/>
                                  <w:sz w:val="21"/>
                                  <w:szCs w:val="21"/>
                                  <w:lang w:val="en-US"/>
                                </w:rPr>
                              </w:pPr>
                              <w:r>
                                <w:rPr>
                                  <w:rFonts w:hint="eastAsia"/>
                                  <w:sz w:val="21"/>
                                  <w:szCs w:val="21"/>
                                  <w:lang w:val="en-US" w:eastAsia="zh-CN"/>
                                </w:rPr>
                                <w:t>非甲烷总烃、固废、噪声</w:t>
                              </w:r>
                            </w:p>
                            <w:p>
                              <w:pPr>
                                <w:pStyle w:val="41"/>
                                <w:rPr>
                                  <w:rFonts w:hint="default"/>
                                  <w:sz w:val="21"/>
                                  <w:szCs w:val="21"/>
                                </w:rPr>
                              </w:pPr>
                            </w:p>
                            <w:p>
                              <w:pPr>
                                <w:pStyle w:val="94"/>
                                <w:spacing w:before="120" w:after="120"/>
                                <w:ind w:left="0" w:firstLine="0"/>
                              </w:pPr>
                            </w:p>
                          </w:txbxContent>
                        </v:textbox>
                      </v:rect>
                      <v:line id="直接连接符 14" o:spid="_x0000_s1026" o:spt="20" style="position:absolute;left:1791335;top:2681605;flip:y;height:635;width:543560;" filled="f" stroked="t" coordsize="21600,21600" o:gfxdata="UEsDBAoAAAAAAIdO4kAAAAAAAAAAAAAAAAAEAAAAZHJzL1BLAwQUAAAACACHTuJA6ofSDdUAAAAF&#10;AQAADwAAAGRycy9kb3ducmV2LnhtbE2PS0/DMBCE70j9D9ZW4kbt8ChpyKaHSkiIGy0SVzfeJlHt&#10;dbDdB/x6DBd6WWk0o5lv6+XZWXGkEAfPCMVMgSBuvRm4Q3jfPN+UIGLSbLT1TAhfFGHZTK5qXRl/&#10;4jc6rlMncgnHSiP0KY2VlLHtyek48yNx9nY+OJ2yDJ00QZ9yubPyVqm5dHrgvNDrkVY9tfv1wSHc&#10;q8/v1ea1Gxb2hRaRAu/26QPxelqoJxCJzuk/DL/4GR2azLT1BzZRWIT8SPq72SuL8gHEFmF+91iA&#10;bGp5Sd/8AFBLAwQUAAAACACHTuJAi88+JAoCAAD0AwAADgAAAGRycy9lMm9Eb2MueG1srVNLjhMx&#10;EN0jcQfLe9L5M9NKZxYThg2CSHz2FX+6Lfkn25NOLsEFkNjBiiV7bsNwDMruMAODkGZBL6wq+/lV&#10;vdfl1cXBaLIXISpnGzoZjSkRljmubNvQt2+unpxREhNYDtpZ0dCjiPRi/fjRqve1mLrOaS4CQRIb&#10;6943tEvJ11UVWScMxJHzwuKhdMFAwjS0FQ/QI7vR1XQ8Xla9C9wHx0SMuLsZDumJMTyE0EmpmNg4&#10;dm2ETQNrEBoSSoqd8pGuS7dSCpZeSRlFIrqhqDSVFYtgvMtrtV5B3QbwnWKnFuAhLdzTZEBZLHpL&#10;tYEE5Dqov6iMYsFFJ9OIOVMNQoojqGIyvufN6w68KFrQ6uhvTY//j5a93G8DUbyh8wUlFgz+8ZsP&#10;X7+///Tj20dcb758JpN5tqn3sUb0pd2GUxb9NmTNBxkMkVr5dzhPxQXURQ6YPD2fzGbIe2zodHk2&#10;WY4Xg+HikAhDwGI+WyzxVzAELBGIxNXAl3l9iOm5cIbkoKFa2WwG1LB/EdMA/QXJ29qSvqHniykW&#10;ZICTKXEiMDQe1UXblrvRacWvlNb5Rgzt7lIHsoc8HeU7tfAHLBfZQOwGHMdoUNEJ4M8sJ+no0TWL&#10;r4XmDozglGiBjytH2CfUCZS+Q6agwLb6H2g0QFv0Ifs9OJyjnePHYnzZx2EoTp0GN0/b73m5ffdY&#10;1z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6ofSDdUAAAAFAQAADwAAAAAAAAABACAAAAAiAAAA&#10;ZHJzL2Rvd25yZXYueG1sUEsBAhQAFAAAAAgAh07iQIvPPiQKAgAA9AMAAA4AAAAAAAAAAQAgAAAA&#10;JAEAAGRycy9lMm9Eb2MueG1sUEsFBgAAAAAGAAYAWQEAAKAFAAAAAA==&#10;">
                        <v:fill on="f" focussize="0,0"/>
                        <v:stroke color="#000000" joinstyle="round" dashstyle="dash" endarrow="block"/>
                        <v:imagedata o:title=""/>
                        <o:lock v:ext="edit" aspectratio="f"/>
                      </v:line>
                      <v:shape id="_x0000_s1026" o:spid="_x0000_s1026" o:spt="5" type="#_x0000_t5" style="position:absolute;left:1912620;top:2466340;height:133350;width:133350;v-text-anchor:middle;" filled="f" stroked="t" coordsize="21600,21600" o:gfxdata="UEsDBAoAAAAAAIdO4kAAAAAAAAAAAAAAAAAEAAAAZHJzL1BLAwQUAAAACACHTuJAHeEVINYAAAAF&#10;AQAADwAAAGRycy9kb3ducmV2LnhtbE2PwU7DMBBE70j8g7VI3KhjAm0U4lQVEkjcaEHt1Y2XOGCv&#10;I9ttCl+P4QKXlUYzmnnbLE/OsiOGOHiSIGYFMKTO64F6Ca8vD1cVsJgUaWU9oYRPjLBsz88aVWs/&#10;0RqPm9SzXEKxVhJMSmPNeewMOhVnfkTK3psPTqUsQ891UFMud5ZfF8WcOzVQXjBqxHuD3cfm4CSU&#10;z5Ptt6v10zZM4uax/DLvu5WR8vJCFHfAEp7SXxh+8DM6tJlp7w+kI7MS8iPp92avEtUtsL2EebkQ&#10;wNuG/6dvvwFQSwMEFAAAAAgAh07iQHCZ1jV4AgAAzQQAAA4AAABkcnMvZTJvRG9jLnhtbK1Uu24U&#10;MRTtkfgHyz2ZfUNGmY1WuwpCikikgKjvejwzlvzC9u5s6CnS8glpqJAoafgbEPkMrj2TZAkUKdjC&#10;e+17fOx7fO4cHe+UJFvuvDC6oMODASVcM1MKXRf07ZuTZy8o8QF0CdJoXtBL7unx/OmTo9bmfGQa&#10;I0vuCJJon7e2oE0INs8yzxquwB8YyzUmK+MUBJy6OisdtMiuZDYaDGZZa1xpnWHce1xddUnaM7rH&#10;EJqqEoyvDNsorkPH6riEgCX5RlhP5+m2VcVZOKsqzwORBcVKQxrxEIzXcczmR5DXDmwjWH8FeMwV&#10;HtSkQGg89I5qBQHIxom/qJRgznhThQNmVNYVkhTBKoaDB9pcNGB5qgWl9vZOdP//aNnr7bkjoizo&#10;ZEaJBoUv/uvL1c3Hrz++Xd18/vTz+zXBDMrUWp8j+sKeu37mMYw17yqn4j9WQ3ZoqcPhaDZCgS8L&#10;OprMZuNJLzPfBcIiYDweTzHPENDHyJjdE1nnw0tuFIlBQYMToGsZlYActqc+dPBbWFzW5kRIieuQ&#10;S03agh5OR1M8AtChFToDQ2WxSq9rSkDWaH0WXGL0Rooy7o6bvavXS+nIFqJh0i8Wj5f7AxaPXoFv&#10;OlxK9TCpER216tSJ0dqUlyiyM537vGUnAvefgg/n4NBuqAU2ZDjDoZIGL2/6iJLGuA//Wo94dAFm&#10;KWnRvljZ+w04Tol8pdEfh8MJyk5Cmkymz+N7uP3Mej+jN2ppsOAhtr5lKYz4IG/Dyhn1Dvt2EU/F&#10;FGiGZ3ca9pNl6NoKO5/xxSLB0OMWwqm+sCySdw+12ARTifSG9+r0oqHLk9h9R8Y22p8n1P1XaP4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HeEVINYAAAAFAQAADwAAAAAAAAABACAAAAAiAAAAZHJz&#10;L2Rvd25yZXYueG1sUEsBAhQAFAAAAAgAh07iQHCZ1jV4AgAAzQQAAA4AAAAAAAAAAQAgAAAAJQEA&#10;AGRycy9lMm9Eb2MueG1sUEsFBgAAAAAGAAYAWQEAAA8GAAAAAA==&#10;" adj="10800">
                        <v:fill on="f" focussize="0,0"/>
                        <v:stroke color="#000000 [3213]" joinstyle="round"/>
                        <v:imagedata o:title=""/>
                        <o:lock v:ext="edit" aspectratio="f"/>
                      </v:shape>
                      <v:line id="直接连接符 14" o:spid="_x0000_s1026" o:spt="20" style="position:absolute;left:2935605;top:3773805;height:0;width:320040;" filled="f" stroked="t" coordsize="21600,21600" o:gfxdata="UEsDBAoAAAAAAIdO4kAAAAAAAAAAAAAAAAAEAAAAZHJzL1BLAwQUAAAACACHTuJAtCrU/9cAAAAF&#10;AQAADwAAAGRycy9kb3ducmV2LnhtbE2Py07DQAxF90j8w8hIbBCdhKptFDKpEI8VC9qUBUs34yaB&#10;jCfKTB/w9Rg2sLFk3avj42J5cr060Bg6zwbSSQKKuPa248bA6+bpOgMVIrLF3jMZ+KQAy/L8rMDc&#10;+iOv6VDFRgmEQ44G2hiHXOtQt+QwTPxALNnOjw6jrGOj7YhHgbte3yTJXDvsWC60ONB9S/VHtXcG&#10;5m8veLerVrPVsH6sp9XXg796fjfm8iJNbkFFOsW/MvzoizqU4rT1e7ZB9Qbkkfg7JcvSbAZqK+Dp&#10;IgVdFvq/ffkNUEsDBBQAAAAIAIdO4kDxc7BRAgIAAOgDAAAOAAAAZHJzL2Uyb0RvYy54bWytU0uO&#10;EzEQ3SNxB8t70vnOpxVnFhOGDYJIwAEqtrvbkn+yPenkElwAiR2sWLLnNgzHoOwOExiENAt64S7b&#10;z6/qPZeXV3ujyU6GqJxldDIaUyItd0LZltF3b2+eXVASE1gB2lnJ6EFGerV6+mTZ+1pOXee0kIEg&#10;iY117xntUvJ1VUXeSQNx5Ly0uNm4YCDhNLSVCNAju9HVdDw+q3oXhA+OyxhxdT1s0iNjeAyhaxrF&#10;5drxWyNtGliD1JBQUuyUj3RVqm0aydPrpokyEc0oKk1lxCQYb/NYrZZQtwF8p/ixBHhMCQ80GVAW&#10;k95TrSEBuQ3qLyqjeHDRNWnEnakGIcURVDEZP/DmTQdeFi1odfT3psf/R8tf7TaBKMHoYk6JBYM3&#10;fvfh6/f3n358+4jj3ZfPZDLPNvU+1oi+tptwnEW/CVnzvgkm/1EN2TM6vZwtzsYLSg6Mzs7PZxcY&#10;F5vlPhGOgBm2wRwvgCOg3EB14vAhphfSGZIDRrWy2QCoYfcyJmRB6C9IXtaW9IxeLqaYjgN2Y4Nd&#10;gKHxqCjatpyNTitxo7TOJ2Jot9c6kB3kjihfrg55/4DlJGuI3YATGA0aOgniuRUkHTw6ZfGF0FyB&#10;kYISLfFB5aioTaD0CZmCAtvqf6Axu7ZYRPZ4cDVHWycOxeyyjg1Qyjw2a+6w3+fl9OmBrn4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CrU/9cAAAAFAQAADwAAAAAAAAABACAAAAAiAAAAZHJzL2Rv&#10;d25yZXYueG1sUEsBAhQAFAAAAAgAh07iQPFzsFECAgAA6AMAAA4AAAAAAAAAAQAgAAAAJgEAAGRy&#10;cy9lMm9Eb2MueG1sUEsFBgAAAAAGAAYAWQEAAJoFAAAAAA==&#10;">
                        <v:fill on="f" focussize="0,0"/>
                        <v:stroke color="#000000" joinstyle="round" dashstyle="dash" endarrow="block"/>
                        <v:imagedata o:title=""/>
                        <o:lock v:ext="edit" aspectratio="f"/>
                      </v:line>
                      <v:rect id="矩形 13" o:spid="_x0000_s1026" o:spt="1" style="position:absolute;left:3259455;top:3653155;height:271145;width:1263015;" filled="f" stroked="f" coordsize="21600,21600" o:gfxdata="UEsDBAoAAAAAAIdO4kAAAAAAAAAAAAAAAAAEAAAAZHJzL1BLAwQUAAAACACHTuJAfk17xNcAAAAF&#10;AQAADwAAAGRycy9kb3ducmV2LnhtbE2PQUvDQBCF70L/wzIFL2I3UawhZtNDobRIoZhqz9vsmASz&#10;s2l2m9R/79iLXgYe7/HeN9niYlsxYO8bRwriWQQCqXSmoUrB+351n4DwQZPRrSNU8I0eFvnkJtOp&#10;cSO94VCESnAJ+VQrqEPoUil9WaPVfuY6JPY+XW91YNlX0vR65HLbyocomkurG+KFWne4rLH8Ks5W&#10;wVjuhsN+u5a7u8PG0WlzWhYfr0rdTuPoBUTAS/gLwy8+o0POTEd3JuNFq4AfCdfLXhInTyCOCuaP&#10;zzHIPJP/6fMfUEsDBBQAAAAIAIdO4kDUevmQsAEAAE8DAAAOAAAAZHJzL2Uyb0RvYy54bWytU0tu&#10;2zAQ3RfoHQjua4ly7LaC5WyMdFO0AdIegKZIiwB/4NCWfJoC3fUQPU7Ra3RIq0mbbLLIhpwZPryZ&#10;90baXE/WkJOMoL3rKFvUlEgnfK/doaNfv9y8eUcJJO56bryTHT1LoNfb1682Y2hl4wdvehkJkjho&#10;x9DRIaXQVhWIQVoOCx+kw0flo+UJ03io+shHZLemaup6XY0+9iF6IQGwurs80pkxPofQK6WF3Hlx&#10;tNKlC2uUhieUBIMOQLdlWqWkSJ+VApmI6SgqTeXEJhjv81ltN7w9RB4GLeYR+HNGeKTJcu2w6T3V&#10;jidOjlE/obJaRA9epYXwtroIKY6gClY/8uZu4EEWLWg1hHvT4eVoxafTbSS67+gaLXHc4sZ/f/vx&#10;6+d3wpbZnTFAi6C7cBvnDDDMUicVbb5RBJk6umxW769WK0rOGK9XS4ZxcVdOiQgEsGa9rBkCBCKa&#10;t4xdFUD1wBQipA/SW5KDjkbcXjGVnz5CQi6E/oXkxs7faGNKD+P+KyAwV6o8/GXcHKVpP80a9r4/&#10;o+5jiPowYCuWRy1w9Lk0mr+JvMh/84J6+A+2f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TXvE&#10;1wAAAAUBAAAPAAAAAAAAAAEAIAAAACIAAABkcnMvZG93bnJldi54bWxQSwECFAAUAAAACACHTuJA&#10;1Hr5kLABAABPAwAADgAAAAAAAAABACAAAAAmAQAAZHJzL2Uyb0RvYy54bWxQSwUGAAAAAAYABgBZ&#10;AQAASAUAAAAA&#10;">
                        <v:fill on="f" focussize="0,0"/>
                        <v:stroke on="f"/>
                        <v:imagedata o:title=""/>
                        <o:lock v:ext="edit" aspectratio="f"/>
                        <v:textbox>
                          <w:txbxContent>
                            <w:p>
                              <w:pPr>
                                <w:adjustRightInd w:val="0"/>
                                <w:snapToGrid w:val="0"/>
                                <w:jc w:val="center"/>
                                <w:rPr>
                                  <w:rFonts w:hint="default"/>
                                  <w:sz w:val="21"/>
                                  <w:szCs w:val="21"/>
                                </w:rPr>
                              </w:pPr>
                              <w:r>
                                <w:rPr>
                                  <w:rFonts w:hint="eastAsia"/>
                                  <w:sz w:val="21"/>
                                  <w:szCs w:val="21"/>
                                  <w:lang w:val="en-US" w:eastAsia="zh-CN"/>
                                </w:rPr>
                                <w:t>非甲烷总烃、噪声</w:t>
                              </w:r>
                            </w:p>
                            <w:p>
                              <w:pPr>
                                <w:pStyle w:val="94"/>
                                <w:spacing w:before="120" w:after="120"/>
                                <w:ind w:left="0" w:firstLine="0"/>
                              </w:pPr>
                            </w:p>
                          </w:txbxContent>
                        </v:textbox>
                      </v:rect>
                      <w10:wrap type="none"/>
                      <w10:anchorlock/>
                    </v:group>
                  </w:pict>
                </mc:Fallback>
              </mc:AlternateContent>
            </w:r>
          </w:p>
          <w:p>
            <w:pPr>
              <w:tabs>
                <w:tab w:val="left" w:pos="7901"/>
              </w:tabs>
              <w:spacing w:line="360" w:lineRule="auto"/>
              <w:jc w:val="center"/>
              <w:rPr>
                <w:color w:val="auto"/>
                <w:highlight w:val="none"/>
              </w:rPr>
            </w:pPr>
            <w:r>
              <w:rPr>
                <w:b/>
                <w:bCs/>
                <w:color w:val="auto"/>
                <w:highlight w:val="none"/>
              </w:rPr>
              <w:t>图2-</w:t>
            </w:r>
            <w:r>
              <w:rPr>
                <w:rFonts w:hint="eastAsia"/>
                <w:b/>
                <w:bCs/>
                <w:color w:val="auto"/>
                <w:highlight w:val="none"/>
                <w:lang w:val="en-US" w:eastAsia="zh-CN"/>
              </w:rPr>
              <w:t>2</w:t>
            </w:r>
            <w:r>
              <w:rPr>
                <w:b/>
                <w:bCs/>
                <w:color w:val="auto"/>
                <w:highlight w:val="none"/>
              </w:rPr>
              <w:t xml:space="preserve"> 生产工艺流程</w:t>
            </w:r>
          </w:p>
          <w:p>
            <w:pPr>
              <w:snapToGrid w:val="0"/>
              <w:spacing w:line="360" w:lineRule="auto"/>
              <w:ind w:firstLine="420" w:firstLineChars="200"/>
              <w:rPr>
                <w:color w:val="auto"/>
                <w:highlight w:val="none"/>
              </w:rPr>
            </w:pPr>
            <w:r>
              <w:rPr>
                <w:color w:val="auto"/>
                <w:highlight w:val="none"/>
              </w:rPr>
              <w:t>工艺流程简述：</w:t>
            </w:r>
          </w:p>
          <w:p>
            <w:pPr>
              <w:adjustRightInd w:val="0"/>
              <w:snapToGrid w:val="0"/>
              <w:spacing w:line="360" w:lineRule="auto"/>
              <w:ind w:right="-21" w:rightChars="-10" w:firstLine="420" w:firstLineChars="200"/>
              <w:rPr>
                <w:rFonts w:ascii="Times New Roman" w:hAnsi="Times New Roman" w:eastAsia="宋体" w:cs="Times New Roman"/>
                <w:color w:val="auto"/>
                <w:highlight w:val="none"/>
              </w:rPr>
            </w:pPr>
            <w:r>
              <w:rPr>
                <w:color w:val="auto"/>
                <w:highlight w:val="none"/>
              </w:rPr>
              <w:t>投料：</w:t>
            </w:r>
            <w:r>
              <w:rPr>
                <w:rFonts w:hint="default" w:ascii="Times New Roman" w:hAnsi="Times New Roman" w:eastAsia="宋体" w:cs="Times New Roman"/>
                <w:color w:val="auto"/>
                <w:highlight w:val="none"/>
                <w:lang w:val="en-US" w:eastAsia="zh-CN"/>
              </w:rPr>
              <w:t>将聚醚多元醇</w:t>
            </w:r>
            <w:r>
              <w:rPr>
                <w:rFonts w:hint="eastAsia" w:ascii="Times New Roman" w:hAnsi="Times New Roman" w:eastAsia="宋体" w:cs="Times New Roman"/>
                <w:color w:val="auto"/>
                <w:highlight w:val="none"/>
                <w:lang w:val="en-US" w:eastAsia="zh-CN"/>
              </w:rPr>
              <w:t>按配比通过上料机配套的密闭管道输入</w:t>
            </w:r>
            <w:r>
              <w:rPr>
                <w:rFonts w:hint="eastAsia" w:ascii="Times New Roman" w:hAnsi="Times New Roman" w:eastAsia="宋体" w:cs="Times New Roman"/>
                <w:color w:val="auto"/>
                <w:highlight w:val="none"/>
              </w:rPr>
              <w:t>到搅拌</w:t>
            </w:r>
            <w:r>
              <w:rPr>
                <w:rFonts w:hint="eastAsia" w:ascii="Times New Roman" w:hAnsi="Times New Roman" w:eastAsia="宋体" w:cs="Times New Roman"/>
                <w:color w:val="auto"/>
                <w:highlight w:val="none"/>
                <w:lang w:val="en-US" w:eastAsia="zh-CN"/>
              </w:rPr>
              <w:t>罐</w:t>
            </w:r>
            <w:r>
              <w:rPr>
                <w:rFonts w:hint="eastAsia" w:ascii="Times New Roman" w:hAnsi="Times New Roman" w:eastAsia="宋体" w:cs="Times New Roman"/>
                <w:color w:val="auto"/>
                <w:highlight w:val="none"/>
              </w:rPr>
              <w:t>中</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同时人工将氯化石蜡</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滑石粉、</w:t>
            </w:r>
            <w:r>
              <w:rPr>
                <w:rFonts w:hint="eastAsia" w:ascii="Times New Roman" w:hAnsi="Times New Roman" w:eastAsia="宋体" w:cs="Times New Roman"/>
                <w:color w:val="auto"/>
                <w:highlight w:val="none"/>
                <w:lang w:val="en-US" w:eastAsia="zh-CN"/>
              </w:rPr>
              <w:t>碳酸钙粉、色粉等原料通过配套的上料机</w:t>
            </w:r>
            <w:r>
              <w:rPr>
                <w:rFonts w:hint="default" w:ascii="Times New Roman" w:hAnsi="Times New Roman" w:eastAsia="宋体" w:cs="Times New Roman"/>
                <w:color w:val="auto"/>
                <w:highlight w:val="none"/>
                <w:lang w:val="en-US" w:eastAsia="zh-CN"/>
              </w:rPr>
              <w:t>投入</w:t>
            </w:r>
            <w:r>
              <w:rPr>
                <w:rFonts w:hint="eastAsia" w:ascii="Times New Roman" w:hAnsi="Times New Roman" w:eastAsia="宋体" w:cs="Times New Roman"/>
                <w:color w:val="auto"/>
                <w:highlight w:val="none"/>
                <w:lang w:val="en-US" w:eastAsia="zh-CN"/>
              </w:rPr>
              <w:t>搅拌罐，过程产生投料粉尘和噪声。</w:t>
            </w:r>
          </w:p>
          <w:p>
            <w:pPr>
              <w:keepNext w:val="0"/>
              <w:keepLines w:val="0"/>
              <w:pageBreakBefore w:val="0"/>
              <w:widowControl w:val="0"/>
              <w:kinsoku/>
              <w:wordWrap/>
              <w:overflowPunct/>
              <w:topLinePunct w:val="0"/>
              <w:autoSpaceDE/>
              <w:autoSpaceDN/>
              <w:bidi w:val="0"/>
              <w:adjustRightInd/>
              <w:snapToGrid/>
              <w:spacing w:after="0" w:line="360" w:lineRule="auto"/>
              <w:ind w:firstLine="420" w:firstLineChars="200"/>
              <w:jc w:val="both"/>
              <w:textAlignment w:val="auto"/>
              <w:rPr>
                <w:rFonts w:hint="eastAsia"/>
                <w:color w:val="auto"/>
                <w:highlight w:val="none"/>
              </w:rPr>
            </w:pPr>
            <w:r>
              <w:rPr>
                <w:rFonts w:hint="eastAsia"/>
                <w:color w:val="auto"/>
                <w:highlight w:val="none"/>
              </w:rPr>
              <w:t>混合</w:t>
            </w:r>
            <w:r>
              <w:rPr>
                <w:color w:val="auto"/>
                <w:highlight w:val="none"/>
              </w:rPr>
              <w:t>搅拌</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lang w:val="en-US" w:eastAsia="zh-CN"/>
              </w:rPr>
              <w:t>原料混合后呈潮湿状，启动搅拌罐自带的分散机，将</w:t>
            </w:r>
            <w:r>
              <w:rPr>
                <w:rFonts w:ascii="Times New Roman" w:hAnsi="Times New Roman" w:eastAsia="宋体" w:cs="Times New Roman"/>
                <w:color w:val="auto"/>
                <w:highlight w:val="none"/>
              </w:rPr>
              <w:t>聚醚多元醇、氯化石蜡、滑石粉、</w:t>
            </w:r>
            <w:r>
              <w:rPr>
                <w:rFonts w:hint="eastAsia" w:ascii="Times New Roman" w:hAnsi="Times New Roman" w:eastAsia="宋体" w:cs="Times New Roman"/>
                <w:color w:val="auto"/>
                <w:highlight w:val="none"/>
              </w:rPr>
              <w:t>钙粉</w:t>
            </w:r>
            <w:r>
              <w:rPr>
                <w:rFonts w:hint="eastAsia" w:ascii="Times New Roman" w:hAnsi="Times New Roman" w:eastAsia="宋体" w:cs="Times New Roman"/>
                <w:color w:val="auto"/>
                <w:highlight w:val="none"/>
                <w:lang w:val="en-US" w:eastAsia="zh-CN"/>
              </w:rPr>
              <w:t>等物料搅拌分散均匀，各种原料在搅拌罐/分散机中仅物理混合，搅拌混合后形成均匀稳定的分散系。塑胶跑道材料产品不含二苯基甲烷二异氰酸酯（MDI），产品现场施工时再与MDI配合使用。</w:t>
            </w:r>
            <w:r>
              <w:rPr>
                <w:rFonts w:hint="default" w:ascii="Times New Roman" w:hAnsi="Times New Roman" w:eastAsia="宋体" w:cs="Times New Roman"/>
                <w:color w:val="auto"/>
                <w:highlight w:val="none"/>
                <w:lang w:val="en-US" w:eastAsia="zh-CN"/>
              </w:rPr>
              <w:t>该工序会产生有机废气及设备运行噪声。</w:t>
            </w:r>
          </w:p>
          <w:p>
            <w:pPr>
              <w:adjustRightInd w:val="0"/>
              <w:snapToGrid w:val="0"/>
              <w:spacing w:line="360" w:lineRule="auto"/>
              <w:ind w:right="-21" w:rightChars="-10" w:firstLine="420" w:firstLineChars="20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研磨：将分散均匀后的原料通过密闭管道输送至研磨机进行研磨，将原料研磨成很细的微粒，更有利于混合均匀。固液态混合后的原料为潮湿状，研磨过程产生有机废气和噪声。</w:t>
            </w:r>
          </w:p>
          <w:p>
            <w:pPr>
              <w:adjustRightInd w:val="0"/>
              <w:snapToGrid w:val="0"/>
              <w:spacing w:line="360" w:lineRule="auto"/>
              <w:ind w:right="-21" w:rightChars="-10" w:firstLine="420" w:firstLineChars="20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FF0000"/>
                <w:highlight w:val="none"/>
                <w:lang w:val="en-US" w:eastAsia="zh-CN"/>
              </w:rPr>
              <w:t>脱水：项目生产过程中需要使用水和原料进行调配，原料调配用水占总产量的比例约为25%，</w:t>
            </w:r>
            <w:r>
              <w:rPr>
                <w:rFonts w:hint="eastAsia" w:cs="Times New Roman"/>
                <w:color w:val="FF0000"/>
                <w:highlight w:val="none"/>
                <w:lang w:val="en-US" w:eastAsia="zh-CN"/>
              </w:rPr>
              <w:t>加水的目的是为了让各原辅料充分混合分散和研磨，</w:t>
            </w:r>
            <w:r>
              <w:rPr>
                <w:rFonts w:hint="eastAsia" w:ascii="Times New Roman" w:hAnsi="Times New Roman" w:eastAsia="宋体" w:cs="Times New Roman"/>
                <w:color w:val="FF0000"/>
                <w:highlight w:val="none"/>
                <w:lang w:val="en-US" w:eastAsia="zh-CN"/>
              </w:rPr>
              <w:t>研磨后的原料经通过密闭管道抽至搅拌罐进行真空脱水</w:t>
            </w:r>
            <w:r>
              <w:rPr>
                <w:rFonts w:hint="eastAsia" w:cs="Times New Roman"/>
                <w:color w:val="FF0000"/>
                <w:highlight w:val="none"/>
                <w:lang w:val="en-US" w:eastAsia="zh-CN"/>
              </w:rPr>
              <w:t>，将产品的水分降低</w:t>
            </w:r>
            <w:r>
              <w:rPr>
                <w:rFonts w:hint="eastAsia" w:ascii="Times New Roman" w:hAnsi="Times New Roman" w:eastAsia="宋体" w:cs="Times New Roman"/>
                <w:color w:val="FF0000"/>
                <w:highlight w:val="none"/>
                <w:lang w:val="en-US" w:eastAsia="zh-CN"/>
              </w:rPr>
              <w:t>，</w:t>
            </w:r>
            <w:r>
              <w:rPr>
                <w:rFonts w:hint="eastAsia" w:cs="Times New Roman"/>
                <w:color w:val="FF0000"/>
                <w:highlight w:val="none"/>
                <w:lang w:val="en-US" w:eastAsia="zh-CN"/>
              </w:rPr>
              <w:t>脱水</w:t>
            </w:r>
            <w:r>
              <w:rPr>
                <w:rFonts w:hint="eastAsia" w:ascii="Times New Roman" w:hAnsi="Times New Roman" w:eastAsia="宋体" w:cs="Times New Roman"/>
                <w:color w:val="FF0000"/>
                <w:highlight w:val="none"/>
                <w:lang w:val="en-US" w:eastAsia="zh-CN"/>
              </w:rPr>
              <w:t>温</w:t>
            </w:r>
            <w:r>
              <w:rPr>
                <w:rFonts w:hint="default" w:ascii="Times New Roman" w:hAnsi="Times New Roman" w:eastAsia="宋体" w:cs="Times New Roman"/>
                <w:color w:val="FF0000"/>
                <w:highlight w:val="none"/>
                <w:lang w:val="en-US" w:eastAsia="zh-CN"/>
              </w:rPr>
              <w:t>度控制在</w:t>
            </w:r>
            <w:r>
              <w:rPr>
                <w:rFonts w:hint="default" w:ascii="Times New Roman" w:hAnsi="Times New Roman" w:cs="Times New Roman"/>
                <w:color w:val="FF0000"/>
                <w:highlight w:val="none"/>
                <w:lang w:val="en-US" w:eastAsia="zh-CN"/>
              </w:rPr>
              <w:t>70</w:t>
            </w:r>
            <w:r>
              <w:rPr>
                <w:rFonts w:hint="default" w:ascii="Times New Roman" w:hAnsi="Times New Roman" w:eastAsia="宋体" w:cs="Times New Roman"/>
                <w:color w:val="FF0000"/>
                <w:highlight w:val="none"/>
                <w:lang w:val="en-US" w:eastAsia="zh-CN"/>
              </w:rPr>
              <w:t>℃左右</w:t>
            </w:r>
            <w:r>
              <w:rPr>
                <w:rFonts w:hint="eastAsia" w:ascii="Times New Roman" w:hAnsi="Times New Roman" w:eastAsia="宋体" w:cs="Times New Roman"/>
                <w:color w:val="auto"/>
                <w:highlight w:val="none"/>
                <w:lang w:val="en-US" w:eastAsia="zh-CN"/>
              </w:rPr>
              <w:t>，通过电加热器和真空泵进行操作。此过程产品中的水分以水蒸气（有机废气）方式产生排放，项目拟采用冷却水循环对物料间接冷却降温，降至常温。该过程产生有机废气、噪声。</w:t>
            </w:r>
          </w:p>
          <w:p>
            <w:pPr>
              <w:adjustRightInd w:val="0"/>
              <w:snapToGrid w:val="0"/>
              <w:spacing w:line="360" w:lineRule="auto"/>
              <w:ind w:right="-21" w:rightChars="-10" w:firstLine="420" w:firstLineChars="200"/>
              <w:rPr>
                <w:rFonts w:hint="eastAsia"/>
                <w:color w:val="auto"/>
                <w:highlight w:val="none"/>
                <w:lang w:val="en-US" w:eastAsia="zh-CN"/>
              </w:rPr>
            </w:pPr>
            <w:r>
              <w:rPr>
                <w:rFonts w:hint="eastAsia" w:ascii="Times New Roman" w:hAnsi="Times New Roman" w:eastAsia="宋体" w:cs="Times New Roman"/>
                <w:color w:val="auto"/>
                <w:highlight w:val="none"/>
                <w:lang w:val="en-US" w:eastAsia="zh-CN"/>
              </w:rPr>
              <w:t>试样检验：产品脱水后使用电子秤、水分分析仪等仪器进行检测其含水率，检测合格后进行下一步分装工序。此步骤仅检测含水率，过程产生少量有机废气，产生噪声和及少量次品。</w:t>
            </w:r>
          </w:p>
          <w:p>
            <w:pPr>
              <w:adjustRightInd w:val="0"/>
              <w:snapToGrid w:val="0"/>
              <w:spacing w:line="360" w:lineRule="auto"/>
              <w:ind w:right="-21" w:rightChars="-10" w:firstLine="420" w:firstLineChars="200"/>
              <w:rPr>
                <w:rFonts w:hint="eastAsia"/>
                <w:color w:val="auto"/>
                <w:highlight w:val="none"/>
                <w:lang w:val="en-US" w:eastAsia="zh-CN"/>
              </w:rPr>
            </w:pPr>
            <w:r>
              <w:rPr>
                <w:rFonts w:hint="default" w:ascii="Times New Roman" w:hAnsi="Times New Roman" w:eastAsia="宋体" w:cs="Times New Roman"/>
                <w:color w:val="auto"/>
                <w:highlight w:val="none"/>
                <w:lang w:val="en-US" w:eastAsia="zh-CN"/>
              </w:rPr>
              <w:t>分装：</w:t>
            </w:r>
            <w:r>
              <w:rPr>
                <w:rFonts w:hint="default" w:ascii="Times New Roman" w:hAnsi="Times New Roman" w:eastAsia="宋体" w:cs="Times New Roman"/>
                <w:color w:val="FF0000"/>
                <w:highlight w:val="none"/>
                <w:lang w:val="en-US" w:eastAsia="zh-CN"/>
              </w:rPr>
              <w:t>将搅拌</w:t>
            </w:r>
            <w:r>
              <w:rPr>
                <w:rFonts w:hint="eastAsia" w:ascii="Times New Roman" w:hAnsi="Times New Roman" w:eastAsia="宋体" w:cs="Times New Roman"/>
                <w:color w:val="FF0000"/>
                <w:highlight w:val="none"/>
                <w:lang w:val="en-US" w:eastAsia="zh-CN"/>
              </w:rPr>
              <w:t>完成的</w:t>
            </w:r>
            <w:r>
              <w:rPr>
                <w:rFonts w:hint="default" w:ascii="Times New Roman" w:hAnsi="Times New Roman" w:eastAsia="宋体" w:cs="Times New Roman"/>
                <w:color w:val="FF0000"/>
                <w:highlight w:val="none"/>
                <w:lang w:val="en-US" w:eastAsia="zh-CN"/>
              </w:rPr>
              <w:t>产品</w:t>
            </w:r>
            <w:r>
              <w:rPr>
                <w:rFonts w:hint="eastAsia" w:cs="Times New Roman"/>
                <w:color w:val="FF0000"/>
                <w:highlight w:val="none"/>
                <w:lang w:val="en-US" w:eastAsia="zh-CN"/>
              </w:rPr>
              <w:t>为液态，需要</w:t>
            </w:r>
            <w:r>
              <w:rPr>
                <w:rFonts w:hint="default" w:ascii="Times New Roman" w:hAnsi="Times New Roman" w:eastAsia="宋体" w:cs="Times New Roman"/>
                <w:color w:val="FF0000"/>
                <w:highlight w:val="none"/>
                <w:lang w:val="en-US" w:eastAsia="zh-CN"/>
              </w:rPr>
              <w:t>进行分装</w:t>
            </w:r>
            <w:r>
              <w:rPr>
                <w:rFonts w:hint="eastAsia" w:ascii="Times New Roman" w:hAnsi="Times New Roman" w:eastAsia="宋体" w:cs="Times New Roman"/>
                <w:color w:val="FF0000"/>
                <w:highlight w:val="none"/>
                <w:lang w:val="en-US" w:eastAsia="zh-CN"/>
              </w:rPr>
              <w:t>，采用铁桶分装储存</w:t>
            </w:r>
            <w:r>
              <w:rPr>
                <w:rFonts w:hint="eastAsia" w:ascii="Times New Roman" w:hAnsi="Times New Roman" w:eastAsia="宋体" w:cs="Times New Roman"/>
                <w:color w:val="auto"/>
                <w:highlight w:val="none"/>
                <w:lang w:val="en-US" w:eastAsia="zh-CN"/>
              </w:rPr>
              <w:t>，分装为30kg/桶的产品，</w:t>
            </w:r>
            <w:r>
              <w:rPr>
                <w:rFonts w:hint="default" w:ascii="Times New Roman" w:hAnsi="Times New Roman" w:eastAsia="宋体" w:cs="Times New Roman"/>
                <w:color w:val="auto"/>
                <w:highlight w:val="none"/>
                <w:lang w:val="en-US" w:eastAsia="zh-CN"/>
              </w:rPr>
              <w:t>该工序会产生有机废气及设备运行噪声。</w:t>
            </w:r>
          </w:p>
          <w:p>
            <w:pPr>
              <w:adjustRightInd w:val="0"/>
              <w:snapToGrid w:val="0"/>
              <w:spacing w:line="360" w:lineRule="auto"/>
              <w:ind w:right="-21" w:rightChars="-10" w:firstLine="420" w:firstLineChars="200"/>
              <w:rPr>
                <w:color w:val="auto"/>
                <w:highlight w:val="none"/>
              </w:rPr>
            </w:pPr>
            <w:r>
              <w:rPr>
                <w:rFonts w:hint="eastAsia"/>
                <w:color w:val="auto"/>
                <w:highlight w:val="none"/>
              </w:rPr>
              <w:t>本</w:t>
            </w:r>
            <w:r>
              <w:rPr>
                <w:color w:val="auto"/>
                <w:highlight w:val="none"/>
              </w:rPr>
              <w:t>项目</w:t>
            </w:r>
            <w:r>
              <w:rPr>
                <w:rFonts w:hint="eastAsia"/>
                <w:color w:val="auto"/>
                <w:highlight w:val="none"/>
              </w:rPr>
              <w:t>产污详情见下表。</w:t>
            </w:r>
          </w:p>
          <w:p>
            <w:pPr>
              <w:adjustRightInd w:val="0"/>
              <w:snapToGrid w:val="0"/>
              <w:spacing w:line="360" w:lineRule="auto"/>
              <w:ind w:left="322"/>
              <w:jc w:val="center"/>
              <w:rPr>
                <w:b/>
                <w:color w:val="auto"/>
                <w:highlight w:val="none"/>
              </w:rPr>
            </w:pPr>
            <w:r>
              <w:rPr>
                <w:rFonts w:hint="eastAsia"/>
                <w:b/>
                <w:color w:val="auto"/>
                <w:highlight w:val="none"/>
              </w:rPr>
              <w:t>表2-6 项目产污环节一览表</w:t>
            </w:r>
          </w:p>
          <w:tbl>
            <w:tblPr>
              <w:tblStyle w:val="3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7"/>
              <w:gridCol w:w="670"/>
              <w:gridCol w:w="1826"/>
              <w:gridCol w:w="2596"/>
              <w:gridCol w:w="25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800" w:type="pct"/>
                  <w:gridSpan w:val="2"/>
                  <w:vAlign w:val="center"/>
                </w:tcPr>
                <w:p>
                  <w:pPr>
                    <w:pStyle w:val="41"/>
                    <w:jc w:val="center"/>
                    <w:rPr>
                      <w:rFonts w:hint="default"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污染物类别</w:t>
                  </w:r>
                </w:p>
              </w:tc>
              <w:tc>
                <w:tcPr>
                  <w:tcW w:w="1092" w:type="pct"/>
                  <w:vAlign w:val="center"/>
                </w:tcPr>
                <w:p>
                  <w:pPr>
                    <w:pStyle w:val="41"/>
                    <w:jc w:val="center"/>
                    <w:rPr>
                      <w:rFonts w:hint="default"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污染源</w:t>
                  </w:r>
                </w:p>
              </w:tc>
              <w:tc>
                <w:tcPr>
                  <w:tcW w:w="1553" w:type="pct"/>
                  <w:vAlign w:val="center"/>
                </w:tcPr>
                <w:p>
                  <w:pPr>
                    <w:pStyle w:val="41"/>
                    <w:jc w:val="center"/>
                    <w:rPr>
                      <w:rFonts w:hint="default"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污染物</w:t>
                  </w:r>
                </w:p>
              </w:tc>
              <w:tc>
                <w:tcPr>
                  <w:tcW w:w="1553" w:type="pct"/>
                  <w:vAlign w:val="center"/>
                </w:tcPr>
                <w:p>
                  <w:pPr>
                    <w:pStyle w:val="41"/>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cs="Times New Roman"/>
                      <w:b/>
                      <w:bCs/>
                      <w:color w:val="auto"/>
                      <w:sz w:val="21"/>
                      <w:szCs w:val="21"/>
                      <w:highlight w:val="none"/>
                      <w:lang w:val="en-US" w:eastAsia="zh-CN"/>
                    </w:rPr>
                    <w:t>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800" w:type="pct"/>
                  <w:gridSpan w:val="2"/>
                  <w:vMerge w:val="restart"/>
                  <w:vAlign w:val="center"/>
                </w:tcPr>
                <w:p>
                  <w:pPr>
                    <w:pStyle w:val="41"/>
                    <w:jc w:val="center"/>
                    <w:rPr>
                      <w:rFonts w:hint="default"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废气</w:t>
                  </w:r>
                </w:p>
              </w:tc>
              <w:tc>
                <w:tcPr>
                  <w:tcW w:w="1092" w:type="pct"/>
                  <w:vAlign w:val="center"/>
                </w:tcPr>
                <w:p>
                  <w:pPr>
                    <w:widowControl w:val="0"/>
                    <w:spacing w:after="0"/>
                    <w:jc w:val="center"/>
                    <w:textAlignment w:val="baseline"/>
                    <w:rPr>
                      <w:rFonts w:hint="default" w:ascii="宋体" w:hAnsi="Calibri" w:eastAsia="宋体" w:cs="Times New Roman"/>
                      <w:color w:val="auto"/>
                      <w:kern w:val="2"/>
                      <w:sz w:val="21"/>
                      <w:szCs w:val="24"/>
                      <w:highlight w:val="none"/>
                      <w:lang w:val="en-US" w:eastAsia="zh-CN" w:bidi="ar-SA"/>
                    </w:rPr>
                  </w:pPr>
                  <w:r>
                    <w:rPr>
                      <w:rFonts w:hint="eastAsia" w:ascii="宋体" w:hAnsi="Calibri" w:eastAsia="宋体"/>
                      <w:color w:val="auto"/>
                      <w:kern w:val="2"/>
                      <w:sz w:val="21"/>
                      <w:szCs w:val="24"/>
                      <w:highlight w:val="none"/>
                      <w:lang w:val="en-US" w:eastAsia="zh-CN"/>
                    </w:rPr>
                    <w:t>投料粉尘</w:t>
                  </w:r>
                </w:p>
              </w:tc>
              <w:tc>
                <w:tcPr>
                  <w:tcW w:w="1553" w:type="pct"/>
                  <w:vAlign w:val="center"/>
                </w:tcPr>
                <w:p>
                  <w:pPr>
                    <w:widowControl w:val="0"/>
                    <w:spacing w:after="0"/>
                    <w:jc w:val="center"/>
                    <w:textAlignment w:val="baseline"/>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olor w:val="auto"/>
                      <w:kern w:val="2"/>
                      <w:sz w:val="21"/>
                      <w:szCs w:val="24"/>
                      <w:highlight w:val="none"/>
                      <w:lang w:val="en-US" w:eastAsia="zh-CN"/>
                    </w:rPr>
                    <w:t>颗粒物</w:t>
                  </w:r>
                </w:p>
              </w:tc>
              <w:tc>
                <w:tcPr>
                  <w:tcW w:w="1553" w:type="pct"/>
                  <w:vAlign w:val="center"/>
                </w:tcPr>
                <w:p>
                  <w:pPr>
                    <w:pStyle w:val="41"/>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布袋除尘器</w:t>
                  </w:r>
                  <w:r>
                    <w:rPr>
                      <w:rFonts w:hint="default" w:ascii="Times New Roman" w:hAnsi="Times New Roman" w:eastAsia="宋体" w:cs="Times New Roman"/>
                      <w:color w:val="auto"/>
                      <w:sz w:val="21"/>
                      <w:szCs w:val="21"/>
                      <w:highlight w:val="none"/>
                      <w:lang w:val="en-US" w:eastAsia="zh-CN"/>
                    </w:rPr>
                    <w:t>处理后由DA00</w:t>
                  </w:r>
                  <w:r>
                    <w:rPr>
                      <w:rFonts w:hint="eastAsia"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lang w:val="en-US" w:eastAsia="zh-CN"/>
                    </w:rPr>
                    <w:t>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800" w:type="pct"/>
                  <w:gridSpan w:val="2"/>
                  <w:vMerge w:val="continue"/>
                  <w:vAlign w:val="center"/>
                </w:tcPr>
                <w:p>
                  <w:pPr>
                    <w:pStyle w:val="41"/>
                    <w:jc w:val="center"/>
                    <w:rPr>
                      <w:rFonts w:ascii="Times New Roman" w:hAnsi="Times New Roman" w:cs="Times New Roman"/>
                      <w:color w:val="auto"/>
                      <w:sz w:val="21"/>
                      <w:szCs w:val="21"/>
                      <w:highlight w:val="none"/>
                    </w:rPr>
                  </w:pPr>
                </w:p>
              </w:tc>
              <w:tc>
                <w:tcPr>
                  <w:tcW w:w="1092" w:type="pct"/>
                  <w:vAlign w:val="center"/>
                </w:tcPr>
                <w:p>
                  <w:pPr>
                    <w:widowControl w:val="0"/>
                    <w:spacing w:after="0"/>
                    <w:jc w:val="center"/>
                    <w:textAlignment w:val="baseline"/>
                    <w:rPr>
                      <w:rFonts w:hint="default" w:ascii="宋体" w:hAnsi="Calibri" w:eastAsia="宋体" w:cs="Times New Roman"/>
                      <w:color w:val="auto"/>
                      <w:kern w:val="2"/>
                      <w:sz w:val="21"/>
                      <w:szCs w:val="24"/>
                      <w:highlight w:val="none"/>
                      <w:lang w:val="en-US" w:eastAsia="zh-CN" w:bidi="ar-SA"/>
                    </w:rPr>
                  </w:pPr>
                  <w:r>
                    <w:rPr>
                      <w:rFonts w:hint="eastAsia" w:ascii="宋体" w:hAnsi="Calibri" w:eastAsia="宋体"/>
                      <w:color w:val="auto"/>
                      <w:kern w:val="2"/>
                      <w:sz w:val="21"/>
                      <w:szCs w:val="24"/>
                      <w:highlight w:val="none"/>
                      <w:lang w:val="en-US" w:eastAsia="zh-CN"/>
                    </w:rPr>
                    <w:t>混合搅拌废气</w:t>
                  </w:r>
                </w:p>
              </w:tc>
              <w:tc>
                <w:tcPr>
                  <w:tcW w:w="1553" w:type="pct"/>
                  <w:vAlign w:val="center"/>
                </w:tcPr>
                <w:p>
                  <w:pPr>
                    <w:widowControl w:val="0"/>
                    <w:spacing w:after="0"/>
                    <w:jc w:val="center"/>
                    <w:textAlignment w:val="baseline"/>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olor w:val="auto"/>
                      <w:kern w:val="2"/>
                      <w:sz w:val="21"/>
                      <w:szCs w:val="24"/>
                      <w:highlight w:val="none"/>
                      <w:lang w:val="en-US" w:eastAsia="zh-CN"/>
                    </w:rPr>
                    <w:t>非甲烷总烃</w:t>
                  </w:r>
                </w:p>
              </w:tc>
              <w:tc>
                <w:tcPr>
                  <w:tcW w:w="1553" w:type="pct"/>
                  <w:vMerge w:val="restart"/>
                  <w:vAlign w:val="center"/>
                </w:tcPr>
                <w:p>
                  <w:pPr>
                    <w:pStyle w:val="41"/>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二级活性炭吸附装置处理后由DA00</w:t>
                  </w:r>
                  <w:r>
                    <w:rPr>
                      <w:rFonts w:hint="eastAsia"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lang w:val="en-US" w:eastAsia="zh-CN"/>
                    </w:rPr>
                    <w:t>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800" w:type="pct"/>
                  <w:gridSpan w:val="2"/>
                  <w:vMerge w:val="continue"/>
                  <w:vAlign w:val="center"/>
                </w:tcPr>
                <w:p>
                  <w:pPr>
                    <w:pStyle w:val="41"/>
                    <w:jc w:val="center"/>
                    <w:rPr>
                      <w:rFonts w:ascii="Times New Roman" w:hAnsi="Times New Roman" w:cs="Times New Roman"/>
                      <w:color w:val="auto"/>
                      <w:sz w:val="21"/>
                      <w:szCs w:val="21"/>
                      <w:highlight w:val="none"/>
                    </w:rPr>
                  </w:pPr>
                </w:p>
              </w:tc>
              <w:tc>
                <w:tcPr>
                  <w:tcW w:w="1092" w:type="pct"/>
                  <w:vAlign w:val="center"/>
                </w:tcPr>
                <w:p>
                  <w:pPr>
                    <w:widowControl w:val="0"/>
                    <w:spacing w:after="0"/>
                    <w:jc w:val="center"/>
                    <w:textAlignment w:val="baseline"/>
                    <w:rPr>
                      <w:rFonts w:hint="default" w:ascii="宋体" w:hAnsi="Calibri" w:eastAsia="宋体" w:cs="Times New Roman"/>
                      <w:color w:val="auto"/>
                      <w:kern w:val="2"/>
                      <w:sz w:val="21"/>
                      <w:szCs w:val="24"/>
                      <w:highlight w:val="none"/>
                      <w:lang w:val="en-US" w:eastAsia="zh-CN" w:bidi="ar-SA"/>
                    </w:rPr>
                  </w:pPr>
                  <w:r>
                    <w:rPr>
                      <w:rFonts w:hint="eastAsia" w:ascii="宋体" w:hAnsi="Calibri" w:eastAsia="宋体"/>
                      <w:color w:val="auto"/>
                      <w:kern w:val="2"/>
                      <w:sz w:val="21"/>
                      <w:szCs w:val="24"/>
                      <w:highlight w:val="none"/>
                      <w:lang w:val="en-US" w:eastAsia="zh-CN"/>
                    </w:rPr>
                    <w:t>研磨废气</w:t>
                  </w:r>
                </w:p>
              </w:tc>
              <w:tc>
                <w:tcPr>
                  <w:tcW w:w="1553" w:type="pct"/>
                  <w:vAlign w:val="center"/>
                </w:tcPr>
                <w:p>
                  <w:pPr>
                    <w:widowControl w:val="0"/>
                    <w:spacing w:after="0"/>
                    <w:jc w:val="center"/>
                    <w:textAlignment w:val="baseline"/>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olor w:val="auto"/>
                      <w:kern w:val="2"/>
                      <w:sz w:val="21"/>
                      <w:szCs w:val="24"/>
                      <w:highlight w:val="none"/>
                      <w:lang w:val="en-US" w:eastAsia="zh-CN"/>
                    </w:rPr>
                    <w:t>非甲烷总烃</w:t>
                  </w:r>
                </w:p>
              </w:tc>
              <w:tc>
                <w:tcPr>
                  <w:tcW w:w="1553" w:type="pct"/>
                  <w:vMerge w:val="continue"/>
                  <w:vAlign w:val="center"/>
                </w:tcPr>
                <w:p>
                  <w:pPr>
                    <w:pStyle w:val="41"/>
                    <w:jc w:val="center"/>
                    <w:rPr>
                      <w:rFonts w:hint="default" w:ascii="Times New Roman" w:hAnsi="Times New Roman" w:eastAsia="宋体" w:cs="Times New Roman"/>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800" w:type="pct"/>
                  <w:gridSpan w:val="2"/>
                  <w:vMerge w:val="continue"/>
                  <w:vAlign w:val="center"/>
                </w:tcPr>
                <w:p>
                  <w:pPr>
                    <w:pStyle w:val="41"/>
                    <w:jc w:val="center"/>
                    <w:rPr>
                      <w:rFonts w:ascii="Times New Roman" w:hAnsi="Times New Roman" w:cs="Times New Roman"/>
                      <w:color w:val="auto"/>
                      <w:sz w:val="21"/>
                      <w:szCs w:val="21"/>
                      <w:highlight w:val="none"/>
                    </w:rPr>
                  </w:pPr>
                </w:p>
              </w:tc>
              <w:tc>
                <w:tcPr>
                  <w:tcW w:w="1092" w:type="pct"/>
                  <w:vAlign w:val="center"/>
                </w:tcPr>
                <w:p>
                  <w:pPr>
                    <w:widowControl w:val="0"/>
                    <w:spacing w:after="0"/>
                    <w:jc w:val="center"/>
                    <w:textAlignment w:val="baseline"/>
                    <w:rPr>
                      <w:rFonts w:hint="default" w:ascii="宋体" w:hAnsi="Calibri" w:eastAsia="宋体" w:cs="Times New Roman"/>
                      <w:color w:val="auto"/>
                      <w:kern w:val="2"/>
                      <w:sz w:val="21"/>
                      <w:szCs w:val="24"/>
                      <w:highlight w:val="none"/>
                      <w:lang w:val="en-US" w:eastAsia="zh-CN" w:bidi="ar-SA"/>
                    </w:rPr>
                  </w:pPr>
                  <w:r>
                    <w:rPr>
                      <w:rFonts w:hint="eastAsia" w:ascii="宋体" w:hAnsi="Calibri" w:eastAsia="宋体"/>
                      <w:color w:val="auto"/>
                      <w:kern w:val="2"/>
                      <w:sz w:val="21"/>
                      <w:szCs w:val="24"/>
                      <w:highlight w:val="none"/>
                      <w:lang w:val="en-US" w:eastAsia="zh-CN"/>
                    </w:rPr>
                    <w:t>脱水废气</w:t>
                  </w:r>
                </w:p>
              </w:tc>
              <w:tc>
                <w:tcPr>
                  <w:tcW w:w="1553" w:type="pct"/>
                  <w:vAlign w:val="center"/>
                </w:tcPr>
                <w:p>
                  <w:pPr>
                    <w:widowControl w:val="0"/>
                    <w:spacing w:after="0"/>
                    <w:jc w:val="center"/>
                    <w:textAlignment w:val="baseline"/>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olor w:val="auto"/>
                      <w:kern w:val="2"/>
                      <w:sz w:val="21"/>
                      <w:szCs w:val="24"/>
                      <w:highlight w:val="none"/>
                      <w:lang w:val="en-US" w:eastAsia="zh-CN"/>
                    </w:rPr>
                    <w:t>非甲烷总烃</w:t>
                  </w:r>
                </w:p>
              </w:tc>
              <w:tc>
                <w:tcPr>
                  <w:tcW w:w="1553" w:type="pct"/>
                  <w:vMerge w:val="continue"/>
                  <w:vAlign w:val="center"/>
                </w:tcPr>
                <w:p>
                  <w:pPr>
                    <w:pStyle w:val="41"/>
                    <w:jc w:val="center"/>
                    <w:rPr>
                      <w:rFonts w:hint="default" w:ascii="Times New Roman" w:hAnsi="Times New Roman" w:eastAsia="宋体" w:cs="Times New Roman"/>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800" w:type="pct"/>
                  <w:gridSpan w:val="2"/>
                  <w:vMerge w:val="continue"/>
                  <w:vAlign w:val="center"/>
                </w:tcPr>
                <w:p>
                  <w:pPr>
                    <w:pStyle w:val="41"/>
                    <w:jc w:val="center"/>
                    <w:rPr>
                      <w:rFonts w:ascii="Times New Roman" w:hAnsi="Times New Roman" w:cs="Times New Roman"/>
                      <w:color w:val="auto"/>
                      <w:sz w:val="21"/>
                      <w:szCs w:val="21"/>
                      <w:highlight w:val="none"/>
                    </w:rPr>
                  </w:pPr>
                </w:p>
              </w:tc>
              <w:tc>
                <w:tcPr>
                  <w:tcW w:w="1092" w:type="pct"/>
                  <w:vAlign w:val="center"/>
                </w:tcPr>
                <w:p>
                  <w:pPr>
                    <w:widowControl w:val="0"/>
                    <w:spacing w:after="0"/>
                    <w:jc w:val="center"/>
                    <w:textAlignment w:val="baseline"/>
                    <w:rPr>
                      <w:rFonts w:hint="default" w:ascii="宋体" w:hAnsi="Calibri" w:eastAsia="宋体" w:cs="Times New Roman"/>
                      <w:color w:val="auto"/>
                      <w:kern w:val="2"/>
                      <w:sz w:val="21"/>
                      <w:szCs w:val="24"/>
                      <w:highlight w:val="none"/>
                      <w:lang w:val="en-US" w:eastAsia="zh-CN" w:bidi="ar-SA"/>
                    </w:rPr>
                  </w:pPr>
                  <w:r>
                    <w:rPr>
                      <w:rFonts w:hint="eastAsia" w:ascii="宋体" w:hAnsi="Calibri" w:eastAsia="宋体"/>
                      <w:color w:val="auto"/>
                      <w:kern w:val="2"/>
                      <w:sz w:val="21"/>
                      <w:szCs w:val="24"/>
                      <w:highlight w:val="none"/>
                      <w:lang w:val="en-US" w:eastAsia="zh-CN"/>
                    </w:rPr>
                    <w:t>试样检验废气</w:t>
                  </w:r>
                </w:p>
              </w:tc>
              <w:tc>
                <w:tcPr>
                  <w:tcW w:w="1553" w:type="pct"/>
                  <w:vAlign w:val="center"/>
                </w:tcPr>
                <w:p>
                  <w:pPr>
                    <w:widowControl w:val="0"/>
                    <w:spacing w:after="0"/>
                    <w:jc w:val="center"/>
                    <w:textAlignment w:val="baseline"/>
                    <w:rPr>
                      <w:rFonts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olor w:val="auto"/>
                      <w:kern w:val="2"/>
                      <w:sz w:val="21"/>
                      <w:szCs w:val="24"/>
                      <w:highlight w:val="none"/>
                      <w:lang w:val="en-US" w:eastAsia="zh-CN"/>
                    </w:rPr>
                    <w:t>非甲烷总烃</w:t>
                  </w:r>
                </w:p>
              </w:tc>
              <w:tc>
                <w:tcPr>
                  <w:tcW w:w="1553" w:type="pct"/>
                  <w:vMerge w:val="continue"/>
                  <w:vAlign w:val="center"/>
                </w:tcPr>
                <w:p>
                  <w:pPr>
                    <w:pStyle w:val="41"/>
                    <w:jc w:val="center"/>
                    <w:rPr>
                      <w:rFonts w:hint="eastAsia" w:ascii="Times New Roman" w:hAnsi="Times New Roman" w:eastAsia="宋体" w:cs="Times New Roman"/>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800" w:type="pct"/>
                  <w:gridSpan w:val="2"/>
                  <w:vMerge w:val="continue"/>
                  <w:vAlign w:val="center"/>
                </w:tcPr>
                <w:p>
                  <w:pPr>
                    <w:pStyle w:val="41"/>
                    <w:jc w:val="center"/>
                    <w:rPr>
                      <w:rFonts w:ascii="Times New Roman" w:hAnsi="Times New Roman" w:cs="Times New Roman"/>
                      <w:color w:val="auto"/>
                      <w:sz w:val="21"/>
                      <w:szCs w:val="21"/>
                      <w:highlight w:val="none"/>
                    </w:rPr>
                  </w:pPr>
                </w:p>
              </w:tc>
              <w:tc>
                <w:tcPr>
                  <w:tcW w:w="1092" w:type="pct"/>
                  <w:vAlign w:val="center"/>
                </w:tcPr>
                <w:p>
                  <w:pPr>
                    <w:widowControl w:val="0"/>
                    <w:spacing w:after="0"/>
                    <w:jc w:val="center"/>
                    <w:textAlignment w:val="baseline"/>
                    <w:rPr>
                      <w:rFonts w:hint="default" w:ascii="宋体" w:hAnsi="Calibri" w:eastAsia="宋体" w:cs="Times New Roman"/>
                      <w:color w:val="auto"/>
                      <w:kern w:val="2"/>
                      <w:sz w:val="21"/>
                      <w:szCs w:val="24"/>
                      <w:highlight w:val="none"/>
                      <w:lang w:val="en-US" w:eastAsia="zh-CN" w:bidi="ar-SA"/>
                    </w:rPr>
                  </w:pPr>
                  <w:r>
                    <w:rPr>
                      <w:rFonts w:hint="eastAsia" w:ascii="宋体" w:hAnsi="Calibri" w:eastAsia="宋体"/>
                      <w:color w:val="auto"/>
                      <w:kern w:val="2"/>
                      <w:sz w:val="21"/>
                      <w:szCs w:val="24"/>
                      <w:highlight w:val="none"/>
                      <w:lang w:val="en-US" w:eastAsia="zh-CN"/>
                    </w:rPr>
                    <w:t>分装废气</w:t>
                  </w:r>
                </w:p>
              </w:tc>
              <w:tc>
                <w:tcPr>
                  <w:tcW w:w="1553" w:type="pct"/>
                  <w:vAlign w:val="center"/>
                </w:tcPr>
                <w:p>
                  <w:pPr>
                    <w:widowControl w:val="0"/>
                    <w:spacing w:after="0"/>
                    <w:jc w:val="center"/>
                    <w:textAlignment w:val="baseline"/>
                    <w:rPr>
                      <w:rFonts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olor w:val="auto"/>
                      <w:kern w:val="2"/>
                      <w:sz w:val="21"/>
                      <w:szCs w:val="24"/>
                      <w:highlight w:val="none"/>
                      <w:lang w:val="en-US" w:eastAsia="zh-CN"/>
                    </w:rPr>
                    <w:t>非甲烷总烃</w:t>
                  </w:r>
                </w:p>
              </w:tc>
              <w:tc>
                <w:tcPr>
                  <w:tcW w:w="1553" w:type="pct"/>
                  <w:vMerge w:val="continue"/>
                  <w:vAlign w:val="center"/>
                </w:tcPr>
                <w:p>
                  <w:pPr>
                    <w:pStyle w:val="41"/>
                    <w:jc w:val="center"/>
                    <w:rPr>
                      <w:rFonts w:hint="eastAsia" w:ascii="Times New Roman" w:hAnsi="Times New Roman" w:eastAsia="宋体" w:cs="Times New Roman"/>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399" w:type="pct"/>
                  <w:vMerge w:val="restart"/>
                  <w:vAlign w:val="center"/>
                </w:tcPr>
                <w:p>
                  <w:pPr>
                    <w:pStyle w:val="41"/>
                    <w:jc w:val="center"/>
                    <w:rPr>
                      <w:rFonts w:hint="default"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固体废物</w:t>
                  </w:r>
                </w:p>
              </w:tc>
              <w:tc>
                <w:tcPr>
                  <w:tcW w:w="400" w:type="pct"/>
                  <w:vMerge w:val="restart"/>
                  <w:vAlign w:val="center"/>
                </w:tcPr>
                <w:p>
                  <w:pPr>
                    <w:pStyle w:val="41"/>
                    <w:jc w:val="center"/>
                    <w:rPr>
                      <w:rFonts w:hint="default"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一般固废</w:t>
                  </w:r>
                </w:p>
              </w:tc>
              <w:tc>
                <w:tcPr>
                  <w:tcW w:w="1092" w:type="pct"/>
                  <w:vAlign w:val="center"/>
                </w:tcPr>
                <w:p>
                  <w:pPr>
                    <w:pStyle w:val="41"/>
                    <w:jc w:val="center"/>
                    <w:rPr>
                      <w:rFonts w:hint="default"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废气处理设施</w:t>
                  </w:r>
                </w:p>
              </w:tc>
              <w:tc>
                <w:tcPr>
                  <w:tcW w:w="1553" w:type="pct"/>
                  <w:vAlign w:val="center"/>
                </w:tcPr>
                <w:p>
                  <w:pPr>
                    <w:pStyle w:val="41"/>
                    <w:jc w:val="center"/>
                    <w:rPr>
                      <w:rFonts w:hint="default"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布袋除尘器收集的粉尘</w:t>
                  </w:r>
                </w:p>
              </w:tc>
              <w:tc>
                <w:tcPr>
                  <w:tcW w:w="1553" w:type="pct"/>
                  <w:vAlign w:val="center"/>
                </w:tcPr>
                <w:p>
                  <w:pPr>
                    <w:pStyle w:val="41"/>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委托专业公司收集处理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399" w:type="pct"/>
                  <w:vMerge w:val="continue"/>
                  <w:vAlign w:val="center"/>
                </w:tcPr>
                <w:p>
                  <w:pPr>
                    <w:pStyle w:val="41"/>
                    <w:jc w:val="center"/>
                    <w:rPr>
                      <w:rFonts w:hint="default" w:ascii="Times New Roman" w:hAnsi="Times New Roman" w:cs="Times New Roman"/>
                      <w:color w:val="auto"/>
                      <w:sz w:val="21"/>
                      <w:szCs w:val="21"/>
                      <w:highlight w:val="none"/>
                    </w:rPr>
                  </w:pPr>
                </w:p>
              </w:tc>
              <w:tc>
                <w:tcPr>
                  <w:tcW w:w="400" w:type="pct"/>
                  <w:vMerge w:val="continue"/>
                  <w:vAlign w:val="center"/>
                </w:tcPr>
                <w:p>
                  <w:pPr>
                    <w:pStyle w:val="41"/>
                    <w:jc w:val="center"/>
                    <w:rPr>
                      <w:rFonts w:hint="default" w:ascii="Times New Roman" w:hAnsi="Times New Roman" w:cs="Times New Roman"/>
                      <w:color w:val="auto"/>
                      <w:sz w:val="21"/>
                      <w:szCs w:val="21"/>
                      <w:highlight w:val="none"/>
                    </w:rPr>
                  </w:pPr>
                </w:p>
              </w:tc>
              <w:tc>
                <w:tcPr>
                  <w:tcW w:w="1092" w:type="pct"/>
                  <w:vAlign w:val="center"/>
                </w:tcPr>
                <w:p>
                  <w:pPr>
                    <w:pStyle w:val="41"/>
                    <w:jc w:val="center"/>
                    <w:rPr>
                      <w:rFonts w:hint="default"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分装</w:t>
                  </w:r>
                </w:p>
              </w:tc>
              <w:tc>
                <w:tcPr>
                  <w:tcW w:w="1553" w:type="pct"/>
                  <w:vAlign w:val="center"/>
                </w:tcPr>
                <w:p>
                  <w:pPr>
                    <w:pStyle w:val="41"/>
                    <w:jc w:val="center"/>
                    <w:rPr>
                      <w:rFonts w:hint="default"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废包装材料</w:t>
                  </w:r>
                </w:p>
              </w:tc>
              <w:tc>
                <w:tcPr>
                  <w:tcW w:w="1553" w:type="pct"/>
                  <w:vAlign w:val="center"/>
                </w:tcPr>
                <w:p>
                  <w:pPr>
                    <w:pStyle w:val="41"/>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委托专业公司收集处理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399" w:type="pct"/>
                  <w:vMerge w:val="continue"/>
                  <w:vAlign w:val="center"/>
                </w:tcPr>
                <w:p>
                  <w:pPr>
                    <w:pStyle w:val="41"/>
                    <w:jc w:val="center"/>
                    <w:rPr>
                      <w:rFonts w:hint="default" w:ascii="Times New Roman" w:hAnsi="Times New Roman" w:cs="Times New Roman"/>
                      <w:color w:val="auto"/>
                      <w:sz w:val="21"/>
                      <w:szCs w:val="21"/>
                      <w:highlight w:val="none"/>
                    </w:rPr>
                  </w:pPr>
                </w:p>
              </w:tc>
              <w:tc>
                <w:tcPr>
                  <w:tcW w:w="400" w:type="pct"/>
                  <w:vMerge w:val="restart"/>
                  <w:vAlign w:val="center"/>
                </w:tcPr>
                <w:p>
                  <w:pPr>
                    <w:pStyle w:val="41"/>
                    <w:jc w:val="center"/>
                    <w:rPr>
                      <w:rFonts w:hint="default"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危险废物</w:t>
                  </w:r>
                </w:p>
              </w:tc>
              <w:tc>
                <w:tcPr>
                  <w:tcW w:w="1092" w:type="pct"/>
                  <w:vMerge w:val="restart"/>
                  <w:vAlign w:val="center"/>
                </w:tcPr>
                <w:p>
                  <w:pPr>
                    <w:pStyle w:val="41"/>
                    <w:jc w:val="center"/>
                    <w:rPr>
                      <w:rFonts w:hint="default"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设备维护</w:t>
                  </w:r>
                </w:p>
              </w:tc>
              <w:tc>
                <w:tcPr>
                  <w:tcW w:w="1553" w:type="pct"/>
                  <w:vAlign w:val="center"/>
                </w:tcPr>
                <w:p>
                  <w:pPr>
                    <w:pStyle w:val="41"/>
                    <w:jc w:val="center"/>
                    <w:rPr>
                      <w:rFonts w:hint="eastAsia" w:ascii="Times New Roman" w:hAnsi="Times New Roman" w:eastAsia="宋体" w:cs="Times New Roman"/>
                      <w:color w:val="auto"/>
                      <w:sz w:val="21"/>
                      <w:szCs w:val="21"/>
                      <w:highlight w:val="none"/>
                      <w:lang w:val="en-US" w:eastAsia="zh-CN"/>
                    </w:rPr>
                  </w:pPr>
                  <w:r>
                    <w:rPr>
                      <w:rFonts w:ascii="Times New Roman" w:hAnsi="Times New Roman" w:cs="Times New Roman"/>
                      <w:color w:val="auto"/>
                      <w:sz w:val="21"/>
                      <w:szCs w:val="21"/>
                      <w:highlight w:val="none"/>
                    </w:rPr>
                    <w:t>废</w:t>
                  </w:r>
                  <w:r>
                    <w:rPr>
                      <w:rFonts w:hint="eastAsia" w:ascii="Times New Roman" w:hAnsi="Times New Roman" w:cs="Times New Roman"/>
                      <w:color w:val="auto"/>
                      <w:sz w:val="21"/>
                      <w:szCs w:val="21"/>
                      <w:highlight w:val="none"/>
                      <w:lang w:val="en-US" w:eastAsia="zh-CN"/>
                    </w:rPr>
                    <w:t>机油</w:t>
                  </w:r>
                </w:p>
              </w:tc>
              <w:tc>
                <w:tcPr>
                  <w:tcW w:w="1553" w:type="pct"/>
                  <w:vMerge w:val="restart"/>
                  <w:vAlign w:val="center"/>
                </w:tcPr>
                <w:p>
                  <w:pPr>
                    <w:pStyle w:val="41"/>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委托有资质单位处理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399" w:type="pct"/>
                  <w:vMerge w:val="continue"/>
                  <w:vAlign w:val="center"/>
                </w:tcPr>
                <w:p>
                  <w:pPr>
                    <w:pStyle w:val="41"/>
                    <w:jc w:val="center"/>
                    <w:rPr>
                      <w:rFonts w:hint="default" w:ascii="Times New Roman" w:hAnsi="Times New Roman" w:cs="Times New Roman"/>
                      <w:color w:val="auto"/>
                      <w:sz w:val="21"/>
                      <w:szCs w:val="21"/>
                      <w:highlight w:val="none"/>
                    </w:rPr>
                  </w:pPr>
                </w:p>
              </w:tc>
              <w:tc>
                <w:tcPr>
                  <w:tcW w:w="400" w:type="pct"/>
                  <w:vMerge w:val="continue"/>
                  <w:vAlign w:val="center"/>
                </w:tcPr>
                <w:p>
                  <w:pPr>
                    <w:pStyle w:val="41"/>
                    <w:jc w:val="center"/>
                    <w:rPr>
                      <w:rFonts w:ascii="Times New Roman" w:hAnsi="Times New Roman" w:cs="Times New Roman"/>
                      <w:color w:val="auto"/>
                      <w:sz w:val="21"/>
                      <w:szCs w:val="21"/>
                      <w:highlight w:val="none"/>
                    </w:rPr>
                  </w:pPr>
                </w:p>
              </w:tc>
              <w:tc>
                <w:tcPr>
                  <w:tcW w:w="1092" w:type="pct"/>
                  <w:vMerge w:val="continue"/>
                  <w:vAlign w:val="center"/>
                </w:tcPr>
                <w:p>
                  <w:pPr>
                    <w:pStyle w:val="41"/>
                    <w:jc w:val="center"/>
                    <w:rPr>
                      <w:rFonts w:ascii="Times New Roman" w:hAnsi="Times New Roman" w:cs="Times New Roman"/>
                      <w:color w:val="auto"/>
                      <w:sz w:val="21"/>
                      <w:szCs w:val="21"/>
                      <w:highlight w:val="none"/>
                    </w:rPr>
                  </w:pPr>
                </w:p>
              </w:tc>
              <w:tc>
                <w:tcPr>
                  <w:tcW w:w="1553" w:type="pct"/>
                  <w:vAlign w:val="center"/>
                </w:tcPr>
                <w:p>
                  <w:pPr>
                    <w:pStyle w:val="41"/>
                    <w:jc w:val="center"/>
                    <w:rPr>
                      <w:rFonts w:ascii="Times New Roman" w:hAnsi="Times New Roman" w:cs="Times New Roman"/>
                      <w:color w:val="auto"/>
                      <w:sz w:val="21"/>
                      <w:szCs w:val="21"/>
                      <w:highlight w:val="none"/>
                    </w:rPr>
                  </w:pPr>
                  <w:r>
                    <w:rPr>
                      <w:rFonts w:hint="eastAsia" w:ascii="宋体" w:hAnsi="Calibri" w:eastAsia="宋体"/>
                      <w:color w:val="auto"/>
                      <w:kern w:val="2"/>
                      <w:sz w:val="21"/>
                      <w:szCs w:val="24"/>
                      <w:highlight w:val="none"/>
                    </w:rPr>
                    <w:t>含油废手套及废抹布</w:t>
                  </w:r>
                </w:p>
              </w:tc>
              <w:tc>
                <w:tcPr>
                  <w:tcW w:w="1553" w:type="pct"/>
                  <w:vMerge w:val="continue"/>
                  <w:vAlign w:val="center"/>
                </w:tcPr>
                <w:p>
                  <w:pPr>
                    <w:pStyle w:val="41"/>
                    <w:jc w:val="center"/>
                    <w:rPr>
                      <w:rFonts w:ascii="Times New Roman" w:hAnsi="Times New Roman"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399" w:type="pct"/>
                  <w:vMerge w:val="continue"/>
                  <w:vAlign w:val="center"/>
                </w:tcPr>
                <w:p>
                  <w:pPr>
                    <w:pStyle w:val="41"/>
                    <w:jc w:val="center"/>
                    <w:rPr>
                      <w:rFonts w:hint="default" w:ascii="Times New Roman" w:hAnsi="Times New Roman" w:cs="Times New Roman"/>
                      <w:color w:val="auto"/>
                      <w:sz w:val="21"/>
                      <w:szCs w:val="21"/>
                      <w:highlight w:val="none"/>
                    </w:rPr>
                  </w:pPr>
                </w:p>
              </w:tc>
              <w:tc>
                <w:tcPr>
                  <w:tcW w:w="400" w:type="pct"/>
                  <w:vMerge w:val="continue"/>
                  <w:vAlign w:val="center"/>
                </w:tcPr>
                <w:p>
                  <w:pPr>
                    <w:pStyle w:val="41"/>
                    <w:jc w:val="center"/>
                    <w:rPr>
                      <w:rFonts w:ascii="Times New Roman" w:hAnsi="Times New Roman" w:cs="Times New Roman"/>
                      <w:color w:val="auto"/>
                      <w:sz w:val="21"/>
                      <w:szCs w:val="21"/>
                      <w:highlight w:val="none"/>
                    </w:rPr>
                  </w:pPr>
                </w:p>
              </w:tc>
              <w:tc>
                <w:tcPr>
                  <w:tcW w:w="1092" w:type="pct"/>
                  <w:vMerge w:val="continue"/>
                  <w:vAlign w:val="center"/>
                </w:tcPr>
                <w:p>
                  <w:pPr>
                    <w:pStyle w:val="41"/>
                    <w:jc w:val="center"/>
                    <w:rPr>
                      <w:rFonts w:hint="default" w:ascii="Times New Roman" w:hAnsi="Times New Roman" w:eastAsia="宋体" w:cs="Times New Roman"/>
                      <w:color w:val="auto"/>
                      <w:sz w:val="21"/>
                      <w:szCs w:val="21"/>
                      <w:highlight w:val="none"/>
                      <w:lang w:val="en-US" w:eastAsia="zh-CN"/>
                    </w:rPr>
                  </w:pPr>
                </w:p>
              </w:tc>
              <w:tc>
                <w:tcPr>
                  <w:tcW w:w="1553" w:type="pct"/>
                  <w:vAlign w:val="center"/>
                </w:tcPr>
                <w:p>
                  <w:pPr>
                    <w:pStyle w:val="41"/>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废包装桶</w:t>
                  </w:r>
                </w:p>
              </w:tc>
              <w:tc>
                <w:tcPr>
                  <w:tcW w:w="1553" w:type="pct"/>
                  <w:vMerge w:val="continue"/>
                  <w:vAlign w:val="center"/>
                </w:tcPr>
                <w:p>
                  <w:pPr>
                    <w:pStyle w:val="41"/>
                    <w:jc w:val="center"/>
                    <w:rPr>
                      <w:rFonts w:ascii="Times New Roman" w:hAnsi="Times New Roman"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399" w:type="pct"/>
                  <w:vMerge w:val="continue"/>
                  <w:vAlign w:val="center"/>
                </w:tcPr>
                <w:p>
                  <w:pPr>
                    <w:pStyle w:val="41"/>
                    <w:jc w:val="center"/>
                    <w:rPr>
                      <w:rFonts w:hint="default" w:ascii="Times New Roman" w:hAnsi="Times New Roman" w:cs="Times New Roman"/>
                      <w:color w:val="auto"/>
                      <w:sz w:val="21"/>
                      <w:szCs w:val="21"/>
                      <w:highlight w:val="none"/>
                    </w:rPr>
                  </w:pPr>
                </w:p>
              </w:tc>
              <w:tc>
                <w:tcPr>
                  <w:tcW w:w="400" w:type="pct"/>
                  <w:vMerge w:val="continue"/>
                  <w:vAlign w:val="center"/>
                </w:tcPr>
                <w:p>
                  <w:pPr>
                    <w:pStyle w:val="41"/>
                    <w:jc w:val="center"/>
                    <w:rPr>
                      <w:rFonts w:hint="default" w:ascii="Times New Roman" w:hAnsi="Times New Roman" w:cs="Times New Roman"/>
                      <w:color w:val="auto"/>
                      <w:sz w:val="21"/>
                      <w:szCs w:val="21"/>
                      <w:highlight w:val="none"/>
                    </w:rPr>
                  </w:pPr>
                </w:p>
              </w:tc>
              <w:tc>
                <w:tcPr>
                  <w:tcW w:w="1092" w:type="pct"/>
                  <w:vAlign w:val="center"/>
                </w:tcPr>
                <w:p>
                  <w:pPr>
                    <w:pStyle w:val="41"/>
                    <w:jc w:val="center"/>
                    <w:rPr>
                      <w:rFonts w:hint="default"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废气处理设施</w:t>
                  </w:r>
                </w:p>
              </w:tc>
              <w:tc>
                <w:tcPr>
                  <w:tcW w:w="1553" w:type="pct"/>
                  <w:vAlign w:val="center"/>
                </w:tcPr>
                <w:p>
                  <w:pPr>
                    <w:pStyle w:val="41"/>
                    <w:jc w:val="center"/>
                    <w:rPr>
                      <w:rFonts w:hint="default"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废活性炭</w:t>
                  </w:r>
                </w:p>
              </w:tc>
              <w:tc>
                <w:tcPr>
                  <w:tcW w:w="1553" w:type="pct"/>
                  <w:vMerge w:val="continue"/>
                  <w:vAlign w:val="center"/>
                </w:tcPr>
                <w:p>
                  <w:pPr>
                    <w:pStyle w:val="41"/>
                    <w:jc w:val="center"/>
                    <w:rPr>
                      <w:rFonts w:ascii="Times New Roman" w:hAnsi="Times New Roman"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00" w:type="pct"/>
                  <w:gridSpan w:val="2"/>
                  <w:vAlign w:val="center"/>
                </w:tcPr>
                <w:p>
                  <w:pPr>
                    <w:pStyle w:val="41"/>
                    <w:jc w:val="center"/>
                    <w:rPr>
                      <w:rFonts w:hint="default"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噪声</w:t>
                  </w:r>
                </w:p>
              </w:tc>
              <w:tc>
                <w:tcPr>
                  <w:tcW w:w="1092" w:type="pct"/>
                  <w:vAlign w:val="center"/>
                </w:tcPr>
                <w:p>
                  <w:pPr>
                    <w:pStyle w:val="41"/>
                    <w:jc w:val="center"/>
                    <w:rPr>
                      <w:rFonts w:hint="default" w:ascii="Times New Roman" w:hAnsi="Times New Roman" w:eastAsia="宋体" w:cs="Times New Roman"/>
                      <w:color w:val="auto"/>
                      <w:sz w:val="21"/>
                      <w:szCs w:val="21"/>
                      <w:highlight w:val="none"/>
                      <w:lang w:val="en-US" w:eastAsia="zh-CN"/>
                    </w:rPr>
                  </w:pPr>
                  <w:r>
                    <w:rPr>
                      <w:rFonts w:ascii="Times New Roman" w:hAnsi="Times New Roman" w:cs="Times New Roman"/>
                      <w:color w:val="auto"/>
                      <w:sz w:val="21"/>
                      <w:szCs w:val="21"/>
                      <w:highlight w:val="none"/>
                    </w:rPr>
                    <w:t>生产</w:t>
                  </w:r>
                  <w:r>
                    <w:rPr>
                      <w:rFonts w:hint="eastAsia" w:ascii="Times New Roman" w:hAnsi="Times New Roman" w:cs="Times New Roman"/>
                      <w:color w:val="auto"/>
                      <w:sz w:val="21"/>
                      <w:szCs w:val="21"/>
                      <w:highlight w:val="none"/>
                      <w:lang w:val="en-US" w:eastAsia="zh-CN"/>
                    </w:rPr>
                    <w:t>设备及通风设施</w:t>
                  </w:r>
                </w:p>
              </w:tc>
              <w:tc>
                <w:tcPr>
                  <w:tcW w:w="1553" w:type="pct"/>
                  <w:vAlign w:val="center"/>
                </w:tcPr>
                <w:p>
                  <w:pPr>
                    <w:pStyle w:val="41"/>
                    <w:jc w:val="center"/>
                    <w:rPr>
                      <w:rFonts w:hint="default"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设备运行噪声</w:t>
                  </w:r>
                </w:p>
              </w:tc>
              <w:tc>
                <w:tcPr>
                  <w:tcW w:w="1553" w:type="pct"/>
                  <w:vAlign w:val="center"/>
                </w:tcPr>
                <w:p>
                  <w:pPr>
                    <w:pStyle w:val="41"/>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00" w:type="pct"/>
                  <w:gridSpan w:val="2"/>
                  <w:vAlign w:val="center"/>
                </w:tcPr>
                <w:p>
                  <w:pPr>
                    <w:pStyle w:val="41"/>
                    <w:jc w:val="center"/>
                    <w:rPr>
                      <w:rFonts w:hint="default"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废水</w:t>
                  </w:r>
                </w:p>
              </w:tc>
              <w:tc>
                <w:tcPr>
                  <w:tcW w:w="1092" w:type="pct"/>
                  <w:vAlign w:val="center"/>
                </w:tcPr>
                <w:p>
                  <w:pPr>
                    <w:jc w:val="center"/>
                    <w:rPr>
                      <w:color w:val="auto"/>
                      <w:szCs w:val="21"/>
                      <w:highlight w:val="none"/>
                    </w:rPr>
                  </w:pPr>
                  <w:r>
                    <w:rPr>
                      <w:color w:val="auto"/>
                      <w:szCs w:val="21"/>
                      <w:highlight w:val="none"/>
                    </w:rPr>
                    <w:t>员工办公生活污水</w:t>
                  </w:r>
                </w:p>
              </w:tc>
              <w:tc>
                <w:tcPr>
                  <w:tcW w:w="1553" w:type="pct"/>
                  <w:vAlign w:val="center"/>
                </w:tcPr>
                <w:p>
                  <w:pPr>
                    <w:jc w:val="center"/>
                    <w:rPr>
                      <w:color w:val="auto"/>
                      <w:szCs w:val="21"/>
                      <w:highlight w:val="none"/>
                    </w:rPr>
                  </w:pPr>
                  <w:r>
                    <w:rPr>
                      <w:color w:val="auto"/>
                      <w:szCs w:val="21"/>
                      <w:highlight w:val="none"/>
                    </w:rPr>
                    <w:t>COD</w:t>
                  </w:r>
                  <w:r>
                    <w:rPr>
                      <w:color w:val="auto"/>
                      <w:szCs w:val="21"/>
                      <w:highlight w:val="none"/>
                      <w:vertAlign w:val="subscript"/>
                    </w:rPr>
                    <w:t>Cr</w:t>
                  </w:r>
                  <w:r>
                    <w:rPr>
                      <w:color w:val="auto"/>
                      <w:szCs w:val="21"/>
                      <w:highlight w:val="none"/>
                    </w:rPr>
                    <w:t>、BOD</w:t>
                  </w:r>
                  <w:r>
                    <w:rPr>
                      <w:color w:val="auto"/>
                      <w:szCs w:val="21"/>
                      <w:highlight w:val="none"/>
                      <w:vertAlign w:val="subscript"/>
                    </w:rPr>
                    <w:t>5</w:t>
                  </w:r>
                  <w:r>
                    <w:rPr>
                      <w:color w:val="auto"/>
                      <w:szCs w:val="21"/>
                      <w:highlight w:val="none"/>
                    </w:rPr>
                    <w:t>、SS、氨氮</w:t>
                  </w:r>
                  <w:r>
                    <w:rPr>
                      <w:rFonts w:hint="eastAsia"/>
                      <w:color w:val="auto"/>
                      <w:szCs w:val="21"/>
                      <w:highlight w:val="none"/>
                    </w:rPr>
                    <w:t>、总磷</w:t>
                  </w:r>
                </w:p>
              </w:tc>
              <w:tc>
                <w:tcPr>
                  <w:tcW w:w="1553" w:type="pct"/>
                  <w:vAlign w:val="center"/>
                </w:tcPr>
                <w:p>
                  <w:pPr>
                    <w:jc w:val="center"/>
                    <w:rPr>
                      <w:rFonts w:hint="default" w:eastAsia="宋体"/>
                      <w:color w:val="auto"/>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生活污水经三级化粪池预处理后，经市政集污管网排入园洲镇第</w:t>
                  </w:r>
                  <w:r>
                    <w:rPr>
                      <w:rFonts w:hint="eastAsia" w:ascii="Times New Roman" w:hAnsi="Times New Roman" w:eastAsia="宋体" w:cs="Times New Roman"/>
                      <w:color w:val="auto"/>
                      <w:kern w:val="2"/>
                      <w:sz w:val="21"/>
                      <w:szCs w:val="21"/>
                      <w:highlight w:val="none"/>
                      <w:lang w:val="en-US" w:eastAsia="zh-CN" w:bidi="ar-SA"/>
                    </w:rPr>
                    <w:t>五</w:t>
                  </w:r>
                  <w:r>
                    <w:rPr>
                      <w:rFonts w:hint="default" w:ascii="Times New Roman" w:hAnsi="Times New Roman" w:eastAsia="宋体" w:cs="Times New Roman"/>
                      <w:color w:val="auto"/>
                      <w:kern w:val="2"/>
                      <w:sz w:val="21"/>
                      <w:szCs w:val="21"/>
                      <w:highlight w:val="none"/>
                      <w:lang w:val="en-US" w:eastAsia="zh-CN" w:bidi="ar-SA"/>
                    </w:rPr>
                    <w:t>污水处理厂处理达标后排入</w:t>
                  </w:r>
                  <w:r>
                    <w:rPr>
                      <w:rFonts w:hint="eastAsia" w:ascii="Times New Roman" w:hAnsi="Times New Roman" w:eastAsia="宋体" w:cs="Times New Roman"/>
                      <w:color w:val="auto"/>
                      <w:kern w:val="2"/>
                      <w:sz w:val="21"/>
                      <w:szCs w:val="21"/>
                      <w:highlight w:val="none"/>
                      <w:lang w:val="en-US" w:eastAsia="zh-CN" w:bidi="ar-SA"/>
                    </w:rPr>
                    <w:t>中心</w:t>
                  </w:r>
                  <w:r>
                    <w:rPr>
                      <w:rFonts w:hint="default" w:ascii="Times New Roman" w:hAnsi="Times New Roman" w:eastAsia="宋体" w:cs="Times New Roman"/>
                      <w:color w:val="auto"/>
                      <w:kern w:val="2"/>
                      <w:sz w:val="21"/>
                      <w:szCs w:val="21"/>
                      <w:highlight w:val="none"/>
                      <w:lang w:val="en-US" w:eastAsia="zh-CN" w:bidi="ar-SA"/>
                    </w:rPr>
                    <w:t>排渠</w:t>
                  </w:r>
                </w:p>
              </w:tc>
            </w:tr>
          </w:tbl>
          <w:p>
            <w:pPr>
              <w:pStyle w:val="41"/>
              <w:rPr>
                <w:rFonts w:hint="default"/>
                <w:color w:val="auto"/>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25" w:hRule="atLeast"/>
          <w:jc w:val="center"/>
        </w:trPr>
        <w:tc>
          <w:tcPr>
            <w:tcW w:w="475" w:type="dxa"/>
            <w:vAlign w:val="center"/>
          </w:tcPr>
          <w:p>
            <w:pPr>
              <w:pStyle w:val="33"/>
              <w:adjustRightInd w:val="0"/>
              <w:snapToGrid w:val="0"/>
              <w:spacing w:before="0" w:beforeAutospacing="0" w:after="0" w:afterAutospacing="0"/>
              <w:jc w:val="center"/>
              <w:rPr>
                <w:rFonts w:ascii="Times New Roman" w:hAnsi="Times New Roman"/>
                <w:color w:val="auto"/>
                <w:sz w:val="21"/>
                <w:szCs w:val="21"/>
                <w:highlight w:val="none"/>
              </w:rPr>
            </w:pPr>
            <w:r>
              <w:rPr>
                <w:rFonts w:ascii="Times New Roman" w:hAnsi="Times New Roman"/>
                <w:bCs/>
                <w:color w:val="auto"/>
                <w:kern w:val="2"/>
                <w:sz w:val="21"/>
                <w:szCs w:val="21"/>
                <w:highlight w:val="none"/>
              </w:rPr>
              <w:t>与项目有关的原有环境污染问题</w:t>
            </w:r>
          </w:p>
        </w:tc>
        <w:tc>
          <w:tcPr>
            <w:tcW w:w="8585" w:type="dxa"/>
            <w:vAlign w:val="center"/>
          </w:tcPr>
          <w:p>
            <w:pPr>
              <w:adjustRightInd w:val="0"/>
              <w:snapToGrid w:val="0"/>
              <w:spacing w:line="360" w:lineRule="auto"/>
              <w:ind w:right="-21" w:rightChars="-10"/>
              <w:jc w:val="center"/>
              <w:rPr>
                <w:bCs/>
                <w:color w:val="auto"/>
                <w:szCs w:val="21"/>
                <w:highlight w:val="none"/>
              </w:rPr>
            </w:pPr>
            <w:r>
              <w:rPr>
                <w:color w:val="auto"/>
                <w:szCs w:val="21"/>
                <w:highlight w:val="none"/>
              </w:rPr>
              <w:t>无</w:t>
            </w:r>
          </w:p>
        </w:tc>
      </w:tr>
    </w:tbl>
    <w:p>
      <w:pPr>
        <w:pStyle w:val="33"/>
        <w:jc w:val="center"/>
        <w:rPr>
          <w:rFonts w:ascii="黑体" w:hAnsi="黑体" w:eastAsia="黑体"/>
          <w:snapToGrid w:val="0"/>
          <w:color w:val="auto"/>
          <w:sz w:val="36"/>
          <w:szCs w:val="36"/>
        </w:rPr>
        <w:sectPr>
          <w:pgSz w:w="11906" w:h="16838"/>
          <w:pgMar w:top="1701" w:right="1531" w:bottom="1701" w:left="1531" w:header="851" w:footer="851" w:gutter="0"/>
          <w:cols w:space="720" w:num="1"/>
          <w:docGrid w:linePitch="312" w:charSpace="0"/>
        </w:sectPr>
      </w:pPr>
    </w:p>
    <w:p>
      <w:pPr>
        <w:pStyle w:val="33"/>
        <w:adjustRightInd w:val="0"/>
        <w:snapToGrid w:val="0"/>
        <w:spacing w:before="0" w:beforeAutospacing="0" w:after="0" w:afterAutospacing="0" w:line="15" w:lineRule="auto"/>
        <w:jc w:val="center"/>
        <w:rPr>
          <w:rFonts w:ascii="黑体" w:hAnsi="黑体" w:eastAsia="黑体"/>
          <w:snapToGrid w:val="0"/>
          <w:color w:val="auto"/>
          <w:sz w:val="30"/>
          <w:szCs w:val="30"/>
        </w:rPr>
      </w:pPr>
    </w:p>
    <w:p>
      <w:pPr>
        <w:pStyle w:val="33"/>
        <w:jc w:val="center"/>
        <w:outlineLvl w:val="0"/>
        <w:rPr>
          <w:rFonts w:ascii="黑体" w:hAnsi="黑体" w:eastAsia="黑体"/>
          <w:snapToGrid w:val="0"/>
          <w:color w:val="auto"/>
          <w:sz w:val="30"/>
          <w:szCs w:val="30"/>
        </w:rPr>
      </w:pPr>
      <w:r>
        <w:rPr>
          <w:rFonts w:hint="eastAsia" w:cs="宋体"/>
          <w:snapToGrid w:val="0"/>
          <w:color w:val="auto"/>
          <w:sz w:val="30"/>
          <w:szCs w:val="30"/>
        </w:rPr>
        <w:t>三、区域环境质量现状、环境保护目标及评价标准</w:t>
      </w:r>
    </w:p>
    <w:tbl>
      <w:tblPr>
        <w:tblStyle w:val="3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65"/>
        <w:gridCol w:w="849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0" w:type="dxa"/>
            <w:vAlign w:val="center"/>
          </w:tcPr>
          <w:p>
            <w:pPr>
              <w:adjustRightInd w:val="0"/>
              <w:snapToGrid w:val="0"/>
              <w:jc w:val="center"/>
              <w:rPr>
                <w:rFonts w:ascii="宋体" w:hAnsi="宋体" w:cs="宋体"/>
                <w:color w:val="auto"/>
                <w:kern w:val="0"/>
                <w:szCs w:val="21"/>
              </w:rPr>
            </w:pPr>
            <w:r>
              <w:rPr>
                <w:rFonts w:hint="eastAsia" w:ascii="宋体" w:hAnsi="宋体" w:cs="宋体"/>
                <w:color w:val="auto"/>
                <w:kern w:val="0"/>
                <w:szCs w:val="21"/>
              </w:rPr>
              <w:t>区域</w:t>
            </w:r>
          </w:p>
          <w:p>
            <w:pPr>
              <w:adjustRightInd w:val="0"/>
              <w:snapToGrid w:val="0"/>
              <w:jc w:val="center"/>
              <w:rPr>
                <w:rFonts w:ascii="宋体" w:hAnsi="宋体" w:cs="宋体"/>
                <w:color w:val="auto"/>
                <w:kern w:val="0"/>
                <w:szCs w:val="21"/>
              </w:rPr>
            </w:pPr>
            <w:r>
              <w:rPr>
                <w:rFonts w:hint="eastAsia" w:ascii="宋体" w:hAnsi="宋体" w:cs="宋体"/>
                <w:color w:val="auto"/>
                <w:kern w:val="0"/>
                <w:szCs w:val="21"/>
              </w:rPr>
              <w:t>环境</w:t>
            </w:r>
          </w:p>
          <w:p>
            <w:pPr>
              <w:adjustRightInd w:val="0"/>
              <w:snapToGrid w:val="0"/>
              <w:jc w:val="center"/>
              <w:rPr>
                <w:rFonts w:ascii="宋体" w:hAnsi="宋体" w:cs="宋体"/>
                <w:color w:val="auto"/>
                <w:kern w:val="0"/>
                <w:szCs w:val="21"/>
              </w:rPr>
            </w:pPr>
            <w:r>
              <w:rPr>
                <w:rFonts w:hint="eastAsia" w:ascii="宋体" w:hAnsi="宋体" w:cs="宋体"/>
                <w:color w:val="auto"/>
                <w:kern w:val="0"/>
                <w:szCs w:val="21"/>
              </w:rPr>
              <w:t>质量</w:t>
            </w:r>
          </w:p>
          <w:p>
            <w:pPr>
              <w:adjustRightInd w:val="0"/>
              <w:snapToGrid w:val="0"/>
              <w:jc w:val="center"/>
              <w:rPr>
                <w:rFonts w:ascii="宋体" w:hAnsi="宋体" w:cs="宋体"/>
                <w:color w:val="auto"/>
                <w:kern w:val="0"/>
                <w:szCs w:val="21"/>
              </w:rPr>
            </w:pPr>
            <w:r>
              <w:rPr>
                <w:rFonts w:hint="eastAsia" w:ascii="宋体" w:hAnsi="宋体" w:cs="宋体"/>
                <w:color w:val="auto"/>
                <w:kern w:val="0"/>
                <w:szCs w:val="21"/>
              </w:rPr>
              <w:t>现状</w:t>
            </w:r>
          </w:p>
        </w:tc>
        <w:tc>
          <w:tcPr>
            <w:tcW w:w="8214" w:type="dxa"/>
            <w:vAlign w:val="center"/>
          </w:tcPr>
          <w:p>
            <w:pPr>
              <w:adjustRightInd w:val="0"/>
              <w:snapToGrid w:val="0"/>
              <w:spacing w:line="360" w:lineRule="auto"/>
              <w:ind w:firstLine="431"/>
              <w:rPr>
                <w:color w:val="auto"/>
                <w:szCs w:val="21"/>
              </w:rPr>
            </w:pPr>
            <w:r>
              <w:rPr>
                <w:rFonts w:hint="eastAsia"/>
                <w:b/>
                <w:color w:val="auto"/>
                <w:szCs w:val="21"/>
              </w:rPr>
              <w:t>1</w:t>
            </w:r>
            <w:r>
              <w:rPr>
                <w:b/>
                <w:color w:val="auto"/>
                <w:szCs w:val="21"/>
              </w:rPr>
              <w:t>、大气环境质量现状</w:t>
            </w:r>
          </w:p>
          <w:p>
            <w:pPr>
              <w:adjustRightInd w:val="0"/>
              <w:snapToGrid w:val="0"/>
              <w:spacing w:line="360" w:lineRule="auto"/>
              <w:ind w:firstLine="422" w:firstLineChars="200"/>
              <w:jc w:val="left"/>
              <w:rPr>
                <w:b/>
                <w:bCs/>
                <w:color w:val="auto"/>
                <w:szCs w:val="21"/>
              </w:rPr>
            </w:pPr>
            <w:r>
              <w:rPr>
                <w:b/>
                <w:bCs/>
                <w:color w:val="auto"/>
                <w:szCs w:val="21"/>
              </w:rPr>
              <w:t>（1）常规污染物监测数据</w:t>
            </w:r>
          </w:p>
          <w:p>
            <w:pPr>
              <w:widowControl/>
              <w:shd w:val="clear" w:color="auto" w:fill="FFFFFF"/>
              <w:adjustRightInd w:val="0"/>
              <w:snapToGrid w:val="0"/>
              <w:spacing w:line="360" w:lineRule="auto"/>
              <w:ind w:firstLine="420" w:firstLineChars="200"/>
              <w:rPr>
                <w:color w:val="auto"/>
              </w:rPr>
            </w:pPr>
            <w:r>
              <w:rPr>
                <w:bCs/>
                <w:color w:val="auto"/>
              </w:rPr>
              <w:t>根据《2021年惠州市生态环境状况公报》表明：</w:t>
            </w:r>
            <w:r>
              <w:rPr>
                <w:color w:val="auto"/>
              </w:rPr>
              <w:t>2021年，各县（区）环境空气优良率（达标率）范围在92.6%~99.1%之间；综合指数范围在2.33~3.31之间，主要的污染物均为臭氧，次要污染物以可吸入颗粒物PM10为主；与2020年相比，环境空气质量综合指数除龙门县下降5.7%外，其余各县（区）上升幅度为2.0%～12.2%；优良率龙门县上升0.3%，博罗县持平，其余县（区）略有下降，下降幅度为0.5%～4.3%。</w:t>
            </w:r>
          </w:p>
          <w:p>
            <w:pPr>
              <w:pStyle w:val="119"/>
              <w:ind w:firstLine="0" w:firstLineChars="0"/>
              <w:jc w:val="center"/>
              <w:rPr>
                <w:rFonts w:cs="Times New Roman"/>
                <w:color w:val="auto"/>
              </w:rPr>
            </w:pPr>
            <w:r>
              <w:rPr>
                <w:rFonts w:cs="Times New Roman"/>
                <w:color w:val="auto"/>
                <w:lang w:eastAsia="zh-CN"/>
              </w:rPr>
              <w:drawing>
                <wp:inline distT="0" distB="0" distL="114300" distR="114300">
                  <wp:extent cx="5257800" cy="3562350"/>
                  <wp:effectExtent l="0" t="0" r="0" b="3810"/>
                  <wp:docPr id="4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3"/>
                          <pic:cNvPicPr>
                            <a:picLocks noChangeAspect="1"/>
                          </pic:cNvPicPr>
                        </pic:nvPicPr>
                        <pic:blipFill>
                          <a:blip r:embed="rId9"/>
                          <a:stretch>
                            <a:fillRect/>
                          </a:stretch>
                        </pic:blipFill>
                        <pic:spPr>
                          <a:xfrm>
                            <a:off x="0" y="0"/>
                            <a:ext cx="5257800" cy="3562350"/>
                          </a:xfrm>
                          <a:prstGeom prst="rect">
                            <a:avLst/>
                          </a:prstGeom>
                          <a:noFill/>
                          <a:ln>
                            <a:noFill/>
                          </a:ln>
                        </pic:spPr>
                      </pic:pic>
                    </a:graphicData>
                  </a:graphic>
                </wp:inline>
              </w:drawing>
            </w:r>
          </w:p>
          <w:p>
            <w:pPr>
              <w:adjustRightInd w:val="0"/>
              <w:snapToGrid w:val="0"/>
              <w:spacing w:line="360" w:lineRule="auto"/>
              <w:ind w:firstLine="422" w:firstLineChars="200"/>
              <w:jc w:val="center"/>
              <w:rPr>
                <w:b/>
                <w:color w:val="auto"/>
              </w:rPr>
            </w:pPr>
            <w:r>
              <w:rPr>
                <w:b/>
                <w:bCs/>
                <w:color w:val="auto"/>
              </w:rPr>
              <w:t xml:space="preserve">图3-1 </w:t>
            </w:r>
            <w:r>
              <w:rPr>
                <w:b/>
                <w:color w:val="auto"/>
              </w:rPr>
              <w:t>2021年惠州市环境质量状况公报截图</w:t>
            </w:r>
          </w:p>
          <w:p>
            <w:pPr>
              <w:tabs>
                <w:tab w:val="left" w:pos="4771"/>
              </w:tabs>
              <w:spacing w:line="360" w:lineRule="auto"/>
              <w:ind w:firstLine="420" w:firstLineChars="200"/>
              <w:jc w:val="left"/>
              <w:rPr>
                <w:color w:val="auto"/>
                <w:szCs w:val="21"/>
              </w:rPr>
            </w:pPr>
            <w:r>
              <w:rPr>
                <w:rFonts w:hint="eastAsia"/>
                <w:color w:val="auto"/>
                <w:szCs w:val="21"/>
              </w:rPr>
              <w:t>由上图可知：该项目所在区域环境空气中的二氧化硫、二氧化氮、一氧化碳、可吸入颗粒物（PM10）、细颗粒物（PM2.5）和臭氧年平均浓度均达到国家二级标准，区域内的大气环境质量良好，属于达标区。</w:t>
            </w:r>
          </w:p>
          <w:p>
            <w:pPr>
              <w:spacing w:before="120" w:beforeLines="50" w:line="360" w:lineRule="auto"/>
              <w:ind w:firstLine="422" w:firstLineChars="200"/>
              <w:jc w:val="left"/>
              <w:rPr>
                <w:b/>
                <w:color w:val="auto"/>
                <w:szCs w:val="21"/>
              </w:rPr>
            </w:pPr>
            <w:r>
              <w:rPr>
                <w:b/>
                <w:color w:val="auto"/>
                <w:szCs w:val="21"/>
              </w:rPr>
              <w:t>（2）特征污染物监测数据</w:t>
            </w:r>
          </w:p>
          <w:p>
            <w:pPr>
              <w:tabs>
                <w:tab w:val="left" w:pos="4771"/>
              </w:tabs>
              <w:spacing w:line="360" w:lineRule="auto"/>
              <w:ind w:firstLine="420" w:firstLineChars="200"/>
              <w:jc w:val="left"/>
              <w:rPr>
                <w:color w:val="auto"/>
                <w:szCs w:val="21"/>
              </w:rPr>
            </w:pPr>
            <w:r>
              <w:rPr>
                <w:rFonts w:hint="eastAsia"/>
                <w:color w:val="auto"/>
                <w:szCs w:val="21"/>
              </w:rPr>
              <w:t>项目特征因子为粉尘（TSP）、TVOC。本项目引用《惠州市盈通科技有限公司建设项目环境影响报告表》于2020年10月29日至2020年11月5日委托深圳立讯检测股份有限公司对大气环境进行现状监测（监测报告编号：LCS201022001AH），监测点位于本项目西面约1960m，满足《建设项目环境影响报告表编制技术指南（污染影响类）（试行）》规定厂址5km范围内监测点数据，并在3年有效内，引用该数据有效，具体现状监测结果详见下表。</w:t>
            </w:r>
          </w:p>
          <w:p>
            <w:pPr>
              <w:tabs>
                <w:tab w:val="left" w:pos="4771"/>
              </w:tabs>
              <w:spacing w:line="360" w:lineRule="auto"/>
              <w:jc w:val="center"/>
              <w:rPr>
                <w:b/>
                <w:bCs/>
                <w:color w:val="auto"/>
                <w:szCs w:val="21"/>
              </w:rPr>
            </w:pPr>
            <w:r>
              <w:rPr>
                <w:b/>
                <w:bCs/>
                <w:color w:val="auto"/>
                <w:szCs w:val="21"/>
              </w:rPr>
              <w:t>表</w:t>
            </w:r>
            <w:r>
              <w:rPr>
                <w:rFonts w:hint="eastAsia"/>
                <w:b/>
                <w:bCs/>
                <w:color w:val="auto"/>
                <w:szCs w:val="21"/>
              </w:rPr>
              <w:t>3-1 特征污染物</w:t>
            </w:r>
            <w:r>
              <w:rPr>
                <w:b/>
                <w:bCs/>
                <w:color w:val="auto"/>
                <w:szCs w:val="21"/>
              </w:rPr>
              <w:t>环境空气质量现状监测结果</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0"/>
              <w:gridCol w:w="816"/>
              <w:gridCol w:w="841"/>
              <w:gridCol w:w="1250"/>
              <w:gridCol w:w="1738"/>
              <w:gridCol w:w="1252"/>
              <w:gridCol w:w="833"/>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5" w:type="pct"/>
                  <w:tcBorders>
                    <w:top w:val="single" w:color="auto" w:sz="4" w:space="0"/>
                    <w:left w:val="single" w:color="auto" w:sz="4" w:space="0"/>
                    <w:right w:val="single" w:color="auto" w:sz="4" w:space="0"/>
                  </w:tcBorders>
                  <w:vAlign w:val="center"/>
                </w:tcPr>
                <w:p>
                  <w:pPr>
                    <w:jc w:val="center"/>
                    <w:rPr>
                      <w:b/>
                      <w:bCs/>
                      <w:color w:val="auto"/>
                      <w:szCs w:val="21"/>
                    </w:rPr>
                  </w:pPr>
                  <w:r>
                    <w:rPr>
                      <w:rFonts w:hint="eastAsia"/>
                      <w:b/>
                      <w:bCs/>
                      <w:color w:val="auto"/>
                      <w:szCs w:val="21"/>
                    </w:rPr>
                    <w:t>监测点名称</w:t>
                  </w:r>
                </w:p>
              </w:tc>
              <w:tc>
                <w:tcPr>
                  <w:tcW w:w="493" w:type="pct"/>
                  <w:tcBorders>
                    <w:top w:val="single" w:color="auto" w:sz="4" w:space="0"/>
                    <w:left w:val="single" w:color="auto" w:sz="4" w:space="0"/>
                    <w:right w:val="single" w:color="auto" w:sz="4" w:space="0"/>
                  </w:tcBorders>
                  <w:vAlign w:val="center"/>
                </w:tcPr>
                <w:p>
                  <w:pPr>
                    <w:jc w:val="center"/>
                    <w:rPr>
                      <w:b/>
                      <w:bCs/>
                      <w:color w:val="auto"/>
                      <w:szCs w:val="21"/>
                    </w:rPr>
                  </w:pPr>
                  <w:r>
                    <w:rPr>
                      <w:b/>
                      <w:bCs/>
                      <w:color w:val="auto"/>
                      <w:szCs w:val="21"/>
                    </w:rPr>
                    <w:t>污染物</w:t>
                  </w:r>
                </w:p>
              </w:tc>
              <w:tc>
                <w:tcPr>
                  <w:tcW w:w="508" w:type="pct"/>
                  <w:tcBorders>
                    <w:top w:val="single" w:color="auto" w:sz="4" w:space="0"/>
                    <w:left w:val="single" w:color="auto" w:sz="4" w:space="0"/>
                    <w:bottom w:val="single" w:color="auto" w:sz="4" w:space="0"/>
                    <w:right w:val="single" w:color="auto" w:sz="4" w:space="0"/>
                  </w:tcBorders>
                  <w:vAlign w:val="center"/>
                </w:tcPr>
                <w:p>
                  <w:pPr>
                    <w:jc w:val="center"/>
                    <w:rPr>
                      <w:b/>
                      <w:bCs/>
                      <w:color w:val="auto"/>
                      <w:szCs w:val="21"/>
                    </w:rPr>
                  </w:pPr>
                  <w:r>
                    <w:rPr>
                      <w:rFonts w:hint="eastAsia"/>
                      <w:b/>
                      <w:bCs/>
                      <w:color w:val="auto"/>
                      <w:szCs w:val="21"/>
                    </w:rPr>
                    <w:t>平均时间</w:t>
                  </w:r>
                </w:p>
              </w:tc>
              <w:tc>
                <w:tcPr>
                  <w:tcW w:w="755" w:type="pct"/>
                  <w:tcBorders>
                    <w:top w:val="single" w:color="auto" w:sz="4" w:space="0"/>
                    <w:left w:val="single" w:color="auto" w:sz="4" w:space="0"/>
                    <w:bottom w:val="single" w:color="auto" w:sz="4" w:space="0"/>
                    <w:right w:val="single" w:color="auto" w:sz="4" w:space="0"/>
                  </w:tcBorders>
                  <w:vAlign w:val="center"/>
                </w:tcPr>
                <w:p>
                  <w:pPr>
                    <w:jc w:val="center"/>
                    <w:rPr>
                      <w:b/>
                      <w:bCs/>
                      <w:color w:val="auto"/>
                      <w:szCs w:val="21"/>
                    </w:rPr>
                  </w:pPr>
                  <w:r>
                    <w:rPr>
                      <w:rFonts w:hint="eastAsia"/>
                      <w:b/>
                      <w:bCs/>
                      <w:color w:val="auto"/>
                      <w:szCs w:val="21"/>
                    </w:rPr>
                    <w:t>评价标准mg/m</w:t>
                  </w:r>
                  <w:r>
                    <w:rPr>
                      <w:rFonts w:hint="eastAsia"/>
                      <w:b/>
                      <w:bCs/>
                      <w:color w:val="auto"/>
                      <w:szCs w:val="21"/>
                      <w:vertAlign w:val="superscript"/>
                    </w:rPr>
                    <w:t>3</w:t>
                  </w:r>
                </w:p>
              </w:tc>
              <w:tc>
                <w:tcPr>
                  <w:tcW w:w="1050" w:type="pct"/>
                  <w:tcBorders>
                    <w:top w:val="single" w:color="auto" w:sz="4" w:space="0"/>
                    <w:left w:val="single" w:color="auto" w:sz="4" w:space="0"/>
                    <w:bottom w:val="single" w:color="auto" w:sz="4" w:space="0"/>
                    <w:right w:val="single" w:color="auto" w:sz="4" w:space="0"/>
                  </w:tcBorders>
                  <w:vAlign w:val="center"/>
                </w:tcPr>
                <w:p>
                  <w:pPr>
                    <w:jc w:val="center"/>
                    <w:rPr>
                      <w:b/>
                      <w:bCs/>
                      <w:color w:val="auto"/>
                      <w:szCs w:val="21"/>
                    </w:rPr>
                  </w:pPr>
                  <w:r>
                    <w:rPr>
                      <w:rFonts w:hint="eastAsia"/>
                      <w:b/>
                      <w:bCs/>
                      <w:color w:val="auto"/>
                      <w:szCs w:val="21"/>
                    </w:rPr>
                    <w:t>监测浓度范围mg/m</w:t>
                  </w:r>
                  <w:r>
                    <w:rPr>
                      <w:rFonts w:hint="eastAsia"/>
                      <w:b/>
                      <w:bCs/>
                      <w:color w:val="auto"/>
                      <w:szCs w:val="21"/>
                      <w:vertAlign w:val="superscript"/>
                    </w:rPr>
                    <w:t>3</w:t>
                  </w:r>
                </w:p>
              </w:tc>
              <w:tc>
                <w:tcPr>
                  <w:tcW w:w="756" w:type="pct"/>
                  <w:tcBorders>
                    <w:top w:val="single" w:color="auto" w:sz="4" w:space="0"/>
                    <w:left w:val="single" w:color="auto" w:sz="4" w:space="0"/>
                    <w:bottom w:val="single" w:color="auto" w:sz="4" w:space="0"/>
                    <w:right w:val="single" w:color="auto" w:sz="4" w:space="0"/>
                  </w:tcBorders>
                  <w:vAlign w:val="center"/>
                </w:tcPr>
                <w:p>
                  <w:pPr>
                    <w:jc w:val="center"/>
                    <w:rPr>
                      <w:b/>
                      <w:bCs/>
                      <w:color w:val="auto"/>
                      <w:szCs w:val="21"/>
                    </w:rPr>
                  </w:pPr>
                  <w:r>
                    <w:rPr>
                      <w:rFonts w:hint="eastAsia"/>
                      <w:b/>
                      <w:bCs/>
                      <w:color w:val="auto"/>
                      <w:szCs w:val="21"/>
                    </w:rPr>
                    <w:t>最大浓度占标率%</w:t>
                  </w:r>
                </w:p>
              </w:tc>
              <w:tc>
                <w:tcPr>
                  <w:tcW w:w="503" w:type="pct"/>
                  <w:tcBorders>
                    <w:top w:val="single" w:color="auto" w:sz="4" w:space="0"/>
                    <w:left w:val="single" w:color="auto" w:sz="4" w:space="0"/>
                    <w:bottom w:val="single" w:color="auto" w:sz="4" w:space="0"/>
                    <w:right w:val="single" w:color="auto" w:sz="4" w:space="0"/>
                  </w:tcBorders>
                  <w:vAlign w:val="center"/>
                </w:tcPr>
                <w:p>
                  <w:pPr>
                    <w:jc w:val="center"/>
                    <w:rPr>
                      <w:b/>
                      <w:bCs/>
                      <w:color w:val="auto"/>
                      <w:szCs w:val="21"/>
                    </w:rPr>
                  </w:pPr>
                  <w:r>
                    <w:rPr>
                      <w:rFonts w:hint="eastAsia"/>
                      <w:b/>
                      <w:bCs/>
                      <w:color w:val="auto"/>
                      <w:szCs w:val="21"/>
                    </w:rPr>
                    <w:t>超标率%</w:t>
                  </w:r>
                </w:p>
              </w:tc>
              <w:tc>
                <w:tcPr>
                  <w:tcW w:w="435" w:type="pct"/>
                  <w:tcBorders>
                    <w:top w:val="single" w:color="auto" w:sz="4" w:space="0"/>
                    <w:left w:val="single" w:color="auto" w:sz="4" w:space="0"/>
                    <w:bottom w:val="single" w:color="auto" w:sz="4" w:space="0"/>
                    <w:right w:val="single" w:color="auto" w:sz="4" w:space="0"/>
                  </w:tcBorders>
                  <w:vAlign w:val="center"/>
                </w:tcPr>
                <w:p>
                  <w:pPr>
                    <w:jc w:val="center"/>
                    <w:rPr>
                      <w:b/>
                      <w:bCs/>
                      <w:color w:val="auto"/>
                      <w:szCs w:val="21"/>
                    </w:rPr>
                  </w:pPr>
                  <w:r>
                    <w:rPr>
                      <w:rFonts w:hint="eastAsia"/>
                      <w:b/>
                      <w:bCs/>
                      <w:color w:val="auto"/>
                      <w:szCs w:val="21"/>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5" w:type="pct"/>
                  <w:vMerge w:val="restart"/>
                  <w:tcBorders>
                    <w:left w:val="single" w:color="auto" w:sz="4" w:space="0"/>
                    <w:right w:val="single" w:color="auto" w:sz="4" w:space="0"/>
                  </w:tcBorders>
                  <w:vAlign w:val="center"/>
                </w:tcPr>
                <w:p>
                  <w:pPr>
                    <w:widowControl/>
                    <w:jc w:val="center"/>
                    <w:rPr>
                      <w:color w:val="auto"/>
                      <w:szCs w:val="21"/>
                    </w:rPr>
                  </w:pPr>
                  <w:r>
                    <w:rPr>
                      <w:rFonts w:hint="eastAsia"/>
                      <w:color w:val="auto"/>
                      <w:szCs w:val="21"/>
                    </w:rPr>
                    <w:t>村尾村</w:t>
                  </w:r>
                </w:p>
              </w:tc>
              <w:tc>
                <w:tcPr>
                  <w:tcW w:w="493" w:type="pct"/>
                  <w:tcBorders>
                    <w:left w:val="single" w:color="auto" w:sz="4" w:space="0"/>
                    <w:right w:val="single" w:color="auto" w:sz="4" w:space="0"/>
                  </w:tcBorders>
                  <w:vAlign w:val="center"/>
                </w:tcPr>
                <w:p>
                  <w:pPr>
                    <w:widowControl/>
                    <w:jc w:val="center"/>
                    <w:rPr>
                      <w:color w:val="auto"/>
                      <w:szCs w:val="21"/>
                    </w:rPr>
                  </w:pPr>
                  <w:r>
                    <w:rPr>
                      <w:rFonts w:hint="eastAsia"/>
                      <w:color w:val="auto"/>
                      <w:szCs w:val="21"/>
                    </w:rPr>
                    <w:t>TVOC</w:t>
                  </w:r>
                </w:p>
              </w:tc>
              <w:tc>
                <w:tcPr>
                  <w:tcW w:w="508" w:type="pct"/>
                  <w:tcBorders>
                    <w:left w:val="single" w:color="auto" w:sz="4" w:space="0"/>
                    <w:right w:val="single" w:color="auto" w:sz="4" w:space="0"/>
                  </w:tcBorders>
                  <w:vAlign w:val="center"/>
                </w:tcPr>
                <w:p>
                  <w:pPr>
                    <w:widowControl/>
                    <w:jc w:val="center"/>
                    <w:rPr>
                      <w:color w:val="auto"/>
                      <w:szCs w:val="21"/>
                    </w:rPr>
                  </w:pPr>
                  <w:r>
                    <w:rPr>
                      <w:rFonts w:hint="eastAsia"/>
                      <w:color w:val="auto"/>
                      <w:szCs w:val="21"/>
                    </w:rPr>
                    <w:t>8小时均值</w:t>
                  </w:r>
                </w:p>
              </w:tc>
              <w:tc>
                <w:tcPr>
                  <w:tcW w:w="755"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rFonts w:hint="eastAsia"/>
                      <w:color w:val="auto"/>
                      <w:szCs w:val="21"/>
                    </w:rPr>
                    <w:t>1.2</w:t>
                  </w:r>
                </w:p>
              </w:tc>
              <w:tc>
                <w:tcPr>
                  <w:tcW w:w="1050"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rFonts w:hint="eastAsia"/>
                      <w:color w:val="auto"/>
                      <w:szCs w:val="21"/>
                    </w:rPr>
                    <w:t>0.0024~0.215</w:t>
                  </w:r>
                </w:p>
              </w:tc>
              <w:tc>
                <w:tcPr>
                  <w:tcW w:w="756"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rFonts w:hint="eastAsia"/>
                      <w:color w:val="auto"/>
                      <w:szCs w:val="21"/>
                    </w:rPr>
                    <w:t>17.92</w:t>
                  </w:r>
                </w:p>
              </w:tc>
              <w:tc>
                <w:tcPr>
                  <w:tcW w:w="503"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rFonts w:hint="eastAsia"/>
                      <w:color w:val="auto"/>
                      <w:szCs w:val="21"/>
                    </w:rPr>
                    <w:t>0</w:t>
                  </w:r>
                </w:p>
              </w:tc>
              <w:tc>
                <w:tcPr>
                  <w:tcW w:w="435"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rFonts w:hint="eastAsia"/>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5" w:type="pct"/>
                  <w:vMerge w:val="continue"/>
                  <w:tcBorders>
                    <w:left w:val="single" w:color="auto" w:sz="4" w:space="0"/>
                    <w:right w:val="single" w:color="auto" w:sz="4" w:space="0"/>
                  </w:tcBorders>
                  <w:vAlign w:val="center"/>
                </w:tcPr>
                <w:p>
                  <w:pPr>
                    <w:widowControl/>
                    <w:jc w:val="center"/>
                    <w:rPr>
                      <w:color w:val="auto"/>
                      <w:szCs w:val="21"/>
                    </w:rPr>
                  </w:pPr>
                </w:p>
              </w:tc>
              <w:tc>
                <w:tcPr>
                  <w:tcW w:w="493" w:type="pct"/>
                  <w:tcBorders>
                    <w:left w:val="single" w:color="auto" w:sz="4" w:space="0"/>
                    <w:right w:val="single" w:color="auto" w:sz="4" w:space="0"/>
                  </w:tcBorders>
                  <w:vAlign w:val="center"/>
                </w:tcPr>
                <w:p>
                  <w:pPr>
                    <w:widowControl/>
                    <w:jc w:val="center"/>
                    <w:rPr>
                      <w:color w:val="auto"/>
                      <w:szCs w:val="21"/>
                    </w:rPr>
                  </w:pPr>
                  <w:r>
                    <w:rPr>
                      <w:rFonts w:hint="eastAsia"/>
                      <w:color w:val="auto"/>
                      <w:szCs w:val="21"/>
                    </w:rPr>
                    <w:t>TSP</w:t>
                  </w:r>
                </w:p>
              </w:tc>
              <w:tc>
                <w:tcPr>
                  <w:tcW w:w="508" w:type="pct"/>
                  <w:tcBorders>
                    <w:left w:val="single" w:color="auto" w:sz="4" w:space="0"/>
                    <w:right w:val="single" w:color="auto" w:sz="4" w:space="0"/>
                  </w:tcBorders>
                  <w:vAlign w:val="center"/>
                </w:tcPr>
                <w:p>
                  <w:pPr>
                    <w:widowControl/>
                    <w:jc w:val="center"/>
                    <w:rPr>
                      <w:color w:val="auto"/>
                      <w:szCs w:val="21"/>
                    </w:rPr>
                  </w:pPr>
                  <w:r>
                    <w:rPr>
                      <w:rFonts w:hint="eastAsia"/>
                      <w:color w:val="auto"/>
                      <w:szCs w:val="21"/>
                    </w:rPr>
                    <w:t>24小时均值</w:t>
                  </w:r>
                </w:p>
              </w:tc>
              <w:tc>
                <w:tcPr>
                  <w:tcW w:w="755"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rFonts w:hint="eastAsia"/>
                      <w:color w:val="auto"/>
                      <w:szCs w:val="21"/>
                    </w:rPr>
                    <w:t>0.9</w:t>
                  </w:r>
                </w:p>
              </w:tc>
              <w:tc>
                <w:tcPr>
                  <w:tcW w:w="1050"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rFonts w:hint="eastAsia"/>
                      <w:color w:val="auto"/>
                      <w:szCs w:val="21"/>
                    </w:rPr>
                    <w:t>0.087~0.093</w:t>
                  </w:r>
                </w:p>
              </w:tc>
              <w:tc>
                <w:tcPr>
                  <w:tcW w:w="756"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rFonts w:hint="eastAsia"/>
                      <w:color w:val="auto"/>
                      <w:szCs w:val="21"/>
                    </w:rPr>
                    <w:t>10.33</w:t>
                  </w:r>
                </w:p>
              </w:tc>
              <w:tc>
                <w:tcPr>
                  <w:tcW w:w="503"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rFonts w:hint="eastAsia"/>
                      <w:color w:val="auto"/>
                      <w:szCs w:val="21"/>
                    </w:rPr>
                    <w:t>0</w:t>
                  </w:r>
                </w:p>
              </w:tc>
              <w:tc>
                <w:tcPr>
                  <w:tcW w:w="435"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rFonts w:hint="eastAsia"/>
                      <w:color w:val="auto"/>
                      <w:szCs w:val="21"/>
                    </w:rPr>
                    <w:t>达标</w:t>
                  </w:r>
                </w:p>
              </w:tc>
            </w:tr>
          </w:tbl>
          <w:p>
            <w:pPr>
              <w:spacing w:before="120" w:beforeLines="50" w:line="360" w:lineRule="auto"/>
              <w:ind w:firstLine="420" w:firstLineChars="200"/>
              <w:jc w:val="left"/>
              <w:rPr>
                <w:bCs/>
                <w:color w:val="auto"/>
                <w:szCs w:val="21"/>
              </w:rPr>
            </w:pPr>
            <w:r>
              <w:rPr>
                <w:bCs/>
                <w:color w:val="auto"/>
                <w:szCs w:val="21"/>
              </w:rPr>
              <w:t>综上可知，根据《2021年惠州市生态环境状况公报》，项目区</w:t>
            </w:r>
            <w:r>
              <w:rPr>
                <w:rFonts w:hint="eastAsia"/>
                <w:bCs/>
                <w:color w:val="auto"/>
                <w:szCs w:val="21"/>
              </w:rPr>
              <w:t>所属区域为</w:t>
            </w:r>
            <w:r>
              <w:rPr>
                <w:bCs/>
                <w:color w:val="auto"/>
                <w:szCs w:val="21"/>
              </w:rPr>
              <w:t>达标区，并根据补充监测结果，TVOC现状浓度值满足参照标准《环境影响评价技术导则大气环境</w:t>
            </w:r>
            <w:r>
              <w:rPr>
                <w:rFonts w:hint="eastAsia"/>
                <w:bCs/>
                <w:color w:val="auto"/>
                <w:szCs w:val="21"/>
              </w:rPr>
              <w:t>》</w:t>
            </w:r>
            <w:r>
              <w:rPr>
                <w:bCs/>
                <w:color w:val="auto"/>
                <w:szCs w:val="21"/>
              </w:rPr>
              <w:t>（HJ2.2-2018）附录D中的8小时均值要求；TSP满足《环境空气质量标准（GB3095-2012）及2018年修改单中的二级标准，说明区域环境空气质量较好。</w:t>
            </w:r>
          </w:p>
          <w:p>
            <w:pPr>
              <w:adjustRightInd w:val="0"/>
              <w:snapToGrid w:val="0"/>
              <w:spacing w:line="360" w:lineRule="auto"/>
              <w:ind w:firstLine="422" w:firstLineChars="200"/>
              <w:jc w:val="left"/>
              <w:rPr>
                <w:color w:val="auto"/>
                <w:szCs w:val="21"/>
              </w:rPr>
            </w:pPr>
            <w:r>
              <w:rPr>
                <w:b/>
                <w:bCs/>
                <w:color w:val="auto"/>
                <w:szCs w:val="21"/>
              </w:rPr>
              <w:t>（3）大气环境质量现状达标情况</w:t>
            </w:r>
          </w:p>
          <w:p>
            <w:pPr>
              <w:adjustRightInd w:val="0"/>
              <w:snapToGrid w:val="0"/>
              <w:spacing w:line="360" w:lineRule="auto"/>
              <w:ind w:firstLine="420" w:firstLineChars="200"/>
              <w:rPr>
                <w:color w:val="auto"/>
                <w:szCs w:val="21"/>
              </w:rPr>
            </w:pPr>
            <w:r>
              <w:rPr>
                <w:rFonts w:hint="eastAsia"/>
                <w:color w:val="auto"/>
                <w:szCs w:val="21"/>
              </w:rPr>
              <w:t>综上所述，项目位于环境空气二类功能区内，项目周边空气质量满足二类功能区及相应标准的要求，环境空气质量较好。</w:t>
            </w:r>
          </w:p>
          <w:p>
            <w:pPr>
              <w:adjustRightInd w:val="0"/>
              <w:snapToGrid w:val="0"/>
              <w:spacing w:line="360" w:lineRule="auto"/>
              <w:jc w:val="center"/>
              <w:rPr>
                <w:color w:val="auto"/>
                <w:szCs w:val="21"/>
              </w:rPr>
            </w:pPr>
            <w:r>
              <w:rPr>
                <w:color w:val="auto"/>
              </w:rPr>
              <w:drawing>
                <wp:anchor distT="0" distB="0" distL="114300" distR="114300" simplePos="0" relativeHeight="251660288" behindDoc="0" locked="0" layoutInCell="1" allowOverlap="1">
                  <wp:simplePos x="0" y="0"/>
                  <wp:positionH relativeFrom="column">
                    <wp:posOffset>4411345</wp:posOffset>
                  </wp:positionH>
                  <wp:positionV relativeFrom="paragraph">
                    <wp:posOffset>5080</wp:posOffset>
                  </wp:positionV>
                  <wp:extent cx="725170" cy="680085"/>
                  <wp:effectExtent l="0" t="0" r="6350" b="5715"/>
                  <wp:wrapNone/>
                  <wp:docPr id="283" name="图片 1" descr="博罗2001-2020风向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 name="图片 1" descr="博罗2001-2020风向标"/>
                          <pic:cNvPicPr>
                            <a:picLocks noChangeAspect="1"/>
                          </pic:cNvPicPr>
                        </pic:nvPicPr>
                        <pic:blipFill>
                          <a:blip r:embed="rId10"/>
                          <a:stretch>
                            <a:fillRect/>
                          </a:stretch>
                        </pic:blipFill>
                        <pic:spPr>
                          <a:xfrm>
                            <a:off x="0" y="0"/>
                            <a:ext cx="725170" cy="680085"/>
                          </a:xfrm>
                          <a:prstGeom prst="rect">
                            <a:avLst/>
                          </a:prstGeom>
                          <a:noFill/>
                          <a:ln w="9525" cap="flat" cmpd="sng">
                            <a:noFill/>
                            <a:prstDash val="solid"/>
                            <a:miter/>
                            <a:headEnd type="none" w="med" len="med"/>
                            <a:tailEnd type="none" w="med" len="med"/>
                          </a:ln>
                        </pic:spPr>
                      </pic:pic>
                    </a:graphicData>
                  </a:graphic>
                </wp:anchor>
              </w:drawing>
            </w:r>
            <w:r>
              <w:rPr>
                <w:color w:val="auto"/>
              </w:rPr>
              <mc:AlternateContent>
                <mc:Choice Requires="wps">
                  <w:drawing>
                    <wp:anchor distT="0" distB="0" distL="114300" distR="114300" simplePos="0" relativeHeight="251661312" behindDoc="0" locked="0" layoutInCell="1" allowOverlap="1">
                      <wp:simplePos x="0" y="0"/>
                      <wp:positionH relativeFrom="column">
                        <wp:posOffset>1168400</wp:posOffset>
                      </wp:positionH>
                      <wp:positionV relativeFrom="paragraph">
                        <wp:posOffset>1757045</wp:posOffset>
                      </wp:positionV>
                      <wp:extent cx="2514600" cy="57150"/>
                      <wp:effectExtent l="0" t="46990" r="0" b="17780"/>
                      <wp:wrapNone/>
                      <wp:docPr id="284" name="直接箭头连接符 284"/>
                      <wp:cNvGraphicFramePr/>
                      <a:graphic xmlns:a="http://schemas.openxmlformats.org/drawingml/2006/main">
                        <a:graphicData uri="http://schemas.microsoft.com/office/word/2010/wordprocessingShape">
                          <wps:wsp>
                            <wps:cNvCnPr/>
                            <wps:spPr>
                              <a:xfrm flipH="1" flipV="1">
                                <a:off x="0" y="0"/>
                                <a:ext cx="2514600" cy="57150"/>
                              </a:xfrm>
                              <a:prstGeom prst="straightConnector1">
                                <a:avLst/>
                              </a:prstGeom>
                              <a:ln>
                                <a:solidFill>
                                  <a:srgbClr val="FFFF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 y;margin-left:92pt;margin-top:138.35pt;height:4.5pt;width:198pt;z-index:251661312;mso-width-relative:page;mso-height-relative:page;" filled="f" stroked="t" coordsize="21600,21600" o:gfxdata="UEsDBAoAAAAAAIdO4kAAAAAAAAAAAAAAAAAEAAAAZHJzL1BLAwQUAAAACACHTuJAjAi3+9kAAAAL&#10;AQAADwAAAGRycy9kb3ducmV2LnhtbE2PzU7DMBCE70i8g7VI3KidijRpiNMDiAPi0B+QuG7jJYmI&#10;7RC7SXl7tic4zuxo9ptyc7a9mGgMnXcakoUCQa72pnONhve357scRIjoDPbekYYfCrCprq9KLIyf&#10;3Z6mQ2wEl7hQoIY2xqGQMtQtWQwLP5Dj26cfLUaWYyPNiDOX214ulVpJi53jDy0O9NhS/XU4WQ1P&#10;aYrz2nwn29d9t/5Qu+llFyatb28S9QAi0jn+heGCz+hQMdPRn5wJomed3/OWqGGZrTIQnEhzxc6R&#10;nTzNQFal/L+h+gVQSwMEFAAAAAgAh07iQH/xshIMAgAA4wMAAA4AAABkcnMvZTJvRG9jLnhtbK1T&#10;vY4TMRDukXgHyz3ZJLocd1E2VyQECgSR+Okdr3fXkv8048smL8ELIFEB1UF1/T0NHI/B2BsCHM0V&#10;uLDGHs83830znl3srGFbBai9K/loMORMOekr7ZqSv3m9enTGGUbhKmG8UyXfK+QX84cPZl2YqrFv&#10;vakUMAJxOO1CydsYw7QoULbKChz4oBw5aw9WRDpCU1QgOkK3phgPh6dF56EK4KVCpNtl7+QHRLgP&#10;oK9rLdXSy0urXOxRQRkRiRK2OiCf52rrWsn4sq5RRWZKTkxj3ikJ2Zu0F/OZmDYgQqvloQRxnxLu&#10;cLJCO0p6hFqKKNgl6H+grJbg0ddxIL0teiJZEWIxGt7R5lUrgspcSGoMR9Hx/8HKF9s1MF2VfHx2&#10;wpkTllp++/76+7tPt1+/fPt4/ePmQ7KvPrP0gOTqAk4pauHWcDhhWEPivqvBstro8IzmimfrbbKS&#10;j5iyXZZ9f5Rd7SKTdDmejE5Oh9QRSb7J49Ekt6XoAVNwAIxPlbcsGSXHCEI3bVx456jBHvoUYvsc&#10;I5VEgb8CUrDzK21M7rNxrCv5+WQ8oVyCZremmSHTBuKPruFMmIY+hYyQi0ZvdJWiEw5Cs1kYYFtB&#10;o7SiRRX32f56llIvBbb9u+zqhywKbZ64isV9IIkFgO8O8cZR0UnWXshkbXy1z/rme+p9pnWY0zRc&#10;f55z9O+/Of8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jAi3+9kAAAALAQAADwAAAAAAAAABACAA&#10;AAAiAAAAZHJzL2Rvd25yZXYueG1sUEsBAhQAFAAAAAgAh07iQH/xshIMAgAA4wMAAA4AAAAAAAAA&#10;AQAgAAAAKAEAAGRycy9lMm9Eb2MueG1sUEsFBgAAAAAGAAYAWQEAAKYFAAAAAA==&#10;">
                      <v:fill on="f" focussize="0,0"/>
                      <v:stroke color="#FFFF00 [3204]" joinstyle="round" endarrow="open"/>
                      <v:imagedata o:title=""/>
                      <o:lock v:ext="edit" aspectratio="f"/>
                    </v:shape>
                  </w:pict>
                </mc:Fallback>
              </mc:AlternateContent>
            </w:r>
            <w:r>
              <w:rPr>
                <w:color w:val="auto"/>
              </w:rPr>
              <mc:AlternateContent>
                <mc:Choice Requires="wps">
                  <w:drawing>
                    <wp:anchor distT="0" distB="0" distL="114300" distR="114300" simplePos="0" relativeHeight="251662336" behindDoc="0" locked="0" layoutInCell="1" allowOverlap="1">
                      <wp:simplePos x="0" y="0"/>
                      <wp:positionH relativeFrom="column">
                        <wp:posOffset>2120900</wp:posOffset>
                      </wp:positionH>
                      <wp:positionV relativeFrom="paragraph">
                        <wp:posOffset>1393825</wp:posOffset>
                      </wp:positionV>
                      <wp:extent cx="667385" cy="286385"/>
                      <wp:effectExtent l="0" t="0" r="0" b="0"/>
                      <wp:wrapNone/>
                      <wp:docPr id="285" name="文本框 285"/>
                      <wp:cNvGraphicFramePr/>
                      <a:graphic xmlns:a="http://schemas.openxmlformats.org/drawingml/2006/main">
                        <a:graphicData uri="http://schemas.microsoft.com/office/word/2010/wordprocessingShape">
                          <wps:wsp>
                            <wps:cNvSpPr txBox="1"/>
                            <wps:spPr>
                              <a:xfrm>
                                <a:off x="0" y="0"/>
                                <a:ext cx="667385" cy="2863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FFFF00"/>
                                    </w:rPr>
                                  </w:pPr>
                                  <w:r>
                                    <w:rPr>
                                      <w:rFonts w:hint="eastAsia"/>
                                      <w:b/>
                                      <w:bCs/>
                                      <w:color w:val="FFFF00"/>
                                    </w:rPr>
                                    <w:t>1960m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7pt;margin-top:109.75pt;height:22.55pt;width:52.55pt;z-index:251662336;mso-width-relative:page;mso-height-relative:page;" filled="f" stroked="f" coordsize="21600,21600" o:gfxdata="UEsDBAoAAAAAAIdO4kAAAAAAAAAAAAAAAAAEAAAAZHJzL1BLAwQUAAAACACHTuJAKDmvfNwAAAAL&#10;AQAADwAAAGRycy9kb3ducmV2LnhtbE2PS0/DMBCE70j8B2srcaPOq1Eb4lQoUoWE4NDSC7dN7CZR&#10;/Qix+4Bfz3Iqx9kZzX5Trq9Gs7Oa/OCsgHgeAVO2dXKwnYD9x+ZxCcwHtBK1s0rAt/Kwru7vSiyk&#10;u9itOu9Cx6jE+gIF9CGMBee+7ZVBP3ejsuQd3GQwkJw6Lie8ULnRPIminBscLH3ocVR1r9rj7mQE&#10;vNabd9w2iVn+6Prl7fA8fu0/F0I8zOLoCVhQ13ALwx8+oUNFTI07WemZFpCmGW0JApJ4tQBGiSxd&#10;xcAauuRZDrwq+f8N1S9QSwMEFAAAAAgAh07iQHaGUSo6AgAAaQQAAA4AAABkcnMvZTJvRG9jLnht&#10;bK1UwW4aMRC9V+o/WL6XBQKEIpaIBlFVippItOrZeG12Jdvj2oZd+gHtH+TUS+/9Lr6jYy8QlPaQ&#10;Qy9mPDP7xu/NDNObRiuyE85XYHLa63QpEYZDUZlNTj9/Wr4ZU+IDMwVTYERO98LTm9nrV9PaTkQf&#10;SlCFcARBjJ/UNqdlCHaSZZ6XQjPfASsMBiU4zQJe3SYrHKsRXaus3+2OshpcYR1w4T16F22QHhHd&#10;SwBByoqLBfCtFia0qE4oFpCSLyvr6Sy9VkrBw72UXgSicopMQzqxCNrreGazKZtsHLNlxY9PYC95&#10;wjNOmlUGi56hFiwwsnXVX1C64g48yNDhoLOWSFIEWfS6z7RZlcyKxAWl9vYsuv9/sPzj7sGRqshp&#10;fzykxDCNLT88/jj8/H349Z1EJ0pUWz/BzJXF3NC8gwYH5+T36IzMG+l0/EVOBOMo8P4ssGgC4egc&#10;ja6vYhmOof54FG1Ez54+ts6H9wI0iUZOHfYvycp2dz60qaeUWMvAslIq9VAZUmOBq2E3fXCOILgy&#10;WCNSaJ8ardCsmyOvNRR7pOWgnQ1v+bLC4nfMhwfmcBiQCa5LuMdDKsAicLQoKcF9+5c/5mOPMEpJ&#10;jcOVU/91y5ygRH0w2L23vcEgTmO6DIbXfby4y8j6MmK2+hZwfnu4mJYnM+YHdTKlA/0Ft2oeq2KI&#10;GY61cxpO5m1oRx63kov5PCXh/FkW7szK8gjdyjnfBpBVUjrK1GpzVA8nMPXquC1xxC/vKevpH2L2&#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Cg5r3zcAAAACwEAAA8AAAAAAAAAAQAgAAAAIgAAAGRy&#10;cy9kb3ducmV2LnhtbFBLAQIUABQAAAAIAIdO4kB2hlEqOgIAAGkEAAAOAAAAAAAAAAEAIAAAACsB&#10;AABkcnMvZTJvRG9jLnhtbFBLBQYAAAAABgAGAFkBAADXBQAAAAA=&#10;">
                      <v:fill on="f" focussize="0,0"/>
                      <v:stroke on="f" weight="0.5pt"/>
                      <v:imagedata o:title=""/>
                      <o:lock v:ext="edit" aspectratio="f"/>
                      <v:textbox>
                        <w:txbxContent>
                          <w:p>
                            <w:pPr>
                              <w:rPr>
                                <w:b/>
                                <w:bCs/>
                                <w:color w:val="FFFF00"/>
                              </w:rPr>
                            </w:pPr>
                            <w:r>
                              <w:rPr>
                                <w:rFonts w:hint="eastAsia"/>
                                <w:b/>
                                <w:bCs/>
                                <w:color w:val="FFFF00"/>
                              </w:rPr>
                              <w:t>1960m</w:t>
                            </w:r>
                          </w:p>
                        </w:txbxContent>
                      </v:textbox>
                    </v:shape>
                  </w:pict>
                </mc:Fallback>
              </mc:AlternateContent>
            </w:r>
            <w:r>
              <w:rPr>
                <w:rFonts w:hint="eastAsia"/>
                <w:color w:val="auto"/>
                <w:szCs w:val="21"/>
              </w:rPr>
              <w:drawing>
                <wp:inline distT="0" distB="0" distL="114300" distR="114300">
                  <wp:extent cx="5064125" cy="3480435"/>
                  <wp:effectExtent l="0" t="0" r="10795" b="9525"/>
                  <wp:docPr id="80" name="图片 80" descr="现状监测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现状监测点"/>
                          <pic:cNvPicPr>
                            <a:picLocks noChangeAspect="1"/>
                          </pic:cNvPicPr>
                        </pic:nvPicPr>
                        <pic:blipFill>
                          <a:blip r:embed="rId11"/>
                          <a:stretch>
                            <a:fillRect/>
                          </a:stretch>
                        </pic:blipFill>
                        <pic:spPr>
                          <a:xfrm>
                            <a:off x="0" y="0"/>
                            <a:ext cx="5064125" cy="3480435"/>
                          </a:xfrm>
                          <a:prstGeom prst="rect">
                            <a:avLst/>
                          </a:prstGeom>
                        </pic:spPr>
                      </pic:pic>
                    </a:graphicData>
                  </a:graphic>
                </wp:inline>
              </w:drawing>
            </w:r>
          </w:p>
          <w:p>
            <w:pPr>
              <w:pStyle w:val="5"/>
              <w:jc w:val="center"/>
              <w:rPr>
                <w:b/>
                <w:bCs/>
                <w:color w:val="auto"/>
                <w:sz w:val="21"/>
                <w:szCs w:val="21"/>
              </w:rPr>
            </w:pPr>
            <w:r>
              <w:rPr>
                <w:b/>
                <w:bCs/>
                <w:color w:val="auto"/>
                <w:sz w:val="21"/>
                <w:szCs w:val="21"/>
              </w:rPr>
              <w:t>图</w:t>
            </w:r>
            <w:r>
              <w:rPr>
                <w:rFonts w:hint="eastAsia"/>
                <w:b/>
                <w:bCs/>
                <w:color w:val="auto"/>
                <w:sz w:val="21"/>
                <w:szCs w:val="21"/>
              </w:rPr>
              <w:t>3-2 项目与大气环境引用监测点位位置的关系图</w:t>
            </w:r>
          </w:p>
          <w:p>
            <w:pPr>
              <w:adjustRightInd w:val="0"/>
              <w:snapToGrid w:val="0"/>
              <w:spacing w:line="360" w:lineRule="auto"/>
              <w:ind w:left="420" w:leftChars="200"/>
              <w:rPr>
                <w:b/>
                <w:color w:val="auto"/>
                <w:szCs w:val="21"/>
              </w:rPr>
            </w:pPr>
            <w:r>
              <w:rPr>
                <w:rFonts w:hint="eastAsia"/>
                <w:b/>
                <w:color w:val="auto"/>
                <w:szCs w:val="21"/>
              </w:rPr>
              <w:t>2、</w:t>
            </w:r>
            <w:r>
              <w:rPr>
                <w:b/>
                <w:color w:val="auto"/>
                <w:szCs w:val="21"/>
              </w:rPr>
              <w:t>地表水环境质量现状</w:t>
            </w:r>
          </w:p>
          <w:p>
            <w:pPr>
              <w:adjustRightInd w:val="0"/>
              <w:snapToGrid w:val="0"/>
              <w:spacing w:line="360" w:lineRule="auto"/>
              <w:ind w:firstLine="420" w:firstLineChars="200"/>
              <w:rPr>
                <w:bCs/>
                <w:color w:val="auto"/>
                <w:szCs w:val="21"/>
              </w:rPr>
            </w:pPr>
            <w:r>
              <w:rPr>
                <w:rFonts w:hint="eastAsia"/>
                <w:color w:val="auto"/>
                <w:szCs w:val="21"/>
              </w:rPr>
              <w:t>本项目的纳污水体为园洲镇中心排渠。本次地表水环境质量现状引用广东宏科检测技术有限公司《惠州市众信天成电子发展有限公司环境质量现状检测》（报告编号：GDHK20201212009）于2020年12月12日~12月14日对区域地表水体中心排渠的数</w:t>
            </w:r>
            <w:r>
              <w:rPr>
                <w:rFonts w:hint="eastAsia"/>
                <w:bCs/>
                <w:color w:val="auto"/>
                <w:szCs w:val="21"/>
              </w:rPr>
              <w:t>据。引用项目地表水监测与本项目受纳水体属同一条河流，且为近3年有效监测数据，因此引用数据具有可行性，具体监测断面和监测数据如下所示：</w:t>
            </w:r>
          </w:p>
          <w:p>
            <w:pPr>
              <w:adjustRightInd w:val="0"/>
              <w:snapToGrid w:val="0"/>
              <w:spacing w:line="360" w:lineRule="auto"/>
              <w:ind w:firstLine="420" w:firstLineChars="200"/>
              <w:rPr>
                <w:bCs/>
                <w:color w:val="auto"/>
                <w:szCs w:val="21"/>
              </w:rPr>
            </w:pPr>
            <w:r>
              <w:rPr>
                <w:rFonts w:hint="eastAsia"/>
                <w:bCs/>
                <w:color w:val="auto"/>
                <w:szCs w:val="21"/>
              </w:rPr>
              <w:t>（1）监测断面</w:t>
            </w:r>
          </w:p>
          <w:p>
            <w:pPr>
              <w:adjustRightInd w:val="0"/>
              <w:snapToGrid w:val="0"/>
              <w:spacing w:line="360" w:lineRule="auto"/>
              <w:ind w:firstLine="420" w:firstLineChars="200"/>
              <w:rPr>
                <w:bCs/>
                <w:color w:val="auto"/>
                <w:szCs w:val="21"/>
              </w:rPr>
            </w:pPr>
            <w:r>
              <w:rPr>
                <w:rFonts w:hint="eastAsia"/>
                <w:bCs/>
                <w:color w:val="auto"/>
                <w:szCs w:val="21"/>
              </w:rPr>
              <w:t>在惠州市众信天成电子发展有限公司废水排放口汇入中心排渠上游200m处、惠州市众信天成电子发展有限公司废水排放口汇入中心排渠下游500m处，各布设1个监测断面，详见下表。</w:t>
            </w:r>
          </w:p>
          <w:p>
            <w:pPr>
              <w:adjustRightInd w:val="0"/>
              <w:jc w:val="center"/>
              <w:textAlignment w:val="baseline"/>
              <w:rPr>
                <w:b/>
                <w:bCs/>
                <w:color w:val="auto"/>
                <w:szCs w:val="21"/>
              </w:rPr>
            </w:pPr>
            <w:r>
              <w:rPr>
                <w:rFonts w:hint="eastAsia"/>
                <w:b/>
                <w:bCs/>
                <w:color w:val="auto"/>
                <w:szCs w:val="21"/>
              </w:rPr>
              <w:t>表3-2 地表水水质监测断面一览表</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0"/>
              <w:gridCol w:w="4575"/>
              <w:gridCol w:w="1245"/>
              <w:gridCol w:w="1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20" w:type="dxa"/>
                  <w:tcBorders>
                    <w:top w:val="single" w:color="auto" w:sz="4" w:space="0"/>
                    <w:left w:val="single" w:color="auto" w:sz="4" w:space="0"/>
                    <w:right w:val="single" w:color="auto" w:sz="4" w:space="0"/>
                  </w:tcBorders>
                  <w:vAlign w:val="center"/>
                </w:tcPr>
                <w:p>
                  <w:pPr>
                    <w:jc w:val="center"/>
                    <w:rPr>
                      <w:b/>
                      <w:bCs/>
                      <w:color w:val="auto"/>
                      <w:szCs w:val="21"/>
                    </w:rPr>
                  </w:pPr>
                  <w:r>
                    <w:rPr>
                      <w:rFonts w:hint="eastAsia"/>
                      <w:b/>
                      <w:bCs/>
                      <w:color w:val="auto"/>
                      <w:szCs w:val="21"/>
                    </w:rPr>
                    <w:t>断面编号</w:t>
                  </w:r>
                </w:p>
              </w:tc>
              <w:tc>
                <w:tcPr>
                  <w:tcW w:w="4575" w:type="dxa"/>
                  <w:tcBorders>
                    <w:top w:val="single" w:color="auto" w:sz="4" w:space="0"/>
                    <w:left w:val="single" w:color="auto" w:sz="4" w:space="0"/>
                    <w:right w:val="single" w:color="auto" w:sz="4" w:space="0"/>
                  </w:tcBorders>
                  <w:vAlign w:val="center"/>
                </w:tcPr>
                <w:p>
                  <w:pPr>
                    <w:jc w:val="center"/>
                    <w:rPr>
                      <w:b/>
                      <w:bCs/>
                      <w:color w:val="auto"/>
                      <w:szCs w:val="21"/>
                    </w:rPr>
                  </w:pPr>
                  <w:r>
                    <w:rPr>
                      <w:rFonts w:hint="eastAsia"/>
                      <w:b/>
                      <w:bCs/>
                      <w:color w:val="auto"/>
                      <w:szCs w:val="21"/>
                    </w:rPr>
                    <w:t>监测断面</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b/>
                      <w:bCs/>
                      <w:color w:val="auto"/>
                      <w:szCs w:val="21"/>
                    </w:rPr>
                  </w:pPr>
                  <w:r>
                    <w:rPr>
                      <w:rFonts w:hint="eastAsia"/>
                      <w:b/>
                      <w:bCs/>
                      <w:color w:val="auto"/>
                      <w:szCs w:val="21"/>
                    </w:rPr>
                    <w:t>所属水体</w:t>
                  </w:r>
                </w:p>
              </w:tc>
              <w:tc>
                <w:tcPr>
                  <w:tcW w:w="1230" w:type="dxa"/>
                  <w:tcBorders>
                    <w:top w:val="single" w:color="auto" w:sz="4" w:space="0"/>
                    <w:left w:val="single" w:color="auto" w:sz="4" w:space="0"/>
                    <w:bottom w:val="single" w:color="auto" w:sz="4" w:space="0"/>
                    <w:right w:val="single" w:color="auto" w:sz="4" w:space="0"/>
                  </w:tcBorders>
                  <w:vAlign w:val="center"/>
                </w:tcPr>
                <w:p>
                  <w:pPr>
                    <w:jc w:val="center"/>
                    <w:rPr>
                      <w:b/>
                      <w:bCs/>
                      <w:color w:val="auto"/>
                      <w:szCs w:val="21"/>
                    </w:rPr>
                  </w:pPr>
                  <w:r>
                    <w:rPr>
                      <w:rFonts w:hint="eastAsia"/>
                      <w:b/>
                      <w:bCs/>
                      <w:color w:val="auto"/>
                      <w:szCs w:val="21"/>
                    </w:rPr>
                    <w:t>断面性质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20" w:type="dxa"/>
                  <w:tcBorders>
                    <w:left w:val="single" w:color="auto" w:sz="4" w:space="0"/>
                    <w:right w:val="single" w:color="auto" w:sz="4" w:space="0"/>
                  </w:tcBorders>
                  <w:vAlign w:val="center"/>
                </w:tcPr>
                <w:p>
                  <w:pPr>
                    <w:widowControl/>
                    <w:jc w:val="center"/>
                    <w:rPr>
                      <w:color w:val="auto"/>
                      <w:szCs w:val="21"/>
                    </w:rPr>
                  </w:pPr>
                  <w:r>
                    <w:rPr>
                      <w:rFonts w:hint="eastAsia"/>
                      <w:color w:val="auto"/>
                      <w:szCs w:val="21"/>
                    </w:rPr>
                    <w:t>W1</w:t>
                  </w:r>
                </w:p>
              </w:tc>
              <w:tc>
                <w:tcPr>
                  <w:tcW w:w="4575" w:type="dxa"/>
                  <w:tcBorders>
                    <w:left w:val="single" w:color="auto" w:sz="4" w:space="0"/>
                    <w:right w:val="single" w:color="auto" w:sz="4" w:space="0"/>
                  </w:tcBorders>
                  <w:vAlign w:val="center"/>
                </w:tcPr>
                <w:p>
                  <w:pPr>
                    <w:widowControl/>
                    <w:jc w:val="center"/>
                    <w:rPr>
                      <w:color w:val="auto"/>
                      <w:szCs w:val="21"/>
                    </w:rPr>
                  </w:pPr>
                  <w:r>
                    <w:rPr>
                      <w:rFonts w:hint="eastAsia"/>
                      <w:color w:val="auto"/>
                      <w:szCs w:val="21"/>
                    </w:rPr>
                    <w:t>惠州市众信天成电子发展有限公司废水排放口汇入中心排渠上游200m处</w:t>
                  </w:r>
                </w:p>
              </w:tc>
              <w:tc>
                <w:tcPr>
                  <w:tcW w:w="1245" w:type="dxa"/>
                  <w:tcBorders>
                    <w:left w:val="single" w:color="auto" w:sz="4" w:space="0"/>
                    <w:right w:val="single" w:color="auto" w:sz="4" w:space="0"/>
                  </w:tcBorders>
                  <w:vAlign w:val="center"/>
                </w:tcPr>
                <w:p>
                  <w:pPr>
                    <w:widowControl/>
                    <w:jc w:val="center"/>
                    <w:rPr>
                      <w:color w:val="auto"/>
                      <w:szCs w:val="21"/>
                    </w:rPr>
                  </w:pPr>
                  <w:r>
                    <w:rPr>
                      <w:rFonts w:hint="eastAsia"/>
                      <w:color w:val="auto"/>
                      <w:szCs w:val="21"/>
                    </w:rPr>
                    <w:t>中心排渠</w:t>
                  </w:r>
                </w:p>
              </w:tc>
              <w:tc>
                <w:tcPr>
                  <w:tcW w:w="1230"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rFonts w:hint="eastAsia"/>
                      <w:color w:val="auto"/>
                      <w:szCs w:val="21"/>
                    </w:rPr>
                    <w:t>对照断面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20" w:type="dxa"/>
                  <w:tcBorders>
                    <w:left w:val="single" w:color="auto" w:sz="4" w:space="0"/>
                    <w:right w:val="single" w:color="auto" w:sz="4" w:space="0"/>
                  </w:tcBorders>
                  <w:vAlign w:val="center"/>
                </w:tcPr>
                <w:p>
                  <w:pPr>
                    <w:widowControl/>
                    <w:jc w:val="center"/>
                    <w:rPr>
                      <w:color w:val="auto"/>
                      <w:szCs w:val="21"/>
                    </w:rPr>
                  </w:pPr>
                  <w:r>
                    <w:rPr>
                      <w:rFonts w:hint="eastAsia"/>
                      <w:color w:val="auto"/>
                      <w:szCs w:val="21"/>
                    </w:rPr>
                    <w:t>W2</w:t>
                  </w:r>
                </w:p>
              </w:tc>
              <w:tc>
                <w:tcPr>
                  <w:tcW w:w="4575" w:type="dxa"/>
                  <w:tcBorders>
                    <w:left w:val="single" w:color="auto" w:sz="4" w:space="0"/>
                    <w:right w:val="single" w:color="auto" w:sz="4" w:space="0"/>
                  </w:tcBorders>
                  <w:vAlign w:val="center"/>
                </w:tcPr>
                <w:p>
                  <w:pPr>
                    <w:widowControl/>
                    <w:jc w:val="center"/>
                    <w:rPr>
                      <w:color w:val="auto"/>
                      <w:szCs w:val="21"/>
                    </w:rPr>
                  </w:pPr>
                  <w:r>
                    <w:rPr>
                      <w:rFonts w:hint="eastAsia"/>
                      <w:color w:val="auto"/>
                      <w:szCs w:val="21"/>
                    </w:rPr>
                    <w:t>惠州市众信天成电子发展有限公司废水排放口汇入中心排渠下游500m处</w:t>
                  </w:r>
                </w:p>
              </w:tc>
              <w:tc>
                <w:tcPr>
                  <w:tcW w:w="1245" w:type="dxa"/>
                  <w:tcBorders>
                    <w:left w:val="single" w:color="auto" w:sz="4" w:space="0"/>
                    <w:right w:val="single" w:color="auto" w:sz="4" w:space="0"/>
                  </w:tcBorders>
                  <w:vAlign w:val="center"/>
                </w:tcPr>
                <w:p>
                  <w:pPr>
                    <w:widowControl/>
                    <w:jc w:val="center"/>
                    <w:rPr>
                      <w:color w:val="auto"/>
                      <w:szCs w:val="21"/>
                    </w:rPr>
                  </w:pPr>
                  <w:r>
                    <w:rPr>
                      <w:rFonts w:hint="eastAsia"/>
                      <w:color w:val="auto"/>
                      <w:szCs w:val="21"/>
                    </w:rPr>
                    <w:t>中心排渠</w:t>
                  </w:r>
                </w:p>
              </w:tc>
              <w:tc>
                <w:tcPr>
                  <w:tcW w:w="1230"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rFonts w:hint="eastAsia"/>
                      <w:color w:val="auto"/>
                      <w:szCs w:val="21"/>
                    </w:rPr>
                    <w:t>控制断面</w:t>
                  </w:r>
                </w:p>
              </w:tc>
            </w:tr>
          </w:tbl>
          <w:p>
            <w:pPr>
              <w:spacing w:before="120" w:beforeLines="50" w:line="360" w:lineRule="auto"/>
              <w:ind w:firstLine="420" w:firstLineChars="200"/>
              <w:jc w:val="left"/>
              <w:rPr>
                <w:bCs/>
                <w:color w:val="auto"/>
                <w:szCs w:val="21"/>
              </w:rPr>
            </w:pPr>
            <w:r>
              <w:rPr>
                <w:rFonts w:hint="eastAsia"/>
                <w:bCs/>
                <w:color w:val="auto"/>
                <w:szCs w:val="21"/>
              </w:rPr>
              <w:t>（2）监测及评价结果</w:t>
            </w:r>
          </w:p>
          <w:p>
            <w:pPr>
              <w:adjustRightInd w:val="0"/>
              <w:jc w:val="center"/>
              <w:textAlignment w:val="baseline"/>
              <w:rPr>
                <w:b/>
                <w:color w:val="auto"/>
                <w:szCs w:val="21"/>
              </w:rPr>
            </w:pPr>
            <w:r>
              <w:rPr>
                <w:rFonts w:hint="eastAsia"/>
                <w:b/>
                <w:color w:val="auto"/>
                <w:szCs w:val="21"/>
              </w:rPr>
              <w:t>表3-3</w:t>
            </w:r>
            <w:r>
              <w:rPr>
                <w:b/>
                <w:color w:val="auto"/>
                <w:szCs w:val="21"/>
              </w:rPr>
              <w:t xml:space="preserve"> </w:t>
            </w:r>
            <w:r>
              <w:rPr>
                <w:b/>
                <w:bCs/>
                <w:color w:val="auto"/>
                <w:szCs w:val="21"/>
              </w:rPr>
              <w:t>地表水</w:t>
            </w:r>
            <w:r>
              <w:rPr>
                <w:rFonts w:hint="eastAsia"/>
                <w:b/>
                <w:bCs/>
                <w:color w:val="auto"/>
                <w:szCs w:val="21"/>
              </w:rPr>
              <w:t>水质现状监测结果</w:t>
            </w:r>
            <w:r>
              <w:rPr>
                <w:b/>
                <w:bCs/>
                <w:color w:val="auto"/>
                <w:szCs w:val="21"/>
              </w:rPr>
              <w:t xml:space="preserve"> 单位：mg/L</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92"/>
              <w:gridCol w:w="1267"/>
              <w:gridCol w:w="856"/>
              <w:gridCol w:w="900"/>
              <w:gridCol w:w="885"/>
              <w:gridCol w:w="921"/>
              <w:gridCol w:w="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trPr>
              <w:tc>
                <w:tcPr>
                  <w:tcW w:w="2592" w:type="dxa"/>
                  <w:vMerge w:val="restart"/>
                  <w:vAlign w:val="center"/>
                </w:tcPr>
                <w:p>
                  <w:pPr>
                    <w:pStyle w:val="116"/>
                    <w:spacing w:line="240" w:lineRule="auto"/>
                    <w:rPr>
                      <w:b/>
                      <w:bCs/>
                      <w:color w:val="auto"/>
                      <w:szCs w:val="21"/>
                    </w:rPr>
                  </w:pPr>
                  <w:r>
                    <w:rPr>
                      <w:b/>
                      <w:bCs/>
                      <w:color w:val="auto"/>
                      <w:szCs w:val="21"/>
                    </w:rPr>
                    <w:t>采样位置</w:t>
                  </w:r>
                </w:p>
              </w:tc>
              <w:tc>
                <w:tcPr>
                  <w:tcW w:w="1267" w:type="dxa"/>
                  <w:vMerge w:val="restart"/>
                  <w:vAlign w:val="center"/>
                </w:tcPr>
                <w:p>
                  <w:pPr>
                    <w:pStyle w:val="116"/>
                    <w:spacing w:line="240" w:lineRule="auto"/>
                    <w:rPr>
                      <w:b/>
                      <w:bCs/>
                      <w:color w:val="auto"/>
                      <w:szCs w:val="21"/>
                    </w:rPr>
                  </w:pPr>
                  <w:r>
                    <w:rPr>
                      <w:b/>
                      <w:bCs/>
                      <w:color w:val="auto"/>
                      <w:szCs w:val="21"/>
                    </w:rPr>
                    <w:t>采样日期</w:t>
                  </w:r>
                </w:p>
              </w:tc>
              <w:tc>
                <w:tcPr>
                  <w:tcW w:w="4411" w:type="dxa"/>
                  <w:gridSpan w:val="5"/>
                  <w:vAlign w:val="center"/>
                </w:tcPr>
                <w:p>
                  <w:pPr>
                    <w:pStyle w:val="116"/>
                    <w:spacing w:line="240" w:lineRule="auto"/>
                    <w:rPr>
                      <w:b/>
                      <w:bCs/>
                      <w:color w:val="auto"/>
                      <w:szCs w:val="21"/>
                    </w:rPr>
                  </w:pPr>
                  <w:r>
                    <w:rPr>
                      <w:b/>
                      <w:bCs/>
                      <w:color w:val="auto"/>
                      <w:szCs w:val="21"/>
                    </w:rPr>
                    <w:t>检测项目及结果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592" w:type="dxa"/>
                  <w:vMerge w:val="continue"/>
                  <w:vAlign w:val="center"/>
                </w:tcPr>
                <w:p>
                  <w:pPr>
                    <w:pStyle w:val="116"/>
                    <w:spacing w:line="240" w:lineRule="auto"/>
                    <w:rPr>
                      <w:b/>
                      <w:bCs/>
                      <w:color w:val="auto"/>
                      <w:szCs w:val="21"/>
                    </w:rPr>
                  </w:pPr>
                </w:p>
              </w:tc>
              <w:tc>
                <w:tcPr>
                  <w:tcW w:w="1267" w:type="dxa"/>
                  <w:vMerge w:val="continue"/>
                  <w:vAlign w:val="center"/>
                </w:tcPr>
                <w:p>
                  <w:pPr>
                    <w:pStyle w:val="116"/>
                    <w:spacing w:line="240" w:lineRule="auto"/>
                    <w:rPr>
                      <w:b/>
                      <w:bCs/>
                      <w:color w:val="auto"/>
                      <w:szCs w:val="21"/>
                    </w:rPr>
                  </w:pPr>
                </w:p>
              </w:tc>
              <w:tc>
                <w:tcPr>
                  <w:tcW w:w="856" w:type="dxa"/>
                  <w:vAlign w:val="center"/>
                </w:tcPr>
                <w:p>
                  <w:pPr>
                    <w:pStyle w:val="116"/>
                    <w:spacing w:line="240" w:lineRule="auto"/>
                    <w:rPr>
                      <w:b/>
                      <w:bCs/>
                      <w:color w:val="auto"/>
                      <w:szCs w:val="21"/>
                    </w:rPr>
                  </w:pPr>
                  <w:r>
                    <w:rPr>
                      <w:b/>
                      <w:bCs/>
                      <w:color w:val="auto"/>
                      <w:szCs w:val="21"/>
                    </w:rPr>
                    <w:t>COD</w:t>
                  </w:r>
                </w:p>
              </w:tc>
              <w:tc>
                <w:tcPr>
                  <w:tcW w:w="900" w:type="dxa"/>
                  <w:vAlign w:val="center"/>
                </w:tcPr>
                <w:p>
                  <w:pPr>
                    <w:pStyle w:val="116"/>
                    <w:spacing w:line="240" w:lineRule="auto"/>
                    <w:rPr>
                      <w:b/>
                      <w:bCs/>
                      <w:color w:val="auto"/>
                      <w:szCs w:val="21"/>
                      <w:vertAlign w:val="subscript"/>
                    </w:rPr>
                  </w:pPr>
                  <w:r>
                    <w:rPr>
                      <w:b/>
                      <w:bCs/>
                      <w:color w:val="auto"/>
                      <w:szCs w:val="21"/>
                    </w:rPr>
                    <w:t>BOD</w:t>
                  </w:r>
                  <w:r>
                    <w:rPr>
                      <w:b/>
                      <w:bCs/>
                      <w:color w:val="auto"/>
                      <w:szCs w:val="21"/>
                      <w:vertAlign w:val="subscript"/>
                    </w:rPr>
                    <w:t>5</w:t>
                  </w:r>
                </w:p>
              </w:tc>
              <w:tc>
                <w:tcPr>
                  <w:tcW w:w="885" w:type="dxa"/>
                  <w:vAlign w:val="center"/>
                </w:tcPr>
                <w:p>
                  <w:pPr>
                    <w:pStyle w:val="116"/>
                    <w:spacing w:line="240" w:lineRule="auto"/>
                    <w:rPr>
                      <w:b/>
                      <w:bCs/>
                      <w:color w:val="auto"/>
                      <w:szCs w:val="21"/>
                    </w:rPr>
                  </w:pPr>
                  <w:r>
                    <w:rPr>
                      <w:b/>
                      <w:bCs/>
                      <w:color w:val="auto"/>
                      <w:szCs w:val="21"/>
                    </w:rPr>
                    <w:t>氨氮</w:t>
                  </w:r>
                </w:p>
              </w:tc>
              <w:tc>
                <w:tcPr>
                  <w:tcW w:w="921" w:type="dxa"/>
                  <w:vAlign w:val="center"/>
                </w:tcPr>
                <w:p>
                  <w:pPr>
                    <w:pStyle w:val="116"/>
                    <w:spacing w:line="240" w:lineRule="auto"/>
                    <w:rPr>
                      <w:b/>
                      <w:bCs/>
                      <w:color w:val="auto"/>
                      <w:szCs w:val="21"/>
                    </w:rPr>
                  </w:pPr>
                  <w:r>
                    <w:rPr>
                      <w:b/>
                      <w:bCs/>
                      <w:color w:val="auto"/>
                      <w:szCs w:val="21"/>
                    </w:rPr>
                    <w:t>总磷</w:t>
                  </w:r>
                </w:p>
              </w:tc>
              <w:tc>
                <w:tcPr>
                  <w:tcW w:w="849" w:type="dxa"/>
                  <w:vAlign w:val="center"/>
                </w:tcPr>
                <w:p>
                  <w:pPr>
                    <w:pStyle w:val="116"/>
                    <w:spacing w:line="240" w:lineRule="auto"/>
                    <w:rPr>
                      <w:b/>
                      <w:bCs/>
                      <w:color w:val="auto"/>
                      <w:szCs w:val="21"/>
                    </w:rPr>
                  </w:pPr>
                  <w:r>
                    <w:rPr>
                      <w:b/>
                      <w:bCs/>
                      <w:color w:val="auto"/>
                      <w:szCs w:val="21"/>
                    </w:rPr>
                    <w:t>石油类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2592" w:type="dxa"/>
                  <w:vMerge w:val="restart"/>
                  <w:vAlign w:val="center"/>
                </w:tcPr>
                <w:p>
                  <w:pPr>
                    <w:pStyle w:val="116"/>
                    <w:spacing w:line="240" w:lineRule="auto"/>
                    <w:rPr>
                      <w:color w:val="auto"/>
                      <w:szCs w:val="21"/>
                    </w:rPr>
                  </w:pPr>
                  <w:r>
                    <w:rPr>
                      <w:rFonts w:hint="eastAsia"/>
                      <w:color w:val="auto"/>
                      <w:szCs w:val="21"/>
                    </w:rPr>
                    <w:t>惠州市众信天成电子发展有限公司废水排放口汇入中心排渠上游200m处</w:t>
                  </w:r>
                </w:p>
              </w:tc>
              <w:tc>
                <w:tcPr>
                  <w:tcW w:w="1267" w:type="dxa"/>
                  <w:vAlign w:val="center"/>
                </w:tcPr>
                <w:p>
                  <w:pPr>
                    <w:pStyle w:val="116"/>
                    <w:spacing w:line="240" w:lineRule="auto"/>
                    <w:rPr>
                      <w:color w:val="auto"/>
                      <w:szCs w:val="21"/>
                    </w:rPr>
                  </w:pPr>
                  <w:r>
                    <w:rPr>
                      <w:rFonts w:hint="eastAsia"/>
                      <w:color w:val="auto"/>
                      <w:szCs w:val="21"/>
                    </w:rPr>
                    <w:t>2020.12.12</w:t>
                  </w:r>
                </w:p>
              </w:tc>
              <w:tc>
                <w:tcPr>
                  <w:tcW w:w="856" w:type="dxa"/>
                  <w:vAlign w:val="center"/>
                </w:tcPr>
                <w:p>
                  <w:pPr>
                    <w:pStyle w:val="116"/>
                    <w:spacing w:line="240" w:lineRule="auto"/>
                    <w:rPr>
                      <w:color w:val="auto"/>
                      <w:szCs w:val="21"/>
                    </w:rPr>
                  </w:pPr>
                  <w:r>
                    <w:rPr>
                      <w:rFonts w:hint="eastAsia"/>
                      <w:color w:val="auto"/>
                      <w:szCs w:val="21"/>
                    </w:rPr>
                    <w:t>187</w:t>
                  </w:r>
                </w:p>
              </w:tc>
              <w:tc>
                <w:tcPr>
                  <w:tcW w:w="900" w:type="dxa"/>
                  <w:vAlign w:val="center"/>
                </w:tcPr>
                <w:p>
                  <w:pPr>
                    <w:pStyle w:val="116"/>
                    <w:spacing w:line="240" w:lineRule="auto"/>
                    <w:rPr>
                      <w:color w:val="auto"/>
                      <w:szCs w:val="21"/>
                    </w:rPr>
                  </w:pPr>
                  <w:r>
                    <w:rPr>
                      <w:rFonts w:hint="eastAsia"/>
                      <w:color w:val="auto"/>
                      <w:szCs w:val="21"/>
                    </w:rPr>
                    <w:t>66.9</w:t>
                  </w:r>
                </w:p>
              </w:tc>
              <w:tc>
                <w:tcPr>
                  <w:tcW w:w="885" w:type="dxa"/>
                  <w:vAlign w:val="center"/>
                </w:tcPr>
                <w:p>
                  <w:pPr>
                    <w:pStyle w:val="116"/>
                    <w:spacing w:line="240" w:lineRule="auto"/>
                    <w:rPr>
                      <w:color w:val="auto"/>
                      <w:szCs w:val="21"/>
                    </w:rPr>
                  </w:pPr>
                  <w:r>
                    <w:rPr>
                      <w:rFonts w:hint="eastAsia"/>
                      <w:color w:val="auto"/>
                      <w:szCs w:val="21"/>
                    </w:rPr>
                    <w:t>3.43</w:t>
                  </w:r>
                </w:p>
              </w:tc>
              <w:tc>
                <w:tcPr>
                  <w:tcW w:w="921" w:type="dxa"/>
                  <w:vAlign w:val="center"/>
                </w:tcPr>
                <w:p>
                  <w:pPr>
                    <w:pStyle w:val="116"/>
                    <w:spacing w:line="240" w:lineRule="auto"/>
                    <w:rPr>
                      <w:color w:val="auto"/>
                      <w:szCs w:val="21"/>
                    </w:rPr>
                  </w:pPr>
                  <w:r>
                    <w:rPr>
                      <w:rFonts w:hint="eastAsia"/>
                      <w:color w:val="auto"/>
                      <w:szCs w:val="21"/>
                    </w:rPr>
                    <w:t>0.24</w:t>
                  </w:r>
                </w:p>
              </w:tc>
              <w:tc>
                <w:tcPr>
                  <w:tcW w:w="849" w:type="dxa"/>
                  <w:vAlign w:val="center"/>
                </w:tcPr>
                <w:p>
                  <w:pPr>
                    <w:pStyle w:val="116"/>
                    <w:spacing w:line="240" w:lineRule="auto"/>
                    <w:rPr>
                      <w:color w:val="auto"/>
                      <w:szCs w:val="21"/>
                    </w:rPr>
                  </w:pPr>
                  <w:r>
                    <w:rPr>
                      <w:rFonts w:hint="eastAsia"/>
                      <w:color w:val="auto"/>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2592" w:type="dxa"/>
                  <w:vMerge w:val="continue"/>
                  <w:vAlign w:val="center"/>
                </w:tcPr>
                <w:p>
                  <w:pPr>
                    <w:pStyle w:val="116"/>
                    <w:spacing w:line="240" w:lineRule="auto"/>
                    <w:rPr>
                      <w:color w:val="auto"/>
                      <w:szCs w:val="21"/>
                    </w:rPr>
                  </w:pPr>
                </w:p>
              </w:tc>
              <w:tc>
                <w:tcPr>
                  <w:tcW w:w="1267" w:type="dxa"/>
                  <w:vAlign w:val="center"/>
                </w:tcPr>
                <w:p>
                  <w:pPr>
                    <w:pStyle w:val="116"/>
                    <w:spacing w:line="240" w:lineRule="auto"/>
                    <w:rPr>
                      <w:color w:val="auto"/>
                      <w:szCs w:val="21"/>
                    </w:rPr>
                  </w:pPr>
                  <w:r>
                    <w:rPr>
                      <w:rFonts w:hint="eastAsia"/>
                      <w:color w:val="auto"/>
                      <w:szCs w:val="21"/>
                    </w:rPr>
                    <w:t>2020.12.13</w:t>
                  </w:r>
                </w:p>
              </w:tc>
              <w:tc>
                <w:tcPr>
                  <w:tcW w:w="856" w:type="dxa"/>
                  <w:vAlign w:val="center"/>
                </w:tcPr>
                <w:p>
                  <w:pPr>
                    <w:pStyle w:val="116"/>
                    <w:spacing w:line="240" w:lineRule="auto"/>
                    <w:rPr>
                      <w:color w:val="auto"/>
                      <w:szCs w:val="21"/>
                    </w:rPr>
                  </w:pPr>
                  <w:r>
                    <w:rPr>
                      <w:rFonts w:hint="eastAsia"/>
                      <w:color w:val="auto"/>
                      <w:szCs w:val="21"/>
                    </w:rPr>
                    <w:t>181</w:t>
                  </w:r>
                </w:p>
              </w:tc>
              <w:tc>
                <w:tcPr>
                  <w:tcW w:w="900" w:type="dxa"/>
                  <w:vAlign w:val="center"/>
                </w:tcPr>
                <w:p>
                  <w:pPr>
                    <w:pStyle w:val="116"/>
                    <w:spacing w:line="240" w:lineRule="auto"/>
                    <w:rPr>
                      <w:color w:val="auto"/>
                      <w:szCs w:val="21"/>
                    </w:rPr>
                  </w:pPr>
                  <w:r>
                    <w:rPr>
                      <w:rFonts w:hint="eastAsia"/>
                      <w:color w:val="auto"/>
                      <w:szCs w:val="21"/>
                    </w:rPr>
                    <w:t>61.2</w:t>
                  </w:r>
                </w:p>
              </w:tc>
              <w:tc>
                <w:tcPr>
                  <w:tcW w:w="885" w:type="dxa"/>
                  <w:vAlign w:val="center"/>
                </w:tcPr>
                <w:p>
                  <w:pPr>
                    <w:pStyle w:val="116"/>
                    <w:spacing w:line="240" w:lineRule="auto"/>
                    <w:rPr>
                      <w:color w:val="auto"/>
                      <w:szCs w:val="21"/>
                    </w:rPr>
                  </w:pPr>
                  <w:r>
                    <w:rPr>
                      <w:rFonts w:hint="eastAsia"/>
                      <w:color w:val="auto"/>
                      <w:szCs w:val="21"/>
                    </w:rPr>
                    <w:t>3.08</w:t>
                  </w:r>
                </w:p>
              </w:tc>
              <w:tc>
                <w:tcPr>
                  <w:tcW w:w="921" w:type="dxa"/>
                  <w:vAlign w:val="center"/>
                </w:tcPr>
                <w:p>
                  <w:pPr>
                    <w:pStyle w:val="116"/>
                    <w:spacing w:line="240" w:lineRule="auto"/>
                    <w:rPr>
                      <w:color w:val="auto"/>
                      <w:szCs w:val="21"/>
                    </w:rPr>
                  </w:pPr>
                  <w:r>
                    <w:rPr>
                      <w:rFonts w:hint="eastAsia"/>
                      <w:color w:val="auto"/>
                      <w:szCs w:val="21"/>
                    </w:rPr>
                    <w:t>0.21</w:t>
                  </w:r>
                </w:p>
              </w:tc>
              <w:tc>
                <w:tcPr>
                  <w:tcW w:w="849" w:type="dxa"/>
                  <w:vAlign w:val="center"/>
                </w:tcPr>
                <w:p>
                  <w:pPr>
                    <w:pStyle w:val="116"/>
                    <w:spacing w:line="240" w:lineRule="auto"/>
                    <w:rPr>
                      <w:color w:val="auto"/>
                      <w:szCs w:val="21"/>
                    </w:rPr>
                  </w:pPr>
                  <w:r>
                    <w:rPr>
                      <w:rFonts w:hint="eastAsia"/>
                      <w:color w:val="auto"/>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2592" w:type="dxa"/>
                  <w:vMerge w:val="continue"/>
                  <w:vAlign w:val="center"/>
                </w:tcPr>
                <w:p>
                  <w:pPr>
                    <w:pStyle w:val="116"/>
                    <w:spacing w:line="240" w:lineRule="auto"/>
                    <w:rPr>
                      <w:color w:val="auto"/>
                      <w:szCs w:val="21"/>
                    </w:rPr>
                  </w:pPr>
                </w:p>
              </w:tc>
              <w:tc>
                <w:tcPr>
                  <w:tcW w:w="1267" w:type="dxa"/>
                  <w:vAlign w:val="center"/>
                </w:tcPr>
                <w:p>
                  <w:pPr>
                    <w:pStyle w:val="116"/>
                    <w:spacing w:line="240" w:lineRule="auto"/>
                    <w:rPr>
                      <w:color w:val="auto"/>
                      <w:szCs w:val="21"/>
                    </w:rPr>
                  </w:pPr>
                  <w:r>
                    <w:rPr>
                      <w:rFonts w:hint="eastAsia"/>
                      <w:color w:val="auto"/>
                      <w:szCs w:val="21"/>
                    </w:rPr>
                    <w:t>2020.12.14</w:t>
                  </w:r>
                </w:p>
              </w:tc>
              <w:tc>
                <w:tcPr>
                  <w:tcW w:w="856" w:type="dxa"/>
                  <w:vAlign w:val="center"/>
                </w:tcPr>
                <w:p>
                  <w:pPr>
                    <w:pStyle w:val="116"/>
                    <w:spacing w:line="240" w:lineRule="auto"/>
                    <w:rPr>
                      <w:color w:val="auto"/>
                      <w:szCs w:val="21"/>
                    </w:rPr>
                  </w:pPr>
                  <w:r>
                    <w:rPr>
                      <w:rFonts w:hint="eastAsia"/>
                      <w:color w:val="auto"/>
                      <w:szCs w:val="21"/>
                    </w:rPr>
                    <w:t>191</w:t>
                  </w:r>
                </w:p>
              </w:tc>
              <w:tc>
                <w:tcPr>
                  <w:tcW w:w="900" w:type="dxa"/>
                  <w:vAlign w:val="center"/>
                </w:tcPr>
                <w:p>
                  <w:pPr>
                    <w:pStyle w:val="116"/>
                    <w:spacing w:line="240" w:lineRule="auto"/>
                    <w:rPr>
                      <w:color w:val="auto"/>
                      <w:szCs w:val="21"/>
                    </w:rPr>
                  </w:pPr>
                  <w:r>
                    <w:rPr>
                      <w:rFonts w:hint="eastAsia"/>
                      <w:color w:val="auto"/>
                      <w:szCs w:val="21"/>
                    </w:rPr>
                    <w:t>70.4</w:t>
                  </w:r>
                </w:p>
              </w:tc>
              <w:tc>
                <w:tcPr>
                  <w:tcW w:w="885" w:type="dxa"/>
                  <w:vAlign w:val="center"/>
                </w:tcPr>
                <w:p>
                  <w:pPr>
                    <w:pStyle w:val="116"/>
                    <w:spacing w:line="240" w:lineRule="auto"/>
                    <w:rPr>
                      <w:color w:val="auto"/>
                      <w:szCs w:val="21"/>
                    </w:rPr>
                  </w:pPr>
                  <w:r>
                    <w:rPr>
                      <w:rFonts w:hint="eastAsia"/>
                      <w:color w:val="auto"/>
                      <w:szCs w:val="21"/>
                    </w:rPr>
                    <w:t>3.8</w:t>
                  </w:r>
                </w:p>
              </w:tc>
              <w:tc>
                <w:tcPr>
                  <w:tcW w:w="921" w:type="dxa"/>
                  <w:vAlign w:val="center"/>
                </w:tcPr>
                <w:p>
                  <w:pPr>
                    <w:pStyle w:val="116"/>
                    <w:spacing w:line="240" w:lineRule="auto"/>
                    <w:rPr>
                      <w:color w:val="auto"/>
                      <w:szCs w:val="21"/>
                    </w:rPr>
                  </w:pPr>
                  <w:r>
                    <w:rPr>
                      <w:rFonts w:hint="eastAsia"/>
                      <w:color w:val="auto"/>
                      <w:szCs w:val="21"/>
                    </w:rPr>
                    <w:t>0.28</w:t>
                  </w:r>
                </w:p>
              </w:tc>
              <w:tc>
                <w:tcPr>
                  <w:tcW w:w="849" w:type="dxa"/>
                  <w:vAlign w:val="center"/>
                </w:tcPr>
                <w:p>
                  <w:pPr>
                    <w:pStyle w:val="116"/>
                    <w:spacing w:line="240" w:lineRule="auto"/>
                    <w:rPr>
                      <w:color w:val="auto"/>
                      <w:szCs w:val="21"/>
                    </w:rPr>
                  </w:pPr>
                  <w:r>
                    <w:rPr>
                      <w:rFonts w:hint="eastAsia"/>
                      <w:color w:val="auto"/>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2592" w:type="dxa"/>
                  <w:vMerge w:val="continue"/>
                  <w:vAlign w:val="center"/>
                </w:tcPr>
                <w:p>
                  <w:pPr>
                    <w:pStyle w:val="116"/>
                    <w:spacing w:line="240" w:lineRule="auto"/>
                    <w:rPr>
                      <w:color w:val="auto"/>
                      <w:szCs w:val="21"/>
                    </w:rPr>
                  </w:pPr>
                </w:p>
              </w:tc>
              <w:tc>
                <w:tcPr>
                  <w:tcW w:w="1267" w:type="dxa"/>
                  <w:vAlign w:val="center"/>
                </w:tcPr>
                <w:p>
                  <w:pPr>
                    <w:pStyle w:val="116"/>
                    <w:spacing w:line="240" w:lineRule="auto"/>
                    <w:rPr>
                      <w:color w:val="auto"/>
                      <w:szCs w:val="21"/>
                    </w:rPr>
                  </w:pPr>
                  <w:r>
                    <w:rPr>
                      <w:rFonts w:hint="eastAsia"/>
                      <w:b/>
                      <w:bCs/>
                      <w:color w:val="auto"/>
                      <w:szCs w:val="21"/>
                    </w:rPr>
                    <w:t>V类标准</w:t>
                  </w:r>
                </w:p>
              </w:tc>
              <w:tc>
                <w:tcPr>
                  <w:tcW w:w="856" w:type="dxa"/>
                  <w:vAlign w:val="center"/>
                </w:tcPr>
                <w:p>
                  <w:pPr>
                    <w:pStyle w:val="116"/>
                    <w:spacing w:line="240" w:lineRule="auto"/>
                    <w:rPr>
                      <w:color w:val="auto"/>
                      <w:szCs w:val="21"/>
                    </w:rPr>
                  </w:pPr>
                  <w:r>
                    <w:rPr>
                      <w:color w:val="auto"/>
                      <w:szCs w:val="21"/>
                    </w:rPr>
                    <w:t>≤</w:t>
                  </w:r>
                  <w:r>
                    <w:rPr>
                      <w:rFonts w:hint="eastAsia"/>
                      <w:color w:val="auto"/>
                      <w:szCs w:val="21"/>
                    </w:rPr>
                    <w:t>40</w:t>
                  </w:r>
                </w:p>
              </w:tc>
              <w:tc>
                <w:tcPr>
                  <w:tcW w:w="900" w:type="dxa"/>
                  <w:vAlign w:val="center"/>
                </w:tcPr>
                <w:p>
                  <w:pPr>
                    <w:pStyle w:val="116"/>
                    <w:spacing w:line="240" w:lineRule="auto"/>
                    <w:rPr>
                      <w:color w:val="auto"/>
                      <w:szCs w:val="21"/>
                    </w:rPr>
                  </w:pPr>
                  <w:r>
                    <w:rPr>
                      <w:color w:val="auto"/>
                      <w:szCs w:val="21"/>
                    </w:rPr>
                    <w:t>≤</w:t>
                  </w:r>
                  <w:r>
                    <w:rPr>
                      <w:rFonts w:hint="eastAsia"/>
                      <w:color w:val="auto"/>
                      <w:szCs w:val="21"/>
                    </w:rPr>
                    <w:t>10</w:t>
                  </w:r>
                </w:p>
              </w:tc>
              <w:tc>
                <w:tcPr>
                  <w:tcW w:w="885" w:type="dxa"/>
                  <w:vAlign w:val="center"/>
                </w:tcPr>
                <w:p>
                  <w:pPr>
                    <w:pStyle w:val="116"/>
                    <w:spacing w:line="240" w:lineRule="auto"/>
                    <w:rPr>
                      <w:color w:val="auto"/>
                      <w:szCs w:val="21"/>
                    </w:rPr>
                  </w:pPr>
                  <w:r>
                    <w:rPr>
                      <w:color w:val="auto"/>
                      <w:szCs w:val="21"/>
                    </w:rPr>
                    <w:t>≤</w:t>
                  </w:r>
                  <w:r>
                    <w:rPr>
                      <w:rFonts w:hint="eastAsia"/>
                      <w:color w:val="auto"/>
                      <w:szCs w:val="21"/>
                    </w:rPr>
                    <w:t>2.0</w:t>
                  </w:r>
                </w:p>
              </w:tc>
              <w:tc>
                <w:tcPr>
                  <w:tcW w:w="921" w:type="dxa"/>
                  <w:vAlign w:val="center"/>
                </w:tcPr>
                <w:p>
                  <w:pPr>
                    <w:pStyle w:val="116"/>
                    <w:spacing w:line="240" w:lineRule="auto"/>
                    <w:rPr>
                      <w:color w:val="auto"/>
                      <w:szCs w:val="21"/>
                    </w:rPr>
                  </w:pPr>
                  <w:r>
                    <w:rPr>
                      <w:color w:val="auto"/>
                      <w:szCs w:val="21"/>
                    </w:rPr>
                    <w:t>≤</w:t>
                  </w:r>
                  <w:r>
                    <w:rPr>
                      <w:rFonts w:hint="eastAsia"/>
                      <w:color w:val="auto"/>
                      <w:szCs w:val="21"/>
                    </w:rPr>
                    <w:t>0.4</w:t>
                  </w:r>
                </w:p>
              </w:tc>
              <w:tc>
                <w:tcPr>
                  <w:tcW w:w="849" w:type="dxa"/>
                  <w:vAlign w:val="center"/>
                </w:tcPr>
                <w:p>
                  <w:pPr>
                    <w:pStyle w:val="116"/>
                    <w:spacing w:line="240" w:lineRule="auto"/>
                    <w:rPr>
                      <w:color w:val="auto"/>
                      <w:szCs w:val="21"/>
                    </w:rPr>
                  </w:pPr>
                  <w:r>
                    <w:rPr>
                      <w:color w:val="auto"/>
                      <w:szCs w:val="21"/>
                    </w:rPr>
                    <w:t>≤</w:t>
                  </w:r>
                  <w:r>
                    <w:rPr>
                      <w:rFonts w:hint="eastAsia"/>
                      <w:color w:val="auto"/>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2592" w:type="dxa"/>
                  <w:vMerge w:val="continue"/>
                  <w:vAlign w:val="center"/>
                </w:tcPr>
                <w:p>
                  <w:pPr>
                    <w:pStyle w:val="116"/>
                    <w:spacing w:line="240" w:lineRule="auto"/>
                    <w:rPr>
                      <w:color w:val="auto"/>
                      <w:szCs w:val="21"/>
                    </w:rPr>
                  </w:pPr>
                </w:p>
              </w:tc>
              <w:tc>
                <w:tcPr>
                  <w:tcW w:w="1267" w:type="dxa"/>
                  <w:vAlign w:val="center"/>
                </w:tcPr>
                <w:p>
                  <w:pPr>
                    <w:pStyle w:val="116"/>
                    <w:spacing w:line="240" w:lineRule="auto"/>
                    <w:rPr>
                      <w:color w:val="auto"/>
                      <w:szCs w:val="21"/>
                    </w:rPr>
                  </w:pPr>
                  <w:r>
                    <w:rPr>
                      <w:rFonts w:hint="eastAsia"/>
                      <w:color w:val="auto"/>
                      <w:szCs w:val="21"/>
                    </w:rPr>
                    <w:t>标准指数</w:t>
                  </w:r>
                </w:p>
              </w:tc>
              <w:tc>
                <w:tcPr>
                  <w:tcW w:w="856" w:type="dxa"/>
                  <w:vAlign w:val="center"/>
                </w:tcPr>
                <w:p>
                  <w:pPr>
                    <w:pStyle w:val="116"/>
                    <w:spacing w:line="240" w:lineRule="auto"/>
                    <w:rPr>
                      <w:color w:val="auto"/>
                      <w:szCs w:val="21"/>
                    </w:rPr>
                  </w:pPr>
                  <w:r>
                    <w:rPr>
                      <w:rFonts w:hint="eastAsia"/>
                      <w:color w:val="auto"/>
                      <w:szCs w:val="21"/>
                    </w:rPr>
                    <w:t>4.66</w:t>
                  </w:r>
                </w:p>
              </w:tc>
              <w:tc>
                <w:tcPr>
                  <w:tcW w:w="900" w:type="dxa"/>
                  <w:vAlign w:val="center"/>
                </w:tcPr>
                <w:p>
                  <w:pPr>
                    <w:pStyle w:val="116"/>
                    <w:spacing w:line="240" w:lineRule="auto"/>
                    <w:rPr>
                      <w:color w:val="auto"/>
                      <w:szCs w:val="21"/>
                    </w:rPr>
                  </w:pPr>
                  <w:r>
                    <w:rPr>
                      <w:rFonts w:hint="eastAsia"/>
                      <w:color w:val="auto"/>
                      <w:szCs w:val="21"/>
                    </w:rPr>
                    <w:t>6.62</w:t>
                  </w:r>
                </w:p>
              </w:tc>
              <w:tc>
                <w:tcPr>
                  <w:tcW w:w="885" w:type="dxa"/>
                  <w:vAlign w:val="center"/>
                </w:tcPr>
                <w:p>
                  <w:pPr>
                    <w:pStyle w:val="116"/>
                    <w:spacing w:line="240" w:lineRule="auto"/>
                    <w:rPr>
                      <w:color w:val="auto"/>
                      <w:szCs w:val="21"/>
                    </w:rPr>
                  </w:pPr>
                  <w:r>
                    <w:rPr>
                      <w:rFonts w:hint="eastAsia"/>
                      <w:color w:val="auto"/>
                      <w:szCs w:val="21"/>
                    </w:rPr>
                    <w:t>1.72</w:t>
                  </w:r>
                </w:p>
              </w:tc>
              <w:tc>
                <w:tcPr>
                  <w:tcW w:w="921" w:type="dxa"/>
                  <w:vAlign w:val="center"/>
                </w:tcPr>
                <w:p>
                  <w:pPr>
                    <w:pStyle w:val="116"/>
                    <w:spacing w:line="240" w:lineRule="auto"/>
                    <w:rPr>
                      <w:color w:val="auto"/>
                      <w:szCs w:val="21"/>
                    </w:rPr>
                  </w:pPr>
                  <w:r>
                    <w:rPr>
                      <w:rFonts w:hint="eastAsia"/>
                      <w:color w:val="auto"/>
                      <w:szCs w:val="21"/>
                    </w:rPr>
                    <w:t>0.61</w:t>
                  </w:r>
                </w:p>
              </w:tc>
              <w:tc>
                <w:tcPr>
                  <w:tcW w:w="849" w:type="dxa"/>
                  <w:vAlign w:val="center"/>
                </w:tcPr>
                <w:p>
                  <w:pPr>
                    <w:pStyle w:val="116"/>
                    <w:spacing w:line="240" w:lineRule="auto"/>
                    <w:rPr>
                      <w:color w:val="auto"/>
                      <w:szCs w:val="21"/>
                    </w:rPr>
                  </w:pP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2592" w:type="dxa"/>
                  <w:vMerge w:val="continue"/>
                  <w:vAlign w:val="center"/>
                </w:tcPr>
                <w:p>
                  <w:pPr>
                    <w:pStyle w:val="116"/>
                    <w:spacing w:line="240" w:lineRule="auto"/>
                    <w:rPr>
                      <w:color w:val="auto"/>
                      <w:szCs w:val="21"/>
                    </w:rPr>
                  </w:pPr>
                </w:p>
              </w:tc>
              <w:tc>
                <w:tcPr>
                  <w:tcW w:w="1267" w:type="dxa"/>
                  <w:vAlign w:val="center"/>
                </w:tcPr>
                <w:p>
                  <w:pPr>
                    <w:pStyle w:val="116"/>
                    <w:spacing w:line="240" w:lineRule="auto"/>
                    <w:rPr>
                      <w:color w:val="auto"/>
                      <w:szCs w:val="21"/>
                    </w:rPr>
                  </w:pPr>
                  <w:r>
                    <w:rPr>
                      <w:rFonts w:hint="eastAsia"/>
                      <w:color w:val="auto"/>
                      <w:szCs w:val="21"/>
                    </w:rPr>
                    <w:t>超标倍数</w:t>
                  </w:r>
                </w:p>
              </w:tc>
              <w:tc>
                <w:tcPr>
                  <w:tcW w:w="856" w:type="dxa"/>
                  <w:vAlign w:val="center"/>
                </w:tcPr>
                <w:p>
                  <w:pPr>
                    <w:pStyle w:val="116"/>
                    <w:spacing w:line="240" w:lineRule="auto"/>
                    <w:rPr>
                      <w:color w:val="auto"/>
                      <w:szCs w:val="21"/>
                    </w:rPr>
                  </w:pPr>
                  <w:r>
                    <w:rPr>
                      <w:rFonts w:hint="eastAsia"/>
                      <w:color w:val="auto"/>
                      <w:szCs w:val="21"/>
                    </w:rPr>
                    <w:t>3.66</w:t>
                  </w:r>
                </w:p>
              </w:tc>
              <w:tc>
                <w:tcPr>
                  <w:tcW w:w="900" w:type="dxa"/>
                  <w:vAlign w:val="center"/>
                </w:tcPr>
                <w:p>
                  <w:pPr>
                    <w:pStyle w:val="116"/>
                    <w:spacing w:line="240" w:lineRule="auto"/>
                    <w:rPr>
                      <w:color w:val="auto"/>
                      <w:szCs w:val="21"/>
                    </w:rPr>
                  </w:pPr>
                  <w:r>
                    <w:rPr>
                      <w:rFonts w:hint="eastAsia"/>
                      <w:color w:val="auto"/>
                      <w:szCs w:val="21"/>
                    </w:rPr>
                    <w:t>5.62</w:t>
                  </w:r>
                </w:p>
              </w:tc>
              <w:tc>
                <w:tcPr>
                  <w:tcW w:w="885" w:type="dxa"/>
                  <w:vAlign w:val="center"/>
                </w:tcPr>
                <w:p>
                  <w:pPr>
                    <w:pStyle w:val="116"/>
                    <w:spacing w:line="240" w:lineRule="auto"/>
                    <w:rPr>
                      <w:color w:val="auto"/>
                      <w:szCs w:val="21"/>
                    </w:rPr>
                  </w:pPr>
                  <w:r>
                    <w:rPr>
                      <w:rFonts w:hint="eastAsia"/>
                      <w:color w:val="auto"/>
                      <w:szCs w:val="21"/>
                    </w:rPr>
                    <w:t>0.72</w:t>
                  </w:r>
                </w:p>
              </w:tc>
              <w:tc>
                <w:tcPr>
                  <w:tcW w:w="921" w:type="dxa"/>
                  <w:vAlign w:val="center"/>
                </w:tcPr>
                <w:p>
                  <w:pPr>
                    <w:pStyle w:val="116"/>
                    <w:spacing w:line="240" w:lineRule="auto"/>
                    <w:rPr>
                      <w:color w:val="auto"/>
                      <w:szCs w:val="21"/>
                    </w:rPr>
                  </w:pPr>
                  <w:r>
                    <w:rPr>
                      <w:rFonts w:hint="eastAsia"/>
                      <w:color w:val="auto"/>
                      <w:szCs w:val="21"/>
                    </w:rPr>
                    <w:t>0</w:t>
                  </w:r>
                </w:p>
              </w:tc>
              <w:tc>
                <w:tcPr>
                  <w:tcW w:w="849" w:type="dxa"/>
                  <w:vAlign w:val="center"/>
                </w:tcPr>
                <w:p>
                  <w:pPr>
                    <w:pStyle w:val="116"/>
                    <w:spacing w:line="240" w:lineRule="auto"/>
                    <w:rPr>
                      <w:color w:val="auto"/>
                      <w:szCs w:val="21"/>
                    </w:rPr>
                  </w:pPr>
                  <w:r>
                    <w:rPr>
                      <w:rFonts w:hint="eastAsia"/>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2592" w:type="dxa"/>
                  <w:vMerge w:val="continue"/>
                  <w:vAlign w:val="center"/>
                </w:tcPr>
                <w:p>
                  <w:pPr>
                    <w:pStyle w:val="116"/>
                    <w:spacing w:line="240" w:lineRule="auto"/>
                    <w:rPr>
                      <w:color w:val="auto"/>
                      <w:szCs w:val="21"/>
                    </w:rPr>
                  </w:pPr>
                </w:p>
              </w:tc>
              <w:tc>
                <w:tcPr>
                  <w:tcW w:w="1267" w:type="dxa"/>
                  <w:vAlign w:val="center"/>
                </w:tcPr>
                <w:p>
                  <w:pPr>
                    <w:pStyle w:val="116"/>
                    <w:spacing w:line="240" w:lineRule="auto"/>
                    <w:rPr>
                      <w:color w:val="auto"/>
                      <w:szCs w:val="21"/>
                    </w:rPr>
                  </w:pPr>
                  <w:r>
                    <w:rPr>
                      <w:rFonts w:hint="eastAsia"/>
                      <w:color w:val="auto"/>
                      <w:szCs w:val="21"/>
                    </w:rPr>
                    <w:t>达标情况</w:t>
                  </w:r>
                </w:p>
              </w:tc>
              <w:tc>
                <w:tcPr>
                  <w:tcW w:w="856" w:type="dxa"/>
                  <w:vAlign w:val="center"/>
                </w:tcPr>
                <w:p>
                  <w:pPr>
                    <w:pStyle w:val="116"/>
                    <w:spacing w:line="240" w:lineRule="auto"/>
                    <w:rPr>
                      <w:color w:val="auto"/>
                      <w:szCs w:val="21"/>
                    </w:rPr>
                  </w:pPr>
                  <w:r>
                    <w:rPr>
                      <w:rFonts w:hint="eastAsia"/>
                      <w:color w:val="auto"/>
                      <w:szCs w:val="21"/>
                    </w:rPr>
                    <w:t>不达标</w:t>
                  </w:r>
                </w:p>
              </w:tc>
              <w:tc>
                <w:tcPr>
                  <w:tcW w:w="900" w:type="dxa"/>
                  <w:vAlign w:val="center"/>
                </w:tcPr>
                <w:p>
                  <w:pPr>
                    <w:pStyle w:val="116"/>
                    <w:spacing w:line="240" w:lineRule="auto"/>
                    <w:rPr>
                      <w:color w:val="auto"/>
                      <w:szCs w:val="21"/>
                    </w:rPr>
                  </w:pPr>
                  <w:r>
                    <w:rPr>
                      <w:rFonts w:hint="eastAsia"/>
                      <w:color w:val="auto"/>
                      <w:szCs w:val="21"/>
                    </w:rPr>
                    <w:t>不达标</w:t>
                  </w:r>
                </w:p>
              </w:tc>
              <w:tc>
                <w:tcPr>
                  <w:tcW w:w="885" w:type="dxa"/>
                  <w:vAlign w:val="center"/>
                </w:tcPr>
                <w:p>
                  <w:pPr>
                    <w:pStyle w:val="116"/>
                    <w:spacing w:line="240" w:lineRule="auto"/>
                    <w:rPr>
                      <w:color w:val="auto"/>
                      <w:szCs w:val="21"/>
                    </w:rPr>
                  </w:pPr>
                  <w:r>
                    <w:rPr>
                      <w:rFonts w:hint="eastAsia"/>
                      <w:color w:val="auto"/>
                      <w:szCs w:val="21"/>
                    </w:rPr>
                    <w:t>不达标</w:t>
                  </w:r>
                </w:p>
              </w:tc>
              <w:tc>
                <w:tcPr>
                  <w:tcW w:w="921" w:type="dxa"/>
                  <w:vAlign w:val="center"/>
                </w:tcPr>
                <w:p>
                  <w:pPr>
                    <w:pStyle w:val="116"/>
                    <w:spacing w:line="240" w:lineRule="auto"/>
                    <w:rPr>
                      <w:color w:val="auto"/>
                      <w:szCs w:val="21"/>
                    </w:rPr>
                  </w:pPr>
                  <w:r>
                    <w:rPr>
                      <w:rFonts w:hint="eastAsia"/>
                      <w:color w:val="auto"/>
                      <w:szCs w:val="21"/>
                    </w:rPr>
                    <w:t>达标</w:t>
                  </w:r>
                </w:p>
              </w:tc>
              <w:tc>
                <w:tcPr>
                  <w:tcW w:w="849" w:type="dxa"/>
                  <w:vAlign w:val="center"/>
                </w:tcPr>
                <w:p>
                  <w:pPr>
                    <w:pStyle w:val="116"/>
                    <w:spacing w:line="240" w:lineRule="auto"/>
                    <w:rPr>
                      <w:color w:val="auto"/>
                      <w:szCs w:val="21"/>
                    </w:rPr>
                  </w:pPr>
                  <w:r>
                    <w:rPr>
                      <w:rFonts w:hint="eastAsia"/>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592" w:type="dxa"/>
                  <w:vMerge w:val="restart"/>
                  <w:vAlign w:val="center"/>
                </w:tcPr>
                <w:p>
                  <w:pPr>
                    <w:pStyle w:val="116"/>
                    <w:spacing w:line="240" w:lineRule="auto"/>
                    <w:rPr>
                      <w:color w:val="auto"/>
                      <w:szCs w:val="21"/>
                    </w:rPr>
                  </w:pPr>
                  <w:r>
                    <w:rPr>
                      <w:rFonts w:hint="eastAsia"/>
                      <w:color w:val="auto"/>
                      <w:szCs w:val="21"/>
                    </w:rPr>
                    <w:t>惠州市众信天成电子发展有限公司废水排放口汇入中心排渠下游500m处</w:t>
                  </w:r>
                </w:p>
              </w:tc>
              <w:tc>
                <w:tcPr>
                  <w:tcW w:w="1267" w:type="dxa"/>
                  <w:vAlign w:val="center"/>
                </w:tcPr>
                <w:p>
                  <w:pPr>
                    <w:pStyle w:val="116"/>
                    <w:spacing w:line="240" w:lineRule="auto"/>
                    <w:rPr>
                      <w:color w:val="auto"/>
                      <w:szCs w:val="21"/>
                    </w:rPr>
                  </w:pPr>
                  <w:r>
                    <w:rPr>
                      <w:rFonts w:hint="eastAsia"/>
                      <w:color w:val="auto"/>
                      <w:szCs w:val="21"/>
                    </w:rPr>
                    <w:t>2020.12.12</w:t>
                  </w:r>
                </w:p>
              </w:tc>
              <w:tc>
                <w:tcPr>
                  <w:tcW w:w="856" w:type="dxa"/>
                  <w:vAlign w:val="center"/>
                </w:tcPr>
                <w:p>
                  <w:pPr>
                    <w:pStyle w:val="116"/>
                    <w:spacing w:line="240" w:lineRule="auto"/>
                    <w:rPr>
                      <w:color w:val="auto"/>
                      <w:szCs w:val="21"/>
                    </w:rPr>
                  </w:pPr>
                  <w:r>
                    <w:rPr>
                      <w:rFonts w:hint="eastAsia"/>
                      <w:color w:val="auto"/>
                      <w:szCs w:val="21"/>
                    </w:rPr>
                    <w:t>193</w:t>
                  </w:r>
                </w:p>
              </w:tc>
              <w:tc>
                <w:tcPr>
                  <w:tcW w:w="900" w:type="dxa"/>
                  <w:vAlign w:val="center"/>
                </w:tcPr>
                <w:p>
                  <w:pPr>
                    <w:pStyle w:val="116"/>
                    <w:spacing w:line="240" w:lineRule="auto"/>
                    <w:rPr>
                      <w:color w:val="auto"/>
                      <w:szCs w:val="21"/>
                    </w:rPr>
                  </w:pPr>
                  <w:r>
                    <w:rPr>
                      <w:rFonts w:hint="eastAsia"/>
                      <w:color w:val="auto"/>
                      <w:szCs w:val="21"/>
                    </w:rPr>
                    <w:t>73.5</w:t>
                  </w:r>
                </w:p>
              </w:tc>
              <w:tc>
                <w:tcPr>
                  <w:tcW w:w="885" w:type="dxa"/>
                  <w:vAlign w:val="center"/>
                </w:tcPr>
                <w:p>
                  <w:pPr>
                    <w:pStyle w:val="116"/>
                    <w:spacing w:line="240" w:lineRule="auto"/>
                    <w:rPr>
                      <w:color w:val="auto"/>
                      <w:szCs w:val="21"/>
                    </w:rPr>
                  </w:pPr>
                  <w:r>
                    <w:rPr>
                      <w:rFonts w:hint="eastAsia"/>
                      <w:color w:val="auto"/>
                      <w:szCs w:val="21"/>
                    </w:rPr>
                    <w:t>2.22</w:t>
                  </w:r>
                </w:p>
              </w:tc>
              <w:tc>
                <w:tcPr>
                  <w:tcW w:w="921" w:type="dxa"/>
                  <w:vAlign w:val="center"/>
                </w:tcPr>
                <w:p>
                  <w:pPr>
                    <w:pStyle w:val="116"/>
                    <w:spacing w:line="240" w:lineRule="auto"/>
                    <w:rPr>
                      <w:color w:val="auto"/>
                      <w:szCs w:val="21"/>
                    </w:rPr>
                  </w:pPr>
                  <w:r>
                    <w:rPr>
                      <w:rFonts w:hint="eastAsia"/>
                      <w:color w:val="auto"/>
                      <w:szCs w:val="21"/>
                    </w:rPr>
                    <w:t>0.16</w:t>
                  </w:r>
                </w:p>
              </w:tc>
              <w:tc>
                <w:tcPr>
                  <w:tcW w:w="849" w:type="dxa"/>
                  <w:vAlign w:val="center"/>
                </w:tcPr>
                <w:p>
                  <w:pPr>
                    <w:pStyle w:val="116"/>
                    <w:spacing w:line="240" w:lineRule="auto"/>
                    <w:rPr>
                      <w:color w:val="auto"/>
                      <w:szCs w:val="21"/>
                    </w:rPr>
                  </w:pPr>
                  <w:r>
                    <w:rPr>
                      <w:rFonts w:hint="eastAsia"/>
                      <w:color w:val="auto"/>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592" w:type="dxa"/>
                  <w:vMerge w:val="continue"/>
                  <w:vAlign w:val="center"/>
                </w:tcPr>
                <w:p>
                  <w:pPr>
                    <w:pStyle w:val="116"/>
                    <w:spacing w:line="240" w:lineRule="auto"/>
                    <w:rPr>
                      <w:color w:val="auto"/>
                      <w:szCs w:val="21"/>
                    </w:rPr>
                  </w:pPr>
                </w:p>
              </w:tc>
              <w:tc>
                <w:tcPr>
                  <w:tcW w:w="1267" w:type="dxa"/>
                  <w:vAlign w:val="center"/>
                </w:tcPr>
                <w:p>
                  <w:pPr>
                    <w:pStyle w:val="116"/>
                    <w:spacing w:line="240" w:lineRule="auto"/>
                    <w:rPr>
                      <w:color w:val="auto"/>
                      <w:szCs w:val="21"/>
                    </w:rPr>
                  </w:pPr>
                  <w:r>
                    <w:rPr>
                      <w:rFonts w:hint="eastAsia"/>
                      <w:color w:val="auto"/>
                      <w:szCs w:val="21"/>
                    </w:rPr>
                    <w:t>2020.12.13</w:t>
                  </w:r>
                </w:p>
              </w:tc>
              <w:tc>
                <w:tcPr>
                  <w:tcW w:w="856" w:type="dxa"/>
                  <w:vAlign w:val="center"/>
                </w:tcPr>
                <w:p>
                  <w:pPr>
                    <w:pStyle w:val="116"/>
                    <w:spacing w:line="240" w:lineRule="auto"/>
                    <w:rPr>
                      <w:color w:val="auto"/>
                      <w:szCs w:val="21"/>
                    </w:rPr>
                  </w:pPr>
                  <w:r>
                    <w:rPr>
                      <w:rFonts w:hint="eastAsia"/>
                      <w:color w:val="auto"/>
                      <w:szCs w:val="21"/>
                    </w:rPr>
                    <w:t>187</w:t>
                  </w:r>
                </w:p>
              </w:tc>
              <w:tc>
                <w:tcPr>
                  <w:tcW w:w="900" w:type="dxa"/>
                  <w:vAlign w:val="center"/>
                </w:tcPr>
                <w:p>
                  <w:pPr>
                    <w:pStyle w:val="116"/>
                    <w:spacing w:line="240" w:lineRule="auto"/>
                    <w:rPr>
                      <w:color w:val="auto"/>
                      <w:szCs w:val="21"/>
                    </w:rPr>
                  </w:pPr>
                  <w:r>
                    <w:rPr>
                      <w:rFonts w:hint="eastAsia"/>
                      <w:color w:val="auto"/>
                      <w:szCs w:val="21"/>
                    </w:rPr>
                    <w:t>78.9</w:t>
                  </w:r>
                </w:p>
              </w:tc>
              <w:tc>
                <w:tcPr>
                  <w:tcW w:w="885" w:type="dxa"/>
                  <w:vAlign w:val="center"/>
                </w:tcPr>
                <w:p>
                  <w:pPr>
                    <w:pStyle w:val="116"/>
                    <w:spacing w:line="240" w:lineRule="auto"/>
                    <w:rPr>
                      <w:color w:val="auto"/>
                      <w:szCs w:val="21"/>
                    </w:rPr>
                  </w:pPr>
                  <w:r>
                    <w:rPr>
                      <w:rFonts w:hint="eastAsia"/>
                      <w:color w:val="auto"/>
                      <w:szCs w:val="21"/>
                    </w:rPr>
                    <w:t>2</w:t>
                  </w:r>
                </w:p>
              </w:tc>
              <w:tc>
                <w:tcPr>
                  <w:tcW w:w="921" w:type="dxa"/>
                  <w:vAlign w:val="center"/>
                </w:tcPr>
                <w:p>
                  <w:pPr>
                    <w:pStyle w:val="116"/>
                    <w:spacing w:line="240" w:lineRule="auto"/>
                    <w:rPr>
                      <w:color w:val="auto"/>
                      <w:szCs w:val="21"/>
                    </w:rPr>
                  </w:pPr>
                  <w:r>
                    <w:rPr>
                      <w:rFonts w:hint="eastAsia"/>
                      <w:color w:val="auto"/>
                      <w:szCs w:val="21"/>
                    </w:rPr>
                    <w:t>0.14</w:t>
                  </w:r>
                </w:p>
              </w:tc>
              <w:tc>
                <w:tcPr>
                  <w:tcW w:w="849" w:type="dxa"/>
                  <w:vAlign w:val="center"/>
                </w:tcPr>
                <w:p>
                  <w:pPr>
                    <w:pStyle w:val="116"/>
                    <w:spacing w:line="240" w:lineRule="auto"/>
                    <w:rPr>
                      <w:color w:val="auto"/>
                      <w:szCs w:val="21"/>
                    </w:rPr>
                  </w:pPr>
                  <w:r>
                    <w:rPr>
                      <w:rFonts w:hint="eastAsia"/>
                      <w:color w:val="auto"/>
                      <w:szCs w:val="21"/>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592" w:type="dxa"/>
                  <w:vMerge w:val="continue"/>
                  <w:vAlign w:val="center"/>
                </w:tcPr>
                <w:p>
                  <w:pPr>
                    <w:pStyle w:val="116"/>
                    <w:spacing w:line="240" w:lineRule="auto"/>
                    <w:rPr>
                      <w:color w:val="auto"/>
                      <w:szCs w:val="21"/>
                    </w:rPr>
                  </w:pPr>
                </w:p>
              </w:tc>
              <w:tc>
                <w:tcPr>
                  <w:tcW w:w="1267" w:type="dxa"/>
                  <w:vAlign w:val="center"/>
                </w:tcPr>
                <w:p>
                  <w:pPr>
                    <w:pStyle w:val="116"/>
                    <w:spacing w:line="240" w:lineRule="auto"/>
                    <w:rPr>
                      <w:color w:val="auto"/>
                      <w:szCs w:val="21"/>
                    </w:rPr>
                  </w:pPr>
                  <w:r>
                    <w:rPr>
                      <w:rFonts w:hint="eastAsia"/>
                      <w:color w:val="auto"/>
                      <w:szCs w:val="21"/>
                    </w:rPr>
                    <w:t>2020.12.14</w:t>
                  </w:r>
                </w:p>
              </w:tc>
              <w:tc>
                <w:tcPr>
                  <w:tcW w:w="856" w:type="dxa"/>
                  <w:vAlign w:val="center"/>
                </w:tcPr>
                <w:p>
                  <w:pPr>
                    <w:pStyle w:val="116"/>
                    <w:spacing w:line="240" w:lineRule="auto"/>
                    <w:rPr>
                      <w:color w:val="auto"/>
                      <w:szCs w:val="21"/>
                    </w:rPr>
                  </w:pPr>
                  <w:r>
                    <w:rPr>
                      <w:rFonts w:hint="eastAsia"/>
                      <w:color w:val="auto"/>
                      <w:szCs w:val="21"/>
                    </w:rPr>
                    <w:t>197</w:t>
                  </w:r>
                </w:p>
              </w:tc>
              <w:tc>
                <w:tcPr>
                  <w:tcW w:w="900" w:type="dxa"/>
                  <w:vAlign w:val="center"/>
                </w:tcPr>
                <w:p>
                  <w:pPr>
                    <w:pStyle w:val="116"/>
                    <w:spacing w:line="240" w:lineRule="auto"/>
                    <w:rPr>
                      <w:color w:val="auto"/>
                      <w:szCs w:val="21"/>
                    </w:rPr>
                  </w:pPr>
                  <w:r>
                    <w:rPr>
                      <w:rFonts w:hint="eastAsia"/>
                      <w:color w:val="auto"/>
                      <w:szCs w:val="21"/>
                    </w:rPr>
                    <w:t>65.5</w:t>
                  </w:r>
                </w:p>
              </w:tc>
              <w:tc>
                <w:tcPr>
                  <w:tcW w:w="885" w:type="dxa"/>
                  <w:vAlign w:val="center"/>
                </w:tcPr>
                <w:p>
                  <w:pPr>
                    <w:pStyle w:val="116"/>
                    <w:spacing w:line="240" w:lineRule="auto"/>
                    <w:rPr>
                      <w:color w:val="auto"/>
                      <w:szCs w:val="21"/>
                    </w:rPr>
                  </w:pPr>
                  <w:r>
                    <w:rPr>
                      <w:rFonts w:hint="eastAsia"/>
                      <w:color w:val="auto"/>
                      <w:szCs w:val="21"/>
                    </w:rPr>
                    <w:t>2.44</w:t>
                  </w:r>
                </w:p>
              </w:tc>
              <w:tc>
                <w:tcPr>
                  <w:tcW w:w="921" w:type="dxa"/>
                  <w:vAlign w:val="center"/>
                </w:tcPr>
                <w:p>
                  <w:pPr>
                    <w:pStyle w:val="116"/>
                    <w:spacing w:line="240" w:lineRule="auto"/>
                    <w:rPr>
                      <w:color w:val="auto"/>
                      <w:szCs w:val="21"/>
                    </w:rPr>
                  </w:pPr>
                  <w:r>
                    <w:rPr>
                      <w:rFonts w:hint="eastAsia"/>
                      <w:color w:val="auto"/>
                      <w:szCs w:val="21"/>
                    </w:rPr>
                    <w:t>0.19</w:t>
                  </w:r>
                </w:p>
              </w:tc>
              <w:tc>
                <w:tcPr>
                  <w:tcW w:w="849" w:type="dxa"/>
                  <w:vAlign w:val="center"/>
                </w:tcPr>
                <w:p>
                  <w:pPr>
                    <w:pStyle w:val="116"/>
                    <w:spacing w:line="240" w:lineRule="auto"/>
                    <w:rPr>
                      <w:color w:val="auto"/>
                      <w:szCs w:val="21"/>
                    </w:rPr>
                  </w:pPr>
                  <w:r>
                    <w:rPr>
                      <w:rFonts w:hint="eastAsia"/>
                      <w:color w:val="auto"/>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592" w:type="dxa"/>
                  <w:vMerge w:val="continue"/>
                  <w:vAlign w:val="center"/>
                </w:tcPr>
                <w:p>
                  <w:pPr>
                    <w:pStyle w:val="116"/>
                    <w:spacing w:line="240" w:lineRule="auto"/>
                    <w:rPr>
                      <w:color w:val="auto"/>
                      <w:szCs w:val="21"/>
                    </w:rPr>
                  </w:pPr>
                </w:p>
              </w:tc>
              <w:tc>
                <w:tcPr>
                  <w:tcW w:w="1267" w:type="dxa"/>
                  <w:vAlign w:val="center"/>
                </w:tcPr>
                <w:p>
                  <w:pPr>
                    <w:pStyle w:val="116"/>
                    <w:spacing w:line="240" w:lineRule="auto"/>
                    <w:rPr>
                      <w:color w:val="auto"/>
                      <w:szCs w:val="21"/>
                    </w:rPr>
                  </w:pPr>
                  <w:r>
                    <w:rPr>
                      <w:rFonts w:hint="eastAsia"/>
                      <w:b/>
                      <w:bCs/>
                      <w:color w:val="auto"/>
                      <w:szCs w:val="21"/>
                    </w:rPr>
                    <w:t>V类标准</w:t>
                  </w:r>
                </w:p>
              </w:tc>
              <w:tc>
                <w:tcPr>
                  <w:tcW w:w="856" w:type="dxa"/>
                  <w:vAlign w:val="center"/>
                </w:tcPr>
                <w:p>
                  <w:pPr>
                    <w:pStyle w:val="116"/>
                    <w:spacing w:line="240" w:lineRule="auto"/>
                    <w:rPr>
                      <w:color w:val="auto"/>
                      <w:szCs w:val="21"/>
                    </w:rPr>
                  </w:pPr>
                  <w:r>
                    <w:rPr>
                      <w:color w:val="auto"/>
                      <w:szCs w:val="21"/>
                    </w:rPr>
                    <w:t>≤</w:t>
                  </w:r>
                  <w:r>
                    <w:rPr>
                      <w:rFonts w:hint="eastAsia"/>
                      <w:color w:val="auto"/>
                      <w:szCs w:val="21"/>
                    </w:rPr>
                    <w:t>40</w:t>
                  </w:r>
                </w:p>
              </w:tc>
              <w:tc>
                <w:tcPr>
                  <w:tcW w:w="900" w:type="dxa"/>
                  <w:vAlign w:val="center"/>
                </w:tcPr>
                <w:p>
                  <w:pPr>
                    <w:pStyle w:val="116"/>
                    <w:spacing w:line="240" w:lineRule="auto"/>
                    <w:rPr>
                      <w:color w:val="auto"/>
                      <w:szCs w:val="21"/>
                    </w:rPr>
                  </w:pPr>
                  <w:r>
                    <w:rPr>
                      <w:color w:val="auto"/>
                      <w:szCs w:val="21"/>
                    </w:rPr>
                    <w:t>≤</w:t>
                  </w:r>
                  <w:r>
                    <w:rPr>
                      <w:rFonts w:hint="eastAsia"/>
                      <w:color w:val="auto"/>
                      <w:szCs w:val="21"/>
                    </w:rPr>
                    <w:t>10</w:t>
                  </w:r>
                </w:p>
              </w:tc>
              <w:tc>
                <w:tcPr>
                  <w:tcW w:w="885" w:type="dxa"/>
                  <w:vAlign w:val="center"/>
                </w:tcPr>
                <w:p>
                  <w:pPr>
                    <w:pStyle w:val="116"/>
                    <w:spacing w:line="240" w:lineRule="auto"/>
                    <w:rPr>
                      <w:color w:val="auto"/>
                      <w:szCs w:val="21"/>
                    </w:rPr>
                  </w:pPr>
                  <w:r>
                    <w:rPr>
                      <w:color w:val="auto"/>
                      <w:szCs w:val="21"/>
                    </w:rPr>
                    <w:t>≤</w:t>
                  </w:r>
                  <w:r>
                    <w:rPr>
                      <w:rFonts w:hint="eastAsia"/>
                      <w:color w:val="auto"/>
                      <w:szCs w:val="21"/>
                    </w:rPr>
                    <w:t>2.0</w:t>
                  </w:r>
                </w:p>
              </w:tc>
              <w:tc>
                <w:tcPr>
                  <w:tcW w:w="921" w:type="dxa"/>
                  <w:vAlign w:val="center"/>
                </w:tcPr>
                <w:p>
                  <w:pPr>
                    <w:pStyle w:val="116"/>
                    <w:spacing w:line="240" w:lineRule="auto"/>
                    <w:rPr>
                      <w:color w:val="auto"/>
                      <w:szCs w:val="21"/>
                    </w:rPr>
                  </w:pPr>
                  <w:r>
                    <w:rPr>
                      <w:color w:val="auto"/>
                      <w:szCs w:val="21"/>
                    </w:rPr>
                    <w:t>≤</w:t>
                  </w:r>
                  <w:r>
                    <w:rPr>
                      <w:rFonts w:hint="eastAsia"/>
                      <w:color w:val="auto"/>
                      <w:szCs w:val="21"/>
                    </w:rPr>
                    <w:t>0.4</w:t>
                  </w:r>
                </w:p>
              </w:tc>
              <w:tc>
                <w:tcPr>
                  <w:tcW w:w="849" w:type="dxa"/>
                  <w:vAlign w:val="center"/>
                </w:tcPr>
                <w:p>
                  <w:pPr>
                    <w:pStyle w:val="116"/>
                    <w:spacing w:line="240" w:lineRule="auto"/>
                    <w:rPr>
                      <w:color w:val="auto"/>
                      <w:szCs w:val="21"/>
                    </w:rPr>
                  </w:pPr>
                  <w:r>
                    <w:rPr>
                      <w:color w:val="auto"/>
                      <w:szCs w:val="21"/>
                    </w:rPr>
                    <w:t>≤</w:t>
                  </w:r>
                  <w:r>
                    <w:rPr>
                      <w:rFonts w:hint="eastAsia"/>
                      <w:color w:val="auto"/>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0" w:hRule="atLeast"/>
              </w:trPr>
              <w:tc>
                <w:tcPr>
                  <w:tcW w:w="2592" w:type="dxa"/>
                  <w:vMerge w:val="continue"/>
                  <w:vAlign w:val="center"/>
                </w:tcPr>
                <w:p>
                  <w:pPr>
                    <w:pStyle w:val="116"/>
                    <w:spacing w:line="240" w:lineRule="auto"/>
                    <w:rPr>
                      <w:color w:val="auto"/>
                      <w:szCs w:val="21"/>
                    </w:rPr>
                  </w:pPr>
                </w:p>
              </w:tc>
              <w:tc>
                <w:tcPr>
                  <w:tcW w:w="1267" w:type="dxa"/>
                  <w:vAlign w:val="center"/>
                </w:tcPr>
                <w:p>
                  <w:pPr>
                    <w:pStyle w:val="116"/>
                    <w:spacing w:line="240" w:lineRule="auto"/>
                    <w:rPr>
                      <w:color w:val="auto"/>
                      <w:szCs w:val="21"/>
                    </w:rPr>
                  </w:pPr>
                  <w:r>
                    <w:rPr>
                      <w:rFonts w:hint="eastAsia"/>
                      <w:color w:val="auto"/>
                      <w:szCs w:val="21"/>
                    </w:rPr>
                    <w:t>标准指数</w:t>
                  </w:r>
                </w:p>
              </w:tc>
              <w:tc>
                <w:tcPr>
                  <w:tcW w:w="856" w:type="dxa"/>
                  <w:vAlign w:val="center"/>
                </w:tcPr>
                <w:p>
                  <w:pPr>
                    <w:pStyle w:val="116"/>
                    <w:spacing w:line="240" w:lineRule="auto"/>
                    <w:rPr>
                      <w:color w:val="auto"/>
                      <w:szCs w:val="21"/>
                    </w:rPr>
                  </w:pPr>
                  <w:r>
                    <w:rPr>
                      <w:rFonts w:hint="eastAsia"/>
                      <w:color w:val="auto"/>
                      <w:szCs w:val="21"/>
                    </w:rPr>
                    <w:t>4.82</w:t>
                  </w:r>
                </w:p>
              </w:tc>
              <w:tc>
                <w:tcPr>
                  <w:tcW w:w="900" w:type="dxa"/>
                  <w:vAlign w:val="center"/>
                </w:tcPr>
                <w:p>
                  <w:pPr>
                    <w:pStyle w:val="116"/>
                    <w:spacing w:line="240" w:lineRule="auto"/>
                    <w:rPr>
                      <w:color w:val="auto"/>
                      <w:szCs w:val="21"/>
                    </w:rPr>
                  </w:pPr>
                  <w:r>
                    <w:rPr>
                      <w:rFonts w:hint="eastAsia"/>
                      <w:color w:val="auto"/>
                      <w:szCs w:val="21"/>
                    </w:rPr>
                    <w:t>7.26</w:t>
                  </w:r>
                </w:p>
              </w:tc>
              <w:tc>
                <w:tcPr>
                  <w:tcW w:w="885" w:type="dxa"/>
                  <w:vAlign w:val="center"/>
                </w:tcPr>
                <w:p>
                  <w:pPr>
                    <w:pStyle w:val="116"/>
                    <w:spacing w:line="240" w:lineRule="auto"/>
                    <w:rPr>
                      <w:color w:val="auto"/>
                      <w:szCs w:val="21"/>
                    </w:rPr>
                  </w:pPr>
                  <w:r>
                    <w:rPr>
                      <w:rFonts w:hint="eastAsia"/>
                      <w:color w:val="auto"/>
                      <w:szCs w:val="21"/>
                    </w:rPr>
                    <w:t>1.11</w:t>
                  </w:r>
                </w:p>
              </w:tc>
              <w:tc>
                <w:tcPr>
                  <w:tcW w:w="921" w:type="dxa"/>
                  <w:vAlign w:val="center"/>
                </w:tcPr>
                <w:p>
                  <w:pPr>
                    <w:pStyle w:val="116"/>
                    <w:spacing w:line="240" w:lineRule="auto"/>
                    <w:rPr>
                      <w:color w:val="auto"/>
                      <w:szCs w:val="21"/>
                    </w:rPr>
                  </w:pPr>
                  <w:r>
                    <w:rPr>
                      <w:rFonts w:hint="eastAsia"/>
                      <w:color w:val="auto"/>
                      <w:szCs w:val="21"/>
                    </w:rPr>
                    <w:t>0.42</w:t>
                  </w:r>
                </w:p>
              </w:tc>
              <w:tc>
                <w:tcPr>
                  <w:tcW w:w="849" w:type="dxa"/>
                  <w:vAlign w:val="center"/>
                </w:tcPr>
                <w:p>
                  <w:pPr>
                    <w:pStyle w:val="116"/>
                    <w:spacing w:line="240" w:lineRule="auto"/>
                    <w:rPr>
                      <w:color w:val="auto"/>
                      <w:szCs w:val="21"/>
                    </w:rPr>
                  </w:pP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592" w:type="dxa"/>
                  <w:vMerge w:val="continue"/>
                  <w:vAlign w:val="center"/>
                </w:tcPr>
                <w:p>
                  <w:pPr>
                    <w:pStyle w:val="116"/>
                    <w:spacing w:line="240" w:lineRule="auto"/>
                    <w:rPr>
                      <w:color w:val="auto"/>
                      <w:szCs w:val="21"/>
                    </w:rPr>
                  </w:pPr>
                </w:p>
              </w:tc>
              <w:tc>
                <w:tcPr>
                  <w:tcW w:w="1267" w:type="dxa"/>
                  <w:vAlign w:val="center"/>
                </w:tcPr>
                <w:p>
                  <w:pPr>
                    <w:pStyle w:val="116"/>
                    <w:spacing w:line="240" w:lineRule="auto"/>
                    <w:rPr>
                      <w:color w:val="auto"/>
                      <w:szCs w:val="21"/>
                    </w:rPr>
                  </w:pPr>
                  <w:r>
                    <w:rPr>
                      <w:rFonts w:hint="eastAsia"/>
                      <w:color w:val="auto"/>
                      <w:szCs w:val="21"/>
                    </w:rPr>
                    <w:t>超标倍数</w:t>
                  </w:r>
                </w:p>
              </w:tc>
              <w:tc>
                <w:tcPr>
                  <w:tcW w:w="856" w:type="dxa"/>
                  <w:vAlign w:val="center"/>
                </w:tcPr>
                <w:p>
                  <w:pPr>
                    <w:pStyle w:val="116"/>
                    <w:spacing w:line="240" w:lineRule="auto"/>
                    <w:rPr>
                      <w:color w:val="auto"/>
                      <w:szCs w:val="21"/>
                    </w:rPr>
                  </w:pPr>
                  <w:r>
                    <w:rPr>
                      <w:rFonts w:hint="eastAsia"/>
                      <w:color w:val="auto"/>
                      <w:szCs w:val="21"/>
                    </w:rPr>
                    <w:t>3.82</w:t>
                  </w:r>
                </w:p>
              </w:tc>
              <w:tc>
                <w:tcPr>
                  <w:tcW w:w="900" w:type="dxa"/>
                  <w:vAlign w:val="center"/>
                </w:tcPr>
                <w:p>
                  <w:pPr>
                    <w:pStyle w:val="116"/>
                    <w:spacing w:line="240" w:lineRule="auto"/>
                    <w:rPr>
                      <w:color w:val="auto"/>
                      <w:szCs w:val="21"/>
                    </w:rPr>
                  </w:pPr>
                  <w:r>
                    <w:rPr>
                      <w:rFonts w:hint="eastAsia"/>
                      <w:color w:val="auto"/>
                      <w:szCs w:val="21"/>
                    </w:rPr>
                    <w:t>6.26</w:t>
                  </w:r>
                </w:p>
              </w:tc>
              <w:tc>
                <w:tcPr>
                  <w:tcW w:w="885" w:type="dxa"/>
                  <w:vAlign w:val="center"/>
                </w:tcPr>
                <w:p>
                  <w:pPr>
                    <w:pStyle w:val="116"/>
                    <w:spacing w:line="240" w:lineRule="auto"/>
                    <w:rPr>
                      <w:color w:val="auto"/>
                      <w:szCs w:val="21"/>
                    </w:rPr>
                  </w:pPr>
                  <w:r>
                    <w:rPr>
                      <w:rFonts w:hint="eastAsia"/>
                      <w:color w:val="auto"/>
                      <w:szCs w:val="21"/>
                    </w:rPr>
                    <w:t>0.11</w:t>
                  </w:r>
                </w:p>
              </w:tc>
              <w:tc>
                <w:tcPr>
                  <w:tcW w:w="921" w:type="dxa"/>
                  <w:vAlign w:val="center"/>
                </w:tcPr>
                <w:p>
                  <w:pPr>
                    <w:pStyle w:val="116"/>
                    <w:spacing w:line="240" w:lineRule="auto"/>
                    <w:rPr>
                      <w:color w:val="auto"/>
                      <w:szCs w:val="21"/>
                    </w:rPr>
                  </w:pPr>
                  <w:r>
                    <w:rPr>
                      <w:rFonts w:hint="eastAsia"/>
                      <w:color w:val="auto"/>
                      <w:szCs w:val="21"/>
                    </w:rPr>
                    <w:t>0</w:t>
                  </w:r>
                </w:p>
              </w:tc>
              <w:tc>
                <w:tcPr>
                  <w:tcW w:w="849" w:type="dxa"/>
                  <w:vAlign w:val="center"/>
                </w:tcPr>
                <w:p>
                  <w:pPr>
                    <w:pStyle w:val="116"/>
                    <w:spacing w:line="240" w:lineRule="auto"/>
                    <w:rPr>
                      <w:color w:val="auto"/>
                      <w:szCs w:val="21"/>
                    </w:rPr>
                  </w:pPr>
                  <w:r>
                    <w:rPr>
                      <w:rFonts w:hint="eastAsia"/>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592" w:type="dxa"/>
                  <w:vMerge w:val="continue"/>
                  <w:vAlign w:val="center"/>
                </w:tcPr>
                <w:p>
                  <w:pPr>
                    <w:pStyle w:val="116"/>
                    <w:spacing w:line="240" w:lineRule="auto"/>
                    <w:rPr>
                      <w:color w:val="auto"/>
                      <w:szCs w:val="21"/>
                    </w:rPr>
                  </w:pPr>
                </w:p>
              </w:tc>
              <w:tc>
                <w:tcPr>
                  <w:tcW w:w="1267" w:type="dxa"/>
                  <w:vAlign w:val="center"/>
                </w:tcPr>
                <w:p>
                  <w:pPr>
                    <w:pStyle w:val="116"/>
                    <w:spacing w:line="240" w:lineRule="auto"/>
                    <w:rPr>
                      <w:color w:val="auto"/>
                      <w:szCs w:val="21"/>
                    </w:rPr>
                  </w:pPr>
                  <w:r>
                    <w:rPr>
                      <w:rFonts w:hint="eastAsia"/>
                      <w:color w:val="auto"/>
                      <w:szCs w:val="21"/>
                    </w:rPr>
                    <w:t>达标情况</w:t>
                  </w:r>
                </w:p>
              </w:tc>
              <w:tc>
                <w:tcPr>
                  <w:tcW w:w="856" w:type="dxa"/>
                  <w:vAlign w:val="center"/>
                </w:tcPr>
                <w:p>
                  <w:pPr>
                    <w:pStyle w:val="116"/>
                    <w:spacing w:line="240" w:lineRule="auto"/>
                    <w:rPr>
                      <w:color w:val="auto"/>
                      <w:szCs w:val="21"/>
                    </w:rPr>
                  </w:pPr>
                  <w:r>
                    <w:rPr>
                      <w:rFonts w:hint="eastAsia"/>
                      <w:color w:val="auto"/>
                      <w:szCs w:val="21"/>
                    </w:rPr>
                    <w:t>不达标</w:t>
                  </w:r>
                </w:p>
              </w:tc>
              <w:tc>
                <w:tcPr>
                  <w:tcW w:w="900" w:type="dxa"/>
                  <w:vAlign w:val="center"/>
                </w:tcPr>
                <w:p>
                  <w:pPr>
                    <w:pStyle w:val="116"/>
                    <w:spacing w:line="240" w:lineRule="auto"/>
                    <w:rPr>
                      <w:color w:val="auto"/>
                      <w:szCs w:val="21"/>
                    </w:rPr>
                  </w:pPr>
                  <w:r>
                    <w:rPr>
                      <w:rFonts w:hint="eastAsia"/>
                      <w:color w:val="auto"/>
                      <w:szCs w:val="21"/>
                    </w:rPr>
                    <w:t>不达标</w:t>
                  </w:r>
                </w:p>
              </w:tc>
              <w:tc>
                <w:tcPr>
                  <w:tcW w:w="885" w:type="dxa"/>
                  <w:vAlign w:val="center"/>
                </w:tcPr>
                <w:p>
                  <w:pPr>
                    <w:pStyle w:val="116"/>
                    <w:spacing w:line="240" w:lineRule="auto"/>
                    <w:rPr>
                      <w:color w:val="auto"/>
                      <w:szCs w:val="21"/>
                    </w:rPr>
                  </w:pPr>
                  <w:r>
                    <w:rPr>
                      <w:rFonts w:hint="eastAsia"/>
                      <w:color w:val="auto"/>
                      <w:szCs w:val="21"/>
                    </w:rPr>
                    <w:t>不达标</w:t>
                  </w:r>
                </w:p>
              </w:tc>
              <w:tc>
                <w:tcPr>
                  <w:tcW w:w="921" w:type="dxa"/>
                  <w:vAlign w:val="center"/>
                </w:tcPr>
                <w:p>
                  <w:pPr>
                    <w:pStyle w:val="116"/>
                    <w:spacing w:line="240" w:lineRule="auto"/>
                    <w:rPr>
                      <w:color w:val="auto"/>
                      <w:szCs w:val="21"/>
                    </w:rPr>
                  </w:pPr>
                  <w:r>
                    <w:rPr>
                      <w:rFonts w:hint="eastAsia"/>
                      <w:color w:val="auto"/>
                      <w:szCs w:val="21"/>
                    </w:rPr>
                    <w:t>达标</w:t>
                  </w:r>
                </w:p>
              </w:tc>
              <w:tc>
                <w:tcPr>
                  <w:tcW w:w="849" w:type="dxa"/>
                  <w:vAlign w:val="center"/>
                </w:tcPr>
                <w:p>
                  <w:pPr>
                    <w:pStyle w:val="116"/>
                    <w:spacing w:line="240" w:lineRule="auto"/>
                    <w:rPr>
                      <w:color w:val="auto"/>
                      <w:szCs w:val="21"/>
                    </w:rPr>
                  </w:pPr>
                  <w:r>
                    <w:rPr>
                      <w:rFonts w:hint="eastAsia"/>
                      <w:color w:val="auto"/>
                      <w:szCs w:val="21"/>
                    </w:rPr>
                    <w:t>达标</w:t>
                  </w:r>
                </w:p>
              </w:tc>
            </w:tr>
          </w:tbl>
          <w:p>
            <w:pPr>
              <w:spacing w:before="120" w:beforeLines="50" w:line="360" w:lineRule="auto"/>
              <w:ind w:firstLine="420" w:firstLineChars="200"/>
              <w:jc w:val="left"/>
              <w:rPr>
                <w:bCs/>
                <w:color w:val="auto"/>
                <w:szCs w:val="21"/>
              </w:rPr>
            </w:pPr>
            <w:r>
              <w:rPr>
                <w:rFonts w:hint="eastAsia"/>
                <w:bCs/>
                <w:color w:val="auto"/>
                <w:szCs w:val="21"/>
              </w:rPr>
              <w:t>由上表监测结果可知，中心排渠监测断面W1、W2中COD、BOD</w:t>
            </w:r>
            <w:r>
              <w:rPr>
                <w:rFonts w:hint="eastAsia"/>
                <w:bCs/>
                <w:color w:val="auto"/>
                <w:szCs w:val="21"/>
                <w:vertAlign w:val="subscript"/>
              </w:rPr>
              <w:t>5</w:t>
            </w:r>
            <w:r>
              <w:rPr>
                <w:rFonts w:hint="eastAsia"/>
                <w:bCs/>
                <w:color w:val="auto"/>
                <w:szCs w:val="21"/>
              </w:rPr>
              <w:t>、氨氮均超过《地表水环境质量标准》（GB3838-2002）V类标准。超标主要原因为流域沿线居民生活污水未经处理直接排放及部分工业废水偷排。鉴于项目区域水质较差，地方政府一方面应加快城镇生活污水处理厂及其管网的建设，另一方面环保部门需加强工业污染源的监管，确保水质达标：</w:t>
            </w:r>
          </w:p>
          <w:p>
            <w:pPr>
              <w:adjustRightInd w:val="0"/>
              <w:snapToGrid w:val="0"/>
              <w:spacing w:line="360" w:lineRule="auto"/>
              <w:ind w:firstLine="431"/>
              <w:rPr>
                <w:color w:val="auto"/>
                <w:szCs w:val="21"/>
              </w:rPr>
            </w:pPr>
            <w:r>
              <w:rPr>
                <w:rFonts w:hint="eastAsia"/>
                <w:color w:val="auto"/>
                <w:szCs w:val="21"/>
              </w:rPr>
              <w:t>①加快片区生活污水处理厂建设进度：本项目所在地属于园洲镇第五生活污水处理厂的纳污范围。片区内部分企业生活污水直接经化粪池处理后排放，这是造成水质污染日益严重的重要原因。因此，随着片区内企业的增加，片区必须尽快集中生活污水处理厂的建设进度，以削减进入排污渠、沙河的污染物总量。</w:t>
            </w:r>
          </w:p>
          <w:p>
            <w:pPr>
              <w:adjustRightInd w:val="0"/>
              <w:snapToGrid w:val="0"/>
              <w:spacing w:line="360" w:lineRule="auto"/>
              <w:ind w:firstLine="431"/>
              <w:rPr>
                <w:color w:val="auto"/>
                <w:szCs w:val="21"/>
              </w:rPr>
            </w:pPr>
            <w:r>
              <w:rPr>
                <w:rFonts w:hint="eastAsia"/>
                <w:color w:val="auto"/>
                <w:szCs w:val="21"/>
              </w:rPr>
              <w:t>②清理河涌淤泥，并妥善处理处置。</w:t>
            </w:r>
          </w:p>
          <w:p>
            <w:pPr>
              <w:adjustRightInd w:val="0"/>
              <w:snapToGrid w:val="0"/>
              <w:spacing w:line="360" w:lineRule="auto"/>
              <w:ind w:firstLine="431"/>
              <w:rPr>
                <w:color w:val="auto"/>
                <w:szCs w:val="21"/>
              </w:rPr>
            </w:pPr>
            <w:r>
              <w:rPr>
                <w:color w:val="auto"/>
              </w:rPr>
              <w:drawing>
                <wp:anchor distT="0" distB="0" distL="114300" distR="114300" simplePos="0" relativeHeight="251669504" behindDoc="0" locked="0" layoutInCell="1" allowOverlap="1">
                  <wp:simplePos x="0" y="0"/>
                  <wp:positionH relativeFrom="column">
                    <wp:posOffset>4531995</wp:posOffset>
                  </wp:positionH>
                  <wp:positionV relativeFrom="paragraph">
                    <wp:posOffset>775335</wp:posOffset>
                  </wp:positionV>
                  <wp:extent cx="725170" cy="680085"/>
                  <wp:effectExtent l="0" t="0" r="6350" b="5715"/>
                  <wp:wrapNone/>
                  <wp:docPr id="88" name="图片 1" descr="博罗2001-2020风向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1" descr="博罗2001-2020风向标"/>
                          <pic:cNvPicPr>
                            <a:picLocks noChangeAspect="1"/>
                          </pic:cNvPicPr>
                        </pic:nvPicPr>
                        <pic:blipFill>
                          <a:blip r:embed="rId10"/>
                          <a:stretch>
                            <a:fillRect/>
                          </a:stretch>
                        </pic:blipFill>
                        <pic:spPr>
                          <a:xfrm>
                            <a:off x="0" y="0"/>
                            <a:ext cx="725170" cy="680085"/>
                          </a:xfrm>
                          <a:prstGeom prst="rect">
                            <a:avLst/>
                          </a:prstGeom>
                          <a:noFill/>
                          <a:ln w="9525" cap="flat" cmpd="sng">
                            <a:noFill/>
                            <a:prstDash val="solid"/>
                            <a:miter/>
                            <a:headEnd type="none" w="med" len="med"/>
                            <a:tailEnd type="none" w="med" len="med"/>
                          </a:ln>
                        </pic:spPr>
                      </pic:pic>
                    </a:graphicData>
                  </a:graphic>
                </wp:anchor>
              </w:drawing>
            </w:r>
            <w:r>
              <w:rPr>
                <w:rFonts w:hint="eastAsia"/>
                <w:color w:val="auto"/>
                <w:szCs w:val="21"/>
              </w:rPr>
              <w:t>③加强园洲镇工业企业环境管理：园洲镇排污企业偷排、漏排不达标污水以及超水量排放污水也是造成排污渠、沙河污染的主要因素之一，因此，环境监察部门应严查严惩石湾镇偷排漏排企业，使企业做到达标且不超水量排放。</w:t>
            </w:r>
          </w:p>
          <w:p>
            <w:pPr>
              <w:pStyle w:val="41"/>
              <w:jc w:val="center"/>
              <w:rPr>
                <w:rFonts w:hint="default"/>
                <w:color w:val="auto"/>
              </w:rPr>
            </w:pPr>
            <w:r>
              <w:rPr>
                <w:color w:val="auto"/>
              </w:rPr>
              <mc:AlternateContent>
                <mc:Choice Requires="wps">
                  <w:drawing>
                    <wp:anchor distT="0" distB="0" distL="114300" distR="114300" simplePos="0" relativeHeight="251666432" behindDoc="0" locked="0" layoutInCell="1" allowOverlap="1">
                      <wp:simplePos x="0" y="0"/>
                      <wp:positionH relativeFrom="column">
                        <wp:posOffset>4340225</wp:posOffset>
                      </wp:positionH>
                      <wp:positionV relativeFrom="paragraph">
                        <wp:posOffset>1376680</wp:posOffset>
                      </wp:positionV>
                      <wp:extent cx="762000" cy="286385"/>
                      <wp:effectExtent l="0" t="0" r="0" b="0"/>
                      <wp:wrapNone/>
                      <wp:docPr id="85" name="文本框 85"/>
                      <wp:cNvGraphicFramePr/>
                      <a:graphic xmlns:a="http://schemas.openxmlformats.org/drawingml/2006/main">
                        <a:graphicData uri="http://schemas.microsoft.com/office/word/2010/wordprocessingShape">
                          <wps:wsp>
                            <wps:cNvSpPr txBox="1"/>
                            <wps:spPr>
                              <a:xfrm>
                                <a:off x="0" y="0"/>
                                <a:ext cx="762000" cy="2863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FFFF00"/>
                                    </w:rPr>
                                  </w:pPr>
                                  <w:r>
                                    <w:rPr>
                                      <w:rFonts w:hint="eastAsia"/>
                                      <w:b/>
                                      <w:bCs/>
                                      <w:color w:val="FFFF00"/>
                                    </w:rPr>
                                    <w:t>项目位置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1.75pt;margin-top:108.4pt;height:22.55pt;width:60pt;z-index:251666432;mso-width-relative:page;mso-height-relative:page;" filled="f" stroked="f" coordsize="21600,21600" o:gfxdata="UEsDBAoAAAAAAIdO4kAAAAAAAAAAAAAAAAAEAAAAZHJzL1BLAwQUAAAACACHTuJAat6E0NoAAAAL&#10;AQAADwAAAGRycy9kb3ducmV2LnhtbE2Py07DMBBF90j8gzVI7KidoEYhxKlQpAoJwaKlG3aT2E0i&#10;4nGI3Qd8PdMVLOfO0X2Uq7MbxdHOYfCkIVkoEJZabwbqNOze13c5iBCRDI6erIZvG2BVXV+VWBh/&#10;oo09bmMn2IRCgRr6GKdCytD21mFY+MkS//Z+dhj5nDtpZjyxuRtlqlQmHQ7ECT1Otu5t+7k9OA0v&#10;9foNN03q8p+xfn7dP01fu4+l1rc3iXoEEe05/sFwqc/VoeJOjT+QCWLUkOX3S0Y1pEnGG5jI1UVp&#10;WMmSB5BVKf9vqH4BUEsDBBQAAAAIAIdO4kCKmHohOwIAAGcEAAAOAAAAZHJzL2Uyb0RvYy54bWyt&#10;VMFOGzEQvVfqP1i+l00ChDRig1IQVSVUkGjVs+P1sivZHtd22KUf0P4Bp15673fxHX32JgHRHjj0&#10;shnPjN/MezPO8UlvNLtVPrRkSz7eG3GmrKSqtTcl//zp/M2MsxCFrYQmq0p+pwI/Wbx+ddy5uZpQ&#10;Q7pSngHEhnnnSt7E6OZFEWSjjAh75JRFsCZvRMTR3xSVFx3QjS4mo9G06MhXzpNUIcB7NgT5BtG/&#10;BJDqupXqjOTaKBsHVK+0iKAUmtYFvsjd1rWS8bKug4pMlxxMY/6iCOxV+haLYzG/8cI1rdy0IF7S&#10;wjNORrQWRXdQZyIKtvbtX1CmlZ4C1XFPkikGIlkRsBiPnmlz3QinMhdIHdxO9PD/YOXH2yvP2qrk&#10;s0POrDCY+MP9j4efvx9+fWfwQaDOhTnyrh0yY/+OeqzN1h/gTLz72pv0C0YMcch7t5NX9ZFJOI+m&#10;mD8iEqHJbLo/oBePl50P8b0iw5JRco/pZVHF7UWIaASp25RUy9J5q3WeoLasK/l0/3CUL+wiuKEt&#10;LiYKQ6vJiv2q3/BaUXUHWp6GzQhOnrcofiFCvBIeq4B+8VjiJT61JhShjcVZQ/7bv/wpHxNClLMO&#10;q1Xy8HUtvOJMf7CY3dvxwQFgYz4cHB5NcPBPI6unEbs2p4TtHeNZOpnNlB/11qw9mS94U8tUFSFh&#10;JWqXPG7N0zgsPN6kVMtlTsL2OREv7LWTCXqQc7mOVLdZ6STToM1GPexfHsDmraQFf3rOWY//D4s/&#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at6E0NoAAAALAQAADwAAAAAAAAABACAAAAAiAAAAZHJz&#10;L2Rvd25yZXYueG1sUEsBAhQAFAAAAAgAh07iQIqYeiE7AgAAZwQAAA4AAAAAAAAAAQAgAAAAKQEA&#10;AGRycy9lMm9Eb2MueG1sUEsFBgAAAAAGAAYAWQEAANYFAAAAAA==&#10;">
                      <v:fill on="f" focussize="0,0"/>
                      <v:stroke on="f" weight="0.5pt"/>
                      <v:imagedata o:title=""/>
                      <o:lock v:ext="edit" aspectratio="f"/>
                      <v:textbox>
                        <w:txbxContent>
                          <w:p>
                            <w:pPr>
                              <w:rPr>
                                <w:b/>
                                <w:bCs/>
                                <w:color w:val="FFFF00"/>
                              </w:rPr>
                            </w:pPr>
                            <w:r>
                              <w:rPr>
                                <w:rFonts w:hint="eastAsia"/>
                                <w:b/>
                                <w:bCs/>
                                <w:color w:val="FFFF00"/>
                              </w:rPr>
                              <w:t>项目位置</w:t>
                            </w:r>
                          </w:p>
                        </w:txbxContent>
                      </v:textbox>
                    </v:shape>
                  </w:pict>
                </mc:Fallback>
              </mc:AlternateContent>
            </w:r>
            <w:r>
              <w:rPr>
                <w:color w:val="auto"/>
              </w:rPr>
              <mc:AlternateContent>
                <mc:Choice Requires="wps">
                  <w:drawing>
                    <wp:anchor distT="0" distB="0" distL="114300" distR="114300" simplePos="0" relativeHeight="251663360" behindDoc="0" locked="0" layoutInCell="1" allowOverlap="1">
                      <wp:simplePos x="0" y="0"/>
                      <wp:positionH relativeFrom="column">
                        <wp:posOffset>825500</wp:posOffset>
                      </wp:positionH>
                      <wp:positionV relativeFrom="paragraph">
                        <wp:posOffset>266065</wp:posOffset>
                      </wp:positionV>
                      <wp:extent cx="2409190" cy="286385"/>
                      <wp:effectExtent l="0" t="0" r="0" b="0"/>
                      <wp:wrapNone/>
                      <wp:docPr id="82" name="文本框 82"/>
                      <wp:cNvGraphicFramePr/>
                      <a:graphic xmlns:a="http://schemas.openxmlformats.org/drawingml/2006/main">
                        <a:graphicData uri="http://schemas.microsoft.com/office/word/2010/wordprocessingShape">
                          <wps:wsp>
                            <wps:cNvSpPr txBox="1"/>
                            <wps:spPr>
                              <a:xfrm>
                                <a:off x="0" y="0"/>
                                <a:ext cx="2409190" cy="2863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FFFF00"/>
                                    </w:rPr>
                                  </w:pPr>
                                  <w:r>
                                    <w:rPr>
                                      <w:rFonts w:hint="eastAsia"/>
                                      <w:b/>
                                      <w:bCs/>
                                      <w:color w:val="FFFF00"/>
                                    </w:rPr>
                                    <w:t>博罗县园洲镇第五生活污水处理厂</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5pt;margin-top:20.95pt;height:22.55pt;width:189.7pt;z-index:251663360;mso-width-relative:page;mso-height-relative:page;" filled="f" stroked="f" coordsize="21600,21600" o:gfxdata="UEsDBAoAAAAAAIdO4kAAAAAAAAAAAAAAAAAEAAAAZHJzL1BLAwQUAAAACACHTuJAaNTTS9oAAAAJ&#10;AQAADwAAAGRycy9kb3ducmV2LnhtbE2PzU7DMBCE70i8g7VI3Kid0tI0xKlQpAoJwaGll9428TaJ&#10;iNchdn/g6TEnOI5mNPNNvrrYXpxo9J1jDclEgSCunem40bB7X9+lIHxANtg7Jg1f5GFVXF/lmBl3&#10;5g2dtqERsYR9hhraEIZMSl+3ZNFP3EAcvYMbLYYox0aaEc+x3PZyqtSDtNhxXGhxoLKl+mN7tBpe&#10;yvUbbqqpTb/78vn18DR87vZzrW9vEvUIItAl/IXhFz+iQxGZKndk40Uf9b2KX4KGWbIEEQNztZyB&#10;qDSkCwWyyOX/B8UPUEsDBBQAAAAIAIdO4kBuHwnWPQIAAGgEAAAOAAAAZHJzL2Uyb0RvYy54bWyt&#10;VMFOGzEQvVfqP1i+l01CoCFig1IQVSVUkGjVs+P1sivZHtd22KUf0P4Bp15673fxHX32JgHRHjj0&#10;4oxnZt/4vZnJ8UlvNLtVPrRkSz7eG3GmrKSqtTcl//zp/M2MsxCFrYQmq0p+pwI/Wbx+ddy5uZpQ&#10;Q7pSngHEhnnnSt7E6OZFEWSjjAh75JRFsCZvRMTV3xSVFx3QjS4mo9Fh0ZGvnCepQoD3bAjyDaJ/&#10;CSDVdSvVGcm1UTYOqF5pEUEpNK0LfJFfW9dKxsu6DioyXXIwjflEEdirdBaLYzG/8cI1rdw8Qbzk&#10;Cc84GdFaFN1BnYko2Nq3f0GZVnoKVMc9SaYYiGRFwGI8eqbNdSOcylwgdXA70cP/g5Ufb688a6uS&#10;zyacWWHQ8Yf7Hw8/fz/8+s7gg0CdC3PkXTtkxv4d9RibrT/AmXj3tTfpF4wY4pD3biev6iOTcE6m&#10;o6PxEUISscnscH92kGCKx6+dD/G9IsOSUXKP9mVVxe1FiEPqNiUVs3Teap1bqC3rSn64fzDKH+wi&#10;ANcWNRKH4a3Jiv2q3xBbUXUHXp6G0QhOnrcofiFCvBIes4D3YlviJY5aE4rQxuKsIf/tX/6UjxYh&#10;ylmH2Sp5+LoWXnGmP1g072g8nQI25sv04O0EF/80snoasWtzShjfMfbSyWym/Ki3Zu3JfMFSLVNV&#10;hISVqF3yuDVP4zDxWEqplsuchPFzIl7YaycT9CDnch2pbrPSSaZBm416GMDcq82ypAl/es9Zj38Q&#10;i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o1NNL2gAAAAkBAAAPAAAAAAAAAAEAIAAAACIAAABk&#10;cnMvZG93bnJldi54bWxQSwECFAAUAAAACACHTuJAbh8J1j0CAABoBAAADgAAAAAAAAABACAAAAAp&#10;AQAAZHJzL2Uyb0RvYy54bWxQSwUGAAAAAAYABgBZAQAA2AUAAAAA&#10;">
                      <v:fill on="f" focussize="0,0"/>
                      <v:stroke on="f" weight="0.5pt"/>
                      <v:imagedata o:title=""/>
                      <o:lock v:ext="edit" aspectratio="f"/>
                      <v:textbox>
                        <w:txbxContent>
                          <w:p>
                            <w:pPr>
                              <w:rPr>
                                <w:b/>
                                <w:bCs/>
                                <w:color w:val="FFFF00"/>
                              </w:rPr>
                            </w:pPr>
                            <w:r>
                              <w:rPr>
                                <w:rFonts w:hint="eastAsia"/>
                                <w:b/>
                                <w:bCs/>
                                <w:color w:val="FFFF00"/>
                              </w:rPr>
                              <w:t>博罗县园洲镇第五生活污水处理厂</w:t>
                            </w:r>
                          </w:p>
                        </w:txbxContent>
                      </v:textbox>
                    </v:shape>
                  </w:pict>
                </mc:Fallback>
              </mc:AlternateContent>
            </w:r>
            <w:r>
              <w:rPr>
                <w:color w:val="auto"/>
              </w:rPr>
              <mc:AlternateContent>
                <mc:Choice Requires="wps">
                  <w:drawing>
                    <wp:anchor distT="0" distB="0" distL="114300" distR="114300" simplePos="0" relativeHeight="251668480" behindDoc="0" locked="0" layoutInCell="1" allowOverlap="1">
                      <wp:simplePos x="0" y="0"/>
                      <wp:positionH relativeFrom="column">
                        <wp:posOffset>2473325</wp:posOffset>
                      </wp:positionH>
                      <wp:positionV relativeFrom="paragraph">
                        <wp:posOffset>2205355</wp:posOffset>
                      </wp:positionV>
                      <wp:extent cx="438150" cy="286385"/>
                      <wp:effectExtent l="0" t="0" r="0" b="0"/>
                      <wp:wrapNone/>
                      <wp:docPr id="87" name="文本框 87"/>
                      <wp:cNvGraphicFramePr/>
                      <a:graphic xmlns:a="http://schemas.openxmlformats.org/drawingml/2006/main">
                        <a:graphicData uri="http://schemas.microsoft.com/office/word/2010/wordprocessingShape">
                          <wps:wsp>
                            <wps:cNvSpPr txBox="1"/>
                            <wps:spPr>
                              <a:xfrm>
                                <a:off x="0" y="0"/>
                                <a:ext cx="438150" cy="2863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FFFF00"/>
                                    </w:rPr>
                                  </w:pPr>
                                  <w:r>
                                    <w:rPr>
                                      <w:rFonts w:hint="eastAsia"/>
                                      <w:b/>
                                      <w:bCs/>
                                      <w:color w:val="FFFF00"/>
                                    </w:rPr>
                                    <w:t>W2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4.75pt;margin-top:173.65pt;height:22.55pt;width:34.5pt;z-index:251668480;mso-width-relative:page;mso-height-relative:page;" filled="f" stroked="f" coordsize="21600,21600" o:gfxdata="UEsDBAoAAAAAAIdO4kAAAAAAAAAAAAAAAAAEAAAAZHJzL1BLAwQUAAAACACHTuJAUMoIYtwAAAAL&#10;AQAADwAAAGRycy9kb3ducmV2LnhtbE2PzU7DMBCE70i8g7VI3KjTNIE0xKlQpAoJ0UNLL9w28TaJ&#10;iO0Quz/w9CwnuO3OjGa/LVYXM4gTTb53VsF8FoEg2zjd21bB/m19l4HwAa3GwVlS8EUeVuX1VYG5&#10;dme7pdMutIJLrM9RQRfCmEvpm44M+pkbybJ3cJPBwOvUSj3hmcvNIOMoupcGe8sXOhyp6qj52B2N&#10;gpdqvcFtHZvse6ieXw9P4+f+PVXq9mYePYIIdAl/YfjFZ3Qomal2R6u9GBQssmXKUR6ShwUITiRp&#10;xkrNyjJOQJaF/P9D+QNQSwMEFAAAAAgAh07iQBDn/Kg7AgAAZwQAAA4AAABkcnMvZTJvRG9jLnht&#10;bK1UwW4TMRC9I/EPlu9kkzRpQ9RNFRoFIVW0UkGcHa+3u5LtMbbT3fIB8AecuHDnu/IdPO8mbSkc&#10;euDijGcmb/zezOzpWWs0u1U+1GRzPhoMOVNWUlHbm5x//LB+NeMsRGELocmqnN+pwM8WL1+cNm6u&#10;xlSRLpRnALFh3ricVzG6eZYFWSkjwoCcsgiW5I2IuPqbrPCiAbrR2Xg4PM4a8oXzJFUI8K76IN8j&#10;+ucAUlnWUq1Ibo2ysUf1SosISqGqXeCL7rVlqWS8LMugItM5B9PYnSgCe5PObHEq5jdeuKqW+yeI&#10;5zzhCScjaoui91ArEQXb+vovKFNLT4HKOJBksp5IpwhYjIZPtLmuhFMdF0gd3L3o4f/Byve3V57V&#10;Rc5nJ5xZYdDx3fdvux+/dj+/MvggUOPCHHnXDpmxfUMtxubgD3Am3m3pTfoFI4Y45L27l1e1kUk4&#10;J0ez0RQRidB4dnw0myaU7OHPzof4VpFhyci5R/c6UcXtRYh96iEl1bK0rrXuOqgta3J+fAT4PyIA&#10;1xY1EoX+qcmK7abd89pQcQdanvrJCE6uaxS/ECFeCY9RwHuxLPESR6kJRWhvcVaR//Ivf8pHhxDl&#10;rMFo5Tx83gqvONPvLHr3ejSZADZ2l8n0ZIyLfxzZPI7YrTknTO8Ia+lkZ6b8qA9m6cl8wk4tU1WE&#10;hJWonfN4MM9jP/DYSamWyy4J0+dEvLDXTiboXrTlNlJZd0onmXpt9uph/rpe7XclDfjje5f18H1Y&#10;/A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Qyghi3AAAAAsBAAAPAAAAAAAAAAEAIAAAACIAAABk&#10;cnMvZG93bnJldi54bWxQSwECFAAUAAAACACHTuJAEOf8qDsCAABnBAAADgAAAAAAAAABACAAAAAr&#10;AQAAZHJzL2Uyb0RvYy54bWxQSwUGAAAAAAYABgBZAQAA2AUAAAAA&#10;">
                      <v:fill on="f" focussize="0,0"/>
                      <v:stroke on="f" weight="0.5pt"/>
                      <v:imagedata o:title=""/>
                      <o:lock v:ext="edit" aspectratio="f"/>
                      <v:textbox>
                        <w:txbxContent>
                          <w:p>
                            <w:pPr>
                              <w:rPr>
                                <w:b/>
                                <w:bCs/>
                                <w:color w:val="FFFF00"/>
                              </w:rPr>
                            </w:pPr>
                            <w:r>
                              <w:rPr>
                                <w:rFonts w:hint="eastAsia"/>
                                <w:b/>
                                <w:bCs/>
                                <w:color w:val="FFFF00"/>
                              </w:rPr>
                              <w:t>W2</w:t>
                            </w:r>
                          </w:p>
                        </w:txbxContent>
                      </v:textbox>
                    </v:shape>
                  </w:pict>
                </mc:Fallback>
              </mc:AlternateContent>
            </w:r>
            <w:r>
              <w:rPr>
                <w:color w:val="auto"/>
              </w:rPr>
              <mc:AlternateContent>
                <mc:Choice Requires="wps">
                  <w:drawing>
                    <wp:anchor distT="0" distB="0" distL="114300" distR="114300" simplePos="0" relativeHeight="251667456" behindDoc="0" locked="0" layoutInCell="1" allowOverlap="1">
                      <wp:simplePos x="0" y="0"/>
                      <wp:positionH relativeFrom="column">
                        <wp:posOffset>2559050</wp:posOffset>
                      </wp:positionH>
                      <wp:positionV relativeFrom="paragraph">
                        <wp:posOffset>1157605</wp:posOffset>
                      </wp:positionV>
                      <wp:extent cx="438150" cy="286385"/>
                      <wp:effectExtent l="0" t="0" r="0" b="0"/>
                      <wp:wrapNone/>
                      <wp:docPr id="86" name="文本框 86"/>
                      <wp:cNvGraphicFramePr/>
                      <a:graphic xmlns:a="http://schemas.openxmlformats.org/drawingml/2006/main">
                        <a:graphicData uri="http://schemas.microsoft.com/office/word/2010/wordprocessingShape">
                          <wps:wsp>
                            <wps:cNvSpPr txBox="1"/>
                            <wps:spPr>
                              <a:xfrm>
                                <a:off x="0" y="0"/>
                                <a:ext cx="438150" cy="2863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FFFF00"/>
                                    </w:rPr>
                                  </w:pPr>
                                  <w:r>
                                    <w:rPr>
                                      <w:rFonts w:hint="eastAsia"/>
                                      <w:b/>
                                      <w:bCs/>
                                      <w:color w:val="FFFF00"/>
                                    </w:rPr>
                                    <w:t>W1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1.5pt;margin-top:91.15pt;height:22.55pt;width:34.5pt;z-index:251667456;mso-width-relative:page;mso-height-relative:page;" filled="f" stroked="f" coordsize="21600,21600" o:gfxdata="UEsDBAoAAAAAAIdO4kAAAAAAAAAAAAAAAAAEAAAAZHJzL1BLAwQUAAAACACHTuJAJQOq5NsAAAAL&#10;AQAADwAAAGRycy9kb3ducmV2LnhtbE2PzU7DMBCE70i8g7VI3KhdN9AoxKlQpAoJwaGlF25O7CYR&#10;9jrE7g88PcupHHdmNPtNuTp7x452ikNABfOZAGaxDWbATsHufX2XA4tJo9EuoFXwbSOsquurUhcm&#10;nHBjj9vUMSrBWGgFfUpjwXlse+t1nIXRInn7MHmd6Jw6biZ9onLvuBTigXs9IH3o9Wjr3raf24NX&#10;8FKv3/SmkT7/cfXz6/5p/Np93Ct1ezMXj8CSPadLGP7wCR0qYmrCAU1kTkEmFrQlkZHLBTBKZEtJ&#10;SqNAymUGvCr5/w3VL1BLAwQUAAAACACHTuJASpg/QDsCAABnBAAADgAAAGRycy9lMm9Eb2MueG1s&#10;rVTBbhMxEL0j8Q+W73STNAkh6qYKjYKQKlqpIM6O19tdyfYY2+lu+QD4g564cOe7+h087yZtKBx6&#10;4OKMZyZv/N7M7MlpazS7UT7UZHM+PBpwpqykorbXOf/0cf1qxlmIwhZCk1U5v1WBny5evjhp3FyN&#10;qCJdKM8AYsO8cTmvYnTzLAuyUkaEI3LKIliSNyLi6q+zwosG6EZno8FgmjXkC+dJqhDgXfVBvkP0&#10;zwGksqylWpHcGmVjj+qVFhGUQlW7wBfda8tSyXhRlkFFpnMOprE7UQT2Jp3Z4kTMr71wVS13TxDP&#10;ecITTkbUFkUfoFYiCrb19V9QppaeApXxSJLJeiKdImAxHDzR5qoSTnVcIHVwD6KH/wcrP9xcelYX&#10;OZ9NObPCoOP3d9/vf/y6//mNwQeBGhfmyLtyyIztW2oxNnt/gDPxbktv0i8YMcQh7+2DvKqNTMI5&#10;Pp4NJ4hIhEaz6fFsklCyxz87H+I7RYYlI+ce3etEFTfnIfap+5RUy9K61rrroLasyfn0GPB/RACu&#10;LWokCv1TkxXbTbvjtaHiFrQ89ZMRnFzXKH4uQrwUHqOA92JZ4gWOUhOK0M7irCL/9V/+lI8OIcpZ&#10;g9HKefiyFV5xpt9b9O7NcDwGbOwu48nrES7+MLI5jNitOSNM7xBr6WRnpvyo92bpyXzGTi1TVYSE&#10;laid87g3z2I/8NhJqZbLLgnT50Q8t1dOJuhetOU2Ull3SieZem126mH+ul7tdiUN+OG9y3r8Pix+&#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CUDquTbAAAACwEAAA8AAAAAAAAAAQAgAAAAIgAAAGRy&#10;cy9kb3ducmV2LnhtbFBLAQIUABQAAAAIAIdO4kBKmD9AOwIAAGcEAAAOAAAAAAAAAAEAIAAAACoB&#10;AABkcnMvZTJvRG9jLnhtbFBLBQYAAAAABgAGAFkBAADXBQAAAAA=&#10;">
                      <v:fill on="f" focussize="0,0"/>
                      <v:stroke on="f" weight="0.5pt"/>
                      <v:imagedata o:title=""/>
                      <o:lock v:ext="edit" aspectratio="f"/>
                      <v:textbox>
                        <w:txbxContent>
                          <w:p>
                            <w:pPr>
                              <w:rPr>
                                <w:b/>
                                <w:bCs/>
                                <w:color w:val="FFFF00"/>
                              </w:rPr>
                            </w:pPr>
                            <w:r>
                              <w:rPr>
                                <w:rFonts w:hint="eastAsia"/>
                                <w:b/>
                                <w:bCs/>
                                <w:color w:val="FFFF00"/>
                              </w:rPr>
                              <w:t>W1</w:t>
                            </w:r>
                          </w:p>
                        </w:txbxContent>
                      </v:textbox>
                    </v:shape>
                  </w:pict>
                </mc:Fallback>
              </mc:AlternateContent>
            </w:r>
            <w:r>
              <w:rPr>
                <w:color w:val="auto"/>
              </w:rPr>
              <mc:AlternateContent>
                <mc:Choice Requires="wps">
                  <w:drawing>
                    <wp:anchor distT="0" distB="0" distL="114300" distR="114300" simplePos="0" relativeHeight="251665408" behindDoc="0" locked="0" layoutInCell="1" allowOverlap="1">
                      <wp:simplePos x="0" y="0"/>
                      <wp:positionH relativeFrom="column">
                        <wp:posOffset>1978025</wp:posOffset>
                      </wp:positionH>
                      <wp:positionV relativeFrom="paragraph">
                        <wp:posOffset>2154555</wp:posOffset>
                      </wp:positionV>
                      <wp:extent cx="381000" cy="180975"/>
                      <wp:effectExtent l="9525" t="20320" r="20955" b="27305"/>
                      <wp:wrapNone/>
                      <wp:docPr id="84" name="直接连接符 84"/>
                      <wp:cNvGraphicFramePr/>
                      <a:graphic xmlns:a="http://schemas.openxmlformats.org/drawingml/2006/main">
                        <a:graphicData uri="http://schemas.microsoft.com/office/word/2010/wordprocessingShape">
                          <wps:wsp>
                            <wps:cNvCnPr/>
                            <wps:spPr>
                              <a:xfrm>
                                <a:off x="0" y="0"/>
                                <a:ext cx="381000" cy="180975"/>
                              </a:xfrm>
                              <a:prstGeom prst="line">
                                <a:avLst/>
                              </a:prstGeom>
                              <a:ln w="4445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55.75pt;margin-top:169.65pt;height:14.25pt;width:30pt;z-index:251665408;mso-width-relative:page;mso-height-relative:page;" filled="f" stroked="t" coordsize="21600,21600" o:gfxdata="UEsDBAoAAAAAAIdO4kAAAAAAAAAAAAAAAAAEAAAAZHJzL1BLAwQUAAAACACHTuJAyNuvGdgAAAAL&#10;AQAADwAAAGRycy9kb3ducmV2LnhtbE2PS0/DMBCE70j8B2uRuFEnRH2lcSoViQPqqaHc3XiJo8br&#10;ELuv/Hq2J7jN7oxmvy3WV9eJMw6h9aQgnSQgkGpvWmoU7D/fXxYgQtRkdOcJFdwwwLp8fCh0bvyF&#10;dniuYiO4hEKuFdgY+1zKUFt0Okx8j8Tetx+cjjwOjTSDvnC56+Rrksyk0y3xBat7fLNYH6uTU9CO&#10;8mO6Wf7sfLW92Tpsxv32a1Tq+SlNViAiXuNfGO74jA4lMx38iUwQnYIsTaccZZEtMxCcyOb3zYHF&#10;bL4AWRby/w/lL1BLAwQUAAAACACHTuJA39YKbd4BAAChAwAADgAAAGRycy9lMm9Eb2MueG1srVNN&#10;jtMwFN4jcQfLe5p06ECJms5iqrJBUAk4wKvjJJb8Jz9P016CCyCxgxVL9tyG4Rg8O6EDw2YWbJz3&#10;+/l9n19WV0ej2UEGVM7WfD4rOZNWuEbZrubv322fLDnDCLYB7ays+Ukiv1o/frQafCUvXO90IwMj&#10;EIvV4Gvex+irokDRSwM4c15aSrYuGIjkhq5oAgyEbnRxUZbPisGFxgcnJCJFN2OST4jhIYCubZWQ&#10;GydujLRxRA1SQyRK2CuPfJ2nbVsp4pu2RRmZrjkxjfmkS8jep7NYr6DqAvheiWkEeMgI9zgZUJYu&#10;PUNtIAK7CeofKKNEcOjaOBPOFCORrAixmJf3tHnbg5eZC0mN/iw6/j9Y8fqwC0w1NV8uOLNg6MVv&#10;P3778eHzz++f6Lz9+oVRhmQaPFZUfW13YfLQ70LifGyDSV9iw45Z2tNZWnmMTFDw6XJeliS6oNR8&#10;Wb54fpkwi7tmHzC+lM6wZNRcK5uYQwWHVxjH0t8lKWzdVmlNcai0ZUPNF4vFZcIHWsmWVoFM44kW&#10;2o4z0B3tuoghQ6LTqkntqRtDt7/WgR2ANmS7pSHzUtBkf5WluzeA/ViXUxMBbYlHEmeUI1l715yy&#10;SjlOL5eZTluWVuNPP3ff/VnrX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jbrxnYAAAACwEAAA8A&#10;AAAAAAAAAQAgAAAAIgAAAGRycy9kb3ducmV2LnhtbFBLAQIUABQAAAAIAIdO4kDf1gpt3gEAAKED&#10;AAAOAAAAAAAAAAEAIAAAACcBAABkcnMvZTJvRG9jLnhtbFBLBQYAAAAABgAGAFkBAAB3BQAAAAA=&#10;">
                      <v:fill on="f" focussize="0,0"/>
                      <v:stroke weight="3.5pt" color="#FF0000 [3204]" joinstyle="round"/>
                      <v:imagedata o:title=""/>
                      <o:lock v:ext="edit" aspectratio="f"/>
                    </v:line>
                  </w:pict>
                </mc:Fallback>
              </mc:AlternateContent>
            </w:r>
            <w:r>
              <w:rPr>
                <w:color w:val="auto"/>
              </w:rPr>
              <mc:AlternateContent>
                <mc:Choice Requires="wps">
                  <w:drawing>
                    <wp:anchor distT="0" distB="0" distL="114300" distR="114300" simplePos="0" relativeHeight="251664384" behindDoc="0" locked="0" layoutInCell="1" allowOverlap="1">
                      <wp:simplePos x="0" y="0"/>
                      <wp:positionH relativeFrom="column">
                        <wp:posOffset>2139950</wp:posOffset>
                      </wp:positionH>
                      <wp:positionV relativeFrom="paragraph">
                        <wp:posOffset>1316355</wp:posOffset>
                      </wp:positionV>
                      <wp:extent cx="352425" cy="152400"/>
                      <wp:effectExtent l="8890" t="20320" r="19685" b="25400"/>
                      <wp:wrapNone/>
                      <wp:docPr id="83" name="直接连接符 83"/>
                      <wp:cNvGraphicFramePr/>
                      <a:graphic xmlns:a="http://schemas.openxmlformats.org/drawingml/2006/main">
                        <a:graphicData uri="http://schemas.microsoft.com/office/word/2010/wordprocessingShape">
                          <wps:wsp>
                            <wps:cNvCnPr/>
                            <wps:spPr>
                              <a:xfrm flipV="1">
                                <a:off x="3470910" y="5003165"/>
                                <a:ext cx="352425" cy="152400"/>
                              </a:xfrm>
                              <a:prstGeom prst="line">
                                <a:avLst/>
                              </a:prstGeom>
                              <a:ln w="4445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68.5pt;margin-top:103.65pt;height:12pt;width:27.75pt;z-index:251664384;mso-width-relative:page;mso-height-relative:page;" filled="f" stroked="t" coordsize="21600,21600" o:gfxdata="UEsDBAoAAAAAAIdO4kAAAAAAAAAAAAAAAAAEAAAAZHJzL1BLAwQUAAAACACHTuJAELadqdsAAAAL&#10;AQAADwAAAGRycy9kb3ducmV2LnhtbE2PwU7DMBBE70j8g7VI3KidWNAS4lSiUi/0ULWA2uMmXpJA&#10;bEex26R/jzmV4+yMZt/ky8l07EyDb51VkMwEMLKV062tFXy8rx8WwHxAq7FzlhRcyMOyuL3JMdNu&#10;tDs670PNYon1GSpoQugzzn3VkEE/cz3Z6H25wWCIcqi5HnCM5abjqRBP3GBr44cGe1o1VP3sT0bB&#10;23p74GO/WF2O+LmpNt+7ctq+KnV/l4gXYIGmcA3DH35EhyIyle5ktWedAinncUtQkIq5BBYT8jl9&#10;BFbGi0wk8CLn/zcUv1BLAwQUAAAACACHTuJAt1ipZvYBAAC3AwAADgAAAGRycy9lMm9Eb2MueG1s&#10;rVPNjtMwEL4j8Q6W7zRpmyxL1HQPW5ULgkr83F3HTiz5Tx5v074EL4DEDU4cufM2LI/B2CkLLJc9&#10;kIM19nz5Zr7P49XV0WhyEAGUsy2dz0pKhOWuU7Zv6ds32yeXlEBktmPaWdHSkwB6tX78aDX6Rizc&#10;4HQnAkESC83oWzrE6JuiAD4Iw2DmvLCYlC4YFnEb+qILbER2o4tFWV4UowudD44LADzdTEl6ZgwP&#10;IXRSKi42jt8YYePEGoRmESXBoDzQde5WSsHjKylBRKJbikpjXrEIxvu0FusVa/rA/KD4uQX2kBbu&#10;aTJMWSx6R7VhkZGboP6hMooHB07GGXemmIRkR1DFvLznzeuBeZG1oNXg70yH/0fLXx52gaiupZdL&#10;SiwzeOO3H75+f//px7ePuN5++UwwgzaNHhpEX9tdOO/A70LSfJTBEKmVf4fzlF1AXeTY0mX1tHw2&#10;R6tPLa3Lcjm/qCfDxTESngD1olrUlHAEzDEu84UUE2Wi9gHic+EMSUFLtbLJD9awwwuI2AZCf0HS&#10;sXVbpXW+U23J2NKqqmqszxkOqsQBwdB4FAu2p4TpHl8AjyFTgtOqS78nIgj9/loHcmA4N9ttiV/q&#10;HMv9BUu1NwyGCZdTZ5i2iE6WTSalaO+6U/Yun+N9Zr7z7KWB+XOf//793tY/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C2nanbAAAACwEAAA8AAAAAAAAAAQAgAAAAIgAAAGRycy9kb3ducmV2Lnht&#10;bFBLAQIUABQAAAAIAIdO4kC3WKlm9gEAALcDAAAOAAAAAAAAAAEAIAAAACoBAABkcnMvZTJvRG9j&#10;LnhtbFBLBQYAAAAABgAGAFkBAACSBQAAAAA=&#10;">
                      <v:fill on="f" focussize="0,0"/>
                      <v:stroke weight="3.5pt" color="#FF0000 [3204]" joinstyle="round"/>
                      <v:imagedata o:title=""/>
                      <o:lock v:ext="edit" aspectratio="f"/>
                    </v:line>
                  </w:pict>
                </mc:Fallback>
              </mc:AlternateContent>
            </w:r>
            <w:r>
              <w:rPr>
                <w:color w:val="auto"/>
              </w:rPr>
              <w:drawing>
                <wp:inline distT="0" distB="0" distL="114300" distR="114300">
                  <wp:extent cx="5248910" cy="3557905"/>
                  <wp:effectExtent l="0" t="0" r="8890" b="8255"/>
                  <wp:docPr id="81" name="图片 81" descr="水环境现状监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水环境现状监测"/>
                          <pic:cNvPicPr>
                            <a:picLocks noChangeAspect="1"/>
                          </pic:cNvPicPr>
                        </pic:nvPicPr>
                        <pic:blipFill>
                          <a:blip r:embed="rId12"/>
                          <a:stretch>
                            <a:fillRect/>
                          </a:stretch>
                        </pic:blipFill>
                        <pic:spPr>
                          <a:xfrm>
                            <a:off x="0" y="0"/>
                            <a:ext cx="5248910" cy="3557905"/>
                          </a:xfrm>
                          <a:prstGeom prst="rect">
                            <a:avLst/>
                          </a:prstGeom>
                        </pic:spPr>
                      </pic:pic>
                    </a:graphicData>
                  </a:graphic>
                </wp:inline>
              </w:drawing>
            </w:r>
          </w:p>
          <w:p>
            <w:pPr>
              <w:pStyle w:val="5"/>
              <w:jc w:val="center"/>
              <w:rPr>
                <w:color w:val="auto"/>
              </w:rPr>
            </w:pPr>
            <w:r>
              <w:rPr>
                <w:b/>
                <w:bCs/>
                <w:color w:val="auto"/>
                <w:sz w:val="21"/>
                <w:szCs w:val="21"/>
              </w:rPr>
              <w:t>图</w:t>
            </w:r>
            <w:r>
              <w:rPr>
                <w:rFonts w:hint="eastAsia"/>
                <w:b/>
                <w:bCs/>
                <w:color w:val="auto"/>
                <w:sz w:val="21"/>
                <w:szCs w:val="21"/>
              </w:rPr>
              <w:t>3-3 项目与地表水环境引用监测点位置的关系图</w:t>
            </w:r>
          </w:p>
          <w:p>
            <w:pPr>
              <w:adjustRightInd w:val="0"/>
              <w:snapToGrid w:val="0"/>
              <w:spacing w:line="360" w:lineRule="auto"/>
              <w:ind w:firstLine="431"/>
              <w:rPr>
                <w:b/>
                <w:color w:val="auto"/>
                <w:szCs w:val="21"/>
              </w:rPr>
            </w:pPr>
            <w:r>
              <w:rPr>
                <w:rFonts w:hint="eastAsia"/>
                <w:b/>
                <w:color w:val="auto"/>
                <w:szCs w:val="21"/>
              </w:rPr>
              <w:t>3</w:t>
            </w:r>
            <w:r>
              <w:rPr>
                <w:b/>
                <w:color w:val="auto"/>
                <w:szCs w:val="21"/>
              </w:rPr>
              <w:t>、声环境质量现状</w:t>
            </w:r>
          </w:p>
          <w:p>
            <w:pPr>
              <w:widowControl/>
              <w:adjustRightInd w:val="0"/>
              <w:snapToGrid w:val="0"/>
              <w:spacing w:line="360" w:lineRule="auto"/>
              <w:ind w:firstLine="420" w:firstLineChars="200"/>
              <w:rPr>
                <w:color w:val="auto"/>
              </w:rPr>
            </w:pPr>
            <w:r>
              <w:rPr>
                <w:color w:val="auto"/>
              </w:rPr>
              <w:t>本项目厂界外周边50米范围内不存在声环境保护目标，因此无需进行声环境现状调查。</w:t>
            </w:r>
          </w:p>
          <w:p>
            <w:pPr>
              <w:adjustRightInd w:val="0"/>
              <w:snapToGrid w:val="0"/>
              <w:spacing w:line="360" w:lineRule="auto"/>
              <w:ind w:firstLine="431"/>
              <w:rPr>
                <w:b/>
                <w:color w:val="auto"/>
                <w:szCs w:val="21"/>
              </w:rPr>
            </w:pPr>
            <w:r>
              <w:rPr>
                <w:rFonts w:hint="eastAsia"/>
                <w:b/>
                <w:color w:val="auto"/>
                <w:szCs w:val="21"/>
              </w:rPr>
              <w:t>4、生态环境</w:t>
            </w:r>
          </w:p>
          <w:p>
            <w:pPr>
              <w:widowControl/>
              <w:adjustRightInd w:val="0"/>
              <w:snapToGrid w:val="0"/>
              <w:spacing w:line="360" w:lineRule="auto"/>
              <w:ind w:firstLine="420" w:firstLineChars="200"/>
              <w:rPr>
                <w:b/>
                <w:bCs/>
                <w:color w:val="auto"/>
                <w:szCs w:val="21"/>
              </w:rPr>
            </w:pPr>
            <w:r>
              <w:rPr>
                <w:color w:val="auto"/>
              </w:rPr>
              <w:t>本项目用地范围内不涉及生态环境保护目标，因此无需进行生态现状调查。</w:t>
            </w:r>
          </w:p>
          <w:p>
            <w:pPr>
              <w:tabs>
                <w:tab w:val="left" w:pos="9360"/>
              </w:tabs>
              <w:spacing w:line="360" w:lineRule="auto"/>
              <w:ind w:firstLine="422" w:firstLineChars="200"/>
              <w:rPr>
                <w:b/>
                <w:bCs/>
                <w:color w:val="auto"/>
                <w:szCs w:val="21"/>
              </w:rPr>
            </w:pPr>
            <w:r>
              <w:rPr>
                <w:rFonts w:hint="eastAsia"/>
                <w:b/>
                <w:bCs/>
                <w:color w:val="auto"/>
                <w:szCs w:val="21"/>
              </w:rPr>
              <w:t>5、电磁辐射</w:t>
            </w:r>
          </w:p>
          <w:p>
            <w:pPr>
              <w:tabs>
                <w:tab w:val="left" w:pos="9360"/>
              </w:tabs>
              <w:spacing w:line="360" w:lineRule="auto"/>
              <w:ind w:firstLine="420" w:firstLineChars="200"/>
              <w:rPr>
                <w:color w:val="auto"/>
                <w:szCs w:val="21"/>
              </w:rPr>
            </w:pPr>
            <w:r>
              <w:rPr>
                <w:rFonts w:hint="eastAsia"/>
                <w:color w:val="auto"/>
                <w:szCs w:val="21"/>
              </w:rPr>
              <w:t>项目不属于广播电台、差转台、电视塔台、卫星地球上行站、雷达等电磁辐射类项目，无需开展电磁辐射现状监测与评价。</w:t>
            </w:r>
          </w:p>
          <w:p>
            <w:pPr>
              <w:tabs>
                <w:tab w:val="left" w:pos="9360"/>
              </w:tabs>
              <w:spacing w:line="360" w:lineRule="auto"/>
              <w:ind w:firstLine="422" w:firstLineChars="200"/>
              <w:rPr>
                <w:b/>
                <w:bCs/>
                <w:color w:val="auto"/>
                <w:szCs w:val="21"/>
              </w:rPr>
            </w:pPr>
            <w:r>
              <w:rPr>
                <w:rFonts w:hint="eastAsia"/>
                <w:b/>
                <w:bCs/>
                <w:color w:val="auto"/>
                <w:szCs w:val="21"/>
              </w:rPr>
              <w:t>6、</w:t>
            </w:r>
            <w:r>
              <w:rPr>
                <w:b/>
                <w:bCs/>
                <w:color w:val="auto"/>
              </w:rPr>
              <w:t>地下水、土壤环境</w:t>
            </w:r>
          </w:p>
          <w:p>
            <w:pPr>
              <w:tabs>
                <w:tab w:val="left" w:pos="9360"/>
              </w:tabs>
              <w:spacing w:line="360" w:lineRule="auto"/>
              <w:ind w:firstLine="420" w:firstLineChars="200"/>
              <w:rPr>
                <w:rFonts w:ascii="宋体" w:hAnsi="宋体" w:cs="宋体"/>
                <w:color w:val="auto"/>
                <w:kern w:val="0"/>
                <w:szCs w:val="21"/>
              </w:rPr>
            </w:pPr>
            <w:r>
              <w:rPr>
                <w:color w:val="auto"/>
              </w:rPr>
              <w:t>项目厂房均已硬底化</w:t>
            </w:r>
            <w:r>
              <w:rPr>
                <w:rFonts w:hint="eastAsia"/>
                <w:color w:val="auto"/>
              </w:rPr>
              <w:t>，不存在</w:t>
            </w:r>
            <w:r>
              <w:rPr>
                <w:color w:val="auto"/>
              </w:rPr>
              <w:t>污染土壤、地下水环境的途径，故无需进行地下水、土壤环境质量现状调查。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31" w:hRule="atLeast"/>
          <w:jc w:val="center"/>
        </w:trPr>
        <w:tc>
          <w:tcPr>
            <w:tcW w:w="800" w:type="dxa"/>
            <w:vAlign w:val="center"/>
          </w:tcPr>
          <w:p>
            <w:pPr>
              <w:adjustRightInd w:val="0"/>
              <w:snapToGrid w:val="0"/>
              <w:jc w:val="center"/>
              <w:rPr>
                <w:rFonts w:ascii="宋体" w:hAnsi="宋体" w:cs="宋体"/>
                <w:color w:val="auto"/>
                <w:kern w:val="0"/>
                <w:szCs w:val="21"/>
              </w:rPr>
            </w:pPr>
            <w:r>
              <w:rPr>
                <w:rFonts w:hint="eastAsia" w:ascii="宋体" w:hAnsi="宋体" w:cs="宋体"/>
                <w:color w:val="auto"/>
                <w:kern w:val="0"/>
                <w:szCs w:val="21"/>
              </w:rPr>
              <w:t>环境</w:t>
            </w:r>
          </w:p>
          <w:p>
            <w:pPr>
              <w:adjustRightInd w:val="0"/>
              <w:snapToGrid w:val="0"/>
              <w:jc w:val="center"/>
              <w:rPr>
                <w:rFonts w:ascii="宋体" w:hAnsi="宋体" w:cs="宋体"/>
                <w:color w:val="auto"/>
                <w:kern w:val="0"/>
                <w:szCs w:val="21"/>
              </w:rPr>
            </w:pPr>
            <w:r>
              <w:rPr>
                <w:rFonts w:hint="eastAsia" w:ascii="宋体" w:hAnsi="宋体" w:cs="宋体"/>
                <w:color w:val="auto"/>
                <w:kern w:val="0"/>
                <w:szCs w:val="21"/>
              </w:rPr>
              <w:t>保护</w:t>
            </w:r>
          </w:p>
          <w:p>
            <w:pPr>
              <w:adjustRightInd w:val="0"/>
              <w:snapToGrid w:val="0"/>
              <w:jc w:val="center"/>
              <w:rPr>
                <w:rFonts w:ascii="宋体" w:hAnsi="宋体" w:cs="宋体"/>
                <w:color w:val="auto"/>
                <w:kern w:val="0"/>
                <w:szCs w:val="21"/>
              </w:rPr>
            </w:pPr>
            <w:r>
              <w:rPr>
                <w:rFonts w:hint="eastAsia" w:ascii="宋体" w:hAnsi="宋体" w:cs="宋体"/>
                <w:color w:val="auto"/>
                <w:kern w:val="0"/>
                <w:szCs w:val="21"/>
              </w:rPr>
              <w:t>目标</w:t>
            </w:r>
          </w:p>
        </w:tc>
        <w:tc>
          <w:tcPr>
            <w:tcW w:w="8214" w:type="dxa"/>
            <w:vAlign w:val="center"/>
          </w:tcPr>
          <w:p>
            <w:pPr>
              <w:pStyle w:val="11"/>
              <w:snapToGrid w:val="0"/>
              <w:spacing w:line="360" w:lineRule="auto"/>
              <w:ind w:left="0" w:firstLine="422" w:firstLineChars="200"/>
              <w:jc w:val="both"/>
              <w:rPr>
                <w:color w:val="auto"/>
                <w:kern w:val="2"/>
                <w:sz w:val="21"/>
                <w:szCs w:val="21"/>
                <w:lang w:val="zh-CN"/>
              </w:rPr>
            </w:pPr>
            <w:r>
              <w:rPr>
                <w:b/>
                <w:bCs/>
                <w:color w:val="auto"/>
                <w:kern w:val="2"/>
                <w:sz w:val="21"/>
                <w:szCs w:val="21"/>
                <w:lang w:val="zh-CN"/>
              </w:rPr>
              <w:t>1、大气环境</w:t>
            </w:r>
          </w:p>
          <w:p>
            <w:pPr>
              <w:adjustRightInd w:val="0"/>
              <w:snapToGrid w:val="0"/>
              <w:spacing w:line="336" w:lineRule="auto"/>
              <w:ind w:firstLine="420" w:firstLineChars="200"/>
              <w:jc w:val="left"/>
              <w:rPr>
                <w:color w:val="auto"/>
                <w:szCs w:val="21"/>
              </w:rPr>
            </w:pPr>
            <w:r>
              <w:rPr>
                <w:rFonts w:hint="eastAsia"/>
                <w:color w:val="auto"/>
                <w:szCs w:val="21"/>
              </w:rPr>
              <w:t>根据现场勘查结果，厂界500米范围内大气环境主要环境保护目标见下表所示：</w:t>
            </w:r>
          </w:p>
          <w:p>
            <w:pPr>
              <w:pStyle w:val="41"/>
              <w:snapToGrid w:val="0"/>
              <w:ind w:firstLine="422" w:firstLineChars="20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表3-</w:t>
            </w:r>
            <w:r>
              <w:rPr>
                <w:rFonts w:ascii="Times New Roman" w:hAnsi="Times New Roman" w:cs="Times New Roman"/>
                <w:b/>
                <w:bCs/>
                <w:color w:val="auto"/>
                <w:sz w:val="21"/>
                <w:szCs w:val="21"/>
              </w:rPr>
              <w:t>4</w:t>
            </w:r>
            <w:r>
              <w:rPr>
                <w:rFonts w:hint="default" w:ascii="Times New Roman" w:hAnsi="Times New Roman" w:cs="Times New Roman"/>
                <w:b/>
                <w:bCs/>
                <w:color w:val="auto"/>
                <w:sz w:val="21"/>
                <w:szCs w:val="21"/>
              </w:rPr>
              <w:t xml:space="preserve"> </w:t>
            </w:r>
            <w:r>
              <w:rPr>
                <w:rFonts w:ascii="Times New Roman" w:hAnsi="Times New Roman" w:cs="Times New Roman"/>
                <w:b/>
                <w:bCs/>
                <w:color w:val="auto"/>
                <w:sz w:val="21"/>
                <w:szCs w:val="21"/>
              </w:rPr>
              <w:t>大气</w:t>
            </w:r>
            <w:r>
              <w:rPr>
                <w:rFonts w:hint="default" w:ascii="Times New Roman" w:hAnsi="Times New Roman" w:cs="Times New Roman"/>
                <w:b/>
                <w:color w:val="auto"/>
                <w:sz w:val="21"/>
                <w:szCs w:val="21"/>
              </w:rPr>
              <w:t>环境保护</w:t>
            </w:r>
            <w:r>
              <w:rPr>
                <w:rFonts w:hint="default" w:ascii="Times New Roman" w:hAnsi="Times New Roman" w:cs="Times New Roman"/>
                <w:b/>
                <w:bCs/>
                <w:color w:val="auto"/>
                <w:sz w:val="21"/>
                <w:szCs w:val="21"/>
              </w:rPr>
              <w:t>目标一览表</w:t>
            </w:r>
          </w:p>
          <w:tbl>
            <w:tblPr>
              <w:tblStyle w:val="35"/>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7"/>
              <w:gridCol w:w="848"/>
              <w:gridCol w:w="1431"/>
              <w:gridCol w:w="1326"/>
              <w:gridCol w:w="704"/>
              <w:gridCol w:w="719"/>
              <w:gridCol w:w="1838"/>
              <w:gridCol w:w="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452" w:type="pct"/>
                  <w:vMerge w:val="restart"/>
                  <w:vAlign w:val="center"/>
                </w:tcPr>
                <w:p>
                  <w:pPr>
                    <w:adjustRightInd w:val="0"/>
                    <w:snapToGrid w:val="0"/>
                    <w:jc w:val="center"/>
                    <w:textAlignment w:val="baseline"/>
                    <w:rPr>
                      <w:b/>
                      <w:bCs/>
                      <w:color w:val="auto"/>
                      <w:szCs w:val="21"/>
                    </w:rPr>
                  </w:pPr>
                  <w:r>
                    <w:rPr>
                      <w:rFonts w:hint="eastAsia"/>
                      <w:b/>
                      <w:bCs/>
                      <w:color w:val="auto"/>
                      <w:szCs w:val="21"/>
                    </w:rPr>
                    <w:t>环境</w:t>
                  </w:r>
                  <w:r>
                    <w:rPr>
                      <w:b/>
                      <w:bCs/>
                      <w:color w:val="auto"/>
                      <w:szCs w:val="21"/>
                    </w:rPr>
                    <w:t>保护目标</w:t>
                  </w:r>
                </w:p>
              </w:tc>
              <w:tc>
                <w:tcPr>
                  <w:tcW w:w="513" w:type="pct"/>
                  <w:vMerge w:val="restart"/>
                  <w:vAlign w:val="center"/>
                </w:tcPr>
                <w:p>
                  <w:pPr>
                    <w:adjustRightInd w:val="0"/>
                    <w:snapToGrid w:val="0"/>
                    <w:jc w:val="center"/>
                    <w:textAlignment w:val="baseline"/>
                    <w:rPr>
                      <w:b/>
                      <w:bCs/>
                      <w:color w:val="auto"/>
                      <w:szCs w:val="21"/>
                    </w:rPr>
                  </w:pPr>
                  <w:r>
                    <w:rPr>
                      <w:rFonts w:hint="eastAsia"/>
                      <w:b/>
                      <w:bCs/>
                      <w:color w:val="auto"/>
                      <w:szCs w:val="21"/>
                    </w:rPr>
                    <w:t>与厂界最近距离</w:t>
                  </w:r>
                </w:p>
              </w:tc>
              <w:tc>
                <w:tcPr>
                  <w:tcW w:w="1668" w:type="pct"/>
                  <w:gridSpan w:val="2"/>
                  <w:vAlign w:val="center"/>
                </w:tcPr>
                <w:p>
                  <w:pPr>
                    <w:adjustRightInd w:val="0"/>
                    <w:snapToGrid w:val="0"/>
                    <w:jc w:val="center"/>
                    <w:textAlignment w:val="baseline"/>
                    <w:rPr>
                      <w:b/>
                      <w:bCs/>
                      <w:color w:val="auto"/>
                      <w:szCs w:val="21"/>
                    </w:rPr>
                  </w:pPr>
                  <w:r>
                    <w:rPr>
                      <w:rFonts w:hint="eastAsia"/>
                      <w:b/>
                      <w:bCs/>
                      <w:color w:val="auto"/>
                      <w:szCs w:val="21"/>
                    </w:rPr>
                    <w:t>坐标</w:t>
                  </w:r>
                </w:p>
              </w:tc>
              <w:tc>
                <w:tcPr>
                  <w:tcW w:w="426" w:type="pct"/>
                  <w:vMerge w:val="restart"/>
                  <w:vAlign w:val="center"/>
                </w:tcPr>
                <w:p>
                  <w:pPr>
                    <w:adjustRightInd w:val="0"/>
                    <w:snapToGrid w:val="0"/>
                    <w:jc w:val="center"/>
                    <w:textAlignment w:val="baseline"/>
                    <w:rPr>
                      <w:b/>
                      <w:bCs/>
                      <w:color w:val="auto"/>
                      <w:szCs w:val="21"/>
                    </w:rPr>
                  </w:pPr>
                  <w:r>
                    <w:rPr>
                      <w:b/>
                      <w:bCs/>
                      <w:color w:val="auto"/>
                      <w:szCs w:val="21"/>
                    </w:rPr>
                    <w:t>方位</w:t>
                  </w:r>
                </w:p>
              </w:tc>
              <w:tc>
                <w:tcPr>
                  <w:tcW w:w="435" w:type="pct"/>
                  <w:vMerge w:val="restart"/>
                  <w:vAlign w:val="center"/>
                </w:tcPr>
                <w:p>
                  <w:pPr>
                    <w:adjustRightInd w:val="0"/>
                    <w:snapToGrid w:val="0"/>
                    <w:jc w:val="center"/>
                    <w:textAlignment w:val="baseline"/>
                    <w:rPr>
                      <w:b/>
                      <w:bCs/>
                      <w:color w:val="auto"/>
                      <w:szCs w:val="21"/>
                    </w:rPr>
                  </w:pPr>
                  <w:r>
                    <w:rPr>
                      <w:rFonts w:hint="eastAsia"/>
                      <w:b/>
                      <w:bCs/>
                      <w:color w:val="auto"/>
                      <w:szCs w:val="21"/>
                    </w:rPr>
                    <w:t>保护对象</w:t>
                  </w:r>
                </w:p>
              </w:tc>
              <w:tc>
                <w:tcPr>
                  <w:tcW w:w="1112" w:type="pct"/>
                  <w:vMerge w:val="restart"/>
                  <w:vAlign w:val="center"/>
                </w:tcPr>
                <w:p>
                  <w:pPr>
                    <w:adjustRightInd w:val="0"/>
                    <w:snapToGrid w:val="0"/>
                    <w:jc w:val="center"/>
                    <w:textAlignment w:val="baseline"/>
                    <w:rPr>
                      <w:b/>
                      <w:bCs/>
                      <w:color w:val="auto"/>
                      <w:szCs w:val="21"/>
                    </w:rPr>
                  </w:pPr>
                  <w:r>
                    <w:rPr>
                      <w:b/>
                      <w:bCs/>
                      <w:color w:val="auto"/>
                      <w:szCs w:val="21"/>
                    </w:rPr>
                    <w:t>保护级别</w:t>
                  </w:r>
                </w:p>
              </w:tc>
              <w:tc>
                <w:tcPr>
                  <w:tcW w:w="392" w:type="pct"/>
                  <w:vMerge w:val="restart"/>
                  <w:vAlign w:val="center"/>
                </w:tcPr>
                <w:p>
                  <w:pPr>
                    <w:adjustRightInd w:val="0"/>
                    <w:snapToGrid w:val="0"/>
                    <w:jc w:val="center"/>
                    <w:textAlignment w:val="baseline"/>
                    <w:rPr>
                      <w:b/>
                      <w:bCs/>
                      <w:color w:val="auto"/>
                      <w:szCs w:val="21"/>
                    </w:rPr>
                  </w:pPr>
                  <w:r>
                    <w:rPr>
                      <w:rFonts w:hint="eastAsia"/>
                      <w:b/>
                      <w:bCs/>
                      <w:color w:val="auto"/>
                      <w:szCs w:val="21"/>
                    </w:rPr>
                    <w:t>保护</w:t>
                  </w:r>
                </w:p>
                <w:p>
                  <w:pPr>
                    <w:adjustRightInd w:val="0"/>
                    <w:snapToGrid w:val="0"/>
                    <w:jc w:val="center"/>
                    <w:textAlignment w:val="baseline"/>
                    <w:rPr>
                      <w:b/>
                      <w:bCs/>
                      <w:color w:val="auto"/>
                      <w:szCs w:val="21"/>
                    </w:rPr>
                  </w:pPr>
                  <w:r>
                    <w:rPr>
                      <w:rFonts w:hint="eastAsia"/>
                      <w:b/>
                      <w:bCs/>
                      <w:color w:val="auto"/>
                      <w:szCs w:val="21"/>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452" w:type="pct"/>
                  <w:vMerge w:val="continue"/>
                  <w:vAlign w:val="center"/>
                </w:tcPr>
                <w:p>
                  <w:pPr>
                    <w:adjustRightInd w:val="0"/>
                    <w:snapToGrid w:val="0"/>
                    <w:jc w:val="center"/>
                    <w:textAlignment w:val="baseline"/>
                    <w:rPr>
                      <w:color w:val="auto"/>
                    </w:rPr>
                  </w:pPr>
                </w:p>
              </w:tc>
              <w:tc>
                <w:tcPr>
                  <w:tcW w:w="513" w:type="pct"/>
                  <w:vMerge w:val="continue"/>
                  <w:vAlign w:val="center"/>
                </w:tcPr>
                <w:p>
                  <w:pPr>
                    <w:adjustRightInd w:val="0"/>
                    <w:snapToGrid w:val="0"/>
                    <w:jc w:val="center"/>
                    <w:textAlignment w:val="baseline"/>
                    <w:rPr>
                      <w:color w:val="auto"/>
                    </w:rPr>
                  </w:pPr>
                </w:p>
              </w:tc>
              <w:tc>
                <w:tcPr>
                  <w:tcW w:w="866" w:type="pct"/>
                  <w:vAlign w:val="center"/>
                </w:tcPr>
                <w:p>
                  <w:pPr>
                    <w:adjustRightInd w:val="0"/>
                    <w:snapToGrid w:val="0"/>
                    <w:jc w:val="center"/>
                    <w:textAlignment w:val="baseline"/>
                    <w:rPr>
                      <w:b/>
                      <w:bCs/>
                      <w:color w:val="auto"/>
                      <w:szCs w:val="21"/>
                    </w:rPr>
                  </w:pPr>
                  <w:r>
                    <w:rPr>
                      <w:rFonts w:hint="eastAsia"/>
                      <w:b/>
                      <w:bCs/>
                      <w:color w:val="auto"/>
                      <w:szCs w:val="21"/>
                    </w:rPr>
                    <w:t>E</w:t>
                  </w:r>
                </w:p>
              </w:tc>
              <w:tc>
                <w:tcPr>
                  <w:tcW w:w="802" w:type="pct"/>
                  <w:vAlign w:val="center"/>
                </w:tcPr>
                <w:p>
                  <w:pPr>
                    <w:adjustRightInd w:val="0"/>
                    <w:snapToGrid w:val="0"/>
                    <w:jc w:val="center"/>
                    <w:textAlignment w:val="baseline"/>
                    <w:rPr>
                      <w:b/>
                      <w:bCs/>
                      <w:color w:val="auto"/>
                      <w:szCs w:val="21"/>
                    </w:rPr>
                  </w:pPr>
                  <w:r>
                    <w:rPr>
                      <w:rFonts w:hint="eastAsia"/>
                      <w:b/>
                      <w:bCs/>
                      <w:color w:val="auto"/>
                      <w:szCs w:val="21"/>
                    </w:rPr>
                    <w:t>N</w:t>
                  </w:r>
                </w:p>
              </w:tc>
              <w:tc>
                <w:tcPr>
                  <w:tcW w:w="426" w:type="pct"/>
                  <w:vMerge w:val="continue"/>
                  <w:vAlign w:val="center"/>
                </w:tcPr>
                <w:p>
                  <w:pPr>
                    <w:adjustRightInd w:val="0"/>
                    <w:snapToGrid w:val="0"/>
                    <w:jc w:val="center"/>
                    <w:textAlignment w:val="baseline"/>
                    <w:rPr>
                      <w:b/>
                      <w:bCs/>
                      <w:color w:val="auto"/>
                      <w:szCs w:val="21"/>
                    </w:rPr>
                  </w:pPr>
                </w:p>
              </w:tc>
              <w:tc>
                <w:tcPr>
                  <w:tcW w:w="435" w:type="pct"/>
                  <w:vMerge w:val="continue"/>
                  <w:vAlign w:val="center"/>
                </w:tcPr>
                <w:p>
                  <w:pPr>
                    <w:adjustRightInd w:val="0"/>
                    <w:snapToGrid w:val="0"/>
                    <w:jc w:val="center"/>
                    <w:textAlignment w:val="baseline"/>
                    <w:rPr>
                      <w:b/>
                      <w:bCs/>
                      <w:color w:val="auto"/>
                      <w:szCs w:val="21"/>
                    </w:rPr>
                  </w:pPr>
                </w:p>
              </w:tc>
              <w:tc>
                <w:tcPr>
                  <w:tcW w:w="1112" w:type="pct"/>
                  <w:vMerge w:val="continue"/>
                  <w:vAlign w:val="center"/>
                </w:tcPr>
                <w:p>
                  <w:pPr>
                    <w:adjustRightInd w:val="0"/>
                    <w:snapToGrid w:val="0"/>
                    <w:jc w:val="center"/>
                    <w:textAlignment w:val="baseline"/>
                    <w:rPr>
                      <w:b/>
                      <w:bCs/>
                      <w:color w:val="auto"/>
                      <w:szCs w:val="21"/>
                    </w:rPr>
                  </w:pPr>
                </w:p>
              </w:tc>
              <w:tc>
                <w:tcPr>
                  <w:tcW w:w="392" w:type="pct"/>
                  <w:vMerge w:val="continue"/>
                  <w:vAlign w:val="center"/>
                </w:tcPr>
                <w:p>
                  <w:pPr>
                    <w:adjustRightInd w:val="0"/>
                    <w:snapToGrid w:val="0"/>
                    <w:jc w:val="center"/>
                    <w:textAlignment w:val="baseline"/>
                    <w:rPr>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52" w:type="pct"/>
                  <w:vAlign w:val="center"/>
                </w:tcPr>
                <w:p>
                  <w:pPr>
                    <w:pStyle w:val="105"/>
                    <w:rPr>
                      <w:color w:val="auto"/>
                    </w:rPr>
                  </w:pPr>
                  <w:r>
                    <w:rPr>
                      <w:rFonts w:hint="eastAsia"/>
                      <w:color w:val="auto"/>
                    </w:rPr>
                    <w:t>草莓公寓</w:t>
                  </w:r>
                </w:p>
              </w:tc>
              <w:tc>
                <w:tcPr>
                  <w:tcW w:w="513" w:type="pct"/>
                  <w:vAlign w:val="center"/>
                </w:tcPr>
                <w:p>
                  <w:pPr>
                    <w:pStyle w:val="105"/>
                    <w:rPr>
                      <w:color w:val="auto"/>
                    </w:rPr>
                  </w:pPr>
                  <w:r>
                    <w:rPr>
                      <w:rFonts w:hint="eastAsia"/>
                      <w:color w:val="auto"/>
                    </w:rPr>
                    <w:t>176m</w:t>
                  </w:r>
                </w:p>
              </w:tc>
              <w:tc>
                <w:tcPr>
                  <w:tcW w:w="866" w:type="pct"/>
                  <w:vAlign w:val="center"/>
                </w:tcPr>
                <w:p>
                  <w:pPr>
                    <w:pStyle w:val="92"/>
                    <w:adjustRightInd/>
                    <w:rPr>
                      <w:rFonts w:ascii="Times New Roman" w:hAnsi="Times New Roman"/>
                      <w:bCs/>
                      <w:color w:val="auto"/>
                      <w:sz w:val="21"/>
                      <w:szCs w:val="21"/>
                    </w:rPr>
                  </w:pPr>
                  <w:r>
                    <w:rPr>
                      <w:rFonts w:ascii="Times New Roman" w:hAnsi="Times New Roman"/>
                      <w:bCs/>
                      <w:color w:val="auto"/>
                      <w:sz w:val="21"/>
                      <w:szCs w:val="21"/>
                    </w:rPr>
                    <w:t>11</w:t>
                  </w:r>
                  <w:r>
                    <w:rPr>
                      <w:rFonts w:hint="eastAsia" w:ascii="Times New Roman" w:hAnsi="Times New Roman"/>
                      <w:bCs/>
                      <w:color w:val="auto"/>
                      <w:sz w:val="21"/>
                      <w:szCs w:val="21"/>
                    </w:rPr>
                    <w:t>4</w:t>
                  </w:r>
                  <w:r>
                    <w:rPr>
                      <w:rFonts w:ascii="Times New Roman" w:hAnsi="Times New Roman"/>
                      <w:bCs/>
                      <w:color w:val="auto"/>
                      <w:sz w:val="21"/>
                      <w:szCs w:val="21"/>
                    </w:rPr>
                    <w:t>°</w:t>
                  </w:r>
                  <w:r>
                    <w:rPr>
                      <w:rFonts w:hint="eastAsia" w:ascii="Times New Roman" w:hAnsi="Times New Roman"/>
                      <w:bCs/>
                      <w:color w:val="auto"/>
                      <w:sz w:val="21"/>
                      <w:szCs w:val="21"/>
                    </w:rPr>
                    <w:t>1</w:t>
                  </w:r>
                  <w:r>
                    <w:rPr>
                      <w:rFonts w:ascii="Times New Roman" w:hAnsi="Times New Roman"/>
                      <w:bCs/>
                      <w:color w:val="auto"/>
                      <w:sz w:val="21"/>
                      <w:szCs w:val="21"/>
                    </w:rPr>
                    <w:t>′</w:t>
                  </w:r>
                  <w:r>
                    <w:rPr>
                      <w:rFonts w:hint="eastAsia" w:ascii="Times New Roman" w:hAnsi="Times New Roman"/>
                      <w:bCs/>
                      <w:color w:val="auto"/>
                      <w:sz w:val="21"/>
                      <w:szCs w:val="21"/>
                    </w:rPr>
                    <w:t>8.586</w:t>
                  </w:r>
                  <w:r>
                    <w:rPr>
                      <w:rFonts w:ascii="Times New Roman" w:hAnsi="Times New Roman"/>
                      <w:bCs/>
                      <w:color w:val="auto"/>
                      <w:sz w:val="21"/>
                      <w:szCs w:val="21"/>
                    </w:rPr>
                    <w:t>″</w:t>
                  </w:r>
                </w:p>
              </w:tc>
              <w:tc>
                <w:tcPr>
                  <w:tcW w:w="802" w:type="pct"/>
                  <w:vAlign w:val="center"/>
                </w:tcPr>
                <w:p>
                  <w:pPr>
                    <w:pStyle w:val="92"/>
                    <w:adjustRightInd/>
                    <w:rPr>
                      <w:rFonts w:ascii="Times New Roman" w:hAnsi="Times New Roman"/>
                      <w:bCs/>
                      <w:color w:val="auto"/>
                      <w:sz w:val="21"/>
                      <w:szCs w:val="21"/>
                    </w:rPr>
                  </w:pPr>
                  <w:r>
                    <w:rPr>
                      <w:rFonts w:ascii="Times New Roman" w:hAnsi="Times New Roman"/>
                      <w:bCs/>
                      <w:color w:val="auto"/>
                      <w:sz w:val="21"/>
                      <w:szCs w:val="21"/>
                    </w:rPr>
                    <w:t>23°</w:t>
                  </w:r>
                  <w:r>
                    <w:rPr>
                      <w:rFonts w:hint="eastAsia" w:ascii="Times New Roman" w:hAnsi="Times New Roman"/>
                      <w:bCs/>
                      <w:color w:val="auto"/>
                      <w:sz w:val="21"/>
                      <w:szCs w:val="21"/>
                    </w:rPr>
                    <w:t>7</w:t>
                  </w:r>
                  <w:r>
                    <w:rPr>
                      <w:rFonts w:ascii="Times New Roman" w:hAnsi="Times New Roman"/>
                      <w:bCs/>
                      <w:color w:val="auto"/>
                      <w:sz w:val="21"/>
                      <w:szCs w:val="21"/>
                    </w:rPr>
                    <w:t>′</w:t>
                  </w:r>
                  <w:r>
                    <w:rPr>
                      <w:rFonts w:hint="eastAsia" w:ascii="Times New Roman" w:hAnsi="Times New Roman"/>
                      <w:bCs/>
                      <w:color w:val="auto"/>
                      <w:sz w:val="21"/>
                      <w:szCs w:val="21"/>
                    </w:rPr>
                    <w:t>18.565</w:t>
                  </w:r>
                  <w:r>
                    <w:rPr>
                      <w:rFonts w:ascii="Times New Roman" w:hAnsi="Times New Roman"/>
                      <w:bCs/>
                      <w:color w:val="auto"/>
                      <w:sz w:val="21"/>
                      <w:szCs w:val="21"/>
                    </w:rPr>
                    <w:t>″</w:t>
                  </w:r>
                </w:p>
              </w:tc>
              <w:tc>
                <w:tcPr>
                  <w:tcW w:w="426" w:type="pct"/>
                  <w:vAlign w:val="center"/>
                </w:tcPr>
                <w:p>
                  <w:pPr>
                    <w:pStyle w:val="105"/>
                    <w:rPr>
                      <w:color w:val="auto"/>
                    </w:rPr>
                  </w:pPr>
                  <w:r>
                    <w:rPr>
                      <w:rFonts w:hint="eastAsia"/>
                      <w:color w:val="auto"/>
                    </w:rPr>
                    <w:t>西面</w:t>
                  </w:r>
                </w:p>
              </w:tc>
              <w:tc>
                <w:tcPr>
                  <w:tcW w:w="435" w:type="pct"/>
                  <w:vAlign w:val="center"/>
                </w:tcPr>
                <w:p>
                  <w:pPr>
                    <w:adjustRightInd w:val="0"/>
                    <w:snapToGrid w:val="0"/>
                    <w:jc w:val="center"/>
                    <w:textAlignment w:val="baseline"/>
                    <w:rPr>
                      <w:color w:val="auto"/>
                      <w:szCs w:val="21"/>
                    </w:rPr>
                  </w:pPr>
                  <w:r>
                    <w:rPr>
                      <w:rFonts w:hint="eastAsia"/>
                      <w:color w:val="auto"/>
                      <w:szCs w:val="21"/>
                    </w:rPr>
                    <w:t>居民</w:t>
                  </w:r>
                </w:p>
              </w:tc>
              <w:tc>
                <w:tcPr>
                  <w:tcW w:w="1112" w:type="pct"/>
                  <w:vMerge w:val="restart"/>
                  <w:vAlign w:val="center"/>
                </w:tcPr>
                <w:p>
                  <w:pPr>
                    <w:adjustRightInd w:val="0"/>
                    <w:snapToGrid w:val="0"/>
                    <w:jc w:val="center"/>
                    <w:textAlignment w:val="baseline"/>
                    <w:rPr>
                      <w:color w:val="auto"/>
                      <w:szCs w:val="21"/>
                    </w:rPr>
                  </w:pPr>
                  <w:r>
                    <w:rPr>
                      <w:color w:val="auto"/>
                      <w:szCs w:val="21"/>
                    </w:rPr>
                    <w:t>《环境空气质量标准》（GB3095-2012）二级标准</w:t>
                  </w:r>
                </w:p>
              </w:tc>
              <w:tc>
                <w:tcPr>
                  <w:tcW w:w="392" w:type="pct"/>
                  <w:vMerge w:val="restart"/>
                  <w:vAlign w:val="center"/>
                </w:tcPr>
                <w:p>
                  <w:pPr>
                    <w:adjustRightInd w:val="0"/>
                    <w:snapToGrid w:val="0"/>
                    <w:jc w:val="center"/>
                    <w:textAlignment w:val="baseline"/>
                    <w:rPr>
                      <w:color w:val="auto"/>
                      <w:szCs w:val="21"/>
                    </w:rPr>
                  </w:pPr>
                  <w:r>
                    <w:rPr>
                      <w:rFonts w:hint="eastAsia"/>
                      <w:color w:val="auto"/>
                      <w:szCs w:val="21"/>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52" w:type="pct"/>
                  <w:vAlign w:val="center"/>
                </w:tcPr>
                <w:p>
                  <w:pPr>
                    <w:pStyle w:val="105"/>
                    <w:rPr>
                      <w:color w:val="auto"/>
                    </w:rPr>
                  </w:pPr>
                  <w:r>
                    <w:rPr>
                      <w:rFonts w:hint="eastAsia"/>
                      <w:color w:val="auto"/>
                    </w:rPr>
                    <w:t>鸿运公寓</w:t>
                  </w:r>
                </w:p>
              </w:tc>
              <w:tc>
                <w:tcPr>
                  <w:tcW w:w="513" w:type="pct"/>
                  <w:vAlign w:val="center"/>
                </w:tcPr>
                <w:p>
                  <w:pPr>
                    <w:pStyle w:val="105"/>
                    <w:rPr>
                      <w:color w:val="auto"/>
                    </w:rPr>
                  </w:pPr>
                  <w:r>
                    <w:rPr>
                      <w:rFonts w:hint="eastAsia"/>
                      <w:color w:val="auto"/>
                    </w:rPr>
                    <w:t>380m</w:t>
                  </w:r>
                </w:p>
              </w:tc>
              <w:tc>
                <w:tcPr>
                  <w:tcW w:w="866" w:type="pct"/>
                  <w:vAlign w:val="center"/>
                </w:tcPr>
                <w:p>
                  <w:pPr>
                    <w:pStyle w:val="92"/>
                    <w:adjustRightInd/>
                    <w:rPr>
                      <w:rFonts w:ascii="Times New Roman" w:hAnsi="Times New Roman"/>
                      <w:color w:val="auto"/>
                      <w:sz w:val="21"/>
                      <w:szCs w:val="21"/>
                    </w:rPr>
                  </w:pPr>
                  <w:r>
                    <w:rPr>
                      <w:rFonts w:ascii="Times New Roman" w:hAnsi="Times New Roman"/>
                      <w:bCs/>
                      <w:color w:val="auto"/>
                      <w:sz w:val="21"/>
                      <w:szCs w:val="21"/>
                    </w:rPr>
                    <w:t>11</w:t>
                  </w:r>
                  <w:r>
                    <w:rPr>
                      <w:rFonts w:hint="eastAsia" w:ascii="Times New Roman" w:hAnsi="Times New Roman"/>
                      <w:bCs/>
                      <w:color w:val="auto"/>
                      <w:sz w:val="21"/>
                      <w:szCs w:val="21"/>
                    </w:rPr>
                    <w:t>4</w:t>
                  </w:r>
                  <w:r>
                    <w:rPr>
                      <w:rFonts w:ascii="Times New Roman" w:hAnsi="Times New Roman"/>
                      <w:bCs/>
                      <w:color w:val="auto"/>
                      <w:sz w:val="21"/>
                      <w:szCs w:val="21"/>
                    </w:rPr>
                    <w:t>°</w:t>
                  </w:r>
                  <w:r>
                    <w:rPr>
                      <w:rFonts w:hint="eastAsia" w:ascii="Times New Roman" w:hAnsi="Times New Roman"/>
                      <w:bCs/>
                      <w:color w:val="auto"/>
                      <w:sz w:val="21"/>
                      <w:szCs w:val="21"/>
                    </w:rPr>
                    <w:t>1</w:t>
                  </w:r>
                  <w:r>
                    <w:rPr>
                      <w:rFonts w:ascii="Times New Roman" w:hAnsi="Times New Roman"/>
                      <w:bCs/>
                      <w:color w:val="auto"/>
                      <w:sz w:val="21"/>
                      <w:szCs w:val="21"/>
                    </w:rPr>
                    <w:t>′</w:t>
                  </w:r>
                  <w:r>
                    <w:rPr>
                      <w:rFonts w:hint="eastAsia" w:ascii="Times New Roman" w:hAnsi="Times New Roman"/>
                      <w:bCs/>
                      <w:color w:val="auto"/>
                      <w:sz w:val="21"/>
                      <w:szCs w:val="21"/>
                    </w:rPr>
                    <w:t>26.430</w:t>
                  </w:r>
                  <w:r>
                    <w:rPr>
                      <w:rFonts w:ascii="Times New Roman" w:hAnsi="Times New Roman"/>
                      <w:bCs/>
                      <w:color w:val="auto"/>
                      <w:sz w:val="21"/>
                      <w:szCs w:val="21"/>
                    </w:rPr>
                    <w:t>″</w:t>
                  </w:r>
                </w:p>
              </w:tc>
              <w:tc>
                <w:tcPr>
                  <w:tcW w:w="802" w:type="pct"/>
                  <w:vAlign w:val="center"/>
                </w:tcPr>
                <w:p>
                  <w:pPr>
                    <w:pStyle w:val="92"/>
                    <w:adjustRightInd/>
                    <w:rPr>
                      <w:rFonts w:ascii="Times New Roman" w:hAnsi="Times New Roman"/>
                      <w:color w:val="auto"/>
                      <w:sz w:val="21"/>
                      <w:szCs w:val="21"/>
                    </w:rPr>
                  </w:pPr>
                  <w:r>
                    <w:rPr>
                      <w:rFonts w:ascii="Times New Roman" w:hAnsi="Times New Roman"/>
                      <w:bCs/>
                      <w:color w:val="auto"/>
                      <w:sz w:val="21"/>
                      <w:szCs w:val="21"/>
                    </w:rPr>
                    <w:t>23°</w:t>
                  </w:r>
                  <w:r>
                    <w:rPr>
                      <w:rFonts w:hint="eastAsia" w:ascii="Times New Roman" w:hAnsi="Times New Roman"/>
                      <w:bCs/>
                      <w:color w:val="auto"/>
                      <w:sz w:val="21"/>
                      <w:szCs w:val="21"/>
                    </w:rPr>
                    <w:t>7</w:t>
                  </w:r>
                  <w:r>
                    <w:rPr>
                      <w:rFonts w:ascii="Times New Roman" w:hAnsi="Times New Roman"/>
                      <w:bCs/>
                      <w:color w:val="auto"/>
                      <w:sz w:val="21"/>
                      <w:szCs w:val="21"/>
                    </w:rPr>
                    <w:t>′</w:t>
                  </w:r>
                  <w:r>
                    <w:rPr>
                      <w:rFonts w:hint="eastAsia" w:ascii="Times New Roman" w:hAnsi="Times New Roman"/>
                      <w:bCs/>
                      <w:color w:val="auto"/>
                      <w:sz w:val="21"/>
                      <w:szCs w:val="21"/>
                    </w:rPr>
                    <w:t>13.003</w:t>
                  </w:r>
                  <w:r>
                    <w:rPr>
                      <w:rFonts w:ascii="Times New Roman" w:hAnsi="Times New Roman"/>
                      <w:bCs/>
                      <w:color w:val="auto"/>
                      <w:sz w:val="21"/>
                      <w:szCs w:val="21"/>
                    </w:rPr>
                    <w:t>″</w:t>
                  </w:r>
                </w:p>
              </w:tc>
              <w:tc>
                <w:tcPr>
                  <w:tcW w:w="426" w:type="pct"/>
                  <w:vAlign w:val="center"/>
                </w:tcPr>
                <w:p>
                  <w:pPr>
                    <w:pStyle w:val="105"/>
                    <w:rPr>
                      <w:color w:val="auto"/>
                    </w:rPr>
                  </w:pPr>
                  <w:r>
                    <w:rPr>
                      <w:rFonts w:hint="eastAsia"/>
                      <w:color w:val="auto"/>
                    </w:rPr>
                    <w:t>东南面</w:t>
                  </w:r>
                </w:p>
              </w:tc>
              <w:tc>
                <w:tcPr>
                  <w:tcW w:w="435" w:type="pct"/>
                  <w:vAlign w:val="center"/>
                </w:tcPr>
                <w:p>
                  <w:pPr>
                    <w:adjustRightInd w:val="0"/>
                    <w:snapToGrid w:val="0"/>
                    <w:jc w:val="center"/>
                    <w:textAlignment w:val="baseline"/>
                    <w:rPr>
                      <w:color w:val="auto"/>
                      <w:szCs w:val="21"/>
                    </w:rPr>
                  </w:pPr>
                  <w:r>
                    <w:rPr>
                      <w:rFonts w:hint="eastAsia"/>
                      <w:color w:val="auto"/>
                      <w:szCs w:val="21"/>
                    </w:rPr>
                    <w:t>居民</w:t>
                  </w:r>
                </w:p>
              </w:tc>
              <w:tc>
                <w:tcPr>
                  <w:tcW w:w="1112" w:type="pct"/>
                  <w:vMerge w:val="continue"/>
                  <w:vAlign w:val="center"/>
                </w:tcPr>
                <w:p>
                  <w:pPr>
                    <w:adjustRightInd w:val="0"/>
                    <w:snapToGrid w:val="0"/>
                    <w:jc w:val="center"/>
                    <w:textAlignment w:val="baseline"/>
                    <w:rPr>
                      <w:color w:val="auto"/>
                      <w:szCs w:val="21"/>
                    </w:rPr>
                  </w:pPr>
                </w:p>
              </w:tc>
              <w:tc>
                <w:tcPr>
                  <w:tcW w:w="392" w:type="pct"/>
                  <w:vMerge w:val="continue"/>
                  <w:vAlign w:val="center"/>
                </w:tcPr>
                <w:p>
                  <w:pPr>
                    <w:adjustRightInd w:val="0"/>
                    <w:snapToGrid w:val="0"/>
                    <w:jc w:val="center"/>
                    <w:textAlignment w:val="baseline"/>
                    <w:rPr>
                      <w:color w:val="auto"/>
                      <w:szCs w:val="21"/>
                    </w:rPr>
                  </w:pPr>
                </w:p>
              </w:tc>
            </w:tr>
          </w:tbl>
          <w:p>
            <w:pPr>
              <w:spacing w:before="120" w:beforeLines="50" w:line="360" w:lineRule="auto"/>
              <w:ind w:firstLine="422" w:firstLineChars="200"/>
              <w:jc w:val="left"/>
              <w:rPr>
                <w:b/>
                <w:color w:val="auto"/>
                <w:szCs w:val="21"/>
              </w:rPr>
            </w:pPr>
            <w:r>
              <w:rPr>
                <w:b/>
                <w:color w:val="auto"/>
                <w:szCs w:val="21"/>
              </w:rPr>
              <w:t>2、水环境</w:t>
            </w:r>
          </w:p>
          <w:p>
            <w:pPr>
              <w:adjustRightInd w:val="0"/>
              <w:snapToGrid w:val="0"/>
              <w:spacing w:line="336" w:lineRule="auto"/>
              <w:ind w:firstLine="420" w:firstLineChars="200"/>
              <w:jc w:val="left"/>
              <w:rPr>
                <w:color w:val="auto"/>
              </w:rPr>
            </w:pPr>
            <w:r>
              <w:rPr>
                <w:rFonts w:hint="eastAsia"/>
                <w:color w:val="auto"/>
                <w:szCs w:val="21"/>
              </w:rPr>
              <w:t>厂界外500米范围内无地表水及地下水集中式饮用水水源和热水、矿泉水、温泉等特殊地下水资源。</w:t>
            </w:r>
          </w:p>
          <w:p>
            <w:pPr>
              <w:pStyle w:val="11"/>
              <w:snapToGrid w:val="0"/>
              <w:spacing w:line="360" w:lineRule="auto"/>
              <w:ind w:left="0" w:firstLine="422" w:firstLineChars="200"/>
              <w:jc w:val="both"/>
              <w:rPr>
                <w:color w:val="auto"/>
                <w:kern w:val="2"/>
                <w:sz w:val="21"/>
                <w:szCs w:val="21"/>
                <w:lang w:val="zh-CN"/>
              </w:rPr>
            </w:pPr>
            <w:r>
              <w:rPr>
                <w:b/>
                <w:bCs/>
                <w:color w:val="auto"/>
                <w:kern w:val="2"/>
                <w:sz w:val="21"/>
                <w:szCs w:val="21"/>
                <w:lang w:val="zh-CN"/>
              </w:rPr>
              <w:t>3、声环境</w:t>
            </w:r>
          </w:p>
          <w:p>
            <w:pPr>
              <w:adjustRightInd w:val="0"/>
              <w:snapToGrid w:val="0"/>
              <w:spacing w:line="336" w:lineRule="auto"/>
              <w:ind w:firstLine="420" w:firstLineChars="200"/>
              <w:jc w:val="left"/>
              <w:rPr>
                <w:b/>
                <w:bCs/>
                <w:color w:val="auto"/>
                <w:szCs w:val="21"/>
                <w:lang w:val="zh-CN"/>
              </w:rPr>
            </w:pPr>
            <w:r>
              <w:rPr>
                <w:rFonts w:hint="eastAsia"/>
                <w:color w:val="auto"/>
                <w:szCs w:val="21"/>
              </w:rPr>
              <w:t>根据现场勘查结果，厂界50米范围内无声环境保护目标。</w:t>
            </w:r>
          </w:p>
          <w:p>
            <w:pPr>
              <w:pStyle w:val="11"/>
              <w:snapToGrid w:val="0"/>
              <w:spacing w:line="360" w:lineRule="auto"/>
              <w:ind w:left="0" w:firstLine="422" w:firstLineChars="200"/>
              <w:jc w:val="both"/>
              <w:rPr>
                <w:color w:val="auto"/>
                <w:kern w:val="2"/>
                <w:sz w:val="21"/>
                <w:szCs w:val="21"/>
                <w:lang w:val="zh-CN"/>
              </w:rPr>
            </w:pPr>
            <w:r>
              <w:rPr>
                <w:b/>
                <w:bCs/>
                <w:color w:val="auto"/>
                <w:kern w:val="2"/>
                <w:sz w:val="21"/>
                <w:szCs w:val="21"/>
                <w:lang w:val="zh-CN"/>
              </w:rPr>
              <w:t>4、其它环境保护目标</w:t>
            </w:r>
          </w:p>
          <w:p>
            <w:pPr>
              <w:adjustRightInd w:val="0"/>
              <w:snapToGrid w:val="0"/>
              <w:spacing w:line="336" w:lineRule="auto"/>
              <w:ind w:firstLine="420" w:firstLineChars="200"/>
              <w:jc w:val="left"/>
              <w:rPr>
                <w:color w:val="auto"/>
              </w:rPr>
            </w:pPr>
            <w:r>
              <w:rPr>
                <w:bCs/>
                <w:color w:val="auto"/>
                <w:szCs w:val="21"/>
              </w:rPr>
              <w:t>项目</w:t>
            </w:r>
            <w:r>
              <w:rPr>
                <w:rFonts w:hint="eastAsia"/>
                <w:bCs/>
                <w:color w:val="auto"/>
                <w:szCs w:val="21"/>
              </w:rPr>
              <w:t>依托已建成厂房</w:t>
            </w:r>
            <w:r>
              <w:rPr>
                <w:bCs/>
                <w:color w:val="auto"/>
                <w:szCs w:val="21"/>
              </w:rPr>
              <w:t>，</w:t>
            </w:r>
            <w:r>
              <w:rPr>
                <w:rFonts w:hint="eastAsia"/>
                <w:bCs/>
                <w:color w:val="auto"/>
                <w:szCs w:val="21"/>
              </w:rPr>
              <w:t>不</w:t>
            </w:r>
            <w:r>
              <w:rPr>
                <w:bCs/>
                <w:color w:val="auto"/>
                <w:szCs w:val="21"/>
              </w:rPr>
              <w:t>新增用地</w:t>
            </w:r>
            <w:r>
              <w:rPr>
                <w:rFonts w:hint="eastAsia"/>
                <w:bCs/>
                <w:color w:val="auto"/>
                <w:szCs w:val="21"/>
              </w:rPr>
              <w:t>，无</w:t>
            </w:r>
            <w:r>
              <w:rPr>
                <w:bCs/>
                <w:color w:val="auto"/>
                <w:szCs w:val="21"/>
              </w:rPr>
              <w:t>生态环境</w:t>
            </w:r>
            <w:r>
              <w:rPr>
                <w:rFonts w:hint="eastAsia"/>
                <w:bCs/>
                <w:color w:val="auto"/>
                <w:szCs w:val="21"/>
              </w:rPr>
              <w:t>保护目标。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800" w:type="dxa"/>
            <w:tcMar>
              <w:left w:w="28" w:type="dxa"/>
              <w:right w:w="28" w:type="dxa"/>
            </w:tcMar>
            <w:vAlign w:val="center"/>
          </w:tcPr>
          <w:p>
            <w:pPr>
              <w:adjustRightInd w:val="0"/>
              <w:snapToGrid w:val="0"/>
              <w:jc w:val="center"/>
              <w:rPr>
                <w:rFonts w:ascii="宋体" w:hAnsi="宋体" w:cs="宋体"/>
                <w:color w:val="auto"/>
                <w:kern w:val="0"/>
                <w:szCs w:val="21"/>
              </w:rPr>
            </w:pPr>
            <w:r>
              <w:rPr>
                <w:rFonts w:hint="eastAsia" w:ascii="宋体" w:hAnsi="宋体" w:cs="宋体"/>
                <w:color w:val="auto"/>
                <w:kern w:val="0"/>
                <w:szCs w:val="21"/>
              </w:rPr>
              <w:t>污染</w:t>
            </w:r>
          </w:p>
          <w:p>
            <w:pPr>
              <w:adjustRightInd w:val="0"/>
              <w:snapToGrid w:val="0"/>
              <w:jc w:val="center"/>
              <w:rPr>
                <w:rFonts w:ascii="宋体" w:hAnsi="宋体" w:cs="宋体"/>
                <w:color w:val="auto"/>
                <w:kern w:val="0"/>
                <w:szCs w:val="21"/>
              </w:rPr>
            </w:pPr>
            <w:r>
              <w:rPr>
                <w:rFonts w:hint="eastAsia" w:ascii="宋体" w:hAnsi="宋体" w:cs="宋体"/>
                <w:color w:val="auto"/>
                <w:kern w:val="0"/>
                <w:szCs w:val="21"/>
              </w:rPr>
              <w:t>物排</w:t>
            </w:r>
          </w:p>
          <w:p>
            <w:pPr>
              <w:adjustRightInd w:val="0"/>
              <w:snapToGrid w:val="0"/>
              <w:jc w:val="center"/>
              <w:rPr>
                <w:rFonts w:ascii="宋体" w:hAnsi="宋体" w:cs="宋体"/>
                <w:color w:val="auto"/>
                <w:kern w:val="0"/>
                <w:szCs w:val="21"/>
              </w:rPr>
            </w:pPr>
            <w:r>
              <w:rPr>
                <w:rFonts w:hint="eastAsia" w:ascii="宋体" w:hAnsi="宋体" w:cs="宋体"/>
                <w:color w:val="auto"/>
                <w:kern w:val="0"/>
                <w:szCs w:val="21"/>
              </w:rPr>
              <w:t>放控</w:t>
            </w:r>
          </w:p>
          <w:p>
            <w:pPr>
              <w:adjustRightInd w:val="0"/>
              <w:snapToGrid w:val="0"/>
              <w:jc w:val="center"/>
              <w:rPr>
                <w:rFonts w:ascii="宋体" w:hAnsi="宋体" w:cs="宋体"/>
                <w:color w:val="auto"/>
                <w:kern w:val="0"/>
                <w:szCs w:val="21"/>
              </w:rPr>
            </w:pPr>
            <w:r>
              <w:rPr>
                <w:rFonts w:hint="eastAsia" w:ascii="宋体" w:hAnsi="宋体" w:cs="宋体"/>
                <w:color w:val="auto"/>
                <w:kern w:val="0"/>
                <w:szCs w:val="21"/>
              </w:rPr>
              <w:t>制标</w:t>
            </w:r>
          </w:p>
          <w:p>
            <w:pPr>
              <w:adjustRightInd w:val="0"/>
              <w:snapToGrid w:val="0"/>
              <w:jc w:val="center"/>
              <w:rPr>
                <w:rFonts w:ascii="宋体" w:hAnsi="宋体" w:cs="宋体"/>
                <w:color w:val="auto"/>
                <w:kern w:val="0"/>
                <w:szCs w:val="21"/>
              </w:rPr>
            </w:pPr>
            <w:r>
              <w:rPr>
                <w:rFonts w:hint="eastAsia" w:ascii="宋体" w:hAnsi="宋体" w:cs="宋体"/>
                <w:color w:val="auto"/>
                <w:kern w:val="0"/>
                <w:szCs w:val="21"/>
              </w:rPr>
              <w:t>准</w:t>
            </w:r>
          </w:p>
        </w:tc>
        <w:tc>
          <w:tcPr>
            <w:tcW w:w="8214" w:type="dxa"/>
            <w:vAlign w:val="center"/>
          </w:tcPr>
          <w:p>
            <w:pPr>
              <w:tabs>
                <w:tab w:val="left" w:pos="1770"/>
              </w:tabs>
              <w:adjustRightInd w:val="0"/>
              <w:snapToGrid w:val="0"/>
              <w:spacing w:line="360" w:lineRule="auto"/>
              <w:ind w:firstLine="422" w:firstLineChars="200"/>
              <w:rPr>
                <w:rFonts w:hint="default" w:eastAsia="宋体"/>
                <w:b/>
                <w:bCs/>
                <w:color w:val="auto"/>
                <w:szCs w:val="21"/>
                <w:lang w:val="en-US" w:eastAsia="zh-CN"/>
              </w:rPr>
            </w:pPr>
            <w:r>
              <w:rPr>
                <w:rFonts w:hint="eastAsia"/>
                <w:b/>
                <w:bCs/>
                <w:color w:val="auto"/>
                <w:szCs w:val="21"/>
              </w:rPr>
              <w:t>1、</w:t>
            </w:r>
            <w:r>
              <w:rPr>
                <w:rFonts w:hint="eastAsia"/>
                <w:b/>
                <w:bCs/>
                <w:color w:val="auto"/>
                <w:szCs w:val="21"/>
                <w:lang w:val="en-US" w:eastAsia="zh-CN"/>
              </w:rPr>
              <w:t>废水排放标准</w:t>
            </w:r>
          </w:p>
          <w:p>
            <w:pPr>
              <w:tabs>
                <w:tab w:val="left" w:pos="1081"/>
              </w:tabs>
              <w:adjustRightInd w:val="0"/>
              <w:snapToGrid w:val="0"/>
              <w:spacing w:line="360" w:lineRule="auto"/>
              <w:ind w:firstLine="420" w:firstLineChars="200"/>
              <w:rPr>
                <w:color w:val="auto"/>
                <w:szCs w:val="21"/>
              </w:rPr>
            </w:pPr>
            <w:r>
              <w:rPr>
                <w:rFonts w:hint="eastAsia"/>
                <w:color w:val="auto"/>
                <w:szCs w:val="21"/>
              </w:rPr>
              <w:t>本项目不产生生产废水，生活污水经三级化粪池预处理后达广东省地方标准《水污染物排放限值》（DB44/26-2001）第二时段三级标准后排入市政污水管网，再经园洲镇第五生活污水处理厂处理达标排入园洲中心排渠，汇入沙河。尾水排放达到《城镇污水处理厂污染物排放标准》（GB18918-2002）一级A标准和广东省地方标准《水污染物排放限值》（DB44/26-2001）中第二时段一级标准的较严者，其中氨氮和总磷执行《地表水环境质量标准》（GB3838-2002）Ⅴ类标准，具体排放限值见下表。</w:t>
            </w:r>
          </w:p>
          <w:p>
            <w:pPr>
              <w:adjustRightInd w:val="0"/>
              <w:snapToGrid w:val="0"/>
              <w:spacing w:line="360" w:lineRule="auto"/>
              <w:ind w:left="322"/>
              <w:jc w:val="center"/>
              <w:rPr>
                <w:rFonts w:ascii="Times New Roman" w:hAnsi="Times New Roman" w:eastAsia="宋体" w:cs="Times New Roman"/>
                <w:b/>
                <w:color w:val="auto"/>
              </w:rPr>
            </w:pPr>
            <w:r>
              <w:rPr>
                <w:rFonts w:ascii="Times New Roman" w:hAnsi="Times New Roman" w:eastAsia="宋体" w:cs="Times New Roman"/>
                <w:b/>
                <w:color w:val="auto"/>
              </w:rPr>
              <w:t>表</w:t>
            </w:r>
            <w:r>
              <w:rPr>
                <w:rFonts w:hint="eastAsia" w:ascii="Times New Roman" w:hAnsi="Times New Roman" w:eastAsia="宋体" w:cs="Times New Roman"/>
                <w:b/>
                <w:color w:val="auto"/>
              </w:rPr>
              <w:t>3-5</w:t>
            </w:r>
            <w:r>
              <w:rPr>
                <w:rFonts w:ascii="Times New Roman" w:hAnsi="Times New Roman" w:eastAsia="宋体" w:cs="Times New Roman"/>
                <w:b/>
                <w:color w:val="auto"/>
              </w:rPr>
              <w:t xml:space="preserve"> </w:t>
            </w:r>
            <w:r>
              <w:rPr>
                <w:rFonts w:hint="eastAsia" w:ascii="Times New Roman" w:hAnsi="Times New Roman" w:eastAsia="宋体" w:cs="Times New Roman"/>
                <w:b/>
                <w:color w:val="auto"/>
              </w:rPr>
              <w:t>生活</w:t>
            </w:r>
            <w:r>
              <w:rPr>
                <w:rFonts w:ascii="Times New Roman" w:hAnsi="Times New Roman" w:eastAsia="宋体" w:cs="Times New Roman"/>
                <w:b/>
                <w:color w:val="auto"/>
              </w:rPr>
              <w:t>污水</w:t>
            </w:r>
            <w:r>
              <w:rPr>
                <w:rFonts w:hint="eastAsia" w:ascii="Times New Roman" w:hAnsi="Times New Roman" w:eastAsia="宋体" w:cs="Times New Roman"/>
                <w:b/>
                <w:color w:val="auto"/>
              </w:rPr>
              <w:t>处理厂</w:t>
            </w:r>
            <w:r>
              <w:rPr>
                <w:rFonts w:ascii="Times New Roman" w:hAnsi="Times New Roman" w:eastAsia="宋体" w:cs="Times New Roman"/>
                <w:b/>
                <w:color w:val="auto"/>
              </w:rPr>
              <w:t>排放标准 单位：mg/L</w:t>
            </w:r>
          </w:p>
          <w:tbl>
            <w:tblPr>
              <w:tblStyle w:val="3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108" w:type="dxa"/>
                <w:bottom w:w="57" w:type="dxa"/>
                <w:right w:w="108" w:type="dxa"/>
              </w:tblCellMar>
            </w:tblPr>
            <w:tblGrid>
              <w:gridCol w:w="3966"/>
              <w:gridCol w:w="842"/>
              <w:gridCol w:w="740"/>
              <w:gridCol w:w="647"/>
              <w:gridCol w:w="821"/>
              <w:gridCol w:w="627"/>
              <w:gridCol w:w="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c>
                <w:tcPr>
                  <w:tcW w:w="3966" w:type="dxa"/>
                  <w:vAlign w:val="center"/>
                </w:tcPr>
                <w:p>
                  <w:pPr>
                    <w:adjustRightInd w:val="0"/>
                    <w:snapToGrid w:val="0"/>
                    <w:jc w:val="center"/>
                    <w:rPr>
                      <w:b/>
                      <w:bCs/>
                      <w:color w:val="auto"/>
                      <w:szCs w:val="21"/>
                    </w:rPr>
                  </w:pPr>
                  <w:r>
                    <w:rPr>
                      <w:rFonts w:hint="eastAsia"/>
                      <w:b/>
                      <w:bCs/>
                      <w:color w:val="auto"/>
                      <w:szCs w:val="21"/>
                    </w:rPr>
                    <w:t>水</w:t>
                  </w:r>
                  <w:r>
                    <w:rPr>
                      <w:b/>
                      <w:bCs/>
                      <w:color w:val="auto"/>
                      <w:szCs w:val="21"/>
                    </w:rPr>
                    <w:t>污染物</w:t>
                  </w:r>
                  <w:r>
                    <w:rPr>
                      <w:rFonts w:hint="eastAsia"/>
                      <w:b/>
                      <w:bCs/>
                      <w:color w:val="auto"/>
                      <w:szCs w:val="21"/>
                    </w:rPr>
                    <w:t>排放标准</w:t>
                  </w:r>
                </w:p>
              </w:tc>
              <w:tc>
                <w:tcPr>
                  <w:tcW w:w="842" w:type="dxa"/>
                  <w:vAlign w:val="center"/>
                </w:tcPr>
                <w:p>
                  <w:pPr>
                    <w:adjustRightInd w:val="0"/>
                    <w:snapToGrid w:val="0"/>
                    <w:jc w:val="center"/>
                    <w:rPr>
                      <w:b/>
                      <w:bCs/>
                      <w:color w:val="auto"/>
                      <w:szCs w:val="21"/>
                    </w:rPr>
                  </w:pPr>
                  <w:r>
                    <w:rPr>
                      <w:b/>
                      <w:bCs/>
                      <w:color w:val="auto"/>
                      <w:szCs w:val="21"/>
                    </w:rPr>
                    <w:t>COD</w:t>
                  </w:r>
                  <w:r>
                    <w:rPr>
                      <w:b/>
                      <w:bCs/>
                      <w:color w:val="auto"/>
                      <w:szCs w:val="21"/>
                      <w:vertAlign w:val="subscript"/>
                    </w:rPr>
                    <w:t>Cr</w:t>
                  </w:r>
                </w:p>
              </w:tc>
              <w:tc>
                <w:tcPr>
                  <w:tcW w:w="740" w:type="dxa"/>
                  <w:vAlign w:val="center"/>
                </w:tcPr>
                <w:p>
                  <w:pPr>
                    <w:adjustRightInd w:val="0"/>
                    <w:snapToGrid w:val="0"/>
                    <w:jc w:val="center"/>
                    <w:rPr>
                      <w:b/>
                      <w:bCs/>
                      <w:color w:val="auto"/>
                      <w:szCs w:val="21"/>
                    </w:rPr>
                  </w:pPr>
                  <w:r>
                    <w:rPr>
                      <w:b/>
                      <w:bCs/>
                      <w:color w:val="auto"/>
                      <w:szCs w:val="21"/>
                    </w:rPr>
                    <w:t>BOD</w:t>
                  </w:r>
                  <w:r>
                    <w:rPr>
                      <w:b/>
                      <w:bCs/>
                      <w:color w:val="auto"/>
                      <w:szCs w:val="21"/>
                      <w:vertAlign w:val="subscript"/>
                    </w:rPr>
                    <w:t>5</w:t>
                  </w:r>
                </w:p>
              </w:tc>
              <w:tc>
                <w:tcPr>
                  <w:tcW w:w="647" w:type="dxa"/>
                  <w:vAlign w:val="center"/>
                </w:tcPr>
                <w:p>
                  <w:pPr>
                    <w:adjustRightInd w:val="0"/>
                    <w:snapToGrid w:val="0"/>
                    <w:jc w:val="center"/>
                    <w:rPr>
                      <w:b/>
                      <w:bCs/>
                      <w:color w:val="auto"/>
                      <w:szCs w:val="21"/>
                    </w:rPr>
                  </w:pPr>
                  <w:r>
                    <w:rPr>
                      <w:b/>
                      <w:bCs/>
                      <w:color w:val="auto"/>
                      <w:szCs w:val="21"/>
                    </w:rPr>
                    <w:t>SS</w:t>
                  </w:r>
                </w:p>
              </w:tc>
              <w:tc>
                <w:tcPr>
                  <w:tcW w:w="821" w:type="dxa"/>
                  <w:vAlign w:val="center"/>
                </w:tcPr>
                <w:p>
                  <w:pPr>
                    <w:adjustRightInd w:val="0"/>
                    <w:snapToGrid w:val="0"/>
                    <w:jc w:val="center"/>
                    <w:rPr>
                      <w:b/>
                      <w:bCs/>
                      <w:color w:val="auto"/>
                      <w:szCs w:val="21"/>
                    </w:rPr>
                  </w:pPr>
                  <w:r>
                    <w:rPr>
                      <w:b/>
                      <w:bCs/>
                      <w:color w:val="auto"/>
                      <w:szCs w:val="21"/>
                    </w:rPr>
                    <w:t>NH</w:t>
                  </w:r>
                  <w:r>
                    <w:rPr>
                      <w:b/>
                      <w:bCs/>
                      <w:color w:val="auto"/>
                      <w:szCs w:val="21"/>
                      <w:vertAlign w:val="subscript"/>
                    </w:rPr>
                    <w:t>3</w:t>
                  </w:r>
                  <w:r>
                    <w:rPr>
                      <w:b/>
                      <w:bCs/>
                      <w:color w:val="auto"/>
                      <w:szCs w:val="21"/>
                    </w:rPr>
                    <w:t>-N</w:t>
                  </w:r>
                </w:p>
              </w:tc>
              <w:tc>
                <w:tcPr>
                  <w:tcW w:w="627" w:type="dxa"/>
                  <w:vAlign w:val="center"/>
                </w:tcPr>
                <w:p>
                  <w:pPr>
                    <w:adjustRightInd w:val="0"/>
                    <w:snapToGrid w:val="0"/>
                    <w:jc w:val="center"/>
                    <w:rPr>
                      <w:b/>
                      <w:bCs/>
                      <w:color w:val="auto"/>
                      <w:szCs w:val="21"/>
                    </w:rPr>
                  </w:pPr>
                  <w:r>
                    <w:rPr>
                      <w:rFonts w:hint="eastAsia"/>
                      <w:b/>
                      <w:bCs/>
                      <w:color w:val="auto"/>
                      <w:szCs w:val="21"/>
                    </w:rPr>
                    <w:t>总氮</w:t>
                  </w:r>
                </w:p>
              </w:tc>
              <w:tc>
                <w:tcPr>
                  <w:tcW w:w="627" w:type="dxa"/>
                  <w:vAlign w:val="center"/>
                </w:tcPr>
                <w:p>
                  <w:pPr>
                    <w:adjustRightInd w:val="0"/>
                    <w:snapToGrid w:val="0"/>
                    <w:jc w:val="center"/>
                    <w:rPr>
                      <w:b/>
                      <w:bCs/>
                      <w:color w:val="auto"/>
                      <w:szCs w:val="21"/>
                    </w:rPr>
                  </w:pPr>
                  <w:r>
                    <w:rPr>
                      <w:rFonts w:hint="eastAsia"/>
                      <w:b/>
                      <w:bCs/>
                      <w:color w:val="auto"/>
                      <w:szCs w:val="21"/>
                    </w:rPr>
                    <w:t>总磷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c>
                <w:tcPr>
                  <w:tcW w:w="3966" w:type="dxa"/>
                  <w:vAlign w:val="center"/>
                </w:tcPr>
                <w:p>
                  <w:pPr>
                    <w:adjustRightInd w:val="0"/>
                    <w:snapToGrid w:val="0"/>
                    <w:jc w:val="center"/>
                    <w:rPr>
                      <w:color w:val="auto"/>
                      <w:szCs w:val="21"/>
                    </w:rPr>
                  </w:pPr>
                  <w:r>
                    <w:rPr>
                      <w:color w:val="auto"/>
                      <w:szCs w:val="21"/>
                    </w:rPr>
                    <w:t>（DB44/26-2001）第二时段三级标准</w:t>
                  </w:r>
                </w:p>
              </w:tc>
              <w:tc>
                <w:tcPr>
                  <w:tcW w:w="842" w:type="dxa"/>
                  <w:vAlign w:val="center"/>
                </w:tcPr>
                <w:p>
                  <w:pPr>
                    <w:adjustRightInd w:val="0"/>
                    <w:snapToGrid w:val="0"/>
                    <w:jc w:val="center"/>
                    <w:rPr>
                      <w:color w:val="auto"/>
                      <w:szCs w:val="21"/>
                    </w:rPr>
                  </w:pPr>
                  <w:r>
                    <w:rPr>
                      <w:color w:val="auto"/>
                      <w:szCs w:val="21"/>
                    </w:rPr>
                    <w:t>≤500</w:t>
                  </w:r>
                </w:p>
              </w:tc>
              <w:tc>
                <w:tcPr>
                  <w:tcW w:w="740" w:type="dxa"/>
                  <w:vAlign w:val="center"/>
                </w:tcPr>
                <w:p>
                  <w:pPr>
                    <w:adjustRightInd w:val="0"/>
                    <w:snapToGrid w:val="0"/>
                    <w:jc w:val="center"/>
                    <w:rPr>
                      <w:color w:val="auto"/>
                      <w:szCs w:val="21"/>
                    </w:rPr>
                  </w:pPr>
                  <w:r>
                    <w:rPr>
                      <w:color w:val="auto"/>
                      <w:szCs w:val="21"/>
                    </w:rPr>
                    <w:t>≤300</w:t>
                  </w:r>
                </w:p>
              </w:tc>
              <w:tc>
                <w:tcPr>
                  <w:tcW w:w="647" w:type="dxa"/>
                  <w:vAlign w:val="center"/>
                </w:tcPr>
                <w:p>
                  <w:pPr>
                    <w:adjustRightInd w:val="0"/>
                    <w:snapToGrid w:val="0"/>
                    <w:jc w:val="center"/>
                    <w:rPr>
                      <w:color w:val="auto"/>
                      <w:szCs w:val="21"/>
                    </w:rPr>
                  </w:pPr>
                  <w:r>
                    <w:rPr>
                      <w:color w:val="auto"/>
                      <w:szCs w:val="21"/>
                    </w:rPr>
                    <w:t>≤400</w:t>
                  </w:r>
                </w:p>
              </w:tc>
              <w:tc>
                <w:tcPr>
                  <w:tcW w:w="821" w:type="dxa"/>
                  <w:vAlign w:val="center"/>
                </w:tcPr>
                <w:p>
                  <w:pPr>
                    <w:adjustRightInd w:val="0"/>
                    <w:snapToGrid w:val="0"/>
                    <w:jc w:val="center"/>
                    <w:rPr>
                      <w:color w:val="auto"/>
                      <w:szCs w:val="21"/>
                    </w:rPr>
                  </w:pPr>
                  <w:r>
                    <w:rPr>
                      <w:color w:val="auto"/>
                      <w:szCs w:val="21"/>
                    </w:rPr>
                    <w:t>/</w:t>
                  </w:r>
                </w:p>
              </w:tc>
              <w:tc>
                <w:tcPr>
                  <w:tcW w:w="627" w:type="dxa"/>
                  <w:vAlign w:val="center"/>
                </w:tcPr>
                <w:p>
                  <w:pPr>
                    <w:adjustRightInd w:val="0"/>
                    <w:snapToGrid w:val="0"/>
                    <w:jc w:val="center"/>
                    <w:rPr>
                      <w:color w:val="auto"/>
                      <w:szCs w:val="21"/>
                    </w:rPr>
                  </w:pPr>
                  <w:r>
                    <w:rPr>
                      <w:rFonts w:hint="eastAsia"/>
                      <w:color w:val="auto"/>
                      <w:szCs w:val="21"/>
                    </w:rPr>
                    <w:t>/</w:t>
                  </w:r>
                </w:p>
              </w:tc>
              <w:tc>
                <w:tcPr>
                  <w:tcW w:w="627" w:type="dxa"/>
                  <w:vAlign w:val="center"/>
                </w:tcPr>
                <w:p>
                  <w:pPr>
                    <w:adjustRightInd w:val="0"/>
                    <w:snapToGrid w:val="0"/>
                    <w:jc w:val="center"/>
                    <w:rPr>
                      <w:color w:val="auto"/>
                      <w:szCs w:val="21"/>
                    </w:rPr>
                  </w:pP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c>
                <w:tcPr>
                  <w:tcW w:w="3966" w:type="dxa"/>
                  <w:vAlign w:val="center"/>
                </w:tcPr>
                <w:p>
                  <w:pPr>
                    <w:adjustRightInd w:val="0"/>
                    <w:snapToGrid w:val="0"/>
                    <w:jc w:val="center"/>
                    <w:rPr>
                      <w:color w:val="auto"/>
                      <w:szCs w:val="21"/>
                    </w:rPr>
                  </w:pPr>
                  <w:r>
                    <w:rPr>
                      <w:color w:val="auto"/>
                      <w:szCs w:val="21"/>
                    </w:rPr>
                    <w:t>（GB18918-2002）一级A标准</w:t>
                  </w:r>
                </w:p>
              </w:tc>
              <w:tc>
                <w:tcPr>
                  <w:tcW w:w="842" w:type="dxa"/>
                  <w:vAlign w:val="center"/>
                </w:tcPr>
                <w:p>
                  <w:pPr>
                    <w:adjustRightInd w:val="0"/>
                    <w:snapToGrid w:val="0"/>
                    <w:jc w:val="center"/>
                    <w:rPr>
                      <w:color w:val="auto"/>
                      <w:szCs w:val="21"/>
                    </w:rPr>
                  </w:pPr>
                  <w:r>
                    <w:rPr>
                      <w:color w:val="auto"/>
                      <w:szCs w:val="21"/>
                    </w:rPr>
                    <w:t>≤</w:t>
                  </w:r>
                  <w:r>
                    <w:rPr>
                      <w:rFonts w:hint="eastAsia"/>
                      <w:color w:val="auto"/>
                      <w:szCs w:val="21"/>
                    </w:rPr>
                    <w:t>50</w:t>
                  </w:r>
                </w:p>
              </w:tc>
              <w:tc>
                <w:tcPr>
                  <w:tcW w:w="740" w:type="dxa"/>
                  <w:vAlign w:val="center"/>
                </w:tcPr>
                <w:p>
                  <w:pPr>
                    <w:adjustRightInd w:val="0"/>
                    <w:snapToGrid w:val="0"/>
                    <w:jc w:val="center"/>
                    <w:rPr>
                      <w:color w:val="auto"/>
                      <w:szCs w:val="21"/>
                    </w:rPr>
                  </w:pPr>
                  <w:r>
                    <w:rPr>
                      <w:color w:val="auto"/>
                      <w:szCs w:val="21"/>
                    </w:rPr>
                    <w:t>≤</w:t>
                  </w:r>
                  <w:r>
                    <w:rPr>
                      <w:rFonts w:hint="eastAsia"/>
                      <w:color w:val="auto"/>
                      <w:szCs w:val="21"/>
                    </w:rPr>
                    <w:t>10</w:t>
                  </w:r>
                </w:p>
              </w:tc>
              <w:tc>
                <w:tcPr>
                  <w:tcW w:w="647" w:type="dxa"/>
                  <w:vAlign w:val="center"/>
                </w:tcPr>
                <w:p>
                  <w:pPr>
                    <w:adjustRightInd w:val="0"/>
                    <w:snapToGrid w:val="0"/>
                    <w:jc w:val="center"/>
                    <w:rPr>
                      <w:color w:val="auto"/>
                      <w:szCs w:val="21"/>
                    </w:rPr>
                  </w:pPr>
                  <w:r>
                    <w:rPr>
                      <w:color w:val="auto"/>
                      <w:szCs w:val="21"/>
                    </w:rPr>
                    <w:t>≤</w:t>
                  </w:r>
                  <w:r>
                    <w:rPr>
                      <w:rFonts w:hint="eastAsia"/>
                      <w:color w:val="auto"/>
                      <w:szCs w:val="21"/>
                    </w:rPr>
                    <w:t>10</w:t>
                  </w:r>
                </w:p>
              </w:tc>
              <w:tc>
                <w:tcPr>
                  <w:tcW w:w="821" w:type="dxa"/>
                  <w:vAlign w:val="center"/>
                </w:tcPr>
                <w:p>
                  <w:pPr>
                    <w:adjustRightInd w:val="0"/>
                    <w:snapToGrid w:val="0"/>
                    <w:jc w:val="center"/>
                    <w:rPr>
                      <w:color w:val="auto"/>
                      <w:szCs w:val="21"/>
                    </w:rPr>
                  </w:pPr>
                  <w:r>
                    <w:rPr>
                      <w:color w:val="auto"/>
                      <w:szCs w:val="21"/>
                    </w:rPr>
                    <w:t>≤</w:t>
                  </w:r>
                  <w:r>
                    <w:rPr>
                      <w:rFonts w:hint="eastAsia"/>
                      <w:color w:val="auto"/>
                      <w:szCs w:val="21"/>
                    </w:rPr>
                    <w:t>5</w:t>
                  </w:r>
                </w:p>
              </w:tc>
              <w:tc>
                <w:tcPr>
                  <w:tcW w:w="627" w:type="dxa"/>
                  <w:vAlign w:val="center"/>
                </w:tcPr>
                <w:p>
                  <w:pPr>
                    <w:adjustRightInd w:val="0"/>
                    <w:snapToGrid w:val="0"/>
                    <w:jc w:val="center"/>
                    <w:rPr>
                      <w:color w:val="auto"/>
                      <w:szCs w:val="21"/>
                    </w:rPr>
                  </w:pPr>
                  <w:r>
                    <w:rPr>
                      <w:color w:val="auto"/>
                      <w:szCs w:val="21"/>
                    </w:rPr>
                    <w:t>≤</w:t>
                  </w:r>
                  <w:r>
                    <w:rPr>
                      <w:rFonts w:hint="eastAsia"/>
                      <w:color w:val="auto"/>
                      <w:szCs w:val="21"/>
                    </w:rPr>
                    <w:t>1.5</w:t>
                  </w:r>
                </w:p>
              </w:tc>
              <w:tc>
                <w:tcPr>
                  <w:tcW w:w="627" w:type="dxa"/>
                  <w:vAlign w:val="center"/>
                </w:tcPr>
                <w:p>
                  <w:pPr>
                    <w:adjustRightInd w:val="0"/>
                    <w:snapToGrid w:val="0"/>
                    <w:jc w:val="center"/>
                    <w:rPr>
                      <w:color w:val="auto"/>
                      <w:szCs w:val="21"/>
                    </w:rPr>
                  </w:pPr>
                  <w:r>
                    <w:rPr>
                      <w:color w:val="auto"/>
                      <w:szCs w:val="21"/>
                    </w:rPr>
                    <w:t>≤</w:t>
                  </w:r>
                  <w:r>
                    <w:rPr>
                      <w:rFonts w:hint="eastAsia"/>
                      <w:color w:val="auto"/>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c>
                <w:tcPr>
                  <w:tcW w:w="3966" w:type="dxa"/>
                  <w:vAlign w:val="center"/>
                </w:tcPr>
                <w:p>
                  <w:pPr>
                    <w:adjustRightInd w:val="0"/>
                    <w:snapToGrid w:val="0"/>
                    <w:jc w:val="center"/>
                    <w:rPr>
                      <w:color w:val="auto"/>
                      <w:szCs w:val="21"/>
                    </w:rPr>
                  </w:pPr>
                  <w:r>
                    <w:rPr>
                      <w:color w:val="auto"/>
                      <w:szCs w:val="21"/>
                    </w:rPr>
                    <w:t>（DB44/26-2001）第二时段一级标准</w:t>
                  </w:r>
                </w:p>
              </w:tc>
              <w:tc>
                <w:tcPr>
                  <w:tcW w:w="842" w:type="dxa"/>
                  <w:vAlign w:val="center"/>
                </w:tcPr>
                <w:p>
                  <w:pPr>
                    <w:adjustRightInd w:val="0"/>
                    <w:snapToGrid w:val="0"/>
                    <w:jc w:val="center"/>
                    <w:rPr>
                      <w:color w:val="auto"/>
                      <w:szCs w:val="21"/>
                    </w:rPr>
                  </w:pPr>
                  <w:r>
                    <w:rPr>
                      <w:color w:val="auto"/>
                      <w:szCs w:val="21"/>
                    </w:rPr>
                    <w:t>≤</w:t>
                  </w:r>
                  <w:r>
                    <w:rPr>
                      <w:rFonts w:hint="eastAsia"/>
                      <w:color w:val="auto"/>
                      <w:szCs w:val="21"/>
                    </w:rPr>
                    <w:t>40</w:t>
                  </w:r>
                </w:p>
              </w:tc>
              <w:tc>
                <w:tcPr>
                  <w:tcW w:w="740" w:type="dxa"/>
                  <w:vAlign w:val="center"/>
                </w:tcPr>
                <w:p>
                  <w:pPr>
                    <w:adjustRightInd w:val="0"/>
                    <w:snapToGrid w:val="0"/>
                    <w:jc w:val="center"/>
                    <w:rPr>
                      <w:color w:val="auto"/>
                      <w:szCs w:val="21"/>
                    </w:rPr>
                  </w:pPr>
                  <w:r>
                    <w:rPr>
                      <w:color w:val="auto"/>
                      <w:szCs w:val="21"/>
                    </w:rPr>
                    <w:t>≤</w:t>
                  </w:r>
                  <w:r>
                    <w:rPr>
                      <w:rFonts w:hint="eastAsia"/>
                      <w:color w:val="auto"/>
                      <w:szCs w:val="21"/>
                    </w:rPr>
                    <w:t>20</w:t>
                  </w:r>
                </w:p>
              </w:tc>
              <w:tc>
                <w:tcPr>
                  <w:tcW w:w="647" w:type="dxa"/>
                  <w:vAlign w:val="center"/>
                </w:tcPr>
                <w:p>
                  <w:pPr>
                    <w:adjustRightInd w:val="0"/>
                    <w:snapToGrid w:val="0"/>
                    <w:jc w:val="center"/>
                    <w:rPr>
                      <w:color w:val="auto"/>
                      <w:szCs w:val="21"/>
                    </w:rPr>
                  </w:pPr>
                  <w:r>
                    <w:rPr>
                      <w:color w:val="auto"/>
                      <w:szCs w:val="21"/>
                    </w:rPr>
                    <w:t>≤</w:t>
                  </w:r>
                  <w:r>
                    <w:rPr>
                      <w:rFonts w:hint="eastAsia"/>
                      <w:color w:val="auto"/>
                      <w:szCs w:val="21"/>
                    </w:rPr>
                    <w:t>20</w:t>
                  </w:r>
                </w:p>
              </w:tc>
              <w:tc>
                <w:tcPr>
                  <w:tcW w:w="821" w:type="dxa"/>
                  <w:vAlign w:val="center"/>
                </w:tcPr>
                <w:p>
                  <w:pPr>
                    <w:adjustRightInd w:val="0"/>
                    <w:snapToGrid w:val="0"/>
                    <w:jc w:val="center"/>
                    <w:rPr>
                      <w:color w:val="auto"/>
                      <w:szCs w:val="21"/>
                    </w:rPr>
                  </w:pPr>
                  <w:r>
                    <w:rPr>
                      <w:color w:val="auto"/>
                      <w:szCs w:val="21"/>
                    </w:rPr>
                    <w:t>≤</w:t>
                  </w:r>
                  <w:r>
                    <w:rPr>
                      <w:rFonts w:hint="eastAsia"/>
                      <w:color w:val="auto"/>
                      <w:szCs w:val="21"/>
                    </w:rPr>
                    <w:t>10</w:t>
                  </w:r>
                </w:p>
              </w:tc>
              <w:tc>
                <w:tcPr>
                  <w:tcW w:w="627" w:type="dxa"/>
                  <w:vAlign w:val="center"/>
                </w:tcPr>
                <w:p>
                  <w:pPr>
                    <w:adjustRightInd w:val="0"/>
                    <w:snapToGrid w:val="0"/>
                    <w:jc w:val="center"/>
                    <w:rPr>
                      <w:color w:val="auto"/>
                      <w:szCs w:val="21"/>
                    </w:rPr>
                  </w:pPr>
                  <w:r>
                    <w:rPr>
                      <w:rFonts w:hint="eastAsia"/>
                      <w:color w:val="auto"/>
                      <w:szCs w:val="21"/>
                    </w:rPr>
                    <w:t>/</w:t>
                  </w:r>
                </w:p>
              </w:tc>
              <w:tc>
                <w:tcPr>
                  <w:tcW w:w="627" w:type="dxa"/>
                  <w:vAlign w:val="center"/>
                </w:tcPr>
                <w:p>
                  <w:pPr>
                    <w:adjustRightInd w:val="0"/>
                    <w:snapToGrid w:val="0"/>
                    <w:jc w:val="center"/>
                    <w:rPr>
                      <w:color w:val="auto"/>
                      <w:szCs w:val="21"/>
                    </w:rPr>
                  </w:pPr>
                  <w:r>
                    <w:rPr>
                      <w:color w:val="auto"/>
                      <w:szCs w:val="21"/>
                    </w:rPr>
                    <w:t>≤</w:t>
                  </w:r>
                  <w:r>
                    <w:rPr>
                      <w:rFonts w:hint="eastAsia"/>
                      <w:color w:val="auto"/>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c>
                <w:tcPr>
                  <w:tcW w:w="3966" w:type="dxa"/>
                  <w:vAlign w:val="center"/>
                </w:tcPr>
                <w:p>
                  <w:pPr>
                    <w:adjustRightInd w:val="0"/>
                    <w:snapToGrid w:val="0"/>
                    <w:jc w:val="center"/>
                    <w:rPr>
                      <w:color w:val="auto"/>
                      <w:szCs w:val="21"/>
                    </w:rPr>
                  </w:pPr>
                  <w:r>
                    <w:rPr>
                      <w:color w:val="auto"/>
                      <w:szCs w:val="21"/>
                    </w:rPr>
                    <w:t>（GB 3838-2002）V类标准</w:t>
                  </w:r>
                </w:p>
              </w:tc>
              <w:tc>
                <w:tcPr>
                  <w:tcW w:w="842" w:type="dxa"/>
                  <w:vAlign w:val="center"/>
                </w:tcPr>
                <w:p>
                  <w:pPr>
                    <w:adjustRightInd w:val="0"/>
                    <w:snapToGrid w:val="0"/>
                    <w:jc w:val="center"/>
                    <w:rPr>
                      <w:color w:val="auto"/>
                      <w:szCs w:val="21"/>
                    </w:rPr>
                  </w:pPr>
                  <w:r>
                    <w:rPr>
                      <w:rFonts w:hint="eastAsia"/>
                      <w:color w:val="auto"/>
                      <w:szCs w:val="21"/>
                    </w:rPr>
                    <w:t>/</w:t>
                  </w:r>
                </w:p>
              </w:tc>
              <w:tc>
                <w:tcPr>
                  <w:tcW w:w="740" w:type="dxa"/>
                  <w:vAlign w:val="center"/>
                </w:tcPr>
                <w:p>
                  <w:pPr>
                    <w:adjustRightInd w:val="0"/>
                    <w:snapToGrid w:val="0"/>
                    <w:jc w:val="center"/>
                    <w:rPr>
                      <w:color w:val="auto"/>
                      <w:szCs w:val="21"/>
                    </w:rPr>
                  </w:pPr>
                  <w:r>
                    <w:rPr>
                      <w:rFonts w:hint="eastAsia"/>
                      <w:color w:val="auto"/>
                      <w:szCs w:val="21"/>
                    </w:rPr>
                    <w:t>/</w:t>
                  </w:r>
                </w:p>
              </w:tc>
              <w:tc>
                <w:tcPr>
                  <w:tcW w:w="647" w:type="dxa"/>
                  <w:vAlign w:val="center"/>
                </w:tcPr>
                <w:p>
                  <w:pPr>
                    <w:adjustRightInd w:val="0"/>
                    <w:snapToGrid w:val="0"/>
                    <w:jc w:val="center"/>
                    <w:rPr>
                      <w:color w:val="auto"/>
                      <w:szCs w:val="21"/>
                    </w:rPr>
                  </w:pPr>
                  <w:r>
                    <w:rPr>
                      <w:rFonts w:hint="eastAsia"/>
                      <w:color w:val="auto"/>
                      <w:szCs w:val="21"/>
                    </w:rPr>
                    <w:t>/</w:t>
                  </w:r>
                </w:p>
              </w:tc>
              <w:tc>
                <w:tcPr>
                  <w:tcW w:w="821" w:type="dxa"/>
                  <w:vAlign w:val="center"/>
                </w:tcPr>
                <w:p>
                  <w:pPr>
                    <w:adjustRightInd w:val="0"/>
                    <w:snapToGrid w:val="0"/>
                    <w:jc w:val="center"/>
                    <w:rPr>
                      <w:color w:val="auto"/>
                      <w:szCs w:val="21"/>
                    </w:rPr>
                  </w:pPr>
                  <w:r>
                    <w:rPr>
                      <w:color w:val="auto"/>
                      <w:szCs w:val="21"/>
                    </w:rPr>
                    <w:t>≤</w:t>
                  </w:r>
                  <w:r>
                    <w:rPr>
                      <w:rFonts w:hint="eastAsia"/>
                      <w:color w:val="auto"/>
                      <w:szCs w:val="21"/>
                    </w:rPr>
                    <w:t>2.0</w:t>
                  </w:r>
                </w:p>
              </w:tc>
              <w:tc>
                <w:tcPr>
                  <w:tcW w:w="627" w:type="dxa"/>
                  <w:vAlign w:val="center"/>
                </w:tcPr>
                <w:p>
                  <w:pPr>
                    <w:adjustRightInd w:val="0"/>
                    <w:snapToGrid w:val="0"/>
                    <w:jc w:val="center"/>
                    <w:rPr>
                      <w:color w:val="auto"/>
                      <w:szCs w:val="21"/>
                    </w:rPr>
                  </w:pPr>
                  <w:r>
                    <w:rPr>
                      <w:color w:val="auto"/>
                      <w:szCs w:val="21"/>
                    </w:rPr>
                    <w:t>≤</w:t>
                  </w:r>
                  <w:r>
                    <w:rPr>
                      <w:rFonts w:hint="eastAsia"/>
                      <w:color w:val="auto"/>
                      <w:szCs w:val="21"/>
                    </w:rPr>
                    <w:t>2.0</w:t>
                  </w:r>
                </w:p>
              </w:tc>
              <w:tc>
                <w:tcPr>
                  <w:tcW w:w="627" w:type="dxa"/>
                  <w:vAlign w:val="center"/>
                </w:tcPr>
                <w:p>
                  <w:pPr>
                    <w:adjustRightInd w:val="0"/>
                    <w:snapToGrid w:val="0"/>
                    <w:jc w:val="center"/>
                    <w:rPr>
                      <w:color w:val="auto"/>
                      <w:szCs w:val="21"/>
                    </w:rPr>
                  </w:pPr>
                  <w:r>
                    <w:rPr>
                      <w:color w:val="auto"/>
                      <w:szCs w:val="21"/>
                    </w:rPr>
                    <w:t>≤</w:t>
                  </w:r>
                  <w:r>
                    <w:rPr>
                      <w:rFonts w:hint="eastAsia"/>
                      <w:color w:val="auto"/>
                      <w:szCs w:val="21"/>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90" w:hRule="atLeast"/>
              </w:trPr>
              <w:tc>
                <w:tcPr>
                  <w:tcW w:w="3966" w:type="dxa"/>
                  <w:vAlign w:val="center"/>
                </w:tcPr>
                <w:p>
                  <w:pPr>
                    <w:adjustRightInd w:val="0"/>
                    <w:snapToGrid w:val="0"/>
                    <w:jc w:val="center"/>
                    <w:rPr>
                      <w:color w:val="auto"/>
                      <w:szCs w:val="21"/>
                    </w:rPr>
                  </w:pPr>
                  <w:r>
                    <w:rPr>
                      <w:rFonts w:hint="eastAsia"/>
                      <w:color w:val="auto"/>
                      <w:szCs w:val="21"/>
                    </w:rPr>
                    <w:t>博罗县园洲镇第五生活污水处理厂</w:t>
                  </w:r>
                  <w:r>
                    <w:rPr>
                      <w:color w:val="auto"/>
                      <w:szCs w:val="21"/>
                    </w:rPr>
                    <w:t>尾水</w:t>
                  </w:r>
                  <w:r>
                    <w:rPr>
                      <w:rFonts w:hint="eastAsia"/>
                      <w:color w:val="auto"/>
                      <w:szCs w:val="21"/>
                    </w:rPr>
                    <w:t>排放标准</w:t>
                  </w:r>
                </w:p>
              </w:tc>
              <w:tc>
                <w:tcPr>
                  <w:tcW w:w="842" w:type="dxa"/>
                  <w:vAlign w:val="center"/>
                </w:tcPr>
                <w:p>
                  <w:pPr>
                    <w:adjustRightInd w:val="0"/>
                    <w:snapToGrid w:val="0"/>
                    <w:jc w:val="center"/>
                    <w:rPr>
                      <w:color w:val="auto"/>
                      <w:szCs w:val="21"/>
                    </w:rPr>
                  </w:pPr>
                  <w:r>
                    <w:rPr>
                      <w:color w:val="auto"/>
                      <w:szCs w:val="21"/>
                    </w:rPr>
                    <w:t>≤</w:t>
                  </w:r>
                  <w:r>
                    <w:rPr>
                      <w:rFonts w:hint="eastAsia"/>
                      <w:color w:val="auto"/>
                      <w:szCs w:val="21"/>
                    </w:rPr>
                    <w:t>40</w:t>
                  </w:r>
                </w:p>
              </w:tc>
              <w:tc>
                <w:tcPr>
                  <w:tcW w:w="740" w:type="dxa"/>
                  <w:vAlign w:val="center"/>
                </w:tcPr>
                <w:p>
                  <w:pPr>
                    <w:adjustRightInd w:val="0"/>
                    <w:snapToGrid w:val="0"/>
                    <w:jc w:val="center"/>
                    <w:rPr>
                      <w:color w:val="auto"/>
                      <w:szCs w:val="21"/>
                    </w:rPr>
                  </w:pPr>
                  <w:r>
                    <w:rPr>
                      <w:color w:val="auto"/>
                      <w:szCs w:val="21"/>
                    </w:rPr>
                    <w:t>≤</w:t>
                  </w:r>
                  <w:r>
                    <w:rPr>
                      <w:rFonts w:hint="eastAsia"/>
                      <w:color w:val="auto"/>
                      <w:szCs w:val="21"/>
                    </w:rPr>
                    <w:t>10</w:t>
                  </w:r>
                </w:p>
              </w:tc>
              <w:tc>
                <w:tcPr>
                  <w:tcW w:w="647" w:type="dxa"/>
                  <w:vAlign w:val="center"/>
                </w:tcPr>
                <w:p>
                  <w:pPr>
                    <w:adjustRightInd w:val="0"/>
                    <w:snapToGrid w:val="0"/>
                    <w:jc w:val="center"/>
                    <w:rPr>
                      <w:color w:val="auto"/>
                      <w:szCs w:val="21"/>
                    </w:rPr>
                  </w:pPr>
                  <w:r>
                    <w:rPr>
                      <w:color w:val="auto"/>
                      <w:szCs w:val="21"/>
                    </w:rPr>
                    <w:t>≤</w:t>
                  </w:r>
                  <w:r>
                    <w:rPr>
                      <w:rFonts w:hint="eastAsia"/>
                      <w:color w:val="auto"/>
                      <w:szCs w:val="21"/>
                    </w:rPr>
                    <w:t>10</w:t>
                  </w:r>
                </w:p>
              </w:tc>
              <w:tc>
                <w:tcPr>
                  <w:tcW w:w="821" w:type="dxa"/>
                  <w:vAlign w:val="center"/>
                </w:tcPr>
                <w:p>
                  <w:pPr>
                    <w:adjustRightInd w:val="0"/>
                    <w:snapToGrid w:val="0"/>
                    <w:jc w:val="center"/>
                    <w:rPr>
                      <w:color w:val="auto"/>
                      <w:szCs w:val="21"/>
                    </w:rPr>
                  </w:pPr>
                  <w:r>
                    <w:rPr>
                      <w:color w:val="auto"/>
                      <w:szCs w:val="21"/>
                    </w:rPr>
                    <w:t>≤</w:t>
                  </w:r>
                  <w:r>
                    <w:rPr>
                      <w:rFonts w:hint="eastAsia"/>
                      <w:color w:val="auto"/>
                      <w:szCs w:val="21"/>
                    </w:rPr>
                    <w:t>2</w:t>
                  </w:r>
                </w:p>
              </w:tc>
              <w:tc>
                <w:tcPr>
                  <w:tcW w:w="627" w:type="dxa"/>
                  <w:vAlign w:val="center"/>
                </w:tcPr>
                <w:p>
                  <w:pPr>
                    <w:adjustRightInd w:val="0"/>
                    <w:snapToGrid w:val="0"/>
                    <w:jc w:val="center"/>
                    <w:rPr>
                      <w:color w:val="auto"/>
                      <w:szCs w:val="21"/>
                    </w:rPr>
                  </w:pPr>
                  <w:r>
                    <w:rPr>
                      <w:color w:val="auto"/>
                      <w:szCs w:val="21"/>
                    </w:rPr>
                    <w:t>≤</w:t>
                  </w:r>
                  <w:r>
                    <w:rPr>
                      <w:rFonts w:hint="eastAsia"/>
                      <w:color w:val="auto"/>
                      <w:szCs w:val="21"/>
                    </w:rPr>
                    <w:t>2.0</w:t>
                  </w:r>
                </w:p>
              </w:tc>
              <w:tc>
                <w:tcPr>
                  <w:tcW w:w="627" w:type="dxa"/>
                  <w:vAlign w:val="center"/>
                </w:tcPr>
                <w:p>
                  <w:pPr>
                    <w:adjustRightInd w:val="0"/>
                    <w:snapToGrid w:val="0"/>
                    <w:jc w:val="center"/>
                    <w:rPr>
                      <w:color w:val="auto"/>
                      <w:szCs w:val="21"/>
                    </w:rPr>
                  </w:pPr>
                  <w:r>
                    <w:rPr>
                      <w:color w:val="auto"/>
                      <w:szCs w:val="21"/>
                    </w:rPr>
                    <w:t>≤</w:t>
                  </w:r>
                  <w:r>
                    <w:rPr>
                      <w:rFonts w:hint="eastAsia"/>
                      <w:color w:val="auto"/>
                      <w:szCs w:val="21"/>
                    </w:rPr>
                    <w:t>0.4</w:t>
                  </w:r>
                </w:p>
              </w:tc>
            </w:tr>
          </w:tbl>
          <w:p>
            <w:pPr>
              <w:spacing w:before="120" w:beforeLines="50" w:line="360" w:lineRule="auto"/>
              <w:ind w:firstLine="422" w:firstLineChars="200"/>
              <w:jc w:val="left"/>
              <w:rPr>
                <w:rFonts w:hint="default" w:eastAsia="宋体"/>
                <w:b/>
                <w:color w:val="auto"/>
                <w:szCs w:val="21"/>
                <w:lang w:val="en-US" w:eastAsia="zh-CN"/>
              </w:rPr>
            </w:pPr>
            <w:r>
              <w:rPr>
                <w:rFonts w:hint="eastAsia"/>
                <w:b/>
                <w:color w:val="auto"/>
                <w:szCs w:val="21"/>
              </w:rPr>
              <w:t>2、</w:t>
            </w:r>
            <w:r>
              <w:rPr>
                <w:rFonts w:hint="eastAsia"/>
                <w:b/>
                <w:color w:val="auto"/>
                <w:szCs w:val="21"/>
                <w:lang w:val="en-US" w:eastAsia="zh-CN"/>
              </w:rPr>
              <w:t>废气排放标准</w:t>
            </w:r>
          </w:p>
          <w:p>
            <w:pPr>
              <w:spacing w:line="360" w:lineRule="auto"/>
              <w:ind w:firstLine="420" w:firstLineChars="200"/>
              <w:rPr>
                <w:bCs/>
                <w:color w:val="FF0000"/>
                <w:szCs w:val="21"/>
              </w:rPr>
            </w:pPr>
            <w:r>
              <w:rPr>
                <w:bCs/>
                <w:color w:val="FF0000"/>
                <w:szCs w:val="21"/>
              </w:rPr>
              <w:t>项目</w:t>
            </w:r>
            <w:r>
              <w:rPr>
                <w:rFonts w:hint="eastAsia"/>
                <w:bCs/>
                <w:color w:val="FF0000"/>
                <w:szCs w:val="21"/>
              </w:rPr>
              <w:t>投料、混合搅拌工序产生的颗粒物、非甲烷总烃</w:t>
            </w:r>
            <w:r>
              <w:rPr>
                <w:rFonts w:hint="eastAsia"/>
                <w:bCs/>
                <w:color w:val="FF0000"/>
                <w:szCs w:val="21"/>
                <w:lang w:val="en-US" w:eastAsia="zh-CN"/>
              </w:rPr>
              <w:t>参照</w:t>
            </w:r>
            <w:r>
              <w:rPr>
                <w:bCs/>
                <w:color w:val="FF0000"/>
                <w:szCs w:val="21"/>
              </w:rPr>
              <w:t>执行《</w:t>
            </w:r>
            <w:r>
              <w:rPr>
                <w:rFonts w:hint="eastAsia"/>
                <w:bCs/>
                <w:color w:val="FF0000"/>
                <w:szCs w:val="21"/>
                <w:lang w:val="en-US" w:eastAsia="zh-CN"/>
              </w:rPr>
              <w:t>橡胶制品</w:t>
            </w:r>
            <w:r>
              <w:rPr>
                <w:bCs/>
                <w:color w:val="FF0000"/>
                <w:szCs w:val="21"/>
              </w:rPr>
              <w:t>工业污染物排放标准》（GB</w:t>
            </w:r>
            <w:r>
              <w:rPr>
                <w:rFonts w:hint="eastAsia"/>
                <w:bCs/>
                <w:color w:val="FF0000"/>
                <w:szCs w:val="21"/>
                <w:lang w:val="en-US" w:eastAsia="zh-CN"/>
              </w:rPr>
              <w:t>27632</w:t>
            </w:r>
            <w:r>
              <w:rPr>
                <w:bCs/>
                <w:color w:val="FF0000"/>
                <w:szCs w:val="21"/>
              </w:rPr>
              <w:t>-201</w:t>
            </w:r>
            <w:r>
              <w:rPr>
                <w:rFonts w:hint="eastAsia"/>
                <w:bCs/>
                <w:color w:val="FF0000"/>
                <w:szCs w:val="21"/>
                <w:lang w:val="en-US" w:eastAsia="zh-CN"/>
              </w:rPr>
              <w:t>1</w:t>
            </w:r>
            <w:r>
              <w:rPr>
                <w:bCs/>
                <w:color w:val="FF0000"/>
                <w:szCs w:val="21"/>
              </w:rPr>
              <w:t>）表5、表</w:t>
            </w:r>
            <w:r>
              <w:rPr>
                <w:rFonts w:hint="eastAsia"/>
                <w:bCs/>
                <w:color w:val="FF0000"/>
                <w:szCs w:val="21"/>
                <w:lang w:val="en-US" w:eastAsia="zh-CN"/>
              </w:rPr>
              <w:t>6</w:t>
            </w:r>
            <w:r>
              <w:rPr>
                <w:bCs/>
                <w:color w:val="FF0000"/>
                <w:szCs w:val="21"/>
              </w:rPr>
              <w:t>中</w:t>
            </w:r>
            <w:r>
              <w:rPr>
                <w:rFonts w:hint="eastAsia"/>
                <w:bCs/>
                <w:color w:val="FF0000"/>
                <w:szCs w:val="21"/>
                <w:lang w:val="en-US" w:eastAsia="zh-CN"/>
              </w:rPr>
              <w:t>轮胎企业及其他制品企业炼胶装置</w:t>
            </w:r>
            <w:r>
              <w:rPr>
                <w:bCs/>
                <w:color w:val="FF0000"/>
                <w:szCs w:val="21"/>
              </w:rPr>
              <w:t>的排放限值要求</w:t>
            </w:r>
            <w:r>
              <w:rPr>
                <w:rFonts w:hint="eastAsia"/>
                <w:bCs/>
                <w:color w:val="FF0000"/>
                <w:szCs w:val="21"/>
              </w:rPr>
              <w:t>，</w:t>
            </w:r>
            <w:r>
              <w:rPr>
                <w:bCs/>
                <w:color w:val="FF0000"/>
                <w:szCs w:val="21"/>
              </w:rPr>
              <w:t>具体标准限值见下表</w:t>
            </w:r>
            <w:r>
              <w:rPr>
                <w:rFonts w:hint="eastAsia"/>
                <w:bCs/>
                <w:color w:val="FF0000"/>
                <w:szCs w:val="21"/>
              </w:rPr>
              <w:t>：</w:t>
            </w:r>
          </w:p>
          <w:p>
            <w:pPr>
              <w:adjustRightInd w:val="0"/>
              <w:snapToGrid w:val="0"/>
              <w:spacing w:line="360" w:lineRule="auto"/>
              <w:ind w:left="322"/>
              <w:jc w:val="center"/>
              <w:rPr>
                <w:b/>
                <w:color w:val="FF0000"/>
              </w:rPr>
            </w:pPr>
            <w:r>
              <w:rPr>
                <w:b/>
                <w:color w:val="FF0000"/>
              </w:rPr>
              <w:t>表</w:t>
            </w:r>
            <w:r>
              <w:rPr>
                <w:rFonts w:hint="eastAsia"/>
                <w:b/>
                <w:color w:val="FF0000"/>
              </w:rPr>
              <w:t>3-6</w:t>
            </w:r>
            <w:r>
              <w:rPr>
                <w:b/>
                <w:color w:val="FF0000"/>
              </w:rPr>
              <w:t xml:space="preserve"> 《</w:t>
            </w:r>
            <w:r>
              <w:rPr>
                <w:rFonts w:hint="eastAsia"/>
                <w:b/>
                <w:color w:val="FF0000"/>
                <w:lang w:val="en-US" w:eastAsia="zh-CN"/>
              </w:rPr>
              <w:t>橡胶制品</w:t>
            </w:r>
            <w:r>
              <w:rPr>
                <w:b/>
                <w:color w:val="FF0000"/>
              </w:rPr>
              <w:t>工业污染物排放标准》（GB</w:t>
            </w:r>
            <w:r>
              <w:rPr>
                <w:rFonts w:hint="eastAsia"/>
                <w:b/>
                <w:color w:val="FF0000"/>
                <w:lang w:val="en-US" w:eastAsia="zh-CN"/>
              </w:rPr>
              <w:t>27632</w:t>
            </w:r>
            <w:r>
              <w:rPr>
                <w:b/>
                <w:color w:val="FF0000"/>
              </w:rPr>
              <w:t>-201</w:t>
            </w:r>
            <w:r>
              <w:rPr>
                <w:rFonts w:hint="eastAsia"/>
                <w:b/>
                <w:color w:val="FF0000"/>
                <w:lang w:val="en-US" w:eastAsia="zh-CN"/>
              </w:rPr>
              <w:t>1</w:t>
            </w:r>
            <w:r>
              <w:rPr>
                <w:b/>
                <w:color w:val="FF0000"/>
              </w:rPr>
              <w:t>）摘录</w:t>
            </w:r>
          </w:p>
          <w:tbl>
            <w:tblPr>
              <w:tblStyle w:val="3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0"/>
              <w:gridCol w:w="1758"/>
              <w:gridCol w:w="2520"/>
              <w:gridCol w:w="2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793" w:type="pct"/>
                  <w:vAlign w:val="center"/>
                </w:tcPr>
                <w:p>
                  <w:pPr>
                    <w:pStyle w:val="110"/>
                    <w:rPr>
                      <w:b/>
                      <w:bCs/>
                      <w:color w:val="FF0000"/>
                      <w:szCs w:val="21"/>
                    </w:rPr>
                  </w:pPr>
                  <w:r>
                    <w:rPr>
                      <w:b/>
                      <w:bCs/>
                      <w:color w:val="FF0000"/>
                      <w:szCs w:val="21"/>
                    </w:rPr>
                    <w:t>污染物</w:t>
                  </w:r>
                </w:p>
                <w:p>
                  <w:pPr>
                    <w:pStyle w:val="110"/>
                    <w:rPr>
                      <w:b/>
                      <w:bCs/>
                      <w:color w:val="FF0000"/>
                      <w:szCs w:val="21"/>
                    </w:rPr>
                  </w:pPr>
                  <w:r>
                    <w:rPr>
                      <w:b/>
                      <w:bCs/>
                      <w:color w:val="FF0000"/>
                      <w:szCs w:val="21"/>
                    </w:rPr>
                    <w:t>名称</w:t>
                  </w:r>
                </w:p>
              </w:tc>
              <w:tc>
                <w:tcPr>
                  <w:tcW w:w="1063" w:type="pct"/>
                  <w:vAlign w:val="center"/>
                </w:tcPr>
                <w:p>
                  <w:pPr>
                    <w:pStyle w:val="110"/>
                    <w:rPr>
                      <w:b/>
                      <w:bCs/>
                      <w:color w:val="FF0000"/>
                      <w:szCs w:val="21"/>
                    </w:rPr>
                  </w:pPr>
                  <w:r>
                    <w:rPr>
                      <w:b/>
                      <w:bCs/>
                      <w:color w:val="FF0000"/>
                      <w:szCs w:val="21"/>
                    </w:rPr>
                    <w:t>最高允许排放浓度（mg/m</w:t>
                  </w:r>
                  <w:r>
                    <w:rPr>
                      <w:b/>
                      <w:bCs/>
                      <w:color w:val="FF0000"/>
                      <w:szCs w:val="21"/>
                      <w:vertAlign w:val="superscript"/>
                    </w:rPr>
                    <w:t>3</w:t>
                  </w:r>
                  <w:r>
                    <w:rPr>
                      <w:b/>
                      <w:bCs/>
                      <w:color w:val="FF0000"/>
                      <w:szCs w:val="21"/>
                    </w:rPr>
                    <w:t>）</w:t>
                  </w:r>
                </w:p>
              </w:tc>
              <w:tc>
                <w:tcPr>
                  <w:tcW w:w="1524" w:type="pct"/>
                  <w:vAlign w:val="center"/>
                </w:tcPr>
                <w:p>
                  <w:pPr>
                    <w:pStyle w:val="110"/>
                    <w:rPr>
                      <w:b/>
                      <w:bCs/>
                      <w:color w:val="FF0000"/>
                      <w:szCs w:val="21"/>
                    </w:rPr>
                  </w:pPr>
                  <w:r>
                    <w:rPr>
                      <w:b/>
                      <w:bCs/>
                      <w:color w:val="FF0000"/>
                      <w:szCs w:val="21"/>
                    </w:rPr>
                    <w:t>厂界无组织排放点监控浓度限值（mg/m</w:t>
                  </w:r>
                  <w:r>
                    <w:rPr>
                      <w:b/>
                      <w:bCs/>
                      <w:color w:val="FF0000"/>
                      <w:szCs w:val="21"/>
                      <w:vertAlign w:val="superscript"/>
                    </w:rPr>
                    <w:t>3</w:t>
                  </w:r>
                  <w:r>
                    <w:rPr>
                      <w:b/>
                      <w:bCs/>
                      <w:color w:val="FF0000"/>
                      <w:szCs w:val="21"/>
                    </w:rPr>
                    <w:t>）</w:t>
                  </w:r>
                </w:p>
              </w:tc>
              <w:tc>
                <w:tcPr>
                  <w:tcW w:w="1617" w:type="pct"/>
                  <w:vAlign w:val="center"/>
                </w:tcPr>
                <w:p>
                  <w:pPr>
                    <w:pStyle w:val="110"/>
                    <w:rPr>
                      <w:b/>
                      <w:bCs/>
                      <w:color w:val="FF0000"/>
                      <w:szCs w:val="21"/>
                    </w:rPr>
                  </w:pPr>
                  <w:r>
                    <w:rPr>
                      <w:b/>
                      <w:bCs/>
                      <w:color w:val="FF0000"/>
                      <w:szCs w:val="21"/>
                    </w:rPr>
                    <w:t>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793" w:type="pct"/>
                  <w:vAlign w:val="center"/>
                </w:tcPr>
                <w:p>
                  <w:pPr>
                    <w:pStyle w:val="110"/>
                    <w:rPr>
                      <w:color w:val="FF0000"/>
                      <w:szCs w:val="21"/>
                    </w:rPr>
                  </w:pPr>
                  <w:r>
                    <w:rPr>
                      <w:color w:val="FF0000"/>
                      <w:szCs w:val="21"/>
                    </w:rPr>
                    <w:t>颗粒物</w:t>
                  </w:r>
                </w:p>
              </w:tc>
              <w:tc>
                <w:tcPr>
                  <w:tcW w:w="1063" w:type="pct"/>
                  <w:vAlign w:val="center"/>
                </w:tcPr>
                <w:p>
                  <w:pPr>
                    <w:pStyle w:val="110"/>
                    <w:rPr>
                      <w:rFonts w:hint="default" w:eastAsia="宋体"/>
                      <w:color w:val="FF0000"/>
                      <w:szCs w:val="21"/>
                      <w:lang w:val="en-US" w:eastAsia="zh-CN"/>
                    </w:rPr>
                  </w:pPr>
                  <w:r>
                    <w:rPr>
                      <w:rFonts w:hint="eastAsia"/>
                      <w:color w:val="FF0000"/>
                      <w:szCs w:val="21"/>
                      <w:lang w:val="en-US" w:eastAsia="zh-CN"/>
                    </w:rPr>
                    <w:t>12</w:t>
                  </w:r>
                </w:p>
              </w:tc>
              <w:tc>
                <w:tcPr>
                  <w:tcW w:w="1524" w:type="pct"/>
                  <w:vAlign w:val="center"/>
                </w:tcPr>
                <w:p>
                  <w:pPr>
                    <w:pStyle w:val="110"/>
                    <w:rPr>
                      <w:color w:val="FF0000"/>
                      <w:spacing w:val="10"/>
                      <w:szCs w:val="21"/>
                    </w:rPr>
                  </w:pPr>
                  <w:r>
                    <w:rPr>
                      <w:color w:val="FF0000"/>
                      <w:spacing w:val="10"/>
                      <w:szCs w:val="21"/>
                    </w:rPr>
                    <w:t>1.0</w:t>
                  </w:r>
                </w:p>
              </w:tc>
              <w:tc>
                <w:tcPr>
                  <w:tcW w:w="1617" w:type="pct"/>
                  <w:vMerge w:val="restart"/>
                  <w:vAlign w:val="center"/>
                </w:tcPr>
                <w:p>
                  <w:pPr>
                    <w:pStyle w:val="110"/>
                    <w:rPr>
                      <w:rFonts w:hint="eastAsia" w:eastAsia="宋体"/>
                      <w:color w:val="FF0000"/>
                      <w:szCs w:val="21"/>
                      <w:lang w:val="en-US" w:eastAsia="zh-CN"/>
                    </w:rPr>
                  </w:pPr>
                  <w:r>
                    <w:rPr>
                      <w:bCs/>
                      <w:color w:val="FF0000"/>
                      <w:szCs w:val="21"/>
                    </w:rPr>
                    <w:t>《</w:t>
                  </w:r>
                  <w:r>
                    <w:rPr>
                      <w:rFonts w:hint="eastAsia"/>
                      <w:bCs/>
                      <w:color w:val="FF0000"/>
                      <w:szCs w:val="21"/>
                      <w:lang w:val="en-US" w:eastAsia="zh-CN"/>
                    </w:rPr>
                    <w:t>橡胶制品</w:t>
                  </w:r>
                  <w:r>
                    <w:rPr>
                      <w:bCs/>
                      <w:color w:val="FF0000"/>
                      <w:szCs w:val="21"/>
                    </w:rPr>
                    <w:t>工业污染物排放标准》（GB</w:t>
                  </w:r>
                  <w:r>
                    <w:rPr>
                      <w:rFonts w:hint="eastAsia"/>
                      <w:bCs/>
                      <w:color w:val="FF0000"/>
                      <w:szCs w:val="21"/>
                      <w:lang w:val="en-US" w:eastAsia="zh-CN"/>
                    </w:rPr>
                    <w:t>27632</w:t>
                  </w:r>
                  <w:r>
                    <w:rPr>
                      <w:bCs/>
                      <w:color w:val="FF0000"/>
                      <w:szCs w:val="21"/>
                    </w:rPr>
                    <w:t>-201</w:t>
                  </w:r>
                  <w:r>
                    <w:rPr>
                      <w:rFonts w:hint="eastAsia"/>
                      <w:bCs/>
                      <w:color w:val="FF0000"/>
                      <w:szCs w:val="21"/>
                      <w:lang w:val="en-US" w:eastAsia="zh-CN"/>
                    </w:rPr>
                    <w:t>1</w:t>
                  </w:r>
                  <w:r>
                    <w:rPr>
                      <w:bCs/>
                      <w:color w:val="FF0000"/>
                      <w:szCs w:val="21"/>
                    </w:rPr>
                    <w:t>）表5、表</w:t>
                  </w:r>
                  <w:r>
                    <w:rPr>
                      <w:rFonts w:hint="eastAsia"/>
                      <w:bCs/>
                      <w:color w:val="FF0000"/>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793" w:type="pct"/>
                  <w:vAlign w:val="center"/>
                </w:tcPr>
                <w:p>
                  <w:pPr>
                    <w:pStyle w:val="110"/>
                    <w:rPr>
                      <w:color w:val="FF0000"/>
                      <w:szCs w:val="21"/>
                    </w:rPr>
                  </w:pPr>
                  <w:r>
                    <w:rPr>
                      <w:rFonts w:hint="eastAsia"/>
                      <w:color w:val="FF0000"/>
                      <w:szCs w:val="21"/>
                    </w:rPr>
                    <w:t>非甲烷总烃</w:t>
                  </w:r>
                </w:p>
              </w:tc>
              <w:tc>
                <w:tcPr>
                  <w:tcW w:w="1063" w:type="pct"/>
                  <w:vAlign w:val="center"/>
                </w:tcPr>
                <w:p>
                  <w:pPr>
                    <w:pStyle w:val="110"/>
                    <w:rPr>
                      <w:rFonts w:hint="default" w:eastAsia="宋体"/>
                      <w:color w:val="FF0000"/>
                      <w:szCs w:val="21"/>
                      <w:lang w:val="en-US" w:eastAsia="zh-CN"/>
                    </w:rPr>
                  </w:pPr>
                  <w:r>
                    <w:rPr>
                      <w:rFonts w:hint="eastAsia"/>
                      <w:color w:val="FF0000"/>
                      <w:szCs w:val="21"/>
                      <w:lang w:val="en-US" w:eastAsia="zh-CN"/>
                    </w:rPr>
                    <w:t>10</w:t>
                  </w:r>
                </w:p>
              </w:tc>
              <w:tc>
                <w:tcPr>
                  <w:tcW w:w="1524" w:type="pct"/>
                  <w:vAlign w:val="center"/>
                </w:tcPr>
                <w:p>
                  <w:pPr>
                    <w:pStyle w:val="110"/>
                    <w:rPr>
                      <w:color w:val="FF0000"/>
                      <w:szCs w:val="21"/>
                    </w:rPr>
                  </w:pPr>
                  <w:r>
                    <w:rPr>
                      <w:rFonts w:hint="eastAsia"/>
                      <w:color w:val="FF0000"/>
                      <w:szCs w:val="21"/>
                    </w:rPr>
                    <w:t>4.0</w:t>
                  </w:r>
                </w:p>
              </w:tc>
              <w:tc>
                <w:tcPr>
                  <w:tcW w:w="1617" w:type="pct"/>
                  <w:vMerge w:val="continue"/>
                  <w:vAlign w:val="center"/>
                </w:tcPr>
                <w:p>
                  <w:pPr>
                    <w:pStyle w:val="110"/>
                    <w:rPr>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5000" w:type="pct"/>
                  <w:gridSpan w:val="4"/>
                  <w:vAlign w:val="center"/>
                </w:tcPr>
                <w:p>
                  <w:pPr>
                    <w:spacing w:before="120" w:beforeLines="50" w:line="360" w:lineRule="auto"/>
                    <w:jc w:val="left"/>
                    <w:rPr>
                      <w:rFonts w:hint="eastAsia" w:eastAsia="宋体"/>
                      <w:color w:val="FF0000"/>
                      <w:szCs w:val="21"/>
                      <w:lang w:val="en-US" w:eastAsia="zh-CN"/>
                    </w:rPr>
                  </w:pPr>
                  <w:r>
                    <w:rPr>
                      <w:rFonts w:hint="eastAsia"/>
                      <w:color w:val="FF0000"/>
                      <w:sz w:val="18"/>
                      <w:szCs w:val="18"/>
                      <w:lang w:val="en-US" w:eastAsia="zh-CN"/>
                    </w:rPr>
                    <w:t>备注：</w:t>
                  </w:r>
                  <w:r>
                    <w:rPr>
                      <w:rFonts w:hint="eastAsia"/>
                      <w:bCs/>
                      <w:color w:val="FF0000"/>
                      <w:sz w:val="18"/>
                      <w:szCs w:val="18"/>
                      <w:lang w:val="en-US" w:eastAsia="zh-CN"/>
                    </w:rPr>
                    <w:t>根据</w:t>
                  </w:r>
                  <w:r>
                    <w:rPr>
                      <w:bCs/>
                      <w:color w:val="FF0000"/>
                      <w:sz w:val="18"/>
                      <w:szCs w:val="18"/>
                    </w:rPr>
                    <w:t>《</w:t>
                  </w:r>
                  <w:r>
                    <w:rPr>
                      <w:rFonts w:hint="eastAsia"/>
                      <w:bCs/>
                      <w:color w:val="FF0000"/>
                      <w:sz w:val="18"/>
                      <w:szCs w:val="18"/>
                      <w:lang w:val="en-US" w:eastAsia="zh-CN"/>
                    </w:rPr>
                    <w:t>橡胶制品</w:t>
                  </w:r>
                  <w:r>
                    <w:rPr>
                      <w:bCs/>
                      <w:color w:val="FF0000"/>
                      <w:sz w:val="18"/>
                      <w:szCs w:val="18"/>
                    </w:rPr>
                    <w:t>工业污染物排放标准》（GB</w:t>
                  </w:r>
                  <w:r>
                    <w:rPr>
                      <w:rFonts w:hint="eastAsia"/>
                      <w:bCs/>
                      <w:color w:val="FF0000"/>
                      <w:sz w:val="18"/>
                      <w:szCs w:val="18"/>
                      <w:lang w:val="en-US" w:eastAsia="zh-CN"/>
                    </w:rPr>
                    <w:t>27632</w:t>
                  </w:r>
                  <w:r>
                    <w:rPr>
                      <w:bCs/>
                      <w:color w:val="FF0000"/>
                      <w:sz w:val="18"/>
                      <w:szCs w:val="18"/>
                    </w:rPr>
                    <w:t>-201</w:t>
                  </w:r>
                  <w:r>
                    <w:rPr>
                      <w:rFonts w:hint="eastAsia"/>
                      <w:bCs/>
                      <w:color w:val="FF0000"/>
                      <w:sz w:val="18"/>
                      <w:szCs w:val="18"/>
                      <w:lang w:val="en-US" w:eastAsia="zh-CN"/>
                    </w:rPr>
                    <w:t>1</w:t>
                  </w:r>
                  <w:r>
                    <w:rPr>
                      <w:bCs/>
                      <w:color w:val="FF0000"/>
                      <w:sz w:val="18"/>
                      <w:szCs w:val="18"/>
                    </w:rPr>
                    <w:t>）</w:t>
                  </w:r>
                  <w:r>
                    <w:rPr>
                      <w:rFonts w:hint="eastAsia"/>
                      <w:bCs/>
                      <w:color w:val="FF0000"/>
                      <w:sz w:val="18"/>
                      <w:szCs w:val="18"/>
                      <w:lang w:val="en-US" w:eastAsia="zh-CN"/>
                    </w:rPr>
                    <w:t>4.2.7要求：产生大气污染物的生产工艺和装置必须设立局部或整体气体收集系统和集中净化处理装置。所有排气筒高度应不低于 15m，排气筒周围半径 200m范围内有建筑物时，排气管高度还应高出最高建筑物3m以上。项目200m范围内为单层厂房，最高处约为10m，项目排气筒高度为15m，符合要求。</w:t>
                  </w:r>
                </w:p>
              </w:tc>
            </w:tr>
          </w:tbl>
          <w:p>
            <w:pPr>
              <w:spacing w:before="120" w:beforeLines="50" w:line="360" w:lineRule="auto"/>
              <w:ind w:firstLine="420" w:firstLineChars="200"/>
              <w:jc w:val="left"/>
              <w:rPr>
                <w:bCs/>
                <w:color w:val="auto"/>
                <w:szCs w:val="21"/>
              </w:rPr>
            </w:pPr>
            <w:r>
              <w:rPr>
                <w:rFonts w:hint="eastAsia"/>
                <w:bCs/>
                <w:color w:val="auto"/>
                <w:szCs w:val="21"/>
              </w:rPr>
              <w:t>项</w:t>
            </w:r>
            <w:r>
              <w:rPr>
                <w:bCs/>
                <w:color w:val="auto"/>
                <w:szCs w:val="21"/>
              </w:rPr>
              <w:t>目</w:t>
            </w:r>
            <w:r>
              <w:rPr>
                <w:rFonts w:hint="eastAsia"/>
                <w:bCs/>
                <w:color w:val="auto"/>
                <w:szCs w:val="21"/>
              </w:rPr>
              <w:t>有</w:t>
            </w:r>
            <w:r>
              <w:rPr>
                <w:bCs/>
                <w:color w:val="auto"/>
                <w:szCs w:val="21"/>
              </w:rPr>
              <w:t>机废气</w:t>
            </w:r>
            <w:r>
              <w:rPr>
                <w:rFonts w:hint="eastAsia"/>
                <w:bCs/>
                <w:color w:val="auto"/>
                <w:szCs w:val="21"/>
              </w:rPr>
              <w:t>厂</w:t>
            </w:r>
            <w:r>
              <w:rPr>
                <w:bCs/>
                <w:color w:val="auto"/>
                <w:szCs w:val="21"/>
              </w:rPr>
              <w:t>区内</w:t>
            </w:r>
            <w:r>
              <w:rPr>
                <w:rFonts w:hint="eastAsia"/>
                <w:bCs/>
                <w:color w:val="auto"/>
                <w:szCs w:val="21"/>
              </w:rPr>
              <w:t>无组织排放还应</w:t>
            </w:r>
            <w:r>
              <w:rPr>
                <w:bCs/>
                <w:color w:val="auto"/>
                <w:szCs w:val="21"/>
              </w:rPr>
              <w:t>满足</w:t>
            </w:r>
            <w:r>
              <w:rPr>
                <w:rFonts w:hint="eastAsia"/>
                <w:bCs/>
                <w:color w:val="auto"/>
                <w:szCs w:val="21"/>
              </w:rPr>
              <w:t>《固定污染源挥发性有机物综合排放标准》（DB44/2367-2022）表</w:t>
            </w:r>
            <w:r>
              <w:rPr>
                <w:bCs/>
                <w:color w:val="auto"/>
                <w:szCs w:val="21"/>
              </w:rPr>
              <w:t>3</w:t>
            </w:r>
            <w:r>
              <w:rPr>
                <w:rFonts w:hint="eastAsia"/>
                <w:bCs/>
                <w:color w:val="auto"/>
                <w:szCs w:val="21"/>
              </w:rPr>
              <w:t>排</w:t>
            </w:r>
            <w:r>
              <w:rPr>
                <w:bCs/>
                <w:color w:val="auto"/>
                <w:szCs w:val="21"/>
              </w:rPr>
              <w:t>放限值要求</w:t>
            </w:r>
            <w:r>
              <w:rPr>
                <w:rFonts w:hint="eastAsia"/>
                <w:bCs/>
                <w:color w:val="auto"/>
                <w:szCs w:val="21"/>
              </w:rPr>
              <w:t>，</w:t>
            </w:r>
            <w:r>
              <w:rPr>
                <w:bCs/>
                <w:color w:val="auto"/>
                <w:szCs w:val="21"/>
              </w:rPr>
              <w:t>详</w:t>
            </w:r>
            <w:r>
              <w:rPr>
                <w:rFonts w:hint="eastAsia"/>
                <w:bCs/>
                <w:color w:val="auto"/>
                <w:szCs w:val="21"/>
              </w:rPr>
              <w:t>见</w:t>
            </w:r>
            <w:r>
              <w:rPr>
                <w:bCs/>
                <w:color w:val="auto"/>
                <w:szCs w:val="21"/>
              </w:rPr>
              <w:t>下表</w:t>
            </w:r>
            <w:r>
              <w:rPr>
                <w:rFonts w:hint="eastAsia"/>
                <w:bCs/>
                <w:color w:val="auto"/>
                <w:szCs w:val="21"/>
              </w:rPr>
              <w:t>：</w:t>
            </w:r>
          </w:p>
          <w:p>
            <w:pPr>
              <w:adjustRightInd w:val="0"/>
              <w:snapToGrid w:val="0"/>
              <w:spacing w:line="360" w:lineRule="auto"/>
              <w:ind w:left="322"/>
              <w:jc w:val="center"/>
              <w:rPr>
                <w:b/>
                <w:color w:val="auto"/>
              </w:rPr>
            </w:pPr>
            <w:r>
              <w:rPr>
                <w:rFonts w:hint="eastAsia"/>
                <w:b/>
                <w:color w:val="auto"/>
              </w:rPr>
              <w:t>表3-7 《固定污染源挥发性有机物综合排放标准》（DB44/2367-2022）</w:t>
            </w:r>
            <w:r>
              <w:rPr>
                <w:b/>
                <w:color w:val="auto"/>
              </w:rPr>
              <w:t>摘录 单位：mg/m</w:t>
            </w:r>
            <w:r>
              <w:rPr>
                <w:b/>
                <w:color w:val="auto"/>
                <w:vertAlign w:val="superscript"/>
              </w:rPr>
              <w:t>3</w:t>
            </w:r>
          </w:p>
          <w:tbl>
            <w:tblPr>
              <w:tblStyle w:val="35"/>
              <w:tblW w:w="0" w:type="auto"/>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556"/>
              <w:gridCol w:w="1721"/>
              <w:gridCol w:w="2507"/>
              <w:gridCol w:w="2481"/>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2" w:type="dxa"/>
                  <w:tcBorders>
                    <w:tl2br w:val="nil"/>
                    <w:tr2bl w:val="nil"/>
                  </w:tcBorders>
                  <w:vAlign w:val="center"/>
                </w:tcPr>
                <w:p>
                  <w:pPr>
                    <w:jc w:val="center"/>
                    <w:rPr>
                      <w:b/>
                      <w:color w:val="auto"/>
                    </w:rPr>
                  </w:pPr>
                  <w:r>
                    <w:rPr>
                      <w:b/>
                      <w:color w:val="auto"/>
                    </w:rPr>
                    <w:t>污染物项目</w:t>
                  </w:r>
                </w:p>
              </w:tc>
              <w:tc>
                <w:tcPr>
                  <w:tcW w:w="1897" w:type="dxa"/>
                  <w:tcBorders>
                    <w:tl2br w:val="nil"/>
                    <w:tr2bl w:val="nil"/>
                  </w:tcBorders>
                  <w:vAlign w:val="center"/>
                </w:tcPr>
                <w:p>
                  <w:pPr>
                    <w:jc w:val="center"/>
                    <w:rPr>
                      <w:b/>
                      <w:color w:val="auto"/>
                    </w:rPr>
                  </w:pPr>
                  <w:r>
                    <w:rPr>
                      <w:rFonts w:hint="eastAsia"/>
                      <w:b/>
                      <w:color w:val="auto"/>
                    </w:rPr>
                    <w:t>特别</w:t>
                  </w:r>
                  <w:r>
                    <w:rPr>
                      <w:b/>
                      <w:color w:val="auto"/>
                    </w:rPr>
                    <w:t>排放限值</w:t>
                  </w:r>
                </w:p>
              </w:tc>
              <w:tc>
                <w:tcPr>
                  <w:tcW w:w="2790" w:type="dxa"/>
                  <w:tcBorders>
                    <w:tl2br w:val="nil"/>
                    <w:tr2bl w:val="nil"/>
                  </w:tcBorders>
                  <w:vAlign w:val="center"/>
                </w:tcPr>
                <w:p>
                  <w:pPr>
                    <w:jc w:val="center"/>
                    <w:rPr>
                      <w:b/>
                      <w:color w:val="auto"/>
                    </w:rPr>
                  </w:pPr>
                  <w:r>
                    <w:rPr>
                      <w:b/>
                      <w:color w:val="auto"/>
                    </w:rPr>
                    <w:t>限值含义</w:t>
                  </w:r>
                </w:p>
              </w:tc>
              <w:tc>
                <w:tcPr>
                  <w:tcW w:w="2760" w:type="dxa"/>
                  <w:tcBorders>
                    <w:tl2br w:val="nil"/>
                    <w:tr2bl w:val="nil"/>
                  </w:tcBorders>
                  <w:vAlign w:val="center"/>
                </w:tcPr>
                <w:p>
                  <w:pPr>
                    <w:jc w:val="center"/>
                    <w:rPr>
                      <w:b/>
                      <w:color w:val="auto"/>
                    </w:rPr>
                  </w:pPr>
                  <w:r>
                    <w:rPr>
                      <w:b/>
                      <w:color w:val="auto"/>
                    </w:rPr>
                    <w:t>无组织排放监控位置</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652" w:type="dxa"/>
                  <w:vMerge w:val="restart"/>
                  <w:tcBorders>
                    <w:tl2br w:val="nil"/>
                    <w:tr2bl w:val="nil"/>
                  </w:tcBorders>
                  <w:vAlign w:val="center"/>
                </w:tcPr>
                <w:p>
                  <w:pPr>
                    <w:pStyle w:val="110"/>
                    <w:rPr>
                      <w:rFonts w:ascii="Times New Roman" w:hAnsi="Times New Roman" w:eastAsia="宋体" w:cs="Times New Roman"/>
                      <w:color w:val="auto"/>
                      <w:szCs w:val="21"/>
                    </w:rPr>
                  </w:pPr>
                  <w:r>
                    <w:rPr>
                      <w:rFonts w:ascii="Times New Roman" w:hAnsi="Times New Roman" w:eastAsia="宋体" w:cs="Times New Roman"/>
                      <w:color w:val="auto"/>
                      <w:szCs w:val="21"/>
                    </w:rPr>
                    <w:t>NMHC</w:t>
                  </w:r>
                </w:p>
              </w:tc>
              <w:tc>
                <w:tcPr>
                  <w:tcW w:w="1897" w:type="dxa"/>
                  <w:tcBorders>
                    <w:tl2br w:val="nil"/>
                    <w:tr2bl w:val="nil"/>
                  </w:tcBorders>
                  <w:vAlign w:val="center"/>
                </w:tcPr>
                <w:p>
                  <w:pPr>
                    <w:pStyle w:val="110"/>
                    <w:rPr>
                      <w:rFonts w:ascii="Times New Roman" w:hAnsi="Times New Roman" w:eastAsia="宋体" w:cs="Times New Roman"/>
                      <w:color w:val="auto"/>
                      <w:szCs w:val="21"/>
                    </w:rPr>
                  </w:pPr>
                  <w:r>
                    <w:rPr>
                      <w:rFonts w:ascii="Times New Roman" w:hAnsi="Times New Roman" w:eastAsia="宋体" w:cs="Times New Roman"/>
                      <w:color w:val="auto"/>
                      <w:szCs w:val="21"/>
                    </w:rPr>
                    <w:t>6</w:t>
                  </w:r>
                </w:p>
              </w:tc>
              <w:tc>
                <w:tcPr>
                  <w:tcW w:w="2790" w:type="dxa"/>
                  <w:tcBorders>
                    <w:tl2br w:val="nil"/>
                    <w:tr2bl w:val="nil"/>
                  </w:tcBorders>
                  <w:vAlign w:val="center"/>
                </w:tcPr>
                <w:p>
                  <w:pPr>
                    <w:pStyle w:val="110"/>
                    <w:rPr>
                      <w:rFonts w:ascii="Times New Roman" w:hAnsi="Times New Roman" w:eastAsia="宋体" w:cs="Times New Roman"/>
                      <w:color w:val="auto"/>
                      <w:szCs w:val="21"/>
                    </w:rPr>
                  </w:pPr>
                  <w:r>
                    <w:rPr>
                      <w:rFonts w:ascii="Times New Roman" w:hAnsi="Times New Roman" w:eastAsia="宋体" w:cs="Times New Roman"/>
                      <w:color w:val="auto"/>
                      <w:szCs w:val="21"/>
                    </w:rPr>
                    <w:t>监控点处1h平均浓度值</w:t>
                  </w:r>
                </w:p>
              </w:tc>
              <w:tc>
                <w:tcPr>
                  <w:tcW w:w="2760" w:type="dxa"/>
                  <w:vMerge w:val="restart"/>
                  <w:tcBorders>
                    <w:tl2br w:val="nil"/>
                    <w:tr2bl w:val="nil"/>
                  </w:tcBorders>
                  <w:vAlign w:val="center"/>
                </w:tcPr>
                <w:p>
                  <w:pPr>
                    <w:jc w:val="center"/>
                    <w:rPr>
                      <w:color w:val="auto"/>
                    </w:rPr>
                  </w:pPr>
                  <w:r>
                    <w:rPr>
                      <w:color w:val="auto"/>
                    </w:rPr>
                    <w:t>在厂房外设置监控点</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652" w:type="dxa"/>
                  <w:vMerge w:val="continue"/>
                  <w:tcBorders>
                    <w:tl2br w:val="nil"/>
                    <w:tr2bl w:val="nil"/>
                  </w:tcBorders>
                  <w:vAlign w:val="center"/>
                </w:tcPr>
                <w:p>
                  <w:pPr>
                    <w:pStyle w:val="110"/>
                    <w:rPr>
                      <w:rFonts w:ascii="Times New Roman" w:hAnsi="Times New Roman" w:eastAsia="宋体" w:cs="Times New Roman"/>
                      <w:color w:val="auto"/>
                      <w:szCs w:val="21"/>
                    </w:rPr>
                  </w:pPr>
                </w:p>
              </w:tc>
              <w:tc>
                <w:tcPr>
                  <w:tcW w:w="1897" w:type="dxa"/>
                  <w:tcBorders>
                    <w:tl2br w:val="nil"/>
                    <w:tr2bl w:val="nil"/>
                  </w:tcBorders>
                  <w:vAlign w:val="center"/>
                </w:tcPr>
                <w:p>
                  <w:pPr>
                    <w:pStyle w:val="110"/>
                    <w:rPr>
                      <w:rFonts w:ascii="Times New Roman" w:hAnsi="Times New Roman" w:eastAsia="宋体" w:cs="Times New Roman"/>
                      <w:color w:val="auto"/>
                      <w:szCs w:val="21"/>
                    </w:rPr>
                  </w:pPr>
                  <w:r>
                    <w:rPr>
                      <w:rFonts w:ascii="Times New Roman" w:hAnsi="Times New Roman" w:eastAsia="宋体" w:cs="Times New Roman"/>
                      <w:color w:val="auto"/>
                      <w:szCs w:val="21"/>
                    </w:rPr>
                    <w:t>20</w:t>
                  </w:r>
                </w:p>
              </w:tc>
              <w:tc>
                <w:tcPr>
                  <w:tcW w:w="2790" w:type="dxa"/>
                  <w:tcBorders>
                    <w:tl2br w:val="nil"/>
                    <w:tr2bl w:val="nil"/>
                  </w:tcBorders>
                  <w:vAlign w:val="center"/>
                </w:tcPr>
                <w:p>
                  <w:pPr>
                    <w:pStyle w:val="110"/>
                    <w:rPr>
                      <w:rFonts w:ascii="Times New Roman" w:hAnsi="Times New Roman" w:eastAsia="宋体" w:cs="Times New Roman"/>
                      <w:color w:val="auto"/>
                      <w:szCs w:val="21"/>
                    </w:rPr>
                  </w:pPr>
                  <w:r>
                    <w:rPr>
                      <w:rFonts w:ascii="Times New Roman" w:hAnsi="Times New Roman" w:eastAsia="宋体" w:cs="Times New Roman"/>
                      <w:color w:val="auto"/>
                      <w:szCs w:val="21"/>
                    </w:rPr>
                    <w:t>监控点处任意一次浓度值</w:t>
                  </w:r>
                </w:p>
              </w:tc>
              <w:tc>
                <w:tcPr>
                  <w:tcW w:w="2760" w:type="dxa"/>
                  <w:vMerge w:val="continue"/>
                  <w:tcBorders>
                    <w:tl2br w:val="nil"/>
                    <w:tr2bl w:val="nil"/>
                  </w:tcBorders>
                  <w:vAlign w:val="center"/>
                </w:tcPr>
                <w:p>
                  <w:pPr>
                    <w:jc w:val="center"/>
                    <w:rPr>
                      <w:color w:val="auto"/>
                    </w:rPr>
                  </w:pPr>
                </w:p>
              </w:tc>
            </w:tr>
          </w:tbl>
          <w:p>
            <w:pPr>
              <w:spacing w:before="120" w:beforeLines="50" w:line="360" w:lineRule="auto"/>
              <w:ind w:firstLine="422" w:firstLineChars="200"/>
              <w:jc w:val="left"/>
              <w:rPr>
                <w:rFonts w:hint="eastAsia" w:eastAsia="宋体"/>
                <w:b/>
                <w:color w:val="auto"/>
                <w:szCs w:val="21"/>
                <w:lang w:val="en-US" w:eastAsia="zh-CN"/>
              </w:rPr>
            </w:pPr>
            <w:r>
              <w:rPr>
                <w:rFonts w:hint="eastAsia"/>
                <w:b/>
                <w:color w:val="auto"/>
                <w:szCs w:val="21"/>
              </w:rPr>
              <w:t>3、</w:t>
            </w:r>
            <w:r>
              <w:rPr>
                <w:b/>
                <w:color w:val="auto"/>
                <w:szCs w:val="21"/>
              </w:rPr>
              <w:t>噪声</w:t>
            </w:r>
            <w:r>
              <w:rPr>
                <w:rFonts w:hint="eastAsia"/>
                <w:b/>
                <w:color w:val="auto"/>
                <w:szCs w:val="21"/>
                <w:lang w:val="en-US" w:eastAsia="zh-CN"/>
              </w:rPr>
              <w:t>排放标准</w:t>
            </w:r>
          </w:p>
          <w:p>
            <w:pPr>
              <w:pStyle w:val="19"/>
              <w:tabs>
                <w:tab w:val="left" w:pos="9100"/>
              </w:tabs>
              <w:snapToGrid/>
              <w:spacing w:before="0" w:line="360" w:lineRule="auto"/>
              <w:ind w:left="0" w:right="74" w:firstLine="420" w:firstLineChars="200"/>
              <w:rPr>
                <w:rFonts w:cs="Times New Roman"/>
                <w:color w:val="auto"/>
                <w:sz w:val="21"/>
                <w:szCs w:val="21"/>
                <w:lang w:eastAsia="zh-CN"/>
              </w:rPr>
            </w:pPr>
            <w:r>
              <w:rPr>
                <w:rFonts w:cs="Times New Roman"/>
                <w:color w:val="auto"/>
                <w:sz w:val="21"/>
                <w:szCs w:val="21"/>
                <w:lang w:eastAsia="zh-CN"/>
              </w:rPr>
              <w:t>厂界噪声执行《工业企业厂界环境噪声排放标准》（GB12348-2008）中的2类标准。具体噪声排放标准见下表。</w:t>
            </w:r>
          </w:p>
          <w:p>
            <w:pPr>
              <w:adjustRightInd w:val="0"/>
              <w:snapToGrid w:val="0"/>
              <w:spacing w:line="360" w:lineRule="auto"/>
              <w:ind w:left="322"/>
              <w:jc w:val="center"/>
              <w:rPr>
                <w:b/>
                <w:color w:val="auto"/>
              </w:rPr>
            </w:pPr>
            <w:r>
              <w:rPr>
                <w:b/>
                <w:color w:val="auto"/>
              </w:rPr>
              <w:t>表</w:t>
            </w:r>
            <w:r>
              <w:rPr>
                <w:rFonts w:hint="eastAsia"/>
                <w:b/>
                <w:color w:val="auto"/>
              </w:rPr>
              <w:t>3-8</w:t>
            </w:r>
            <w:r>
              <w:rPr>
                <w:b/>
                <w:color w:val="auto"/>
              </w:rPr>
              <w:t xml:space="preserve"> 工业企业厂界环境噪声排放标准 单位：dB(A)</w:t>
            </w:r>
          </w:p>
          <w:tbl>
            <w:tblPr>
              <w:tblStyle w:val="3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11"/>
              <w:gridCol w:w="2183"/>
              <w:gridCol w:w="1386"/>
              <w:gridCol w:w="1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2" w:type="pct"/>
                  <w:vAlign w:val="center"/>
                </w:tcPr>
                <w:p>
                  <w:pPr>
                    <w:snapToGrid w:val="0"/>
                    <w:jc w:val="center"/>
                    <w:rPr>
                      <w:rFonts w:eastAsia="Times New Roman"/>
                      <w:b/>
                      <w:bCs/>
                      <w:color w:val="auto"/>
                      <w:szCs w:val="21"/>
                    </w:rPr>
                  </w:pPr>
                  <w:r>
                    <w:rPr>
                      <w:rFonts w:hint="eastAsia"/>
                      <w:b/>
                      <w:bCs/>
                      <w:color w:val="auto"/>
                      <w:szCs w:val="21"/>
                    </w:rPr>
                    <w:t>执行</w:t>
                  </w:r>
                  <w:r>
                    <w:rPr>
                      <w:b/>
                      <w:bCs/>
                      <w:color w:val="auto"/>
                      <w:szCs w:val="21"/>
                    </w:rPr>
                    <w:t>标准</w:t>
                  </w:r>
                </w:p>
              </w:tc>
              <w:tc>
                <w:tcPr>
                  <w:tcW w:w="1320" w:type="pct"/>
                  <w:vAlign w:val="center"/>
                </w:tcPr>
                <w:p>
                  <w:pPr>
                    <w:jc w:val="center"/>
                    <w:rPr>
                      <w:b/>
                      <w:bCs/>
                      <w:color w:val="auto"/>
                      <w:szCs w:val="21"/>
                    </w:rPr>
                  </w:pPr>
                  <w:r>
                    <w:rPr>
                      <w:b/>
                      <w:bCs/>
                      <w:color w:val="auto"/>
                      <w:szCs w:val="21"/>
                    </w:rPr>
                    <w:t>类别</w:t>
                  </w:r>
                </w:p>
              </w:tc>
              <w:tc>
                <w:tcPr>
                  <w:tcW w:w="838" w:type="pct"/>
                  <w:vAlign w:val="center"/>
                </w:tcPr>
                <w:p>
                  <w:pPr>
                    <w:jc w:val="center"/>
                    <w:rPr>
                      <w:b/>
                      <w:bCs/>
                      <w:color w:val="auto"/>
                      <w:szCs w:val="21"/>
                    </w:rPr>
                  </w:pPr>
                  <w:r>
                    <w:rPr>
                      <w:b/>
                      <w:bCs/>
                      <w:color w:val="auto"/>
                      <w:szCs w:val="21"/>
                    </w:rPr>
                    <w:t>昼间</w:t>
                  </w:r>
                </w:p>
              </w:tc>
              <w:tc>
                <w:tcPr>
                  <w:tcW w:w="838" w:type="pct"/>
                  <w:vAlign w:val="center"/>
                </w:tcPr>
                <w:p>
                  <w:pPr>
                    <w:jc w:val="center"/>
                    <w:rPr>
                      <w:b/>
                      <w:bCs/>
                      <w:color w:val="auto"/>
                      <w:szCs w:val="21"/>
                    </w:rPr>
                  </w:pPr>
                  <w:r>
                    <w:rPr>
                      <w:b/>
                      <w:bCs/>
                      <w:color w:val="auto"/>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2" w:type="pct"/>
                  <w:vAlign w:val="center"/>
                </w:tcPr>
                <w:p>
                  <w:pPr>
                    <w:snapToGrid w:val="0"/>
                    <w:jc w:val="center"/>
                    <w:rPr>
                      <w:rFonts w:eastAsia="Times New Roman"/>
                      <w:color w:val="auto"/>
                      <w:szCs w:val="21"/>
                    </w:rPr>
                  </w:pPr>
                  <w:r>
                    <w:rPr>
                      <w:rFonts w:eastAsia="Times New Roman"/>
                      <w:color w:val="auto"/>
                      <w:szCs w:val="21"/>
                    </w:rPr>
                    <w:t>GB12348-2</w:t>
                  </w:r>
                  <w:r>
                    <w:rPr>
                      <w:color w:val="auto"/>
                      <w:szCs w:val="21"/>
                    </w:rPr>
                    <w:t>0</w:t>
                  </w:r>
                  <w:r>
                    <w:rPr>
                      <w:rFonts w:eastAsia="Times New Roman"/>
                      <w:color w:val="auto"/>
                      <w:szCs w:val="21"/>
                    </w:rPr>
                    <w:t>08</w:t>
                  </w:r>
                </w:p>
              </w:tc>
              <w:tc>
                <w:tcPr>
                  <w:tcW w:w="1320" w:type="pct"/>
                  <w:vAlign w:val="center"/>
                </w:tcPr>
                <w:p>
                  <w:pPr>
                    <w:jc w:val="center"/>
                    <w:rPr>
                      <w:color w:val="auto"/>
                      <w:szCs w:val="21"/>
                    </w:rPr>
                  </w:pPr>
                  <w:r>
                    <w:rPr>
                      <w:color w:val="auto"/>
                      <w:szCs w:val="21"/>
                    </w:rPr>
                    <w:t>2类标准</w:t>
                  </w:r>
                </w:p>
              </w:tc>
              <w:tc>
                <w:tcPr>
                  <w:tcW w:w="838" w:type="pct"/>
                  <w:vAlign w:val="center"/>
                </w:tcPr>
                <w:p>
                  <w:pPr>
                    <w:jc w:val="center"/>
                    <w:rPr>
                      <w:color w:val="auto"/>
                      <w:szCs w:val="21"/>
                    </w:rPr>
                  </w:pPr>
                  <w:r>
                    <w:rPr>
                      <w:bCs/>
                      <w:color w:val="auto"/>
                      <w:szCs w:val="21"/>
                    </w:rPr>
                    <w:t>≤</w:t>
                  </w:r>
                  <w:r>
                    <w:rPr>
                      <w:color w:val="auto"/>
                      <w:szCs w:val="21"/>
                    </w:rPr>
                    <w:t>60</w:t>
                  </w:r>
                </w:p>
              </w:tc>
              <w:tc>
                <w:tcPr>
                  <w:tcW w:w="838" w:type="pct"/>
                  <w:vAlign w:val="center"/>
                </w:tcPr>
                <w:p>
                  <w:pPr>
                    <w:jc w:val="center"/>
                    <w:rPr>
                      <w:color w:val="auto"/>
                      <w:szCs w:val="21"/>
                    </w:rPr>
                  </w:pPr>
                  <w:r>
                    <w:rPr>
                      <w:bCs/>
                      <w:color w:val="auto"/>
                      <w:szCs w:val="21"/>
                    </w:rPr>
                    <w:t>≤</w:t>
                  </w:r>
                  <w:r>
                    <w:rPr>
                      <w:color w:val="auto"/>
                      <w:szCs w:val="21"/>
                    </w:rPr>
                    <w:t>50</w:t>
                  </w:r>
                </w:p>
              </w:tc>
            </w:tr>
          </w:tbl>
          <w:p>
            <w:pPr>
              <w:spacing w:before="120" w:beforeLines="50" w:line="360" w:lineRule="auto"/>
              <w:ind w:firstLine="422" w:firstLineChars="200"/>
              <w:jc w:val="left"/>
              <w:rPr>
                <w:rFonts w:hint="default" w:eastAsia="宋体"/>
                <w:b/>
                <w:color w:val="auto"/>
                <w:szCs w:val="21"/>
                <w:lang w:val="en-US" w:eastAsia="zh-CN"/>
              </w:rPr>
            </w:pPr>
            <w:r>
              <w:rPr>
                <w:rFonts w:hint="eastAsia"/>
                <w:b/>
                <w:color w:val="auto"/>
                <w:szCs w:val="21"/>
              </w:rPr>
              <w:t>4、</w:t>
            </w:r>
            <w:r>
              <w:rPr>
                <w:b/>
                <w:color w:val="auto"/>
                <w:szCs w:val="21"/>
              </w:rPr>
              <w:t>固体废物</w:t>
            </w:r>
            <w:r>
              <w:rPr>
                <w:rFonts w:hint="eastAsia"/>
                <w:b/>
                <w:color w:val="auto"/>
                <w:szCs w:val="21"/>
                <w:lang w:val="en-US" w:eastAsia="zh-CN"/>
              </w:rPr>
              <w:t>执行标准</w:t>
            </w:r>
          </w:p>
          <w:p>
            <w:pPr>
              <w:adjustRightInd w:val="0"/>
              <w:snapToGrid w:val="0"/>
              <w:spacing w:line="360" w:lineRule="auto"/>
              <w:ind w:firstLine="420" w:firstLineChars="200"/>
              <w:rPr>
                <w:rFonts w:ascii="宋体" w:hAnsi="宋体" w:cs="宋体"/>
                <w:color w:val="auto"/>
                <w:kern w:val="0"/>
                <w:szCs w:val="21"/>
              </w:rPr>
            </w:pPr>
            <w:r>
              <w:rPr>
                <w:color w:val="auto"/>
                <w:szCs w:val="21"/>
              </w:rPr>
              <w:t>项目一般工业固体废物的临时贮存和管理参照执行《一般工业固体废物贮存和填埋污染控制标准》(GB 18599-2020)中的相关规定。</w:t>
            </w:r>
            <w:r>
              <w:rPr>
                <w:rFonts w:hint="eastAsia"/>
                <w:color w:val="auto"/>
                <w:szCs w:val="21"/>
                <w:lang w:val="en-US" w:eastAsia="zh-CN"/>
              </w:rPr>
              <w:t>危险废物执行</w:t>
            </w:r>
            <w:r>
              <w:rPr>
                <w:color w:val="auto"/>
                <w:szCs w:val="21"/>
              </w:rPr>
              <w:t>《危险废物贮存污染控制标准》（GB18597-2001）及其2013修改单（环境保护部公告2013年第36号令）、《国家危险废物名录》（2021年版）。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34" w:hRule="atLeast"/>
          <w:jc w:val="center"/>
        </w:trPr>
        <w:tc>
          <w:tcPr>
            <w:tcW w:w="800" w:type="dxa"/>
            <w:vAlign w:val="center"/>
          </w:tcPr>
          <w:p>
            <w:pPr>
              <w:adjustRightInd w:val="0"/>
              <w:snapToGrid w:val="0"/>
              <w:jc w:val="center"/>
              <w:rPr>
                <w:rFonts w:ascii="宋体" w:hAnsi="宋体" w:cs="宋体"/>
                <w:color w:val="auto"/>
                <w:kern w:val="0"/>
                <w:szCs w:val="21"/>
              </w:rPr>
            </w:pPr>
            <w:r>
              <w:rPr>
                <w:rFonts w:hint="eastAsia" w:ascii="宋体" w:hAnsi="宋体" w:cs="宋体"/>
                <w:color w:val="auto"/>
                <w:kern w:val="0"/>
                <w:szCs w:val="21"/>
              </w:rPr>
              <w:t>总量</w:t>
            </w:r>
          </w:p>
          <w:p>
            <w:pPr>
              <w:adjustRightInd w:val="0"/>
              <w:snapToGrid w:val="0"/>
              <w:jc w:val="center"/>
              <w:rPr>
                <w:rFonts w:ascii="宋体" w:hAnsi="宋体" w:cs="宋体"/>
                <w:color w:val="auto"/>
                <w:kern w:val="0"/>
                <w:szCs w:val="21"/>
              </w:rPr>
            </w:pPr>
            <w:r>
              <w:rPr>
                <w:rFonts w:hint="eastAsia" w:ascii="宋体" w:hAnsi="宋体" w:cs="宋体"/>
                <w:color w:val="auto"/>
                <w:kern w:val="0"/>
                <w:szCs w:val="21"/>
              </w:rPr>
              <w:t>控制</w:t>
            </w:r>
          </w:p>
          <w:p>
            <w:pPr>
              <w:adjustRightInd w:val="0"/>
              <w:snapToGrid w:val="0"/>
              <w:jc w:val="center"/>
              <w:rPr>
                <w:rFonts w:ascii="宋体" w:hAnsi="宋体" w:cs="宋体"/>
                <w:color w:val="auto"/>
                <w:kern w:val="0"/>
                <w:szCs w:val="21"/>
              </w:rPr>
            </w:pPr>
            <w:r>
              <w:rPr>
                <w:rFonts w:hint="eastAsia" w:ascii="宋体" w:hAnsi="宋体" w:cs="宋体"/>
                <w:color w:val="auto"/>
                <w:kern w:val="0"/>
                <w:szCs w:val="21"/>
              </w:rPr>
              <w:t>指标</w:t>
            </w:r>
          </w:p>
        </w:tc>
        <w:tc>
          <w:tcPr>
            <w:tcW w:w="8214" w:type="dxa"/>
            <w:vAlign w:val="center"/>
          </w:tcPr>
          <w:p>
            <w:pPr>
              <w:adjustRightInd w:val="0"/>
              <w:snapToGrid w:val="0"/>
              <w:spacing w:line="360" w:lineRule="auto"/>
              <w:ind w:firstLine="420" w:firstLineChars="200"/>
              <w:rPr>
                <w:color w:val="auto"/>
                <w:kern w:val="0"/>
                <w:szCs w:val="21"/>
              </w:rPr>
            </w:pPr>
            <w:r>
              <w:rPr>
                <w:color w:val="auto"/>
                <w:kern w:val="0"/>
                <w:szCs w:val="21"/>
              </w:rPr>
              <w:t>项目生活污水纳入博罗县园洲镇第五生活污水处理厂处理，COD</w:t>
            </w:r>
            <w:r>
              <w:rPr>
                <w:color w:val="auto"/>
                <w:kern w:val="0"/>
                <w:szCs w:val="21"/>
                <w:vertAlign w:val="subscript"/>
              </w:rPr>
              <w:t>Cr</w:t>
            </w:r>
            <w:r>
              <w:rPr>
                <w:color w:val="auto"/>
                <w:kern w:val="0"/>
                <w:szCs w:val="21"/>
              </w:rPr>
              <w:t>和NH</w:t>
            </w:r>
            <w:r>
              <w:rPr>
                <w:color w:val="auto"/>
                <w:kern w:val="0"/>
                <w:szCs w:val="21"/>
                <w:vertAlign w:val="subscript"/>
              </w:rPr>
              <w:t>3</w:t>
            </w:r>
            <w:r>
              <w:rPr>
                <w:color w:val="auto"/>
                <w:kern w:val="0"/>
                <w:szCs w:val="21"/>
              </w:rPr>
              <w:t>-N总量指标</w:t>
            </w:r>
            <w:r>
              <w:rPr>
                <w:rFonts w:hint="eastAsia"/>
                <w:color w:val="auto"/>
                <w:kern w:val="0"/>
                <w:szCs w:val="21"/>
              </w:rPr>
              <w:t>纳入</w:t>
            </w:r>
            <w:r>
              <w:rPr>
                <w:color w:val="auto"/>
                <w:kern w:val="0"/>
                <w:szCs w:val="21"/>
              </w:rPr>
              <w:t>博罗县园洲镇第五生活污水处理厂分配总量指标，不另行分配。项目建议污染物总量控制指标如下：</w:t>
            </w:r>
          </w:p>
          <w:p>
            <w:pPr>
              <w:adjustRightInd w:val="0"/>
              <w:snapToGrid w:val="0"/>
              <w:spacing w:line="360" w:lineRule="auto"/>
              <w:ind w:left="322"/>
              <w:jc w:val="center"/>
              <w:rPr>
                <w:rFonts w:ascii="Times New Roman" w:hAnsi="Times New Roman" w:eastAsia="宋体" w:cs="Times New Roman"/>
                <w:b/>
                <w:color w:val="auto"/>
              </w:rPr>
            </w:pPr>
            <w:r>
              <w:rPr>
                <w:rFonts w:ascii="Times New Roman" w:hAnsi="Times New Roman" w:eastAsia="宋体" w:cs="Times New Roman"/>
                <w:b/>
                <w:color w:val="auto"/>
              </w:rPr>
              <w:t>表</w:t>
            </w:r>
            <w:r>
              <w:rPr>
                <w:rFonts w:hint="eastAsia" w:ascii="Times New Roman" w:hAnsi="Times New Roman" w:eastAsia="宋体" w:cs="Times New Roman"/>
                <w:b/>
                <w:color w:val="auto"/>
              </w:rPr>
              <w:t>3-9</w:t>
            </w:r>
            <w:r>
              <w:rPr>
                <w:rFonts w:ascii="Times New Roman" w:hAnsi="Times New Roman" w:eastAsia="宋体" w:cs="Times New Roman"/>
                <w:b/>
                <w:color w:val="auto"/>
              </w:rPr>
              <w:t xml:space="preserve"> 项目污染物总量控制指标建议表</w:t>
            </w:r>
          </w:p>
          <w:tbl>
            <w:tblPr>
              <w:tblStyle w:val="35"/>
              <w:tblW w:w="4987" w:type="pct"/>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687"/>
              <w:gridCol w:w="1430"/>
              <w:gridCol w:w="1094"/>
              <w:gridCol w:w="1521"/>
              <w:gridCol w:w="1115"/>
              <w:gridCol w:w="2397"/>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417" w:type="pct"/>
                  <w:tcBorders>
                    <w:tl2br w:val="nil"/>
                    <w:tr2bl w:val="nil"/>
                  </w:tcBorders>
                  <w:vAlign w:val="center"/>
                </w:tcPr>
                <w:p>
                  <w:pPr>
                    <w:snapToGrid w:val="0"/>
                    <w:jc w:val="center"/>
                    <w:outlineLvl w:val="1"/>
                    <w:rPr>
                      <w:b/>
                      <w:color w:val="auto"/>
                      <w:szCs w:val="21"/>
                    </w:rPr>
                  </w:pPr>
                  <w:r>
                    <w:rPr>
                      <w:rFonts w:hint="eastAsia"/>
                      <w:b/>
                      <w:color w:val="auto"/>
                      <w:szCs w:val="21"/>
                    </w:rPr>
                    <w:t>类别</w:t>
                  </w:r>
                </w:p>
              </w:tc>
              <w:tc>
                <w:tcPr>
                  <w:tcW w:w="867" w:type="pct"/>
                  <w:tcBorders>
                    <w:tl2br w:val="nil"/>
                    <w:tr2bl w:val="nil"/>
                  </w:tcBorders>
                  <w:vAlign w:val="center"/>
                </w:tcPr>
                <w:p>
                  <w:pPr>
                    <w:snapToGrid w:val="0"/>
                    <w:jc w:val="center"/>
                    <w:outlineLvl w:val="1"/>
                    <w:rPr>
                      <w:rFonts w:hint="eastAsia" w:eastAsia="宋体"/>
                      <w:b/>
                      <w:color w:val="auto"/>
                      <w:szCs w:val="21"/>
                      <w:lang w:val="en-US" w:eastAsia="zh-CN"/>
                    </w:rPr>
                  </w:pPr>
                  <w:r>
                    <w:rPr>
                      <w:rFonts w:hint="eastAsia"/>
                      <w:b/>
                      <w:color w:val="auto"/>
                      <w:szCs w:val="21"/>
                    </w:rPr>
                    <w:t>污染物</w:t>
                  </w:r>
                  <w:r>
                    <w:rPr>
                      <w:rFonts w:hint="eastAsia"/>
                      <w:b/>
                      <w:color w:val="auto"/>
                      <w:szCs w:val="21"/>
                      <w:lang w:val="en-US" w:eastAsia="zh-CN"/>
                    </w:rPr>
                    <w:t>名称</w:t>
                  </w:r>
                </w:p>
              </w:tc>
              <w:tc>
                <w:tcPr>
                  <w:tcW w:w="663" w:type="pct"/>
                  <w:tcBorders>
                    <w:tl2br w:val="nil"/>
                    <w:tr2bl w:val="nil"/>
                  </w:tcBorders>
                  <w:vAlign w:val="center"/>
                </w:tcPr>
                <w:p>
                  <w:pPr>
                    <w:snapToGrid w:val="0"/>
                    <w:jc w:val="center"/>
                    <w:outlineLvl w:val="1"/>
                    <w:rPr>
                      <w:rFonts w:hint="eastAsia" w:eastAsia="宋体"/>
                      <w:b/>
                      <w:color w:val="auto"/>
                      <w:szCs w:val="21"/>
                      <w:lang w:val="en-US" w:eastAsia="zh-CN"/>
                    </w:rPr>
                  </w:pPr>
                  <w:r>
                    <w:rPr>
                      <w:rFonts w:hint="eastAsia"/>
                      <w:b/>
                      <w:color w:val="auto"/>
                      <w:szCs w:val="21"/>
                      <w:lang w:val="en-US" w:eastAsia="zh-CN"/>
                    </w:rPr>
                    <w:t>排放形式</w:t>
                  </w:r>
                </w:p>
              </w:tc>
              <w:tc>
                <w:tcPr>
                  <w:tcW w:w="922" w:type="pct"/>
                  <w:tcBorders>
                    <w:tl2br w:val="nil"/>
                    <w:tr2bl w:val="nil"/>
                  </w:tcBorders>
                  <w:vAlign w:val="center"/>
                </w:tcPr>
                <w:p>
                  <w:pPr>
                    <w:snapToGrid w:val="0"/>
                    <w:jc w:val="center"/>
                    <w:outlineLvl w:val="1"/>
                    <w:rPr>
                      <w:rFonts w:hint="eastAsia"/>
                      <w:b/>
                      <w:color w:val="auto"/>
                      <w:szCs w:val="21"/>
                    </w:rPr>
                  </w:pPr>
                  <w:r>
                    <w:rPr>
                      <w:rFonts w:hint="eastAsia"/>
                      <w:b/>
                      <w:color w:val="auto"/>
                      <w:szCs w:val="21"/>
                    </w:rPr>
                    <w:t>达</w:t>
                  </w:r>
                  <w:r>
                    <w:rPr>
                      <w:b/>
                      <w:color w:val="auto"/>
                      <w:szCs w:val="21"/>
                    </w:rPr>
                    <w:t>标</w:t>
                  </w:r>
                  <w:r>
                    <w:rPr>
                      <w:rFonts w:hint="eastAsia"/>
                      <w:b/>
                      <w:color w:val="auto"/>
                      <w:szCs w:val="21"/>
                    </w:rPr>
                    <w:t>排</w:t>
                  </w:r>
                  <w:r>
                    <w:rPr>
                      <w:b/>
                      <w:color w:val="auto"/>
                      <w:szCs w:val="21"/>
                    </w:rPr>
                    <w:t>放浓度</w:t>
                  </w:r>
                </w:p>
              </w:tc>
              <w:tc>
                <w:tcPr>
                  <w:tcW w:w="676" w:type="pct"/>
                  <w:tcBorders>
                    <w:tl2br w:val="nil"/>
                    <w:tr2bl w:val="nil"/>
                  </w:tcBorders>
                  <w:vAlign w:val="center"/>
                </w:tcPr>
                <w:p>
                  <w:pPr>
                    <w:snapToGrid w:val="0"/>
                    <w:jc w:val="center"/>
                    <w:outlineLvl w:val="1"/>
                    <w:rPr>
                      <w:b/>
                      <w:color w:val="auto"/>
                      <w:szCs w:val="21"/>
                    </w:rPr>
                  </w:pPr>
                  <w:r>
                    <w:rPr>
                      <w:b/>
                      <w:color w:val="auto"/>
                      <w:szCs w:val="21"/>
                    </w:rPr>
                    <w:t>排放量</w:t>
                  </w:r>
                </w:p>
              </w:tc>
              <w:tc>
                <w:tcPr>
                  <w:tcW w:w="1453" w:type="pct"/>
                  <w:tcBorders>
                    <w:tl2br w:val="nil"/>
                    <w:tr2bl w:val="nil"/>
                  </w:tcBorders>
                  <w:vAlign w:val="center"/>
                </w:tcPr>
                <w:p>
                  <w:pPr>
                    <w:snapToGrid w:val="0"/>
                    <w:jc w:val="center"/>
                    <w:outlineLvl w:val="1"/>
                    <w:rPr>
                      <w:rFonts w:hint="eastAsia" w:eastAsia="宋体"/>
                      <w:b/>
                      <w:color w:val="auto"/>
                      <w:szCs w:val="21"/>
                      <w:lang w:val="en-US" w:eastAsia="zh-CN"/>
                    </w:rPr>
                  </w:pPr>
                  <w:r>
                    <w:rPr>
                      <w:b/>
                      <w:color w:val="auto"/>
                      <w:szCs w:val="21"/>
                    </w:rPr>
                    <w:t>总量</w:t>
                  </w:r>
                  <w:r>
                    <w:rPr>
                      <w:rFonts w:hint="eastAsia"/>
                      <w:b/>
                      <w:color w:val="auto"/>
                      <w:szCs w:val="21"/>
                      <w:lang w:val="en-US" w:eastAsia="zh-CN"/>
                    </w:rPr>
                    <w:t>建议</w:t>
                  </w:r>
                  <w:r>
                    <w:rPr>
                      <w:b/>
                      <w:color w:val="auto"/>
                      <w:szCs w:val="21"/>
                    </w:rPr>
                    <w:t>控制</w:t>
                  </w:r>
                  <w:r>
                    <w:rPr>
                      <w:rFonts w:hint="eastAsia"/>
                      <w:b/>
                      <w:color w:val="auto"/>
                      <w:szCs w:val="21"/>
                      <w:lang w:val="en-US" w:eastAsia="zh-CN"/>
                    </w:rPr>
                    <w:t>指标</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417" w:type="pct"/>
                  <w:vMerge w:val="restart"/>
                  <w:tcBorders>
                    <w:tl2br w:val="nil"/>
                    <w:tr2bl w:val="nil"/>
                  </w:tcBorders>
                  <w:vAlign w:val="center"/>
                </w:tcPr>
                <w:p>
                  <w:pPr>
                    <w:snapToGrid w:val="0"/>
                    <w:jc w:val="center"/>
                    <w:outlineLvl w:val="1"/>
                    <w:rPr>
                      <w:bCs/>
                      <w:color w:val="auto"/>
                      <w:szCs w:val="21"/>
                    </w:rPr>
                  </w:pPr>
                  <w:r>
                    <w:rPr>
                      <w:bCs/>
                      <w:color w:val="auto"/>
                      <w:szCs w:val="21"/>
                    </w:rPr>
                    <w:t>生活污水</w:t>
                  </w:r>
                </w:p>
              </w:tc>
              <w:tc>
                <w:tcPr>
                  <w:tcW w:w="867" w:type="pct"/>
                  <w:tcBorders>
                    <w:tl2br w:val="nil"/>
                    <w:tr2bl w:val="nil"/>
                  </w:tcBorders>
                  <w:vAlign w:val="center"/>
                </w:tcPr>
                <w:p>
                  <w:pPr>
                    <w:snapToGrid w:val="0"/>
                    <w:jc w:val="center"/>
                    <w:outlineLvl w:val="1"/>
                    <w:rPr>
                      <w:bCs/>
                      <w:color w:val="auto"/>
                      <w:szCs w:val="21"/>
                    </w:rPr>
                  </w:pPr>
                  <w:r>
                    <w:rPr>
                      <w:bCs/>
                      <w:color w:val="auto"/>
                      <w:szCs w:val="21"/>
                    </w:rPr>
                    <w:t>废水量</w:t>
                  </w:r>
                </w:p>
              </w:tc>
              <w:tc>
                <w:tcPr>
                  <w:tcW w:w="663" w:type="pct"/>
                  <w:tcBorders>
                    <w:tl2br w:val="nil"/>
                    <w:tr2bl w:val="nil"/>
                  </w:tcBorders>
                  <w:vAlign w:val="center"/>
                </w:tcPr>
                <w:p>
                  <w:pPr>
                    <w:snapToGrid w:val="0"/>
                    <w:jc w:val="center"/>
                    <w:outlineLvl w:val="1"/>
                    <w:rPr>
                      <w:bCs/>
                      <w:color w:val="auto"/>
                      <w:szCs w:val="21"/>
                    </w:rPr>
                  </w:pPr>
                  <w:r>
                    <w:rPr>
                      <w:rFonts w:hint="eastAsia"/>
                      <w:bCs/>
                      <w:color w:val="auto"/>
                      <w:szCs w:val="21"/>
                    </w:rPr>
                    <w:t>/</w:t>
                  </w:r>
                </w:p>
              </w:tc>
              <w:tc>
                <w:tcPr>
                  <w:tcW w:w="922" w:type="pct"/>
                  <w:tcBorders>
                    <w:tl2br w:val="nil"/>
                    <w:tr2bl w:val="nil"/>
                  </w:tcBorders>
                  <w:vAlign w:val="center"/>
                </w:tcPr>
                <w:p>
                  <w:pPr>
                    <w:snapToGrid w:val="0"/>
                    <w:jc w:val="center"/>
                    <w:outlineLvl w:val="1"/>
                    <w:rPr>
                      <w:rFonts w:hint="eastAsia" w:ascii="Times New Roman" w:hAnsi="Times New Roman" w:eastAsia="宋体" w:cs="Times New Roman"/>
                      <w:bCs/>
                      <w:color w:val="auto"/>
                      <w:kern w:val="2"/>
                      <w:sz w:val="21"/>
                      <w:szCs w:val="21"/>
                      <w:lang w:val="en-US" w:eastAsia="zh-CN" w:bidi="ar-SA"/>
                    </w:rPr>
                  </w:pPr>
                  <w:r>
                    <w:rPr>
                      <w:rFonts w:hint="eastAsia"/>
                      <w:bCs/>
                      <w:color w:val="auto"/>
                      <w:szCs w:val="21"/>
                    </w:rPr>
                    <w:t>/</w:t>
                  </w:r>
                </w:p>
              </w:tc>
              <w:tc>
                <w:tcPr>
                  <w:tcW w:w="676" w:type="pct"/>
                  <w:tcBorders>
                    <w:tl2br w:val="nil"/>
                    <w:tr2bl w:val="nil"/>
                  </w:tcBorders>
                  <w:vAlign w:val="center"/>
                </w:tcPr>
                <w:p>
                  <w:pPr>
                    <w:snapToGrid w:val="0"/>
                    <w:jc w:val="center"/>
                    <w:outlineLvl w:val="1"/>
                    <w:rPr>
                      <w:bCs/>
                      <w:color w:val="auto"/>
                      <w:szCs w:val="21"/>
                    </w:rPr>
                  </w:pPr>
                  <w:r>
                    <w:rPr>
                      <w:rFonts w:hint="eastAsia"/>
                      <w:bCs/>
                      <w:color w:val="auto"/>
                      <w:szCs w:val="21"/>
                    </w:rPr>
                    <w:t>80</w:t>
                  </w:r>
                  <w:r>
                    <w:rPr>
                      <w:bCs/>
                      <w:color w:val="auto"/>
                      <w:szCs w:val="21"/>
                    </w:rPr>
                    <w:t>t/a</w:t>
                  </w:r>
                </w:p>
              </w:tc>
              <w:tc>
                <w:tcPr>
                  <w:tcW w:w="1453" w:type="pct"/>
                  <w:vMerge w:val="restart"/>
                  <w:tcBorders>
                    <w:tl2br w:val="nil"/>
                    <w:tr2bl w:val="nil"/>
                  </w:tcBorders>
                  <w:vAlign w:val="center"/>
                </w:tcPr>
                <w:p>
                  <w:pPr>
                    <w:snapToGrid w:val="0"/>
                    <w:jc w:val="center"/>
                    <w:outlineLvl w:val="1"/>
                    <w:rPr>
                      <w:rFonts w:hint="default" w:eastAsia="宋体"/>
                      <w:bCs/>
                      <w:color w:val="auto"/>
                      <w:szCs w:val="21"/>
                      <w:lang w:val="en-US" w:eastAsia="zh-CN"/>
                    </w:rPr>
                  </w:pPr>
                  <w:r>
                    <w:rPr>
                      <w:bCs/>
                      <w:color w:val="auto"/>
                      <w:szCs w:val="21"/>
                    </w:rPr>
                    <w:t>纳入</w:t>
                  </w:r>
                  <w:r>
                    <w:rPr>
                      <w:rFonts w:hint="eastAsia"/>
                      <w:bCs/>
                      <w:color w:val="auto"/>
                      <w:szCs w:val="21"/>
                    </w:rPr>
                    <w:t>博罗县园洲镇第五生活污水处理厂</w:t>
                  </w:r>
                  <w:r>
                    <w:rPr>
                      <w:bCs/>
                      <w:color w:val="auto"/>
                      <w:szCs w:val="21"/>
                    </w:rPr>
                    <w:t>的总量中进行控制</w:t>
                  </w:r>
                  <w:r>
                    <w:rPr>
                      <w:rFonts w:hint="eastAsia"/>
                      <w:bCs/>
                      <w:color w:val="auto"/>
                      <w:szCs w:val="21"/>
                      <w:lang w:eastAsia="zh-CN"/>
                    </w:rPr>
                    <w:t>，</w:t>
                  </w:r>
                  <w:r>
                    <w:rPr>
                      <w:rFonts w:hint="eastAsia"/>
                      <w:bCs/>
                      <w:color w:val="auto"/>
                      <w:szCs w:val="21"/>
                      <w:lang w:val="en-US" w:eastAsia="zh-CN"/>
                    </w:rPr>
                    <w:t>项目不另外调配总量</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417" w:type="pct"/>
                  <w:vMerge w:val="continue"/>
                  <w:tcBorders>
                    <w:tl2br w:val="nil"/>
                    <w:tr2bl w:val="nil"/>
                  </w:tcBorders>
                  <w:vAlign w:val="center"/>
                </w:tcPr>
                <w:p>
                  <w:pPr>
                    <w:snapToGrid w:val="0"/>
                    <w:jc w:val="center"/>
                    <w:outlineLvl w:val="1"/>
                    <w:rPr>
                      <w:bCs/>
                      <w:color w:val="auto"/>
                      <w:szCs w:val="21"/>
                    </w:rPr>
                  </w:pPr>
                </w:p>
              </w:tc>
              <w:tc>
                <w:tcPr>
                  <w:tcW w:w="867" w:type="pct"/>
                  <w:tcBorders>
                    <w:tl2br w:val="nil"/>
                    <w:tr2bl w:val="nil"/>
                  </w:tcBorders>
                  <w:vAlign w:val="center"/>
                </w:tcPr>
                <w:p>
                  <w:pPr>
                    <w:snapToGrid w:val="0"/>
                    <w:jc w:val="center"/>
                    <w:outlineLvl w:val="1"/>
                    <w:rPr>
                      <w:bCs/>
                      <w:color w:val="auto"/>
                      <w:szCs w:val="21"/>
                    </w:rPr>
                  </w:pPr>
                  <w:r>
                    <w:rPr>
                      <w:bCs/>
                      <w:color w:val="auto"/>
                      <w:szCs w:val="21"/>
                    </w:rPr>
                    <w:t>COD</w:t>
                  </w:r>
                  <w:r>
                    <w:rPr>
                      <w:bCs/>
                      <w:color w:val="auto"/>
                      <w:szCs w:val="21"/>
                      <w:vertAlign w:val="subscript"/>
                    </w:rPr>
                    <w:t>Cr</w:t>
                  </w:r>
                </w:p>
              </w:tc>
              <w:tc>
                <w:tcPr>
                  <w:tcW w:w="663" w:type="pct"/>
                  <w:tcBorders>
                    <w:tl2br w:val="nil"/>
                    <w:tr2bl w:val="nil"/>
                  </w:tcBorders>
                  <w:vAlign w:val="center"/>
                </w:tcPr>
                <w:p>
                  <w:pPr>
                    <w:snapToGrid w:val="0"/>
                    <w:jc w:val="center"/>
                    <w:outlineLvl w:val="1"/>
                    <w:rPr>
                      <w:bCs/>
                      <w:color w:val="auto"/>
                      <w:szCs w:val="21"/>
                    </w:rPr>
                  </w:pPr>
                  <w:r>
                    <w:rPr>
                      <w:rFonts w:hint="eastAsia"/>
                      <w:bCs/>
                      <w:color w:val="auto"/>
                      <w:szCs w:val="21"/>
                    </w:rPr>
                    <w:t>/</w:t>
                  </w:r>
                </w:p>
              </w:tc>
              <w:tc>
                <w:tcPr>
                  <w:tcW w:w="922" w:type="pct"/>
                  <w:tcBorders>
                    <w:tl2br w:val="nil"/>
                    <w:tr2bl w:val="nil"/>
                  </w:tcBorders>
                  <w:vAlign w:val="center"/>
                </w:tcPr>
                <w:p>
                  <w:pPr>
                    <w:snapToGrid w:val="0"/>
                    <w:jc w:val="center"/>
                    <w:outlineLvl w:val="1"/>
                    <w:rPr>
                      <w:rFonts w:hint="eastAsia" w:ascii="Times New Roman" w:hAnsi="Times New Roman" w:eastAsia="宋体" w:cs="Times New Roman"/>
                      <w:bCs/>
                      <w:color w:val="auto"/>
                      <w:kern w:val="2"/>
                      <w:sz w:val="21"/>
                      <w:szCs w:val="21"/>
                      <w:lang w:val="en-US" w:eastAsia="zh-CN" w:bidi="ar-SA"/>
                    </w:rPr>
                  </w:pPr>
                  <w:r>
                    <w:rPr>
                      <w:rFonts w:hint="eastAsia"/>
                      <w:bCs/>
                      <w:color w:val="auto"/>
                      <w:szCs w:val="21"/>
                    </w:rPr>
                    <w:t>40</w:t>
                  </w:r>
                  <w:r>
                    <w:rPr>
                      <w:bCs/>
                      <w:color w:val="auto"/>
                      <w:szCs w:val="21"/>
                    </w:rPr>
                    <w:t>mg/L</w:t>
                  </w:r>
                </w:p>
              </w:tc>
              <w:tc>
                <w:tcPr>
                  <w:tcW w:w="676" w:type="pct"/>
                  <w:tcBorders>
                    <w:tl2br w:val="nil"/>
                    <w:tr2bl w:val="nil"/>
                  </w:tcBorders>
                  <w:vAlign w:val="center"/>
                </w:tcPr>
                <w:p>
                  <w:pPr>
                    <w:snapToGrid w:val="0"/>
                    <w:jc w:val="center"/>
                    <w:outlineLvl w:val="1"/>
                    <w:rPr>
                      <w:bCs/>
                      <w:color w:val="auto"/>
                      <w:szCs w:val="21"/>
                    </w:rPr>
                  </w:pPr>
                  <w:r>
                    <w:rPr>
                      <w:rFonts w:hint="eastAsia"/>
                      <w:bCs/>
                      <w:color w:val="auto"/>
                      <w:szCs w:val="21"/>
                    </w:rPr>
                    <w:t>0.0032</w:t>
                  </w:r>
                  <w:r>
                    <w:rPr>
                      <w:bCs/>
                      <w:color w:val="auto"/>
                      <w:szCs w:val="21"/>
                    </w:rPr>
                    <w:t>t/a</w:t>
                  </w:r>
                </w:p>
              </w:tc>
              <w:tc>
                <w:tcPr>
                  <w:tcW w:w="1453" w:type="pct"/>
                  <w:vMerge w:val="continue"/>
                  <w:tcBorders>
                    <w:tl2br w:val="nil"/>
                    <w:tr2bl w:val="nil"/>
                  </w:tcBorders>
                  <w:vAlign w:val="center"/>
                </w:tcPr>
                <w:p>
                  <w:pPr>
                    <w:snapToGrid w:val="0"/>
                    <w:jc w:val="center"/>
                    <w:outlineLvl w:val="1"/>
                    <w:rPr>
                      <w:bCs/>
                      <w:color w:val="auto"/>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417" w:type="pct"/>
                  <w:vMerge w:val="continue"/>
                  <w:tcBorders>
                    <w:tl2br w:val="nil"/>
                    <w:tr2bl w:val="nil"/>
                  </w:tcBorders>
                  <w:vAlign w:val="center"/>
                </w:tcPr>
                <w:p>
                  <w:pPr>
                    <w:snapToGrid w:val="0"/>
                    <w:jc w:val="center"/>
                    <w:outlineLvl w:val="1"/>
                    <w:rPr>
                      <w:bCs/>
                      <w:color w:val="auto"/>
                      <w:szCs w:val="21"/>
                    </w:rPr>
                  </w:pPr>
                </w:p>
              </w:tc>
              <w:tc>
                <w:tcPr>
                  <w:tcW w:w="867" w:type="pct"/>
                  <w:tcBorders>
                    <w:tl2br w:val="nil"/>
                    <w:tr2bl w:val="nil"/>
                  </w:tcBorders>
                  <w:vAlign w:val="center"/>
                </w:tcPr>
                <w:p>
                  <w:pPr>
                    <w:snapToGrid w:val="0"/>
                    <w:jc w:val="center"/>
                    <w:outlineLvl w:val="1"/>
                    <w:rPr>
                      <w:bCs/>
                      <w:color w:val="auto"/>
                      <w:szCs w:val="21"/>
                    </w:rPr>
                  </w:pPr>
                  <w:r>
                    <w:rPr>
                      <w:bCs/>
                      <w:color w:val="auto"/>
                      <w:szCs w:val="21"/>
                    </w:rPr>
                    <w:t>NH</w:t>
                  </w:r>
                  <w:r>
                    <w:rPr>
                      <w:bCs/>
                      <w:color w:val="auto"/>
                      <w:szCs w:val="21"/>
                      <w:vertAlign w:val="subscript"/>
                    </w:rPr>
                    <w:t>3</w:t>
                  </w:r>
                  <w:r>
                    <w:rPr>
                      <w:bCs/>
                      <w:color w:val="auto"/>
                      <w:szCs w:val="21"/>
                    </w:rPr>
                    <w:t>-N</w:t>
                  </w:r>
                </w:p>
              </w:tc>
              <w:tc>
                <w:tcPr>
                  <w:tcW w:w="663" w:type="pct"/>
                  <w:tcBorders>
                    <w:tl2br w:val="nil"/>
                    <w:tr2bl w:val="nil"/>
                  </w:tcBorders>
                  <w:vAlign w:val="center"/>
                </w:tcPr>
                <w:p>
                  <w:pPr>
                    <w:snapToGrid w:val="0"/>
                    <w:jc w:val="center"/>
                    <w:outlineLvl w:val="1"/>
                    <w:rPr>
                      <w:bCs/>
                      <w:color w:val="auto"/>
                      <w:szCs w:val="21"/>
                    </w:rPr>
                  </w:pPr>
                  <w:r>
                    <w:rPr>
                      <w:rFonts w:hint="eastAsia"/>
                      <w:bCs/>
                      <w:color w:val="auto"/>
                      <w:szCs w:val="21"/>
                    </w:rPr>
                    <w:t>/</w:t>
                  </w:r>
                </w:p>
              </w:tc>
              <w:tc>
                <w:tcPr>
                  <w:tcW w:w="922" w:type="pct"/>
                  <w:tcBorders>
                    <w:tl2br w:val="nil"/>
                    <w:tr2bl w:val="nil"/>
                  </w:tcBorders>
                  <w:vAlign w:val="center"/>
                </w:tcPr>
                <w:p>
                  <w:pPr>
                    <w:snapToGrid w:val="0"/>
                    <w:jc w:val="center"/>
                    <w:outlineLvl w:val="1"/>
                    <w:rPr>
                      <w:rFonts w:hint="eastAsia" w:ascii="Times New Roman" w:hAnsi="Times New Roman" w:eastAsia="宋体" w:cs="Times New Roman"/>
                      <w:bCs/>
                      <w:color w:val="auto"/>
                      <w:kern w:val="2"/>
                      <w:sz w:val="21"/>
                      <w:szCs w:val="21"/>
                      <w:lang w:val="en-US" w:eastAsia="zh-CN" w:bidi="ar-SA"/>
                    </w:rPr>
                  </w:pPr>
                  <w:r>
                    <w:rPr>
                      <w:rFonts w:hint="eastAsia"/>
                      <w:bCs/>
                      <w:color w:val="auto"/>
                      <w:szCs w:val="21"/>
                    </w:rPr>
                    <w:t>2</w:t>
                  </w:r>
                  <w:r>
                    <w:rPr>
                      <w:bCs/>
                      <w:color w:val="auto"/>
                      <w:szCs w:val="21"/>
                    </w:rPr>
                    <w:t>mg/L</w:t>
                  </w:r>
                </w:p>
              </w:tc>
              <w:tc>
                <w:tcPr>
                  <w:tcW w:w="676" w:type="pct"/>
                  <w:tcBorders>
                    <w:tl2br w:val="nil"/>
                    <w:tr2bl w:val="nil"/>
                  </w:tcBorders>
                  <w:vAlign w:val="center"/>
                </w:tcPr>
                <w:p>
                  <w:pPr>
                    <w:snapToGrid w:val="0"/>
                    <w:jc w:val="center"/>
                    <w:outlineLvl w:val="1"/>
                    <w:rPr>
                      <w:bCs/>
                      <w:color w:val="auto"/>
                      <w:szCs w:val="21"/>
                    </w:rPr>
                  </w:pPr>
                  <w:r>
                    <w:rPr>
                      <w:bCs/>
                      <w:color w:val="auto"/>
                      <w:szCs w:val="21"/>
                    </w:rPr>
                    <w:t>0.00</w:t>
                  </w:r>
                  <w:r>
                    <w:rPr>
                      <w:rFonts w:hint="eastAsia"/>
                      <w:bCs/>
                      <w:color w:val="auto"/>
                      <w:szCs w:val="21"/>
                    </w:rPr>
                    <w:t>08</w:t>
                  </w:r>
                  <w:r>
                    <w:rPr>
                      <w:bCs/>
                      <w:color w:val="auto"/>
                      <w:szCs w:val="21"/>
                    </w:rPr>
                    <w:t>t/a</w:t>
                  </w:r>
                </w:p>
              </w:tc>
              <w:tc>
                <w:tcPr>
                  <w:tcW w:w="1453" w:type="pct"/>
                  <w:vMerge w:val="continue"/>
                  <w:tcBorders>
                    <w:tl2br w:val="nil"/>
                    <w:tr2bl w:val="nil"/>
                  </w:tcBorders>
                  <w:vAlign w:val="center"/>
                </w:tcPr>
                <w:p>
                  <w:pPr>
                    <w:snapToGrid w:val="0"/>
                    <w:jc w:val="center"/>
                    <w:outlineLvl w:val="1"/>
                    <w:rPr>
                      <w:color w:val="auto"/>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417" w:type="pct"/>
                  <w:vMerge w:val="restart"/>
                  <w:tcBorders>
                    <w:tl2br w:val="nil"/>
                    <w:tr2bl w:val="nil"/>
                  </w:tcBorders>
                  <w:vAlign w:val="center"/>
                </w:tcPr>
                <w:p>
                  <w:pPr>
                    <w:snapToGrid w:val="0"/>
                    <w:jc w:val="center"/>
                    <w:outlineLvl w:val="1"/>
                    <w:rPr>
                      <w:bCs/>
                      <w:color w:val="auto"/>
                      <w:szCs w:val="21"/>
                    </w:rPr>
                  </w:pPr>
                  <w:r>
                    <w:rPr>
                      <w:bCs/>
                      <w:color w:val="auto"/>
                      <w:szCs w:val="21"/>
                    </w:rPr>
                    <w:t>废气</w:t>
                  </w:r>
                </w:p>
              </w:tc>
              <w:tc>
                <w:tcPr>
                  <w:tcW w:w="867" w:type="pct"/>
                  <w:tcBorders>
                    <w:tl2br w:val="nil"/>
                    <w:tr2bl w:val="nil"/>
                  </w:tcBorders>
                  <w:vAlign w:val="center"/>
                </w:tcPr>
                <w:p>
                  <w:pPr>
                    <w:snapToGrid w:val="0"/>
                    <w:jc w:val="center"/>
                    <w:outlineLvl w:val="1"/>
                    <w:rPr>
                      <w:bCs/>
                      <w:color w:val="auto"/>
                      <w:szCs w:val="21"/>
                      <w:highlight w:val="none"/>
                    </w:rPr>
                  </w:pPr>
                  <w:r>
                    <w:rPr>
                      <w:bCs/>
                      <w:color w:val="auto"/>
                      <w:szCs w:val="21"/>
                      <w:highlight w:val="none"/>
                    </w:rPr>
                    <w:t>颗粒物</w:t>
                  </w:r>
                </w:p>
              </w:tc>
              <w:tc>
                <w:tcPr>
                  <w:tcW w:w="663" w:type="pct"/>
                  <w:tcBorders>
                    <w:tl2br w:val="nil"/>
                    <w:tr2bl w:val="nil"/>
                  </w:tcBorders>
                  <w:vAlign w:val="center"/>
                </w:tcPr>
                <w:p>
                  <w:pPr>
                    <w:snapToGrid w:val="0"/>
                    <w:jc w:val="center"/>
                    <w:outlineLvl w:val="1"/>
                    <w:rPr>
                      <w:bCs/>
                      <w:color w:val="auto"/>
                      <w:szCs w:val="21"/>
                      <w:highlight w:val="none"/>
                    </w:rPr>
                  </w:pPr>
                  <w:r>
                    <w:rPr>
                      <w:rFonts w:hint="eastAsia"/>
                      <w:bCs/>
                      <w:color w:val="auto"/>
                      <w:szCs w:val="21"/>
                      <w:highlight w:val="none"/>
                    </w:rPr>
                    <w:t>有</w:t>
                  </w:r>
                  <w:r>
                    <w:rPr>
                      <w:bCs/>
                      <w:color w:val="auto"/>
                      <w:szCs w:val="21"/>
                      <w:highlight w:val="none"/>
                    </w:rPr>
                    <w:t>组织</w:t>
                  </w:r>
                </w:p>
              </w:tc>
              <w:tc>
                <w:tcPr>
                  <w:tcW w:w="922" w:type="pct"/>
                  <w:tcBorders>
                    <w:tl2br w:val="nil"/>
                    <w:tr2bl w:val="nil"/>
                  </w:tcBorders>
                  <w:vAlign w:val="center"/>
                </w:tcPr>
                <w:p>
                  <w:pPr>
                    <w:snapToGrid w:val="0"/>
                    <w:jc w:val="center"/>
                    <w:outlineLvl w:val="1"/>
                    <w:rPr>
                      <w:bCs/>
                      <w:color w:val="auto"/>
                      <w:szCs w:val="21"/>
                      <w:highlight w:val="none"/>
                    </w:rPr>
                  </w:pPr>
                  <w:r>
                    <w:rPr>
                      <w:rFonts w:hint="eastAsia"/>
                      <w:bCs/>
                      <w:color w:val="auto"/>
                      <w:szCs w:val="21"/>
                      <w:highlight w:val="none"/>
                    </w:rPr>
                    <w:t>20</w:t>
                  </w:r>
                  <w:r>
                    <w:rPr>
                      <w:bCs/>
                      <w:color w:val="auto"/>
                      <w:szCs w:val="21"/>
                      <w:highlight w:val="none"/>
                    </w:rPr>
                    <w:t>mg/m</w:t>
                  </w:r>
                  <w:r>
                    <w:rPr>
                      <w:bCs/>
                      <w:color w:val="auto"/>
                      <w:szCs w:val="21"/>
                      <w:highlight w:val="none"/>
                      <w:vertAlign w:val="superscript"/>
                    </w:rPr>
                    <w:t>3</w:t>
                  </w:r>
                </w:p>
              </w:tc>
              <w:tc>
                <w:tcPr>
                  <w:tcW w:w="676" w:type="pct"/>
                  <w:tcBorders>
                    <w:tl2br w:val="nil"/>
                    <w:tr2bl w:val="nil"/>
                  </w:tcBorders>
                  <w:vAlign w:val="center"/>
                </w:tcPr>
                <w:p>
                  <w:pPr>
                    <w:snapToGrid w:val="0"/>
                    <w:jc w:val="center"/>
                    <w:outlineLvl w:val="1"/>
                    <w:rPr>
                      <w:rFonts w:hint="default" w:eastAsia="宋体"/>
                      <w:bCs/>
                      <w:color w:val="auto"/>
                      <w:szCs w:val="21"/>
                      <w:lang w:val="en-US" w:eastAsia="zh-CN"/>
                    </w:rPr>
                  </w:pPr>
                  <w:r>
                    <w:rPr>
                      <w:rFonts w:hint="eastAsia"/>
                      <w:bCs/>
                      <w:color w:val="auto"/>
                      <w:szCs w:val="21"/>
                      <w:lang w:val="en-US" w:eastAsia="zh-CN"/>
                    </w:rPr>
                    <w:t>0.0129</w:t>
                  </w:r>
                </w:p>
              </w:tc>
              <w:tc>
                <w:tcPr>
                  <w:tcW w:w="1453" w:type="pct"/>
                  <w:tcBorders>
                    <w:tl2br w:val="nil"/>
                    <w:tr2bl w:val="nil"/>
                  </w:tcBorders>
                  <w:vAlign w:val="center"/>
                </w:tcPr>
                <w:p>
                  <w:pPr>
                    <w:snapToGrid w:val="0"/>
                    <w:jc w:val="center"/>
                    <w:outlineLvl w:val="1"/>
                    <w:rPr>
                      <w:rFonts w:hint="default" w:eastAsia="宋体"/>
                      <w:bCs/>
                      <w:color w:val="auto"/>
                      <w:szCs w:val="21"/>
                      <w:lang w:val="en-US" w:eastAsia="zh-CN"/>
                    </w:rPr>
                  </w:pPr>
                  <w:r>
                    <w:rPr>
                      <w:rFonts w:hint="eastAsia"/>
                      <w:bCs/>
                      <w:color w:val="auto"/>
                      <w:szCs w:val="21"/>
                      <w:lang w:val="en-US" w:eastAsia="zh-CN"/>
                    </w:rPr>
                    <w:t>无需申请总量</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57" w:hRule="atLeast"/>
              </w:trPr>
              <w:tc>
                <w:tcPr>
                  <w:tcW w:w="417" w:type="pct"/>
                  <w:vMerge w:val="continue"/>
                  <w:tcBorders>
                    <w:tl2br w:val="nil"/>
                    <w:tr2bl w:val="nil"/>
                  </w:tcBorders>
                  <w:vAlign w:val="center"/>
                </w:tcPr>
                <w:p>
                  <w:pPr>
                    <w:snapToGrid w:val="0"/>
                    <w:jc w:val="center"/>
                    <w:outlineLvl w:val="1"/>
                    <w:rPr>
                      <w:bCs/>
                      <w:color w:val="auto"/>
                      <w:szCs w:val="21"/>
                    </w:rPr>
                  </w:pPr>
                </w:p>
              </w:tc>
              <w:tc>
                <w:tcPr>
                  <w:tcW w:w="867" w:type="pct"/>
                  <w:vMerge w:val="restart"/>
                  <w:tcBorders>
                    <w:tl2br w:val="nil"/>
                    <w:tr2bl w:val="nil"/>
                  </w:tcBorders>
                  <w:vAlign w:val="center"/>
                </w:tcPr>
                <w:p>
                  <w:pPr>
                    <w:snapToGrid w:val="0"/>
                    <w:jc w:val="center"/>
                    <w:outlineLvl w:val="1"/>
                    <w:rPr>
                      <w:bCs/>
                      <w:color w:val="auto"/>
                      <w:szCs w:val="21"/>
                      <w:highlight w:val="none"/>
                    </w:rPr>
                  </w:pPr>
                  <w:r>
                    <w:rPr>
                      <w:rFonts w:hint="eastAsia"/>
                      <w:bCs/>
                      <w:color w:val="auto"/>
                      <w:szCs w:val="21"/>
                      <w:highlight w:val="none"/>
                    </w:rPr>
                    <w:t>非甲烷总烃</w:t>
                  </w:r>
                </w:p>
              </w:tc>
              <w:tc>
                <w:tcPr>
                  <w:tcW w:w="663" w:type="pct"/>
                  <w:tcBorders>
                    <w:tl2br w:val="nil"/>
                    <w:tr2bl w:val="nil"/>
                  </w:tcBorders>
                  <w:vAlign w:val="center"/>
                </w:tcPr>
                <w:p>
                  <w:pPr>
                    <w:snapToGrid w:val="0"/>
                    <w:jc w:val="center"/>
                    <w:outlineLvl w:val="1"/>
                    <w:rPr>
                      <w:bCs/>
                      <w:color w:val="auto"/>
                      <w:szCs w:val="21"/>
                      <w:highlight w:val="none"/>
                    </w:rPr>
                  </w:pPr>
                  <w:r>
                    <w:rPr>
                      <w:rFonts w:hint="eastAsia"/>
                      <w:bCs/>
                      <w:color w:val="auto"/>
                      <w:szCs w:val="21"/>
                      <w:highlight w:val="none"/>
                    </w:rPr>
                    <w:t>有</w:t>
                  </w:r>
                  <w:r>
                    <w:rPr>
                      <w:bCs/>
                      <w:color w:val="auto"/>
                      <w:szCs w:val="21"/>
                      <w:highlight w:val="none"/>
                    </w:rPr>
                    <w:t>组织</w:t>
                  </w:r>
                </w:p>
              </w:tc>
              <w:tc>
                <w:tcPr>
                  <w:tcW w:w="922" w:type="pct"/>
                  <w:tcBorders>
                    <w:tl2br w:val="nil"/>
                    <w:tr2bl w:val="nil"/>
                  </w:tcBorders>
                  <w:vAlign w:val="center"/>
                </w:tcPr>
                <w:p>
                  <w:pPr>
                    <w:snapToGrid w:val="0"/>
                    <w:jc w:val="center"/>
                    <w:outlineLvl w:val="1"/>
                    <w:rPr>
                      <w:bCs/>
                      <w:color w:val="auto"/>
                      <w:szCs w:val="21"/>
                      <w:highlight w:val="none"/>
                    </w:rPr>
                  </w:pPr>
                  <w:r>
                    <w:rPr>
                      <w:rFonts w:hint="eastAsia"/>
                      <w:bCs/>
                      <w:color w:val="auto"/>
                      <w:szCs w:val="21"/>
                      <w:highlight w:val="none"/>
                    </w:rPr>
                    <w:t>6</w:t>
                  </w:r>
                  <w:r>
                    <w:rPr>
                      <w:bCs/>
                      <w:color w:val="auto"/>
                      <w:szCs w:val="21"/>
                      <w:highlight w:val="none"/>
                    </w:rPr>
                    <w:t>0mg/m</w:t>
                  </w:r>
                  <w:r>
                    <w:rPr>
                      <w:bCs/>
                      <w:color w:val="auto"/>
                      <w:szCs w:val="21"/>
                      <w:highlight w:val="none"/>
                      <w:vertAlign w:val="superscript"/>
                    </w:rPr>
                    <w:t>3</w:t>
                  </w:r>
                </w:p>
              </w:tc>
              <w:tc>
                <w:tcPr>
                  <w:tcW w:w="676" w:type="pct"/>
                  <w:tcBorders>
                    <w:tl2br w:val="nil"/>
                    <w:tr2bl w:val="nil"/>
                  </w:tcBorders>
                  <w:vAlign w:val="center"/>
                </w:tcPr>
                <w:p>
                  <w:pPr>
                    <w:snapToGrid w:val="0"/>
                    <w:jc w:val="center"/>
                    <w:outlineLvl w:val="1"/>
                    <w:rPr>
                      <w:rFonts w:hint="default" w:eastAsia="宋体"/>
                      <w:bCs/>
                      <w:color w:val="auto"/>
                      <w:szCs w:val="21"/>
                      <w:lang w:val="en-US" w:eastAsia="zh-CN"/>
                    </w:rPr>
                  </w:pPr>
                  <w:r>
                    <w:rPr>
                      <w:rFonts w:hint="eastAsia"/>
                      <w:bCs/>
                      <w:color w:val="auto"/>
                      <w:szCs w:val="21"/>
                      <w:lang w:val="en-US" w:eastAsia="zh-CN"/>
                    </w:rPr>
                    <w:t>0.0189</w:t>
                  </w:r>
                </w:p>
              </w:tc>
              <w:tc>
                <w:tcPr>
                  <w:tcW w:w="1453" w:type="pct"/>
                  <w:vMerge w:val="restart"/>
                  <w:tcBorders>
                    <w:tl2br w:val="nil"/>
                    <w:tr2bl w:val="nil"/>
                  </w:tcBorders>
                  <w:vAlign w:val="center"/>
                </w:tcPr>
                <w:p>
                  <w:pPr>
                    <w:snapToGrid w:val="0"/>
                    <w:jc w:val="center"/>
                    <w:outlineLvl w:val="1"/>
                    <w:rPr>
                      <w:rFonts w:hint="default"/>
                      <w:bCs/>
                      <w:color w:val="auto"/>
                      <w:szCs w:val="21"/>
                      <w:lang w:val="en-US"/>
                    </w:rPr>
                  </w:pPr>
                  <w:r>
                    <w:rPr>
                      <w:rFonts w:hint="eastAsia"/>
                      <w:bCs/>
                      <w:color w:val="auto"/>
                      <w:szCs w:val="21"/>
                      <w:lang w:val="en-US" w:eastAsia="zh-CN"/>
                    </w:rPr>
                    <w:t>0.0378t/a</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7" w:type="pct"/>
                  <w:vMerge w:val="continue"/>
                  <w:tcBorders>
                    <w:tl2br w:val="nil"/>
                    <w:tr2bl w:val="nil"/>
                  </w:tcBorders>
                  <w:vAlign w:val="center"/>
                </w:tcPr>
                <w:p>
                  <w:pPr>
                    <w:snapToGrid w:val="0"/>
                    <w:jc w:val="center"/>
                    <w:outlineLvl w:val="1"/>
                    <w:rPr>
                      <w:bCs/>
                      <w:color w:val="auto"/>
                      <w:szCs w:val="21"/>
                    </w:rPr>
                  </w:pPr>
                </w:p>
              </w:tc>
              <w:tc>
                <w:tcPr>
                  <w:tcW w:w="867" w:type="pct"/>
                  <w:vMerge w:val="continue"/>
                  <w:tcBorders>
                    <w:tl2br w:val="nil"/>
                    <w:tr2bl w:val="nil"/>
                  </w:tcBorders>
                  <w:vAlign w:val="center"/>
                </w:tcPr>
                <w:p>
                  <w:pPr>
                    <w:snapToGrid w:val="0"/>
                    <w:jc w:val="center"/>
                    <w:outlineLvl w:val="1"/>
                    <w:rPr>
                      <w:bCs/>
                      <w:color w:val="auto"/>
                      <w:szCs w:val="21"/>
                      <w:highlight w:val="none"/>
                    </w:rPr>
                  </w:pPr>
                </w:p>
              </w:tc>
              <w:tc>
                <w:tcPr>
                  <w:tcW w:w="663" w:type="pct"/>
                  <w:tcBorders>
                    <w:tl2br w:val="nil"/>
                    <w:tr2bl w:val="nil"/>
                  </w:tcBorders>
                  <w:vAlign w:val="center"/>
                </w:tcPr>
                <w:p>
                  <w:pPr>
                    <w:snapToGrid w:val="0"/>
                    <w:jc w:val="center"/>
                    <w:outlineLvl w:val="1"/>
                    <w:rPr>
                      <w:bCs/>
                      <w:color w:val="auto"/>
                      <w:szCs w:val="21"/>
                      <w:highlight w:val="none"/>
                    </w:rPr>
                  </w:pPr>
                  <w:r>
                    <w:rPr>
                      <w:rFonts w:hint="eastAsia"/>
                      <w:bCs/>
                      <w:color w:val="auto"/>
                      <w:szCs w:val="21"/>
                      <w:highlight w:val="none"/>
                    </w:rPr>
                    <w:t>无</w:t>
                  </w:r>
                  <w:r>
                    <w:rPr>
                      <w:bCs/>
                      <w:color w:val="auto"/>
                      <w:szCs w:val="21"/>
                      <w:highlight w:val="none"/>
                    </w:rPr>
                    <w:t>组织</w:t>
                  </w:r>
                </w:p>
              </w:tc>
              <w:tc>
                <w:tcPr>
                  <w:tcW w:w="922" w:type="pct"/>
                  <w:tcBorders>
                    <w:tl2br w:val="nil"/>
                    <w:tr2bl w:val="nil"/>
                  </w:tcBorders>
                  <w:vAlign w:val="center"/>
                </w:tcPr>
                <w:p>
                  <w:pPr>
                    <w:snapToGrid w:val="0"/>
                    <w:jc w:val="center"/>
                    <w:outlineLvl w:val="1"/>
                    <w:rPr>
                      <w:bCs/>
                      <w:color w:val="auto"/>
                      <w:szCs w:val="21"/>
                      <w:highlight w:val="none"/>
                    </w:rPr>
                  </w:pPr>
                  <w:r>
                    <w:rPr>
                      <w:bCs/>
                      <w:color w:val="auto"/>
                      <w:szCs w:val="21"/>
                      <w:highlight w:val="none"/>
                    </w:rPr>
                    <w:t>4.0mg/m</w:t>
                  </w:r>
                  <w:r>
                    <w:rPr>
                      <w:bCs/>
                      <w:color w:val="auto"/>
                      <w:szCs w:val="21"/>
                      <w:highlight w:val="none"/>
                      <w:vertAlign w:val="superscript"/>
                    </w:rPr>
                    <w:t>3</w:t>
                  </w:r>
                </w:p>
              </w:tc>
              <w:tc>
                <w:tcPr>
                  <w:tcW w:w="676" w:type="pct"/>
                  <w:tcBorders>
                    <w:tl2br w:val="nil"/>
                    <w:tr2bl w:val="nil"/>
                  </w:tcBorders>
                  <w:vAlign w:val="center"/>
                </w:tcPr>
                <w:p>
                  <w:pPr>
                    <w:snapToGrid w:val="0"/>
                    <w:jc w:val="center"/>
                    <w:outlineLvl w:val="1"/>
                    <w:rPr>
                      <w:rFonts w:hint="default" w:eastAsia="宋体"/>
                      <w:bCs/>
                      <w:color w:val="auto"/>
                      <w:szCs w:val="21"/>
                      <w:lang w:val="en-US" w:eastAsia="zh-CN"/>
                    </w:rPr>
                  </w:pPr>
                  <w:r>
                    <w:rPr>
                      <w:rFonts w:hint="eastAsia"/>
                      <w:bCs/>
                      <w:color w:val="auto"/>
                      <w:szCs w:val="21"/>
                      <w:lang w:val="en-US" w:eastAsia="zh-CN"/>
                    </w:rPr>
                    <w:t>0.0189</w:t>
                  </w:r>
                </w:p>
              </w:tc>
              <w:tc>
                <w:tcPr>
                  <w:tcW w:w="1453" w:type="pct"/>
                  <w:vMerge w:val="continue"/>
                  <w:tcBorders>
                    <w:tl2br w:val="nil"/>
                    <w:tr2bl w:val="nil"/>
                  </w:tcBorders>
                  <w:vAlign w:val="center"/>
                </w:tcPr>
                <w:p>
                  <w:pPr>
                    <w:snapToGrid w:val="0"/>
                    <w:jc w:val="center"/>
                    <w:outlineLvl w:val="1"/>
                    <w:rPr>
                      <w:bCs/>
                      <w:color w:val="auto"/>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57" w:hRule="atLeast"/>
              </w:trPr>
              <w:tc>
                <w:tcPr>
                  <w:tcW w:w="417" w:type="pct"/>
                  <w:vMerge w:val="continue"/>
                  <w:tcBorders>
                    <w:tl2br w:val="nil"/>
                    <w:tr2bl w:val="nil"/>
                  </w:tcBorders>
                  <w:vAlign w:val="center"/>
                </w:tcPr>
                <w:p>
                  <w:pPr>
                    <w:snapToGrid w:val="0"/>
                    <w:jc w:val="center"/>
                    <w:outlineLvl w:val="1"/>
                    <w:rPr>
                      <w:bCs/>
                      <w:color w:val="auto"/>
                      <w:szCs w:val="21"/>
                    </w:rPr>
                  </w:pPr>
                </w:p>
              </w:tc>
              <w:tc>
                <w:tcPr>
                  <w:tcW w:w="867" w:type="pct"/>
                  <w:vMerge w:val="continue"/>
                  <w:tcBorders>
                    <w:tl2br w:val="nil"/>
                    <w:tr2bl w:val="nil"/>
                  </w:tcBorders>
                  <w:vAlign w:val="center"/>
                </w:tcPr>
                <w:p>
                  <w:pPr>
                    <w:snapToGrid w:val="0"/>
                    <w:jc w:val="center"/>
                    <w:outlineLvl w:val="1"/>
                    <w:rPr>
                      <w:bCs/>
                      <w:color w:val="auto"/>
                      <w:szCs w:val="21"/>
                      <w:highlight w:val="none"/>
                    </w:rPr>
                  </w:pPr>
                </w:p>
              </w:tc>
              <w:tc>
                <w:tcPr>
                  <w:tcW w:w="663" w:type="pct"/>
                  <w:tcBorders>
                    <w:tl2br w:val="nil"/>
                    <w:tr2bl w:val="nil"/>
                  </w:tcBorders>
                  <w:vAlign w:val="center"/>
                </w:tcPr>
                <w:p>
                  <w:pPr>
                    <w:snapToGrid w:val="0"/>
                    <w:jc w:val="center"/>
                    <w:outlineLvl w:val="1"/>
                    <w:rPr>
                      <w:rFonts w:hint="eastAsia" w:eastAsia="宋体"/>
                      <w:bCs/>
                      <w:color w:val="auto"/>
                      <w:szCs w:val="21"/>
                      <w:highlight w:val="none"/>
                      <w:lang w:val="en-US" w:eastAsia="zh-CN"/>
                    </w:rPr>
                  </w:pPr>
                  <w:r>
                    <w:rPr>
                      <w:rFonts w:hint="eastAsia"/>
                      <w:bCs/>
                      <w:color w:val="auto"/>
                      <w:szCs w:val="21"/>
                      <w:highlight w:val="none"/>
                      <w:lang w:val="en-US" w:eastAsia="zh-CN"/>
                    </w:rPr>
                    <w:t>合计</w:t>
                  </w:r>
                </w:p>
              </w:tc>
              <w:tc>
                <w:tcPr>
                  <w:tcW w:w="922" w:type="pct"/>
                  <w:tcBorders>
                    <w:tl2br w:val="nil"/>
                    <w:tr2bl w:val="nil"/>
                  </w:tcBorders>
                  <w:vAlign w:val="center"/>
                </w:tcPr>
                <w:p>
                  <w:pPr>
                    <w:snapToGrid w:val="0"/>
                    <w:jc w:val="center"/>
                    <w:outlineLvl w:val="1"/>
                    <w:rPr>
                      <w:rFonts w:hint="eastAsia" w:eastAsia="宋体"/>
                      <w:bCs/>
                      <w:color w:val="auto"/>
                      <w:szCs w:val="21"/>
                      <w:highlight w:val="none"/>
                      <w:lang w:val="en-US" w:eastAsia="zh-CN"/>
                    </w:rPr>
                  </w:pPr>
                  <w:r>
                    <w:rPr>
                      <w:rFonts w:hint="eastAsia"/>
                      <w:bCs/>
                      <w:color w:val="auto"/>
                      <w:szCs w:val="21"/>
                      <w:highlight w:val="none"/>
                      <w:lang w:val="en-US" w:eastAsia="zh-CN"/>
                    </w:rPr>
                    <w:t>/</w:t>
                  </w:r>
                </w:p>
              </w:tc>
              <w:tc>
                <w:tcPr>
                  <w:tcW w:w="676" w:type="pct"/>
                  <w:tcBorders>
                    <w:tl2br w:val="nil"/>
                    <w:tr2bl w:val="nil"/>
                  </w:tcBorders>
                  <w:vAlign w:val="center"/>
                </w:tcPr>
                <w:p>
                  <w:pPr>
                    <w:snapToGrid w:val="0"/>
                    <w:jc w:val="center"/>
                    <w:outlineLvl w:val="1"/>
                    <w:rPr>
                      <w:rFonts w:hint="default" w:eastAsia="宋体"/>
                      <w:bCs/>
                      <w:color w:val="auto"/>
                      <w:szCs w:val="21"/>
                      <w:lang w:val="en-US" w:eastAsia="zh-CN"/>
                    </w:rPr>
                  </w:pPr>
                  <w:r>
                    <w:rPr>
                      <w:rFonts w:hint="eastAsia"/>
                      <w:bCs/>
                      <w:color w:val="auto"/>
                      <w:szCs w:val="21"/>
                      <w:lang w:val="en-US" w:eastAsia="zh-CN"/>
                    </w:rPr>
                    <w:t>0.0378</w:t>
                  </w:r>
                </w:p>
              </w:tc>
              <w:tc>
                <w:tcPr>
                  <w:tcW w:w="1453" w:type="pct"/>
                  <w:vMerge w:val="continue"/>
                  <w:tcBorders>
                    <w:tl2br w:val="nil"/>
                    <w:tr2bl w:val="nil"/>
                  </w:tcBorders>
                  <w:vAlign w:val="center"/>
                </w:tcPr>
                <w:p>
                  <w:pPr>
                    <w:snapToGrid w:val="0"/>
                    <w:jc w:val="center"/>
                    <w:outlineLvl w:val="1"/>
                    <w:rPr>
                      <w:bCs/>
                      <w:color w:val="auto"/>
                      <w:szCs w:val="21"/>
                    </w:rPr>
                  </w:pPr>
                </w:p>
              </w:tc>
            </w:tr>
          </w:tbl>
          <w:p>
            <w:pPr>
              <w:pStyle w:val="94"/>
              <w:widowControl/>
              <w:spacing w:before="120" w:after="120"/>
              <w:ind w:left="0" w:firstLine="0"/>
              <w:rPr>
                <w:rFonts w:ascii="宋体" w:hAnsi="宋体" w:eastAsia="仿宋" w:cs="宋体"/>
                <w:color w:val="auto"/>
                <w:kern w:val="0"/>
                <w:szCs w:val="21"/>
              </w:rPr>
            </w:pPr>
            <w:r>
              <w:rPr>
                <w:rFonts w:hint="eastAsia" w:ascii="Times New Roman" w:hAnsi="Times New Roman" w:eastAsia="宋体" w:cs="Times New Roman"/>
                <w:b w:val="0"/>
                <w:bCs w:val="0"/>
                <w:color w:val="auto"/>
                <w:kern w:val="21"/>
                <w:sz w:val="21"/>
                <w:szCs w:val="21"/>
                <w:highlight w:val="none"/>
                <w:lang w:val="en-US" w:eastAsia="zh-CN" w:bidi="ar-SA"/>
              </w:rPr>
              <w:t>注：非甲烷总烃纳入VOCs总量控制中；项目废气总量指标由惠州市生态环境局博罗分局分配。</w:t>
            </w:r>
          </w:p>
        </w:tc>
      </w:tr>
    </w:tbl>
    <w:p>
      <w:pPr>
        <w:pStyle w:val="33"/>
        <w:jc w:val="center"/>
        <w:outlineLvl w:val="0"/>
        <w:rPr>
          <w:rFonts w:ascii="黑体" w:hAnsi="黑体" w:eastAsia="黑体"/>
          <w:snapToGrid w:val="0"/>
          <w:color w:val="auto"/>
          <w:sz w:val="36"/>
          <w:szCs w:val="36"/>
        </w:rPr>
        <w:sectPr>
          <w:pgSz w:w="11907" w:h="16840"/>
          <w:pgMar w:top="1701" w:right="1531" w:bottom="2127" w:left="1531" w:header="851" w:footer="851" w:gutter="0"/>
          <w:cols w:space="720" w:num="1"/>
          <w:docGrid w:linePitch="312" w:charSpace="0"/>
        </w:sectPr>
      </w:pPr>
    </w:p>
    <w:p>
      <w:pPr>
        <w:pStyle w:val="33"/>
        <w:jc w:val="center"/>
        <w:outlineLvl w:val="0"/>
        <w:rPr>
          <w:rFonts w:cs="宋体"/>
          <w:snapToGrid w:val="0"/>
          <w:color w:val="auto"/>
          <w:sz w:val="30"/>
          <w:szCs w:val="30"/>
        </w:rPr>
      </w:pPr>
      <w:r>
        <w:rPr>
          <w:rFonts w:hint="eastAsia" w:cs="宋体"/>
          <w:snapToGrid w:val="0"/>
          <w:color w:val="auto"/>
          <w:sz w:val="30"/>
          <w:szCs w:val="30"/>
        </w:rPr>
        <w:t>四、主要环境影响和保护措施</w:t>
      </w:r>
    </w:p>
    <w:tbl>
      <w:tblPr>
        <w:tblStyle w:val="35"/>
        <w:tblW w:w="515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66"/>
        <w:gridCol w:w="946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1961" w:hRule="atLeast"/>
          <w:jc w:val="center"/>
        </w:trPr>
        <w:tc>
          <w:tcPr>
            <w:tcW w:w="268" w:type="pct"/>
            <w:tcMar>
              <w:left w:w="28" w:type="dxa"/>
              <w:right w:w="28" w:type="dxa"/>
            </w:tcMar>
            <w:vAlign w:val="center"/>
          </w:tcPr>
          <w:p>
            <w:pPr>
              <w:pStyle w:val="33"/>
              <w:adjustRightInd w:val="0"/>
              <w:snapToGrid w:val="0"/>
              <w:spacing w:before="0" w:beforeAutospacing="0" w:after="0" w:afterAutospacing="0"/>
              <w:jc w:val="center"/>
              <w:rPr>
                <w:rFonts w:cs="宋体"/>
                <w:color w:val="auto"/>
                <w:kern w:val="2"/>
                <w:sz w:val="21"/>
                <w:szCs w:val="21"/>
                <w:highlight w:val="none"/>
              </w:rPr>
            </w:pPr>
            <w:r>
              <w:rPr>
                <w:rFonts w:hint="eastAsia" w:cs="宋体"/>
                <w:color w:val="auto"/>
                <w:kern w:val="2"/>
                <w:sz w:val="21"/>
                <w:szCs w:val="21"/>
                <w:highlight w:val="none"/>
              </w:rPr>
              <w:t>施工</w:t>
            </w:r>
          </w:p>
          <w:p>
            <w:pPr>
              <w:pStyle w:val="33"/>
              <w:adjustRightInd w:val="0"/>
              <w:snapToGrid w:val="0"/>
              <w:spacing w:before="0" w:beforeAutospacing="0" w:after="0" w:afterAutospacing="0"/>
              <w:jc w:val="center"/>
              <w:rPr>
                <w:rFonts w:cs="宋体"/>
                <w:color w:val="auto"/>
                <w:kern w:val="2"/>
                <w:sz w:val="21"/>
                <w:szCs w:val="21"/>
                <w:highlight w:val="none"/>
              </w:rPr>
            </w:pPr>
            <w:r>
              <w:rPr>
                <w:rFonts w:hint="eastAsia" w:cs="宋体"/>
                <w:color w:val="auto"/>
                <w:kern w:val="2"/>
                <w:sz w:val="21"/>
                <w:szCs w:val="21"/>
                <w:highlight w:val="none"/>
              </w:rPr>
              <w:t>期环</w:t>
            </w:r>
          </w:p>
          <w:p>
            <w:pPr>
              <w:pStyle w:val="33"/>
              <w:adjustRightInd w:val="0"/>
              <w:snapToGrid w:val="0"/>
              <w:spacing w:before="0" w:beforeAutospacing="0" w:after="0" w:afterAutospacing="0"/>
              <w:jc w:val="center"/>
              <w:rPr>
                <w:rFonts w:cs="宋体"/>
                <w:color w:val="auto"/>
                <w:kern w:val="2"/>
                <w:sz w:val="21"/>
                <w:szCs w:val="21"/>
                <w:highlight w:val="none"/>
              </w:rPr>
            </w:pPr>
            <w:r>
              <w:rPr>
                <w:rFonts w:hint="eastAsia" w:cs="宋体"/>
                <w:color w:val="auto"/>
                <w:kern w:val="2"/>
                <w:sz w:val="21"/>
                <w:szCs w:val="21"/>
                <w:highlight w:val="none"/>
              </w:rPr>
              <w:t>境保</w:t>
            </w:r>
          </w:p>
          <w:p>
            <w:pPr>
              <w:pStyle w:val="33"/>
              <w:adjustRightInd w:val="0"/>
              <w:snapToGrid w:val="0"/>
              <w:spacing w:before="0" w:beforeAutospacing="0" w:after="0" w:afterAutospacing="0"/>
              <w:jc w:val="center"/>
              <w:rPr>
                <w:rFonts w:cs="宋体"/>
                <w:color w:val="auto"/>
                <w:kern w:val="2"/>
                <w:sz w:val="21"/>
                <w:szCs w:val="21"/>
                <w:highlight w:val="none"/>
              </w:rPr>
            </w:pPr>
            <w:r>
              <w:rPr>
                <w:rFonts w:hint="eastAsia" w:cs="宋体"/>
                <w:color w:val="auto"/>
                <w:kern w:val="2"/>
                <w:sz w:val="21"/>
                <w:szCs w:val="21"/>
                <w:highlight w:val="none"/>
              </w:rPr>
              <w:t>护措</w:t>
            </w:r>
          </w:p>
          <w:p>
            <w:pPr>
              <w:pStyle w:val="33"/>
              <w:adjustRightInd w:val="0"/>
              <w:snapToGrid w:val="0"/>
              <w:spacing w:before="0" w:beforeAutospacing="0" w:after="0" w:afterAutospacing="0"/>
              <w:jc w:val="center"/>
              <w:rPr>
                <w:rFonts w:cs="宋体"/>
                <w:bCs/>
                <w:color w:val="auto"/>
                <w:kern w:val="2"/>
                <w:sz w:val="21"/>
                <w:szCs w:val="21"/>
                <w:highlight w:val="none"/>
              </w:rPr>
            </w:pPr>
            <w:r>
              <w:rPr>
                <w:rFonts w:hint="eastAsia" w:cs="宋体"/>
                <w:color w:val="auto"/>
                <w:kern w:val="2"/>
                <w:sz w:val="21"/>
                <w:szCs w:val="21"/>
                <w:highlight w:val="none"/>
              </w:rPr>
              <w:t>施</w:t>
            </w:r>
          </w:p>
        </w:tc>
        <w:tc>
          <w:tcPr>
            <w:tcW w:w="4731" w:type="pct"/>
            <w:vAlign w:val="center"/>
          </w:tcPr>
          <w:p>
            <w:pPr>
              <w:adjustRightInd w:val="0"/>
              <w:snapToGrid w:val="0"/>
              <w:jc w:val="center"/>
              <w:rPr>
                <w:rFonts w:ascii="宋体" w:hAnsi="宋体" w:cs="宋体"/>
                <w:bCs/>
                <w:color w:val="auto"/>
                <w:spacing w:val="-10"/>
                <w:szCs w:val="21"/>
                <w:highlight w:val="none"/>
              </w:rPr>
            </w:pPr>
            <w:r>
              <w:rPr>
                <w:color w:val="auto"/>
                <w:sz w:val="21"/>
                <w:szCs w:val="21"/>
                <w:highlight w:val="none"/>
              </w:rPr>
              <w:t>项目租用现有厂房进行生产，</w:t>
            </w:r>
            <w:r>
              <w:rPr>
                <w:rFonts w:hint="eastAsia"/>
                <w:color w:val="auto"/>
                <w:sz w:val="21"/>
                <w:szCs w:val="21"/>
                <w:highlight w:val="none"/>
              </w:rPr>
              <w:t>施工期仅涉及设备安装，环境影响较小。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662" w:hRule="atLeast"/>
          <w:jc w:val="center"/>
        </w:trPr>
        <w:tc>
          <w:tcPr>
            <w:tcW w:w="268" w:type="pct"/>
            <w:tcMar>
              <w:left w:w="28" w:type="dxa"/>
              <w:right w:w="28" w:type="dxa"/>
            </w:tcMar>
            <w:vAlign w:val="center"/>
          </w:tcPr>
          <w:p>
            <w:pPr>
              <w:adjustRightInd w:val="0"/>
              <w:snapToGrid w:val="0"/>
              <w:jc w:val="center"/>
              <w:rPr>
                <w:rFonts w:ascii="宋体" w:hAnsi="宋体" w:cs="宋体"/>
                <w:bCs/>
                <w:color w:val="auto"/>
                <w:szCs w:val="21"/>
                <w:highlight w:val="none"/>
              </w:rPr>
            </w:pPr>
            <w:r>
              <w:rPr>
                <w:rFonts w:hint="eastAsia" w:ascii="宋体" w:hAnsi="宋体" w:cs="宋体"/>
                <w:bCs/>
                <w:color w:val="auto"/>
                <w:szCs w:val="21"/>
                <w:highlight w:val="none"/>
              </w:rPr>
              <w:t>运营</w:t>
            </w:r>
          </w:p>
          <w:p>
            <w:pPr>
              <w:adjustRightInd w:val="0"/>
              <w:snapToGrid w:val="0"/>
              <w:jc w:val="center"/>
              <w:rPr>
                <w:rFonts w:ascii="宋体" w:hAnsi="宋体" w:cs="宋体"/>
                <w:bCs/>
                <w:color w:val="auto"/>
                <w:szCs w:val="21"/>
                <w:highlight w:val="none"/>
              </w:rPr>
            </w:pPr>
            <w:r>
              <w:rPr>
                <w:rFonts w:hint="eastAsia" w:ascii="宋体" w:hAnsi="宋体" w:cs="宋体"/>
                <w:bCs/>
                <w:color w:val="auto"/>
                <w:szCs w:val="21"/>
                <w:highlight w:val="none"/>
              </w:rPr>
              <w:t>期环</w:t>
            </w:r>
          </w:p>
          <w:p>
            <w:pPr>
              <w:adjustRightInd w:val="0"/>
              <w:snapToGrid w:val="0"/>
              <w:jc w:val="center"/>
              <w:rPr>
                <w:rFonts w:ascii="宋体" w:hAnsi="宋体" w:cs="宋体"/>
                <w:bCs/>
                <w:color w:val="auto"/>
                <w:szCs w:val="21"/>
                <w:highlight w:val="none"/>
              </w:rPr>
            </w:pPr>
            <w:r>
              <w:rPr>
                <w:rFonts w:hint="eastAsia" w:ascii="宋体" w:hAnsi="宋体" w:cs="宋体"/>
                <w:bCs/>
                <w:color w:val="auto"/>
                <w:szCs w:val="21"/>
                <w:highlight w:val="none"/>
              </w:rPr>
              <w:t>境影</w:t>
            </w:r>
          </w:p>
          <w:p>
            <w:pPr>
              <w:adjustRightInd w:val="0"/>
              <w:snapToGrid w:val="0"/>
              <w:jc w:val="center"/>
              <w:rPr>
                <w:rFonts w:ascii="宋体" w:hAnsi="宋体" w:cs="宋体"/>
                <w:bCs/>
                <w:color w:val="auto"/>
                <w:szCs w:val="21"/>
                <w:highlight w:val="none"/>
              </w:rPr>
            </w:pPr>
            <w:r>
              <w:rPr>
                <w:rFonts w:hint="eastAsia" w:ascii="宋体" w:hAnsi="宋体" w:cs="宋体"/>
                <w:bCs/>
                <w:color w:val="auto"/>
                <w:szCs w:val="21"/>
                <w:highlight w:val="none"/>
              </w:rPr>
              <w:t>响和</w:t>
            </w:r>
          </w:p>
          <w:p>
            <w:pPr>
              <w:adjustRightInd w:val="0"/>
              <w:snapToGrid w:val="0"/>
              <w:jc w:val="center"/>
              <w:rPr>
                <w:rFonts w:ascii="宋体" w:hAnsi="宋体" w:cs="宋体"/>
                <w:bCs/>
                <w:color w:val="auto"/>
                <w:szCs w:val="21"/>
                <w:highlight w:val="none"/>
              </w:rPr>
            </w:pPr>
            <w:r>
              <w:rPr>
                <w:rFonts w:hint="eastAsia" w:ascii="宋体" w:hAnsi="宋体" w:cs="宋体"/>
                <w:bCs/>
                <w:color w:val="auto"/>
                <w:szCs w:val="21"/>
                <w:highlight w:val="none"/>
              </w:rPr>
              <w:t>保护</w:t>
            </w:r>
          </w:p>
          <w:p>
            <w:pPr>
              <w:adjustRightInd w:val="0"/>
              <w:snapToGrid w:val="0"/>
              <w:jc w:val="center"/>
              <w:rPr>
                <w:rFonts w:ascii="宋体" w:hAnsi="宋体" w:cs="宋体"/>
                <w:bCs/>
                <w:color w:val="auto"/>
                <w:szCs w:val="21"/>
                <w:highlight w:val="none"/>
              </w:rPr>
            </w:pPr>
            <w:r>
              <w:rPr>
                <w:rFonts w:hint="eastAsia" w:ascii="宋体" w:hAnsi="宋体" w:cs="宋体"/>
                <w:bCs/>
                <w:color w:val="auto"/>
                <w:szCs w:val="21"/>
                <w:highlight w:val="none"/>
              </w:rPr>
              <w:t>措施</w:t>
            </w:r>
          </w:p>
        </w:tc>
        <w:tc>
          <w:tcPr>
            <w:tcW w:w="4731" w:type="pct"/>
            <w:vAlign w:val="center"/>
          </w:tcPr>
          <w:p>
            <w:pPr>
              <w:spacing w:line="360" w:lineRule="auto"/>
              <w:ind w:firstLine="422" w:firstLineChars="200"/>
              <w:jc w:val="left"/>
              <w:rPr>
                <w:bCs/>
                <w:color w:val="auto"/>
                <w:szCs w:val="21"/>
                <w:highlight w:val="none"/>
              </w:rPr>
            </w:pPr>
            <w:r>
              <w:rPr>
                <w:rFonts w:hint="eastAsia"/>
                <w:b/>
                <w:bCs/>
                <w:color w:val="auto"/>
                <w:szCs w:val="21"/>
                <w:highlight w:val="none"/>
              </w:rPr>
              <w:t>一、废气</w:t>
            </w:r>
          </w:p>
          <w:p>
            <w:pPr>
              <w:spacing w:line="360" w:lineRule="auto"/>
              <w:ind w:firstLine="422" w:firstLineChars="200"/>
              <w:rPr>
                <w:b/>
                <w:bCs/>
                <w:color w:val="auto"/>
                <w:szCs w:val="21"/>
                <w:highlight w:val="none"/>
              </w:rPr>
            </w:pPr>
            <w:r>
              <w:rPr>
                <w:rFonts w:hint="eastAsia"/>
                <w:b/>
                <w:bCs/>
                <w:color w:val="auto"/>
                <w:szCs w:val="21"/>
                <w:highlight w:val="none"/>
              </w:rPr>
              <w:t>1.废气源强</w:t>
            </w:r>
          </w:p>
          <w:p>
            <w:pPr>
              <w:adjustRightInd w:val="0"/>
              <w:snapToGrid w:val="0"/>
              <w:spacing w:line="360" w:lineRule="auto"/>
              <w:ind w:firstLine="420" w:firstLineChars="200"/>
              <w:rPr>
                <w:bCs/>
                <w:color w:val="auto"/>
                <w:szCs w:val="21"/>
                <w:highlight w:val="none"/>
              </w:rPr>
            </w:pPr>
            <w:r>
              <w:rPr>
                <w:bCs/>
                <w:color w:val="auto"/>
                <w:szCs w:val="21"/>
                <w:highlight w:val="none"/>
              </w:rPr>
              <w:t>项目产生的大气污染物主要为</w:t>
            </w:r>
            <w:r>
              <w:rPr>
                <w:rFonts w:hint="eastAsia"/>
                <w:bCs/>
                <w:color w:val="auto"/>
                <w:szCs w:val="21"/>
                <w:highlight w:val="none"/>
              </w:rPr>
              <w:t>塑胶跑道材料生产过程中投料工序产生的粉尘，主要污染因子是颗粒物，混合搅拌工序、脱水工序、试样检验工序和分装工序中产生的有机废气，主要污染因子是非甲烷总烃。详见下表：</w:t>
            </w:r>
          </w:p>
          <w:p>
            <w:pPr>
              <w:pStyle w:val="123"/>
              <w:rPr>
                <w:rFonts w:eastAsia="宋体"/>
                <w:b/>
                <w:bCs/>
                <w:color w:val="auto"/>
                <w:sz w:val="21"/>
                <w:szCs w:val="21"/>
                <w:highlight w:val="none"/>
                <w:lang w:bidi="ar"/>
              </w:rPr>
            </w:pPr>
            <w:r>
              <w:rPr>
                <w:rFonts w:eastAsia="宋体"/>
                <w:b/>
                <w:bCs/>
                <w:color w:val="auto"/>
                <w:sz w:val="21"/>
                <w:szCs w:val="21"/>
                <w:highlight w:val="none"/>
                <w:lang w:bidi="ar"/>
              </w:rPr>
              <w:t>表4-1 废气产排源强核算一览表</w:t>
            </w:r>
          </w:p>
          <w:tbl>
            <w:tblPr>
              <w:tblStyle w:val="35"/>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427"/>
              <w:gridCol w:w="741"/>
              <w:gridCol w:w="798"/>
              <w:gridCol w:w="899"/>
              <w:gridCol w:w="794"/>
              <w:gridCol w:w="427"/>
              <w:gridCol w:w="427"/>
              <w:gridCol w:w="637"/>
              <w:gridCol w:w="637"/>
              <w:gridCol w:w="427"/>
              <w:gridCol w:w="798"/>
              <w:gridCol w:w="1004"/>
              <w:gridCol w:w="79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0" w:type="auto"/>
                  <w:vMerge w:val="restart"/>
                  <w:tcBorders>
                    <w:top w:val="single" w:color="auto" w:sz="4" w:space="0"/>
                    <w:left w:val="single" w:color="auto" w:sz="0" w:space="0"/>
                  </w:tcBorders>
                  <w:vAlign w:val="center"/>
                </w:tcPr>
                <w:p>
                  <w:pPr>
                    <w:jc w:val="center"/>
                    <w:rPr>
                      <w:rFonts w:hint="default" w:ascii="Times New Roman" w:hAnsi="Times New Roman" w:eastAsia="宋体" w:cs="Times New Roman"/>
                      <w:b/>
                      <w:bCs/>
                      <w:color w:val="auto"/>
                      <w:sz w:val="21"/>
                      <w:szCs w:val="21"/>
                      <w:highlight w:val="none"/>
                    </w:rPr>
                  </w:pPr>
                  <w:bookmarkStart w:id="1" w:name="_Hlk69249661"/>
                  <w:r>
                    <w:rPr>
                      <w:rFonts w:hint="default" w:ascii="Times New Roman" w:hAnsi="Times New Roman" w:eastAsia="宋体" w:cs="Times New Roman"/>
                      <w:b/>
                      <w:bCs/>
                      <w:color w:val="auto"/>
                      <w:sz w:val="21"/>
                      <w:szCs w:val="21"/>
                      <w:highlight w:val="none"/>
                    </w:rPr>
                    <w:t>产排污环节</w:t>
                  </w:r>
                </w:p>
              </w:tc>
              <w:tc>
                <w:tcPr>
                  <w:tcW w:w="0" w:type="auto"/>
                  <w:vMerge w:val="restart"/>
                  <w:tcBorders>
                    <w:top w:val="single" w:color="auto" w:sz="4" w:space="0"/>
                  </w:tcBorders>
                  <w:vAlign w:val="center"/>
                </w:tcPr>
                <w:p>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污染物种类</w:t>
                  </w:r>
                </w:p>
              </w:tc>
              <w:tc>
                <w:tcPr>
                  <w:tcW w:w="0" w:type="auto"/>
                  <w:vMerge w:val="restart"/>
                  <w:tcBorders>
                    <w:top w:val="single" w:color="auto" w:sz="4" w:space="0"/>
                  </w:tcBorders>
                  <w:vAlign w:val="center"/>
                </w:tcPr>
                <w:p>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废气量m</w:t>
                  </w:r>
                  <w:r>
                    <w:rPr>
                      <w:rFonts w:hint="default" w:ascii="Times New Roman" w:hAnsi="Times New Roman" w:eastAsia="宋体" w:cs="Times New Roman"/>
                      <w:b/>
                      <w:bCs/>
                      <w:color w:val="auto"/>
                      <w:sz w:val="21"/>
                      <w:szCs w:val="21"/>
                      <w:highlight w:val="none"/>
                      <w:vertAlign w:val="superscript"/>
                    </w:rPr>
                    <w:t>3</w:t>
                  </w:r>
                  <w:r>
                    <w:rPr>
                      <w:rFonts w:hint="default" w:ascii="Times New Roman" w:hAnsi="Times New Roman" w:eastAsia="宋体" w:cs="Times New Roman"/>
                      <w:b/>
                      <w:bCs/>
                      <w:color w:val="auto"/>
                      <w:sz w:val="21"/>
                      <w:szCs w:val="21"/>
                      <w:highlight w:val="none"/>
                    </w:rPr>
                    <w:t>/h</w:t>
                  </w:r>
                </w:p>
              </w:tc>
              <w:tc>
                <w:tcPr>
                  <w:tcW w:w="0" w:type="auto"/>
                  <w:gridSpan w:val="3"/>
                  <w:tcBorders>
                    <w:top w:val="single" w:color="auto" w:sz="4" w:space="0"/>
                  </w:tcBorders>
                  <w:vAlign w:val="center"/>
                </w:tcPr>
                <w:p>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污染物产生情况</w:t>
                  </w:r>
                </w:p>
              </w:tc>
              <w:tc>
                <w:tcPr>
                  <w:tcW w:w="0" w:type="auto"/>
                  <w:vMerge w:val="restart"/>
                  <w:tcBorders>
                    <w:top w:val="single" w:color="auto" w:sz="4" w:space="0"/>
                  </w:tcBorders>
                  <w:vAlign w:val="center"/>
                </w:tcPr>
                <w:p>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排放形式</w:t>
                  </w:r>
                </w:p>
              </w:tc>
              <w:tc>
                <w:tcPr>
                  <w:tcW w:w="0" w:type="auto"/>
                  <w:gridSpan w:val="4"/>
                  <w:tcBorders>
                    <w:top w:val="single" w:color="auto" w:sz="4" w:space="0"/>
                  </w:tcBorders>
                  <w:vAlign w:val="center"/>
                </w:tcPr>
                <w:p>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主要污染治理设施</w:t>
                  </w:r>
                </w:p>
              </w:tc>
              <w:tc>
                <w:tcPr>
                  <w:tcW w:w="0" w:type="auto"/>
                  <w:gridSpan w:val="3"/>
                  <w:tcBorders>
                    <w:top w:val="single" w:color="auto" w:sz="4" w:space="0"/>
                    <w:right w:val="single" w:color="auto" w:sz="4" w:space="0"/>
                  </w:tcBorders>
                  <w:vAlign w:val="center"/>
                </w:tcPr>
                <w:p>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污染物排放情况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90" w:hRule="atLeast"/>
                <w:jc w:val="center"/>
              </w:trPr>
              <w:tc>
                <w:tcPr>
                  <w:tcW w:w="0" w:type="auto"/>
                  <w:vMerge w:val="continue"/>
                  <w:tcBorders>
                    <w:left w:val="single" w:color="auto" w:sz="4" w:space="0"/>
                  </w:tcBorders>
                  <w:vAlign w:val="center"/>
                </w:tcPr>
                <w:p>
                  <w:pPr>
                    <w:widowControl/>
                    <w:jc w:val="center"/>
                    <w:rPr>
                      <w:rFonts w:hint="default" w:ascii="Times New Roman" w:hAnsi="Times New Roman" w:eastAsia="宋体" w:cs="Times New Roman"/>
                      <w:b/>
                      <w:bCs/>
                      <w:color w:val="auto"/>
                      <w:kern w:val="0"/>
                      <w:sz w:val="21"/>
                      <w:szCs w:val="21"/>
                      <w:highlight w:val="none"/>
                      <w:lang w:bidi="ar"/>
                    </w:rPr>
                  </w:pPr>
                </w:p>
              </w:tc>
              <w:tc>
                <w:tcPr>
                  <w:tcW w:w="0" w:type="auto"/>
                  <w:vMerge w:val="continue"/>
                  <w:vAlign w:val="center"/>
                </w:tcPr>
                <w:p>
                  <w:pPr>
                    <w:widowControl/>
                    <w:jc w:val="center"/>
                    <w:rPr>
                      <w:rFonts w:hint="default" w:ascii="Times New Roman" w:hAnsi="Times New Roman" w:eastAsia="宋体" w:cs="Times New Roman"/>
                      <w:b/>
                      <w:bCs/>
                      <w:color w:val="auto"/>
                      <w:kern w:val="0"/>
                      <w:sz w:val="21"/>
                      <w:szCs w:val="21"/>
                      <w:highlight w:val="none"/>
                      <w:lang w:bidi="ar"/>
                    </w:rPr>
                  </w:pPr>
                </w:p>
              </w:tc>
              <w:tc>
                <w:tcPr>
                  <w:tcW w:w="0" w:type="auto"/>
                  <w:vMerge w:val="continue"/>
                  <w:vAlign w:val="center"/>
                </w:tcPr>
                <w:p>
                  <w:pPr>
                    <w:jc w:val="center"/>
                    <w:rPr>
                      <w:rFonts w:hint="default" w:ascii="Times New Roman" w:hAnsi="Times New Roman" w:eastAsia="宋体" w:cs="Times New Roman"/>
                      <w:b/>
                      <w:bCs/>
                      <w:color w:val="auto"/>
                      <w:sz w:val="21"/>
                      <w:szCs w:val="21"/>
                      <w:highlight w:val="none"/>
                    </w:rPr>
                  </w:pPr>
                </w:p>
              </w:tc>
              <w:tc>
                <w:tcPr>
                  <w:tcW w:w="0" w:type="auto"/>
                  <w:vAlign w:val="center"/>
                </w:tcPr>
                <w:p>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产生浓度mg/m</w:t>
                  </w:r>
                  <w:r>
                    <w:rPr>
                      <w:rFonts w:hint="default" w:ascii="Times New Roman" w:hAnsi="Times New Roman" w:eastAsia="宋体" w:cs="Times New Roman"/>
                      <w:b/>
                      <w:bCs/>
                      <w:color w:val="auto"/>
                      <w:sz w:val="21"/>
                      <w:szCs w:val="21"/>
                      <w:highlight w:val="none"/>
                      <w:vertAlign w:val="superscript"/>
                    </w:rPr>
                    <w:t>3</w:t>
                  </w:r>
                </w:p>
              </w:tc>
              <w:tc>
                <w:tcPr>
                  <w:tcW w:w="0" w:type="auto"/>
                  <w:vAlign w:val="center"/>
                </w:tcPr>
                <w:p>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产生速率kg/h</w:t>
                  </w:r>
                </w:p>
              </w:tc>
              <w:tc>
                <w:tcPr>
                  <w:tcW w:w="0" w:type="auto"/>
                  <w:vAlign w:val="center"/>
                </w:tcPr>
                <w:p>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产生量t/a</w:t>
                  </w:r>
                </w:p>
              </w:tc>
              <w:tc>
                <w:tcPr>
                  <w:tcW w:w="0" w:type="auto"/>
                  <w:vMerge w:val="continue"/>
                  <w:vAlign w:val="center"/>
                </w:tcPr>
                <w:p>
                  <w:pPr>
                    <w:jc w:val="center"/>
                    <w:rPr>
                      <w:rFonts w:hint="default" w:ascii="Times New Roman" w:hAnsi="Times New Roman" w:eastAsia="宋体" w:cs="Times New Roman"/>
                      <w:b/>
                      <w:bCs/>
                      <w:color w:val="auto"/>
                      <w:sz w:val="21"/>
                      <w:szCs w:val="21"/>
                      <w:highlight w:val="none"/>
                    </w:rPr>
                  </w:pPr>
                </w:p>
              </w:tc>
              <w:tc>
                <w:tcPr>
                  <w:tcW w:w="0" w:type="auto"/>
                  <w:vAlign w:val="center"/>
                </w:tcPr>
                <w:p>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治理设施</w:t>
                  </w:r>
                </w:p>
              </w:tc>
              <w:tc>
                <w:tcPr>
                  <w:tcW w:w="0" w:type="auto"/>
                  <w:vAlign w:val="center"/>
                </w:tcPr>
                <w:p>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收集效率%</w:t>
                  </w:r>
                </w:p>
              </w:tc>
              <w:tc>
                <w:tcPr>
                  <w:tcW w:w="0" w:type="auto"/>
                  <w:vAlign w:val="center"/>
                </w:tcPr>
                <w:p>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去除率%</w:t>
                  </w:r>
                </w:p>
              </w:tc>
              <w:tc>
                <w:tcPr>
                  <w:tcW w:w="0" w:type="auto"/>
                  <w:vAlign w:val="center"/>
                </w:tcPr>
                <w:p>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是否为可行性技术</w:t>
                  </w:r>
                </w:p>
              </w:tc>
              <w:tc>
                <w:tcPr>
                  <w:tcW w:w="0" w:type="auto"/>
                  <w:vAlign w:val="center"/>
                </w:tcPr>
                <w:p>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排放浓度mg/m</w:t>
                  </w:r>
                  <w:r>
                    <w:rPr>
                      <w:rFonts w:hint="default" w:ascii="Times New Roman" w:hAnsi="Times New Roman" w:eastAsia="宋体" w:cs="Times New Roman"/>
                      <w:b/>
                      <w:bCs/>
                      <w:color w:val="auto"/>
                      <w:sz w:val="21"/>
                      <w:szCs w:val="21"/>
                      <w:highlight w:val="none"/>
                      <w:vertAlign w:val="superscript"/>
                    </w:rPr>
                    <w:t>3</w:t>
                  </w:r>
                </w:p>
              </w:tc>
              <w:tc>
                <w:tcPr>
                  <w:tcW w:w="0" w:type="auto"/>
                  <w:vAlign w:val="center"/>
                </w:tcPr>
                <w:p>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排放速率kg/h</w:t>
                  </w:r>
                </w:p>
              </w:tc>
              <w:tc>
                <w:tcPr>
                  <w:tcW w:w="0" w:type="auto"/>
                  <w:tcBorders>
                    <w:right w:val="single" w:color="auto" w:sz="4" w:space="0"/>
                  </w:tcBorders>
                  <w:vAlign w:val="center"/>
                </w:tcPr>
                <w:p>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排放量t/a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0" w:type="auto"/>
                  <w:vMerge w:val="restart"/>
                  <w:tcBorders>
                    <w:left w:val="single" w:color="auto" w:sz="4" w:space="0"/>
                  </w:tcBorders>
                  <w:vAlign w:val="center"/>
                </w:tcPr>
                <w:p>
                  <w:pPr>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rPr>
                    <w:t>投料、搅拌混合</w:t>
                  </w:r>
                  <w:r>
                    <w:rPr>
                      <w:rFonts w:hint="eastAsia" w:cs="Times New Roman"/>
                      <w:bCs/>
                      <w:color w:val="auto"/>
                      <w:sz w:val="21"/>
                      <w:szCs w:val="21"/>
                      <w:highlight w:val="none"/>
                      <w:lang w:eastAsia="zh-CN"/>
                    </w:rPr>
                    <w:t>、</w:t>
                  </w:r>
                  <w:r>
                    <w:rPr>
                      <w:rFonts w:hint="eastAsia" w:cs="Times New Roman"/>
                      <w:bCs/>
                      <w:color w:val="auto"/>
                      <w:sz w:val="21"/>
                      <w:szCs w:val="21"/>
                      <w:highlight w:val="none"/>
                      <w:lang w:val="en-US" w:eastAsia="zh-CN"/>
                    </w:rPr>
                    <w:t>研磨、脱水、试样检验、分装</w:t>
                  </w:r>
                </w:p>
              </w:tc>
              <w:tc>
                <w:tcPr>
                  <w:tcW w:w="0" w:type="auto"/>
                  <w:vMerge w:val="restart"/>
                  <w:vAlign w:val="center"/>
                </w:tcPr>
                <w:p>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颗粒物</w:t>
                  </w:r>
                </w:p>
              </w:tc>
              <w:tc>
                <w:tcPr>
                  <w:tcW w:w="0" w:type="auto"/>
                  <w:vMerge w:val="restart"/>
                  <w:vAlign w:val="center"/>
                </w:tcPr>
                <w:p>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1</w:t>
                  </w:r>
                  <w:r>
                    <w:rPr>
                      <w:rFonts w:hint="eastAsia" w:cs="Times New Roman"/>
                      <w:bCs/>
                      <w:color w:val="auto"/>
                      <w:sz w:val="21"/>
                      <w:szCs w:val="21"/>
                      <w:highlight w:val="none"/>
                      <w:lang w:val="en-US" w:eastAsia="zh-CN"/>
                    </w:rPr>
                    <w:t>5</w:t>
                  </w:r>
                  <w:r>
                    <w:rPr>
                      <w:rFonts w:hint="default" w:ascii="Times New Roman" w:hAnsi="Times New Roman" w:eastAsia="宋体" w:cs="Times New Roman"/>
                      <w:bCs/>
                      <w:color w:val="auto"/>
                      <w:sz w:val="21"/>
                      <w:szCs w:val="21"/>
                      <w:highlight w:val="none"/>
                    </w:rPr>
                    <w:t>000</w:t>
                  </w:r>
                </w:p>
              </w:tc>
              <w:tc>
                <w:tcPr>
                  <w:tcW w:w="0" w:type="auto"/>
                  <w:vAlign w:val="center"/>
                </w:tcPr>
                <w:p>
                  <w:pPr>
                    <w:widowControl/>
                    <w:jc w:val="center"/>
                    <w:textAlignment w:val="center"/>
                    <w:rPr>
                      <w:rFonts w:hint="default" w:ascii="Times New Roman" w:hAnsi="Times New Roman" w:eastAsia="宋体" w:cs="Times New Roman"/>
                      <w:bCs/>
                      <w:color w:val="auto"/>
                      <w:sz w:val="21"/>
                      <w:szCs w:val="21"/>
                      <w:highlight w:val="none"/>
                    </w:rPr>
                  </w:pPr>
                  <w:r>
                    <w:rPr>
                      <w:rFonts w:hint="eastAsia"/>
                      <w:bCs/>
                      <w:color w:val="auto"/>
                      <w:szCs w:val="21"/>
                      <w:highlight w:val="none"/>
                      <w:lang w:val="en-US" w:eastAsia="zh-CN"/>
                    </w:rPr>
                    <w:t>8.96</w:t>
                  </w:r>
                </w:p>
              </w:tc>
              <w:tc>
                <w:tcPr>
                  <w:tcW w:w="0" w:type="auto"/>
                  <w:vAlign w:val="center"/>
                </w:tcPr>
                <w:p>
                  <w:pPr>
                    <w:widowControl/>
                    <w:jc w:val="center"/>
                    <w:textAlignment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kern w:val="0"/>
                      <w:sz w:val="21"/>
                      <w:szCs w:val="21"/>
                      <w:highlight w:val="none"/>
                      <w:lang w:bidi="ar"/>
                    </w:rPr>
                    <w:t>0.1344</w:t>
                  </w:r>
                </w:p>
              </w:tc>
              <w:tc>
                <w:tcPr>
                  <w:tcW w:w="0" w:type="auto"/>
                  <w:vAlign w:val="center"/>
                </w:tcPr>
                <w:p>
                  <w:pPr>
                    <w:widowControl/>
                    <w:jc w:val="center"/>
                    <w:textAlignment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kern w:val="0"/>
                      <w:sz w:val="21"/>
                      <w:szCs w:val="21"/>
                      <w:highlight w:val="none"/>
                      <w:lang w:bidi="ar"/>
                    </w:rPr>
                    <w:t>0.3226</w:t>
                  </w:r>
                </w:p>
              </w:tc>
              <w:tc>
                <w:tcPr>
                  <w:tcW w:w="0" w:type="auto"/>
                  <w:vAlign w:val="center"/>
                </w:tcPr>
                <w:p>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有组织</w:t>
                  </w:r>
                </w:p>
              </w:tc>
              <w:tc>
                <w:tcPr>
                  <w:tcW w:w="0" w:type="auto"/>
                  <w:vAlign w:val="center"/>
                </w:tcPr>
                <w:p>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布袋除尘器</w:t>
                  </w:r>
                </w:p>
              </w:tc>
              <w:tc>
                <w:tcPr>
                  <w:tcW w:w="0" w:type="auto"/>
                  <w:vAlign w:val="center"/>
                </w:tcPr>
                <w:p>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80</w:t>
                  </w:r>
                </w:p>
              </w:tc>
              <w:tc>
                <w:tcPr>
                  <w:tcW w:w="0" w:type="auto"/>
                  <w:vAlign w:val="center"/>
                </w:tcPr>
                <w:p>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95</w:t>
                  </w:r>
                </w:p>
              </w:tc>
              <w:tc>
                <w:tcPr>
                  <w:tcW w:w="0" w:type="auto"/>
                  <w:vAlign w:val="center"/>
                </w:tcPr>
                <w:p>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是</w:t>
                  </w:r>
                </w:p>
              </w:tc>
              <w:tc>
                <w:tcPr>
                  <w:tcW w:w="0" w:type="auto"/>
                  <w:vAlign w:val="center"/>
                </w:tcPr>
                <w:p>
                  <w:pPr>
                    <w:widowControl/>
                    <w:jc w:val="center"/>
                    <w:textAlignment w:val="center"/>
                    <w:rPr>
                      <w:rFonts w:hint="default" w:ascii="Times New Roman" w:hAnsi="Times New Roman" w:eastAsia="宋体" w:cs="Times New Roman"/>
                      <w:bCs/>
                      <w:color w:val="auto"/>
                      <w:sz w:val="21"/>
                      <w:szCs w:val="21"/>
                      <w:highlight w:val="none"/>
                    </w:rPr>
                  </w:pPr>
                  <w:r>
                    <w:rPr>
                      <w:rFonts w:hint="eastAsia"/>
                      <w:bCs/>
                      <w:color w:val="auto"/>
                      <w:szCs w:val="21"/>
                      <w:highlight w:val="none"/>
                    </w:rPr>
                    <w:t>0.</w:t>
                  </w:r>
                  <w:r>
                    <w:rPr>
                      <w:rFonts w:hint="eastAsia"/>
                      <w:bCs/>
                      <w:color w:val="auto"/>
                      <w:szCs w:val="21"/>
                      <w:highlight w:val="none"/>
                      <w:lang w:val="en-US" w:eastAsia="zh-CN"/>
                    </w:rPr>
                    <w:t>36</w:t>
                  </w:r>
                </w:p>
              </w:tc>
              <w:tc>
                <w:tcPr>
                  <w:tcW w:w="0" w:type="auto"/>
                  <w:vAlign w:val="center"/>
                </w:tcPr>
                <w:p>
                  <w:pPr>
                    <w:widowControl/>
                    <w:jc w:val="center"/>
                    <w:textAlignment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kern w:val="0"/>
                      <w:sz w:val="21"/>
                      <w:szCs w:val="21"/>
                      <w:highlight w:val="none"/>
                      <w:lang w:bidi="ar"/>
                    </w:rPr>
                    <w:t>0.005377</w:t>
                  </w:r>
                </w:p>
              </w:tc>
              <w:tc>
                <w:tcPr>
                  <w:tcW w:w="0" w:type="auto"/>
                  <w:tcBorders>
                    <w:right w:val="single" w:color="auto" w:sz="4" w:space="0"/>
                  </w:tcBorders>
                  <w:vAlign w:val="center"/>
                </w:tcPr>
                <w:p>
                  <w:pPr>
                    <w:widowControl/>
                    <w:jc w:val="center"/>
                    <w:textAlignment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kern w:val="0"/>
                      <w:sz w:val="21"/>
                      <w:szCs w:val="21"/>
                      <w:highlight w:val="none"/>
                      <w:lang w:bidi="ar"/>
                    </w:rPr>
                    <w:t>0.0129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0" w:type="auto"/>
                  <w:vMerge w:val="continue"/>
                  <w:tcBorders>
                    <w:left w:val="single" w:color="auto" w:sz="4" w:space="0"/>
                  </w:tcBorders>
                  <w:vAlign w:val="center"/>
                </w:tcPr>
                <w:p>
                  <w:pPr>
                    <w:jc w:val="center"/>
                    <w:rPr>
                      <w:rFonts w:hint="default" w:ascii="Times New Roman" w:hAnsi="Times New Roman" w:eastAsia="宋体" w:cs="Times New Roman"/>
                      <w:bCs/>
                      <w:color w:val="auto"/>
                      <w:sz w:val="21"/>
                      <w:szCs w:val="21"/>
                      <w:highlight w:val="none"/>
                    </w:rPr>
                  </w:pPr>
                </w:p>
              </w:tc>
              <w:tc>
                <w:tcPr>
                  <w:tcW w:w="0" w:type="auto"/>
                  <w:vMerge w:val="continue"/>
                  <w:vAlign w:val="center"/>
                </w:tcPr>
                <w:p>
                  <w:pPr>
                    <w:jc w:val="center"/>
                    <w:rPr>
                      <w:rFonts w:hint="default" w:ascii="Times New Roman" w:hAnsi="Times New Roman" w:eastAsia="宋体" w:cs="Times New Roman"/>
                      <w:bCs/>
                      <w:color w:val="auto"/>
                      <w:sz w:val="21"/>
                      <w:szCs w:val="21"/>
                      <w:highlight w:val="none"/>
                    </w:rPr>
                  </w:pPr>
                </w:p>
              </w:tc>
              <w:tc>
                <w:tcPr>
                  <w:tcW w:w="0" w:type="auto"/>
                  <w:vMerge w:val="continue"/>
                  <w:vAlign w:val="center"/>
                </w:tcPr>
                <w:p>
                  <w:pPr>
                    <w:jc w:val="center"/>
                    <w:rPr>
                      <w:rFonts w:hint="default" w:ascii="Times New Roman" w:hAnsi="Times New Roman" w:eastAsia="宋体" w:cs="Times New Roman"/>
                      <w:bCs/>
                      <w:color w:val="auto"/>
                      <w:sz w:val="21"/>
                      <w:szCs w:val="21"/>
                      <w:highlight w:val="none"/>
                    </w:rPr>
                  </w:pPr>
                </w:p>
              </w:tc>
              <w:tc>
                <w:tcPr>
                  <w:tcW w:w="0" w:type="auto"/>
                  <w:vAlign w:val="center"/>
                </w:tcPr>
                <w:p>
                  <w:pPr>
                    <w:widowControl/>
                    <w:jc w:val="center"/>
                    <w:textAlignment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w:t>
                  </w:r>
                </w:p>
              </w:tc>
              <w:tc>
                <w:tcPr>
                  <w:tcW w:w="0" w:type="auto"/>
                  <w:vAlign w:val="center"/>
                </w:tcPr>
                <w:p>
                  <w:pPr>
                    <w:widowControl/>
                    <w:jc w:val="center"/>
                    <w:textAlignment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kern w:val="0"/>
                      <w:sz w:val="21"/>
                      <w:szCs w:val="21"/>
                      <w:highlight w:val="none"/>
                      <w:lang w:bidi="ar"/>
                    </w:rPr>
                    <w:t>0.0269</w:t>
                  </w:r>
                </w:p>
              </w:tc>
              <w:tc>
                <w:tcPr>
                  <w:tcW w:w="0" w:type="auto"/>
                  <w:vAlign w:val="center"/>
                </w:tcPr>
                <w:p>
                  <w:pPr>
                    <w:widowControl/>
                    <w:jc w:val="center"/>
                    <w:textAlignment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kern w:val="0"/>
                      <w:sz w:val="21"/>
                      <w:szCs w:val="21"/>
                      <w:highlight w:val="none"/>
                      <w:lang w:bidi="ar"/>
                    </w:rPr>
                    <w:t>0.0645</w:t>
                  </w:r>
                </w:p>
              </w:tc>
              <w:tc>
                <w:tcPr>
                  <w:tcW w:w="0" w:type="auto"/>
                  <w:vAlign w:val="center"/>
                </w:tcPr>
                <w:p>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无组织</w:t>
                  </w:r>
                </w:p>
              </w:tc>
              <w:tc>
                <w:tcPr>
                  <w:tcW w:w="0" w:type="auto"/>
                  <w:vAlign w:val="center"/>
                </w:tcPr>
                <w:p>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w:t>
                  </w:r>
                </w:p>
              </w:tc>
              <w:tc>
                <w:tcPr>
                  <w:tcW w:w="0" w:type="auto"/>
                  <w:vAlign w:val="center"/>
                </w:tcPr>
                <w:p>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w:t>
                  </w:r>
                </w:p>
              </w:tc>
              <w:tc>
                <w:tcPr>
                  <w:tcW w:w="0" w:type="auto"/>
                  <w:vAlign w:val="center"/>
                </w:tcPr>
                <w:p>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w:t>
                  </w:r>
                </w:p>
              </w:tc>
              <w:tc>
                <w:tcPr>
                  <w:tcW w:w="0" w:type="auto"/>
                  <w:vAlign w:val="center"/>
                </w:tcPr>
                <w:p>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w:t>
                  </w:r>
                </w:p>
              </w:tc>
              <w:tc>
                <w:tcPr>
                  <w:tcW w:w="0" w:type="auto"/>
                  <w:vAlign w:val="center"/>
                </w:tcPr>
                <w:p>
                  <w:pPr>
                    <w:widowControl/>
                    <w:jc w:val="center"/>
                    <w:textAlignment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kern w:val="0"/>
                      <w:sz w:val="21"/>
                      <w:szCs w:val="21"/>
                      <w:highlight w:val="none"/>
                      <w:lang w:bidi="ar"/>
                    </w:rPr>
                    <w:t>/</w:t>
                  </w:r>
                </w:p>
              </w:tc>
              <w:tc>
                <w:tcPr>
                  <w:tcW w:w="0" w:type="auto"/>
                  <w:vAlign w:val="center"/>
                </w:tcPr>
                <w:p>
                  <w:pPr>
                    <w:widowControl/>
                    <w:jc w:val="center"/>
                    <w:textAlignment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kern w:val="0"/>
                      <w:sz w:val="21"/>
                      <w:szCs w:val="21"/>
                      <w:highlight w:val="none"/>
                      <w:lang w:bidi="ar"/>
                    </w:rPr>
                    <w:t>0.0269</w:t>
                  </w:r>
                </w:p>
              </w:tc>
              <w:tc>
                <w:tcPr>
                  <w:tcW w:w="0" w:type="auto"/>
                  <w:tcBorders>
                    <w:right w:val="single" w:color="auto" w:sz="4" w:space="0"/>
                  </w:tcBorders>
                  <w:vAlign w:val="center"/>
                </w:tcPr>
                <w:p>
                  <w:pPr>
                    <w:widowControl/>
                    <w:jc w:val="center"/>
                    <w:textAlignment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kern w:val="0"/>
                      <w:sz w:val="21"/>
                      <w:szCs w:val="21"/>
                      <w:highlight w:val="none"/>
                      <w:lang w:bidi="ar"/>
                    </w:rPr>
                    <w:t>0.0645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0" w:type="auto"/>
                  <w:vMerge w:val="continue"/>
                  <w:tcBorders>
                    <w:left w:val="single" w:color="auto" w:sz="4" w:space="0"/>
                  </w:tcBorders>
                  <w:vAlign w:val="center"/>
                </w:tcPr>
                <w:p>
                  <w:pPr>
                    <w:jc w:val="center"/>
                    <w:rPr>
                      <w:rFonts w:hint="default" w:ascii="Times New Roman" w:hAnsi="Times New Roman" w:eastAsia="宋体" w:cs="Times New Roman"/>
                      <w:bCs/>
                      <w:color w:val="auto"/>
                      <w:sz w:val="21"/>
                      <w:szCs w:val="21"/>
                      <w:highlight w:val="none"/>
                    </w:rPr>
                  </w:pPr>
                </w:p>
              </w:tc>
              <w:tc>
                <w:tcPr>
                  <w:tcW w:w="0" w:type="auto"/>
                  <w:vMerge w:val="restart"/>
                  <w:vAlign w:val="center"/>
                </w:tcPr>
                <w:p>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非甲烷总烃</w:t>
                  </w:r>
                </w:p>
              </w:tc>
              <w:tc>
                <w:tcPr>
                  <w:tcW w:w="0" w:type="auto"/>
                  <w:vMerge w:val="continue"/>
                  <w:vAlign w:val="center"/>
                </w:tcPr>
                <w:p>
                  <w:pPr>
                    <w:jc w:val="center"/>
                    <w:rPr>
                      <w:rFonts w:hint="default" w:ascii="Times New Roman" w:hAnsi="Times New Roman" w:eastAsia="宋体" w:cs="Times New Roman"/>
                      <w:bCs/>
                      <w:color w:val="auto"/>
                      <w:sz w:val="21"/>
                      <w:szCs w:val="21"/>
                      <w:highlight w:val="none"/>
                    </w:rPr>
                  </w:pPr>
                </w:p>
              </w:tc>
              <w:tc>
                <w:tcPr>
                  <w:tcW w:w="0" w:type="auto"/>
                  <w:vAlign w:val="center"/>
                </w:tcPr>
                <w:p>
                  <w:pPr>
                    <w:widowControl/>
                    <w:jc w:val="center"/>
                    <w:textAlignment w:val="center"/>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2.63</w:t>
                  </w:r>
                </w:p>
              </w:tc>
              <w:tc>
                <w:tcPr>
                  <w:tcW w:w="0" w:type="auto"/>
                  <w:vAlign w:val="center"/>
                </w:tcPr>
                <w:p>
                  <w:pPr>
                    <w:widowControl/>
                    <w:jc w:val="center"/>
                    <w:textAlignment w:val="center"/>
                    <w:rPr>
                      <w:rFonts w:hint="eastAsia"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rPr>
                    <w:t>0.0393</w:t>
                  </w:r>
                  <w:r>
                    <w:rPr>
                      <w:rFonts w:hint="eastAsia" w:cs="Times New Roman"/>
                      <w:bCs/>
                      <w:color w:val="auto"/>
                      <w:sz w:val="21"/>
                      <w:szCs w:val="21"/>
                      <w:highlight w:val="none"/>
                      <w:lang w:val="en-US" w:eastAsia="zh-CN"/>
                    </w:rPr>
                    <w:t>8</w:t>
                  </w:r>
                </w:p>
              </w:tc>
              <w:tc>
                <w:tcPr>
                  <w:tcW w:w="0" w:type="auto"/>
                  <w:vAlign w:val="center"/>
                </w:tcPr>
                <w:p>
                  <w:pPr>
                    <w:widowControl/>
                    <w:jc w:val="center"/>
                    <w:textAlignment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0.0945</w:t>
                  </w:r>
                </w:p>
              </w:tc>
              <w:tc>
                <w:tcPr>
                  <w:tcW w:w="0" w:type="auto"/>
                  <w:vAlign w:val="center"/>
                </w:tcPr>
                <w:p>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有组织</w:t>
                  </w:r>
                </w:p>
              </w:tc>
              <w:tc>
                <w:tcPr>
                  <w:tcW w:w="0" w:type="auto"/>
                  <w:vAlign w:val="center"/>
                </w:tcPr>
                <w:p>
                  <w:pPr>
                    <w:jc w:val="center"/>
                    <w:rPr>
                      <w:rFonts w:hint="default" w:ascii="Times New Roman" w:hAnsi="Times New Roman" w:eastAsia="宋体" w:cs="Times New Roman"/>
                      <w:bCs/>
                      <w:color w:val="auto"/>
                      <w:sz w:val="21"/>
                      <w:szCs w:val="21"/>
                      <w:highlight w:val="none"/>
                    </w:rPr>
                  </w:pPr>
                  <w:r>
                    <w:rPr>
                      <w:rFonts w:hint="eastAsia" w:cs="Times New Roman"/>
                      <w:bCs/>
                      <w:color w:val="auto"/>
                      <w:sz w:val="21"/>
                      <w:szCs w:val="21"/>
                      <w:highlight w:val="none"/>
                      <w:lang w:val="en-US" w:eastAsia="zh-CN"/>
                    </w:rPr>
                    <w:t>二</w:t>
                  </w:r>
                  <w:r>
                    <w:rPr>
                      <w:rFonts w:hint="default" w:ascii="Times New Roman" w:hAnsi="Times New Roman" w:eastAsia="宋体" w:cs="Times New Roman"/>
                      <w:bCs/>
                      <w:color w:val="auto"/>
                      <w:sz w:val="21"/>
                      <w:szCs w:val="21"/>
                      <w:highlight w:val="none"/>
                    </w:rPr>
                    <w:t>级活性炭吸附</w:t>
                  </w:r>
                </w:p>
              </w:tc>
              <w:tc>
                <w:tcPr>
                  <w:tcW w:w="0" w:type="auto"/>
                  <w:vAlign w:val="center"/>
                </w:tcPr>
                <w:p>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80</w:t>
                  </w:r>
                </w:p>
              </w:tc>
              <w:tc>
                <w:tcPr>
                  <w:tcW w:w="0" w:type="auto"/>
                  <w:vAlign w:val="center"/>
                </w:tcPr>
                <w:p>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75</w:t>
                  </w:r>
                </w:p>
              </w:tc>
              <w:tc>
                <w:tcPr>
                  <w:tcW w:w="0" w:type="auto"/>
                  <w:vAlign w:val="center"/>
                </w:tcPr>
                <w:p>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是</w:t>
                  </w:r>
                </w:p>
              </w:tc>
              <w:tc>
                <w:tcPr>
                  <w:tcW w:w="0" w:type="auto"/>
                  <w:vAlign w:val="center"/>
                </w:tcPr>
                <w:p>
                  <w:pPr>
                    <w:widowControl/>
                    <w:jc w:val="center"/>
                    <w:textAlignment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color w:val="auto"/>
                      <w:kern w:val="0"/>
                      <w:sz w:val="21"/>
                      <w:szCs w:val="21"/>
                      <w:highlight w:val="none"/>
                      <w:lang w:bidi="ar"/>
                    </w:rPr>
                    <w:t>0.</w:t>
                  </w:r>
                  <w:r>
                    <w:rPr>
                      <w:rFonts w:hint="eastAsia" w:cs="Times New Roman"/>
                      <w:color w:val="auto"/>
                      <w:kern w:val="0"/>
                      <w:sz w:val="21"/>
                      <w:szCs w:val="21"/>
                      <w:highlight w:val="none"/>
                      <w:lang w:val="en-US" w:eastAsia="zh-CN" w:bidi="ar"/>
                    </w:rPr>
                    <w:t>53</w:t>
                  </w:r>
                </w:p>
              </w:tc>
              <w:tc>
                <w:tcPr>
                  <w:tcW w:w="0" w:type="auto"/>
                  <w:vAlign w:val="center"/>
                </w:tcPr>
                <w:p>
                  <w:pPr>
                    <w:widowControl/>
                    <w:jc w:val="center"/>
                    <w:textAlignment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kern w:val="0"/>
                      <w:sz w:val="21"/>
                      <w:szCs w:val="21"/>
                      <w:highlight w:val="none"/>
                      <w:lang w:bidi="ar"/>
                    </w:rPr>
                    <w:t>0.00788</w:t>
                  </w:r>
                </w:p>
              </w:tc>
              <w:tc>
                <w:tcPr>
                  <w:tcW w:w="0" w:type="auto"/>
                  <w:tcBorders>
                    <w:right w:val="single" w:color="auto" w:sz="4" w:space="0"/>
                  </w:tcBorders>
                  <w:vAlign w:val="center"/>
                </w:tcPr>
                <w:p>
                  <w:pPr>
                    <w:widowControl/>
                    <w:jc w:val="center"/>
                    <w:textAlignment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kern w:val="0"/>
                      <w:sz w:val="21"/>
                      <w:szCs w:val="21"/>
                      <w:highlight w:val="none"/>
                      <w:lang w:bidi="ar"/>
                    </w:rPr>
                    <w:t>0.0189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0" w:type="auto"/>
                  <w:vMerge w:val="continue"/>
                  <w:tcBorders>
                    <w:left w:val="single" w:color="auto" w:sz="4" w:space="0"/>
                  </w:tcBorders>
                  <w:vAlign w:val="center"/>
                </w:tcPr>
                <w:p>
                  <w:pPr>
                    <w:jc w:val="center"/>
                    <w:rPr>
                      <w:rFonts w:hint="default" w:ascii="Times New Roman" w:hAnsi="Times New Roman" w:eastAsia="宋体" w:cs="Times New Roman"/>
                      <w:bCs/>
                      <w:color w:val="auto"/>
                      <w:sz w:val="21"/>
                      <w:szCs w:val="21"/>
                      <w:highlight w:val="none"/>
                    </w:rPr>
                  </w:pPr>
                </w:p>
              </w:tc>
              <w:tc>
                <w:tcPr>
                  <w:tcW w:w="0" w:type="auto"/>
                  <w:vMerge w:val="continue"/>
                  <w:vAlign w:val="center"/>
                </w:tcPr>
                <w:p>
                  <w:pPr>
                    <w:jc w:val="center"/>
                    <w:rPr>
                      <w:rFonts w:hint="default" w:ascii="Times New Roman" w:hAnsi="Times New Roman" w:eastAsia="宋体" w:cs="Times New Roman"/>
                      <w:bCs/>
                      <w:color w:val="auto"/>
                      <w:sz w:val="21"/>
                      <w:szCs w:val="21"/>
                      <w:highlight w:val="none"/>
                    </w:rPr>
                  </w:pPr>
                </w:p>
              </w:tc>
              <w:tc>
                <w:tcPr>
                  <w:tcW w:w="0" w:type="auto"/>
                  <w:vMerge w:val="continue"/>
                  <w:vAlign w:val="center"/>
                </w:tcPr>
                <w:p>
                  <w:pPr>
                    <w:jc w:val="center"/>
                    <w:rPr>
                      <w:rFonts w:hint="default" w:ascii="Times New Roman" w:hAnsi="Times New Roman" w:eastAsia="宋体" w:cs="Times New Roman"/>
                      <w:bCs/>
                      <w:color w:val="auto"/>
                      <w:sz w:val="21"/>
                      <w:szCs w:val="21"/>
                      <w:highlight w:val="none"/>
                    </w:rPr>
                  </w:pPr>
                </w:p>
              </w:tc>
              <w:tc>
                <w:tcPr>
                  <w:tcW w:w="0" w:type="auto"/>
                  <w:vAlign w:val="center"/>
                </w:tcPr>
                <w:p>
                  <w:pPr>
                    <w:widowControl/>
                    <w:jc w:val="center"/>
                    <w:textAlignment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w:t>
                  </w:r>
                </w:p>
              </w:tc>
              <w:tc>
                <w:tcPr>
                  <w:tcW w:w="0" w:type="auto"/>
                  <w:vAlign w:val="center"/>
                </w:tcPr>
                <w:p>
                  <w:pPr>
                    <w:widowControl/>
                    <w:jc w:val="center"/>
                    <w:textAlignment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kern w:val="0"/>
                      <w:sz w:val="21"/>
                      <w:szCs w:val="21"/>
                      <w:highlight w:val="none"/>
                      <w:lang w:bidi="ar"/>
                    </w:rPr>
                    <w:t>0.00788</w:t>
                  </w:r>
                </w:p>
              </w:tc>
              <w:tc>
                <w:tcPr>
                  <w:tcW w:w="0" w:type="auto"/>
                  <w:vAlign w:val="center"/>
                </w:tcPr>
                <w:p>
                  <w:pPr>
                    <w:widowControl/>
                    <w:jc w:val="center"/>
                    <w:textAlignment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kern w:val="0"/>
                      <w:sz w:val="21"/>
                      <w:szCs w:val="21"/>
                      <w:highlight w:val="none"/>
                      <w:lang w:bidi="ar"/>
                    </w:rPr>
                    <w:t>0.0189</w:t>
                  </w:r>
                </w:p>
              </w:tc>
              <w:tc>
                <w:tcPr>
                  <w:tcW w:w="0" w:type="auto"/>
                  <w:vAlign w:val="center"/>
                </w:tcPr>
                <w:p>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无组织</w:t>
                  </w:r>
                </w:p>
              </w:tc>
              <w:tc>
                <w:tcPr>
                  <w:tcW w:w="0" w:type="auto"/>
                  <w:vAlign w:val="center"/>
                </w:tcPr>
                <w:p>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w:t>
                  </w:r>
                </w:p>
              </w:tc>
              <w:tc>
                <w:tcPr>
                  <w:tcW w:w="0" w:type="auto"/>
                  <w:vAlign w:val="center"/>
                </w:tcPr>
                <w:p>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w:t>
                  </w:r>
                </w:p>
              </w:tc>
              <w:tc>
                <w:tcPr>
                  <w:tcW w:w="0" w:type="auto"/>
                  <w:vAlign w:val="center"/>
                </w:tcPr>
                <w:p>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w:t>
                  </w:r>
                </w:p>
              </w:tc>
              <w:tc>
                <w:tcPr>
                  <w:tcW w:w="0" w:type="auto"/>
                  <w:vAlign w:val="center"/>
                </w:tcPr>
                <w:p>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w:t>
                  </w:r>
                </w:p>
              </w:tc>
              <w:tc>
                <w:tcPr>
                  <w:tcW w:w="0" w:type="auto"/>
                  <w:vAlign w:val="center"/>
                </w:tcPr>
                <w:p>
                  <w:pPr>
                    <w:widowControl/>
                    <w:jc w:val="center"/>
                    <w:textAlignment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kern w:val="0"/>
                      <w:sz w:val="21"/>
                      <w:szCs w:val="21"/>
                      <w:highlight w:val="none"/>
                      <w:lang w:bidi="ar"/>
                    </w:rPr>
                    <w:t>/</w:t>
                  </w:r>
                </w:p>
              </w:tc>
              <w:tc>
                <w:tcPr>
                  <w:tcW w:w="0" w:type="auto"/>
                  <w:vAlign w:val="center"/>
                </w:tcPr>
                <w:p>
                  <w:pPr>
                    <w:widowControl/>
                    <w:jc w:val="center"/>
                    <w:textAlignment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kern w:val="0"/>
                      <w:sz w:val="21"/>
                      <w:szCs w:val="21"/>
                      <w:highlight w:val="none"/>
                      <w:lang w:bidi="ar"/>
                    </w:rPr>
                    <w:t>0.00788</w:t>
                  </w:r>
                </w:p>
              </w:tc>
              <w:tc>
                <w:tcPr>
                  <w:tcW w:w="0" w:type="auto"/>
                  <w:tcBorders>
                    <w:right w:val="single" w:color="auto" w:sz="4" w:space="0"/>
                  </w:tcBorders>
                  <w:vAlign w:val="center"/>
                </w:tcPr>
                <w:p>
                  <w:pPr>
                    <w:widowControl/>
                    <w:jc w:val="center"/>
                    <w:textAlignment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kern w:val="0"/>
                      <w:sz w:val="21"/>
                      <w:szCs w:val="21"/>
                      <w:highlight w:val="none"/>
                      <w:lang w:bidi="ar"/>
                    </w:rPr>
                    <w:t>0.0189</w:t>
                  </w:r>
                </w:p>
              </w:tc>
            </w:tr>
            <w:bookmarkEnd w:id="1"/>
          </w:tbl>
          <w:p>
            <w:pPr>
              <w:spacing w:before="120" w:beforeLines="50" w:line="360" w:lineRule="auto"/>
              <w:ind w:firstLine="420" w:firstLineChars="200"/>
              <w:jc w:val="left"/>
              <w:rPr>
                <w:bCs/>
                <w:color w:val="auto"/>
                <w:szCs w:val="21"/>
                <w:highlight w:val="none"/>
              </w:rPr>
            </w:pPr>
            <w:r>
              <w:rPr>
                <w:rFonts w:hint="eastAsia"/>
                <w:bCs/>
                <w:color w:val="auto"/>
                <w:szCs w:val="21"/>
                <w:highlight w:val="none"/>
              </w:rPr>
              <w:t>（1）投料、混合搅拌粉尘</w:t>
            </w:r>
          </w:p>
          <w:p>
            <w:pPr>
              <w:adjustRightInd w:val="0"/>
              <w:snapToGrid w:val="0"/>
              <w:spacing w:line="360" w:lineRule="auto"/>
              <w:ind w:firstLine="420" w:firstLineChars="200"/>
              <w:rPr>
                <w:bCs/>
                <w:color w:val="auto"/>
                <w:szCs w:val="21"/>
                <w:highlight w:val="none"/>
              </w:rPr>
            </w:pPr>
            <w:r>
              <w:rPr>
                <w:bCs/>
                <w:color w:val="auto"/>
                <w:szCs w:val="21"/>
                <w:highlight w:val="none"/>
              </w:rPr>
              <w:t>项目粉状物料在投料</w:t>
            </w:r>
            <w:r>
              <w:rPr>
                <w:rFonts w:hint="eastAsia"/>
                <w:bCs/>
                <w:color w:val="auto"/>
                <w:szCs w:val="21"/>
                <w:highlight w:val="none"/>
              </w:rPr>
              <w:t>、混合搅拌</w:t>
            </w:r>
            <w:r>
              <w:rPr>
                <w:bCs/>
                <w:color w:val="auto"/>
                <w:szCs w:val="21"/>
                <w:highlight w:val="none"/>
              </w:rPr>
              <w:t>过程会有粉尘产生，根据本项目工程设备设置，</w:t>
            </w:r>
            <w:r>
              <w:rPr>
                <w:color w:val="auto"/>
                <w:szCs w:val="21"/>
                <w:highlight w:val="none"/>
                <w:lang w:bidi="ar"/>
              </w:rPr>
              <w:t>塑胶跑道PU材料</w:t>
            </w:r>
            <w:r>
              <w:rPr>
                <w:bCs/>
                <w:color w:val="auto"/>
                <w:szCs w:val="21"/>
                <w:highlight w:val="none"/>
              </w:rPr>
              <w:t>生产时，所用粉状原料均采取人工</w:t>
            </w:r>
            <w:r>
              <w:rPr>
                <w:rFonts w:hint="eastAsia"/>
                <w:bCs/>
                <w:color w:val="auto"/>
                <w:szCs w:val="21"/>
                <w:highlight w:val="none"/>
              </w:rPr>
              <w:t>解包</w:t>
            </w:r>
            <w:r>
              <w:rPr>
                <w:bCs/>
                <w:color w:val="auto"/>
                <w:szCs w:val="21"/>
                <w:highlight w:val="none"/>
              </w:rPr>
              <w:t>倒入搅拌桶，故投料过程中会有粉状原料外逸，进而形成粉尘污染物</w:t>
            </w:r>
            <w:r>
              <w:rPr>
                <w:rFonts w:hint="eastAsia"/>
                <w:bCs/>
                <w:color w:val="auto"/>
                <w:szCs w:val="21"/>
                <w:highlight w:val="none"/>
              </w:rPr>
              <w:t>，</w:t>
            </w:r>
            <w:r>
              <w:rPr>
                <w:bCs/>
                <w:color w:val="auto"/>
                <w:szCs w:val="21"/>
                <w:highlight w:val="none"/>
              </w:rPr>
              <w:t>根据装卸起尘量计算公式：</w:t>
            </w:r>
          </w:p>
          <w:p>
            <w:pPr>
              <w:adjustRightInd w:val="0"/>
              <w:snapToGrid w:val="0"/>
              <w:spacing w:line="360" w:lineRule="auto"/>
              <w:ind w:firstLine="420" w:firstLineChars="200"/>
              <w:jc w:val="center"/>
              <w:rPr>
                <w:bCs/>
                <w:color w:val="auto"/>
                <w:szCs w:val="21"/>
                <w:highlight w:val="none"/>
              </w:rPr>
            </w:pPr>
            <w:r>
              <w:rPr>
                <w:bCs/>
                <w:color w:val="auto"/>
                <w:szCs w:val="21"/>
                <w:highlight w:val="none"/>
              </w:rPr>
              <w:object>
                <v:shape id="_x0000_i1025" o:spt="75" type="#_x0000_t75" style="height:19pt;width:207.95pt;" o:ole="t" filled="f" o:preferrelative="t" stroked="f" coordsize="21600,21600">
                  <v:path/>
                  <v:fill on="f" focussize="0,0"/>
                  <v:stroke on="f"/>
                  <v:imagedata r:id="rId14" o:title=""/>
                  <o:lock v:ext="edit" aspectratio="t"/>
                  <w10:wrap type="none"/>
                  <w10:anchorlock/>
                </v:shape>
                <o:OLEObject Type="Embed" ProgID="Equation.3" ShapeID="_x0000_i1025" DrawAspect="Content" ObjectID="_1468075725" r:id="rId13">
                  <o:LockedField>false</o:LockedField>
                </o:OLEObject>
              </w:object>
            </w:r>
          </w:p>
          <w:p>
            <w:pPr>
              <w:adjustRightInd w:val="0"/>
              <w:snapToGrid w:val="0"/>
              <w:spacing w:line="360" w:lineRule="auto"/>
              <w:ind w:firstLine="420" w:firstLineChars="200"/>
              <w:rPr>
                <w:bCs/>
                <w:color w:val="auto"/>
                <w:szCs w:val="21"/>
                <w:highlight w:val="none"/>
              </w:rPr>
            </w:pPr>
            <w:r>
              <w:rPr>
                <w:bCs/>
                <w:color w:val="auto"/>
                <w:szCs w:val="21"/>
                <w:highlight w:val="none"/>
              </w:rPr>
              <w:t>其中：Q—物料起尘量，mg/s；</w:t>
            </w:r>
          </w:p>
          <w:p>
            <w:pPr>
              <w:adjustRightInd w:val="0"/>
              <w:snapToGrid w:val="0"/>
              <w:spacing w:line="360" w:lineRule="auto"/>
              <w:ind w:firstLine="420" w:firstLineChars="200"/>
              <w:rPr>
                <w:bCs/>
                <w:color w:val="auto"/>
                <w:szCs w:val="21"/>
                <w:highlight w:val="none"/>
              </w:rPr>
            </w:pPr>
            <w:r>
              <w:rPr>
                <w:bCs/>
                <w:color w:val="auto"/>
                <w:szCs w:val="21"/>
                <w:highlight w:val="none"/>
              </w:rPr>
              <w:t>U—车间内风速，m/s；</w:t>
            </w:r>
          </w:p>
          <w:p>
            <w:pPr>
              <w:adjustRightInd w:val="0"/>
              <w:snapToGrid w:val="0"/>
              <w:spacing w:line="360" w:lineRule="auto"/>
              <w:ind w:firstLine="420" w:firstLineChars="200"/>
              <w:rPr>
                <w:bCs/>
                <w:color w:val="auto"/>
                <w:szCs w:val="21"/>
                <w:highlight w:val="none"/>
              </w:rPr>
            </w:pPr>
            <w:r>
              <w:rPr>
                <w:bCs/>
                <w:color w:val="auto"/>
                <w:szCs w:val="21"/>
                <w:highlight w:val="none"/>
              </w:rPr>
              <w:t>H—物料落差，m；</w:t>
            </w:r>
          </w:p>
          <w:p>
            <w:pPr>
              <w:adjustRightInd w:val="0"/>
              <w:snapToGrid w:val="0"/>
              <w:spacing w:line="360" w:lineRule="auto"/>
              <w:ind w:firstLine="420" w:firstLineChars="200"/>
              <w:rPr>
                <w:bCs/>
                <w:color w:val="auto"/>
                <w:szCs w:val="21"/>
                <w:highlight w:val="none"/>
              </w:rPr>
            </w:pPr>
            <w:r>
              <w:rPr>
                <w:bCs/>
                <w:color w:val="auto"/>
                <w:szCs w:val="21"/>
                <w:highlight w:val="none"/>
              </w:rPr>
              <w:t>W—物料含水率，%。</w:t>
            </w:r>
          </w:p>
          <w:p>
            <w:pPr>
              <w:adjustRightInd w:val="0"/>
              <w:snapToGrid w:val="0"/>
              <w:spacing w:line="360" w:lineRule="auto"/>
              <w:ind w:firstLine="420" w:firstLineChars="200"/>
              <w:rPr>
                <w:bCs/>
                <w:color w:val="auto"/>
                <w:szCs w:val="21"/>
                <w:highlight w:val="none"/>
              </w:rPr>
            </w:pPr>
            <w:r>
              <w:rPr>
                <w:bCs/>
                <w:color w:val="auto"/>
                <w:szCs w:val="21"/>
                <w:highlight w:val="none"/>
              </w:rPr>
              <w:t>项目车间内平均风速U为0.3m/s，物料落差H取0.2m，W含水率取5%，则可计算出项目投料过程中产生的粉尘量为0.0373g/s（0.1344kg/h），根据企业生产特点，其投料过程为非连续投料，称量、投加等转移过程以平均每天</w:t>
            </w:r>
            <w:r>
              <w:rPr>
                <w:rFonts w:hint="eastAsia"/>
                <w:bCs/>
                <w:color w:val="auto"/>
                <w:szCs w:val="21"/>
                <w:highlight w:val="none"/>
              </w:rPr>
              <w:t>8</w:t>
            </w:r>
            <w:r>
              <w:rPr>
                <w:bCs/>
                <w:color w:val="auto"/>
                <w:szCs w:val="21"/>
                <w:highlight w:val="none"/>
              </w:rPr>
              <w:t>h计，投料过程产生的粉尘量为</w:t>
            </w:r>
            <w:r>
              <w:rPr>
                <w:rFonts w:hint="eastAsia"/>
                <w:bCs/>
                <w:color w:val="auto"/>
                <w:szCs w:val="21"/>
                <w:highlight w:val="none"/>
              </w:rPr>
              <w:t>1.0752</w:t>
            </w:r>
            <w:r>
              <w:rPr>
                <w:bCs/>
                <w:color w:val="auto"/>
                <w:szCs w:val="21"/>
                <w:highlight w:val="none"/>
              </w:rPr>
              <w:t>kg/d，以年工作300天计，则投料过程粉尘产生量约为0.</w:t>
            </w:r>
            <w:r>
              <w:rPr>
                <w:rFonts w:hint="eastAsia"/>
                <w:bCs/>
                <w:color w:val="auto"/>
                <w:szCs w:val="21"/>
                <w:highlight w:val="none"/>
              </w:rPr>
              <w:t>3226</w:t>
            </w:r>
            <w:r>
              <w:rPr>
                <w:bCs/>
                <w:color w:val="auto"/>
                <w:szCs w:val="21"/>
                <w:highlight w:val="none"/>
              </w:rPr>
              <w:t>t/a。</w:t>
            </w:r>
          </w:p>
          <w:p>
            <w:pPr>
              <w:adjustRightInd w:val="0"/>
              <w:snapToGrid w:val="0"/>
              <w:spacing w:line="360" w:lineRule="auto"/>
              <w:ind w:firstLine="420" w:firstLineChars="200"/>
              <w:rPr>
                <w:bCs/>
                <w:color w:val="auto"/>
                <w:szCs w:val="21"/>
                <w:highlight w:val="none"/>
              </w:rPr>
            </w:pPr>
            <w:r>
              <w:rPr>
                <w:rFonts w:hint="eastAsia"/>
                <w:bCs/>
                <w:color w:val="auto"/>
                <w:szCs w:val="21"/>
                <w:highlight w:val="none"/>
              </w:rPr>
              <w:t>（2）有机废气</w:t>
            </w:r>
          </w:p>
          <w:p>
            <w:pPr>
              <w:adjustRightInd w:val="0"/>
              <w:snapToGrid w:val="0"/>
              <w:spacing w:line="360" w:lineRule="auto"/>
              <w:ind w:firstLine="420" w:firstLineChars="200"/>
              <w:rPr>
                <w:bCs/>
                <w:color w:val="auto"/>
                <w:szCs w:val="21"/>
                <w:highlight w:val="none"/>
              </w:rPr>
            </w:pPr>
            <w:r>
              <w:rPr>
                <w:rFonts w:hint="eastAsia"/>
                <w:bCs/>
                <w:color w:val="auto"/>
                <w:szCs w:val="21"/>
                <w:highlight w:val="none"/>
              </w:rPr>
              <w:t>项目投料、搅拌混合、</w:t>
            </w:r>
            <w:r>
              <w:rPr>
                <w:rFonts w:hint="eastAsia"/>
                <w:bCs/>
                <w:color w:val="auto"/>
                <w:szCs w:val="21"/>
                <w:highlight w:val="none"/>
                <w:lang w:val="en-US" w:eastAsia="zh-CN"/>
              </w:rPr>
              <w:t>研磨、</w:t>
            </w:r>
            <w:r>
              <w:rPr>
                <w:rFonts w:hint="eastAsia"/>
                <w:bCs/>
                <w:color w:val="auto"/>
                <w:szCs w:val="21"/>
                <w:highlight w:val="none"/>
              </w:rPr>
              <w:t>分装工序会产生有机废气，根据《广东省石油化工行业VOCs排放量计算方法》（粤环函〔2019〕243号）中“表2.6-2石油化工工业生产产品VOCs产污系数”的说明，生产其他化学品（使用或反应产生挥发性有机物）的VOCs产污系数为0.021kg/t-原料。项目所用原辅材料中会产生VOCs的原料分别为聚醚多元醇和氯化石蜡，合计使用量为4500t/a，则投料、搅拌混合、分装工序有机废气产生量合计为0.0945t/a。</w:t>
            </w:r>
          </w:p>
          <w:p>
            <w:pPr>
              <w:adjustRightInd w:val="0"/>
              <w:snapToGrid w:val="0"/>
              <w:spacing w:line="360" w:lineRule="auto"/>
              <w:ind w:firstLine="420" w:firstLineChars="200"/>
              <w:rPr>
                <w:bCs/>
                <w:color w:val="auto"/>
                <w:szCs w:val="21"/>
                <w:highlight w:val="none"/>
              </w:rPr>
            </w:pPr>
            <w:r>
              <w:rPr>
                <w:rFonts w:hint="eastAsia"/>
                <w:bCs/>
                <w:color w:val="auto"/>
                <w:szCs w:val="21"/>
                <w:highlight w:val="none"/>
              </w:rPr>
              <w:t>项目投料</w:t>
            </w:r>
            <w:r>
              <w:rPr>
                <w:rFonts w:hint="eastAsia"/>
                <w:bCs/>
                <w:color w:val="auto"/>
                <w:szCs w:val="21"/>
                <w:highlight w:val="none"/>
                <w:lang w:val="en-US" w:eastAsia="zh-CN"/>
              </w:rPr>
              <w:t>、搅拌混合、研磨设备上方设置集气罩，产品制作完成后，通过搅拌罐下方小出口分装进铁桶进行包装储存，分装过程产生废气，项目拟在分装出口的工位上设置集气罩对分装废气进行收集，各集气罩口控</w:t>
            </w:r>
            <w:r>
              <w:rPr>
                <w:bCs/>
                <w:color w:val="auto"/>
                <w:szCs w:val="21"/>
                <w:highlight w:val="none"/>
              </w:rPr>
              <w:t>制风速不小于0.5m/s</w:t>
            </w:r>
            <w:r>
              <w:rPr>
                <w:rFonts w:hint="eastAsia"/>
                <w:bCs/>
                <w:color w:val="auto"/>
                <w:szCs w:val="21"/>
                <w:highlight w:val="none"/>
              </w:rPr>
              <w:t>，</w:t>
            </w:r>
            <w:r>
              <w:rPr>
                <w:rFonts w:hint="eastAsia"/>
                <w:bCs/>
                <w:color w:val="auto"/>
                <w:szCs w:val="21"/>
                <w:highlight w:val="none"/>
                <w:lang w:val="en-US" w:eastAsia="zh-CN"/>
              </w:rPr>
              <w:t>集中收集的废气</w:t>
            </w:r>
            <w:r>
              <w:rPr>
                <w:rFonts w:hint="eastAsia"/>
                <w:bCs/>
                <w:color w:val="auto"/>
                <w:szCs w:val="21"/>
                <w:highlight w:val="none"/>
              </w:rPr>
              <w:t>随后汇入“布袋除尘器+</w:t>
            </w:r>
            <w:r>
              <w:rPr>
                <w:rFonts w:hint="eastAsia"/>
                <w:bCs/>
                <w:color w:val="auto"/>
                <w:szCs w:val="21"/>
                <w:highlight w:val="none"/>
                <w:lang w:val="en-US" w:eastAsia="zh-CN"/>
              </w:rPr>
              <w:t>二</w:t>
            </w:r>
            <w:r>
              <w:rPr>
                <w:rFonts w:hint="eastAsia"/>
                <w:bCs/>
                <w:color w:val="auto"/>
                <w:szCs w:val="21"/>
                <w:highlight w:val="none"/>
              </w:rPr>
              <w:t>级活性炭吸附”装置中进行处理达标后经15m高排气筒高空排放。</w:t>
            </w:r>
          </w:p>
          <w:p>
            <w:pPr>
              <w:adjustRightInd w:val="0"/>
              <w:snapToGrid w:val="0"/>
              <w:spacing w:line="360" w:lineRule="auto"/>
              <w:ind w:firstLine="420" w:firstLineChars="200"/>
              <w:textAlignment w:val="baseline"/>
              <w:rPr>
                <w:color w:val="auto"/>
                <w:highlight w:val="none"/>
              </w:rPr>
            </w:pPr>
            <w:r>
              <w:rPr>
                <w:rFonts w:hint="eastAsia"/>
                <w:color w:val="auto"/>
                <w:highlight w:val="none"/>
              </w:rPr>
              <w:t>风量：</w:t>
            </w:r>
            <w:r>
              <w:rPr>
                <w:color w:val="auto"/>
                <w:highlight w:val="none"/>
              </w:rPr>
              <w:t>根据《三废处理工程技术手册》（废气卷）中外部集气管道风量确定计算公式：</w:t>
            </w:r>
          </w:p>
          <w:p>
            <w:pPr>
              <w:widowControl/>
              <w:adjustRightInd w:val="0"/>
              <w:snapToGrid w:val="0"/>
              <w:spacing w:line="360" w:lineRule="auto"/>
              <w:ind w:firstLine="420" w:firstLineChars="200"/>
              <w:jc w:val="center"/>
              <w:rPr>
                <w:color w:val="auto"/>
                <w:highlight w:val="none"/>
              </w:rPr>
            </w:pPr>
            <w:r>
              <w:rPr>
                <w:color w:val="auto"/>
                <w:highlight w:val="none"/>
              </w:rPr>
              <w:t>Q=3600（5x</w:t>
            </w:r>
            <w:r>
              <w:rPr>
                <w:color w:val="auto"/>
                <w:highlight w:val="none"/>
                <w:vertAlign w:val="superscript"/>
              </w:rPr>
              <w:t>2</w:t>
            </w:r>
            <w:r>
              <w:rPr>
                <w:color w:val="auto"/>
                <w:highlight w:val="none"/>
              </w:rPr>
              <w:t>+F）×Vx</w:t>
            </w:r>
          </w:p>
          <w:p>
            <w:pPr>
              <w:widowControl/>
              <w:adjustRightInd w:val="0"/>
              <w:snapToGrid w:val="0"/>
              <w:spacing w:line="360" w:lineRule="auto"/>
              <w:ind w:firstLine="420" w:firstLineChars="200"/>
              <w:rPr>
                <w:rFonts w:hint="eastAsia" w:eastAsia="宋体"/>
                <w:color w:val="auto"/>
                <w:highlight w:val="none"/>
                <w:lang w:eastAsia="zh-CN"/>
              </w:rPr>
            </w:pPr>
            <w:r>
              <w:rPr>
                <w:color w:val="auto"/>
                <w:highlight w:val="none"/>
              </w:rPr>
              <w:t>其中：x——气罩至污染源的距离（m）；</w:t>
            </w:r>
          </w:p>
          <w:p>
            <w:pPr>
              <w:widowControl/>
              <w:adjustRightInd w:val="0"/>
              <w:snapToGrid w:val="0"/>
              <w:spacing w:line="360" w:lineRule="auto"/>
              <w:ind w:firstLine="420" w:firstLineChars="200"/>
              <w:rPr>
                <w:rFonts w:hint="eastAsia" w:eastAsia="宋体"/>
                <w:color w:val="auto"/>
                <w:highlight w:val="none"/>
                <w:lang w:eastAsia="zh-CN"/>
              </w:rPr>
            </w:pPr>
            <w:r>
              <w:rPr>
                <w:color w:val="auto"/>
                <w:highlight w:val="none"/>
              </w:rPr>
              <w:t>F——集气罩罩口面积（m</w:t>
            </w:r>
            <w:r>
              <w:rPr>
                <w:color w:val="auto"/>
                <w:highlight w:val="none"/>
                <w:vertAlign w:val="superscript"/>
              </w:rPr>
              <w:t>2</w:t>
            </w:r>
            <w:r>
              <w:rPr>
                <w:color w:val="auto"/>
                <w:highlight w:val="none"/>
              </w:rPr>
              <w:t>）；</w:t>
            </w:r>
          </w:p>
          <w:p>
            <w:pPr>
              <w:widowControl/>
              <w:adjustRightInd w:val="0"/>
              <w:snapToGrid w:val="0"/>
              <w:spacing w:line="360" w:lineRule="auto"/>
              <w:ind w:firstLine="420" w:firstLineChars="200"/>
              <w:rPr>
                <w:color w:val="auto"/>
                <w:highlight w:val="none"/>
              </w:rPr>
            </w:pPr>
            <w:r>
              <w:rPr>
                <w:color w:val="auto"/>
                <w:highlight w:val="none"/>
              </w:rPr>
              <w:t>V</w:t>
            </w:r>
            <w:r>
              <w:rPr>
                <w:color w:val="auto"/>
                <w:highlight w:val="none"/>
                <w:vertAlign w:val="subscript"/>
              </w:rPr>
              <w:t>X</w:t>
            </w:r>
            <w:r>
              <w:rPr>
                <w:color w:val="auto"/>
                <w:highlight w:val="none"/>
              </w:rPr>
              <w:t>——控制风速（m/s）。</w:t>
            </w:r>
          </w:p>
          <w:p>
            <w:pPr>
              <w:adjustRightInd w:val="0"/>
              <w:snapToGrid w:val="0"/>
              <w:spacing w:line="360" w:lineRule="auto"/>
              <w:ind w:firstLine="420" w:firstLineChars="200"/>
              <w:rPr>
                <w:rFonts w:hint="default"/>
                <w:bCs/>
                <w:color w:val="auto"/>
                <w:szCs w:val="21"/>
                <w:highlight w:val="none"/>
                <w:lang w:val="en-US" w:eastAsia="zh-CN"/>
              </w:rPr>
            </w:pPr>
            <w:r>
              <w:rPr>
                <w:rFonts w:hint="eastAsia"/>
                <w:bCs/>
                <w:color w:val="auto"/>
                <w:szCs w:val="21"/>
                <w:highlight w:val="none"/>
                <w:lang w:val="en-US" w:eastAsia="zh-CN"/>
              </w:rPr>
              <w:t>本项目各外部集气设施风量情况如下表所示：</w:t>
            </w:r>
          </w:p>
          <w:p>
            <w:pPr>
              <w:pStyle w:val="123"/>
              <w:rPr>
                <w:rFonts w:eastAsia="宋体"/>
                <w:b/>
                <w:bCs/>
                <w:color w:val="auto"/>
                <w:sz w:val="21"/>
                <w:szCs w:val="21"/>
                <w:highlight w:val="none"/>
                <w:lang w:bidi="ar"/>
              </w:rPr>
            </w:pPr>
            <w:r>
              <w:rPr>
                <w:rFonts w:eastAsia="宋体"/>
                <w:b/>
                <w:bCs/>
                <w:color w:val="auto"/>
                <w:sz w:val="21"/>
                <w:szCs w:val="21"/>
                <w:highlight w:val="none"/>
                <w:lang w:bidi="ar"/>
              </w:rPr>
              <w:t>表4-2 项目</w:t>
            </w:r>
            <w:r>
              <w:rPr>
                <w:rFonts w:hint="eastAsia" w:eastAsia="宋体"/>
                <w:b/>
                <w:bCs/>
                <w:color w:val="auto"/>
                <w:sz w:val="21"/>
                <w:szCs w:val="21"/>
                <w:highlight w:val="none"/>
                <w:lang w:bidi="ar"/>
              </w:rPr>
              <w:t>废气</w:t>
            </w:r>
            <w:r>
              <w:rPr>
                <w:rFonts w:eastAsia="宋体"/>
                <w:b/>
                <w:bCs/>
                <w:color w:val="auto"/>
                <w:sz w:val="21"/>
                <w:szCs w:val="21"/>
                <w:highlight w:val="none"/>
                <w:lang w:bidi="ar"/>
              </w:rPr>
              <w:t>收集风量设计参数表</w:t>
            </w:r>
          </w:p>
          <w:tbl>
            <w:tblPr>
              <w:tblStyle w:val="36"/>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4"/>
              <w:gridCol w:w="1164"/>
              <w:gridCol w:w="1363"/>
              <w:gridCol w:w="928"/>
              <w:gridCol w:w="1011"/>
              <w:gridCol w:w="1362"/>
              <w:gridCol w:w="1145"/>
              <w:gridCol w:w="1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1" w:type="pct"/>
                  <w:vAlign w:val="center"/>
                </w:tcPr>
                <w:p>
                  <w:pPr>
                    <w:widowControl/>
                    <w:adjustRightInd w:val="0"/>
                    <w:snapToGrid w:val="0"/>
                    <w:jc w:val="center"/>
                    <w:rPr>
                      <w:b/>
                      <w:bCs/>
                      <w:color w:val="auto"/>
                      <w:highlight w:val="none"/>
                    </w:rPr>
                  </w:pPr>
                  <w:r>
                    <w:rPr>
                      <w:b/>
                      <w:bCs/>
                      <w:color w:val="auto"/>
                      <w:highlight w:val="none"/>
                    </w:rPr>
                    <w:t>设备</w:t>
                  </w:r>
                </w:p>
              </w:tc>
              <w:tc>
                <w:tcPr>
                  <w:tcW w:w="617" w:type="pct"/>
                  <w:vAlign w:val="center"/>
                </w:tcPr>
                <w:p>
                  <w:pPr>
                    <w:widowControl/>
                    <w:adjustRightInd w:val="0"/>
                    <w:snapToGrid w:val="0"/>
                    <w:jc w:val="center"/>
                    <w:rPr>
                      <w:b/>
                      <w:bCs/>
                      <w:color w:val="auto"/>
                      <w:highlight w:val="none"/>
                    </w:rPr>
                  </w:pPr>
                  <w:r>
                    <w:rPr>
                      <w:rFonts w:hint="eastAsia"/>
                      <w:b/>
                      <w:bCs/>
                      <w:color w:val="auto"/>
                      <w:highlight w:val="none"/>
                    </w:rPr>
                    <w:t>集气管</w:t>
                  </w:r>
                  <w:r>
                    <w:rPr>
                      <w:b/>
                      <w:bCs/>
                      <w:color w:val="auto"/>
                      <w:highlight w:val="none"/>
                    </w:rPr>
                    <w:t>至污染源的距离（m）</w:t>
                  </w:r>
                </w:p>
              </w:tc>
              <w:tc>
                <w:tcPr>
                  <w:tcW w:w="723" w:type="pct"/>
                  <w:vAlign w:val="center"/>
                </w:tcPr>
                <w:p>
                  <w:pPr>
                    <w:widowControl/>
                    <w:adjustRightInd w:val="0"/>
                    <w:snapToGrid w:val="0"/>
                    <w:jc w:val="center"/>
                    <w:rPr>
                      <w:b/>
                      <w:bCs/>
                      <w:color w:val="auto"/>
                      <w:highlight w:val="none"/>
                    </w:rPr>
                  </w:pPr>
                  <w:r>
                    <w:rPr>
                      <w:rFonts w:hint="eastAsia"/>
                      <w:b/>
                      <w:bCs/>
                      <w:color w:val="auto"/>
                      <w:highlight w:val="none"/>
                    </w:rPr>
                    <w:t>设备尺寸（长m×宽m）</w:t>
                  </w:r>
                </w:p>
              </w:tc>
              <w:tc>
                <w:tcPr>
                  <w:tcW w:w="492" w:type="pct"/>
                  <w:vAlign w:val="center"/>
                </w:tcPr>
                <w:p>
                  <w:pPr>
                    <w:widowControl/>
                    <w:adjustRightInd w:val="0"/>
                    <w:snapToGrid w:val="0"/>
                    <w:jc w:val="center"/>
                    <w:rPr>
                      <w:b/>
                      <w:bCs/>
                      <w:color w:val="auto"/>
                      <w:highlight w:val="none"/>
                    </w:rPr>
                  </w:pPr>
                  <w:r>
                    <w:rPr>
                      <w:rFonts w:hint="eastAsia"/>
                      <w:b/>
                      <w:bCs/>
                      <w:color w:val="auto"/>
                      <w:highlight w:val="none"/>
                    </w:rPr>
                    <w:t>投料</w:t>
                  </w:r>
                  <w:r>
                    <w:rPr>
                      <w:b/>
                      <w:bCs/>
                      <w:color w:val="auto"/>
                      <w:highlight w:val="none"/>
                    </w:rPr>
                    <w:t>口面积（m</w:t>
                  </w:r>
                  <w:r>
                    <w:rPr>
                      <w:b/>
                      <w:bCs/>
                      <w:color w:val="auto"/>
                      <w:highlight w:val="none"/>
                      <w:vertAlign w:val="superscript"/>
                    </w:rPr>
                    <w:t>2</w:t>
                  </w:r>
                  <w:r>
                    <w:rPr>
                      <w:b/>
                      <w:bCs/>
                      <w:color w:val="auto"/>
                      <w:highlight w:val="none"/>
                    </w:rPr>
                    <w:t>）</w:t>
                  </w:r>
                </w:p>
              </w:tc>
              <w:tc>
                <w:tcPr>
                  <w:tcW w:w="536" w:type="pct"/>
                  <w:vAlign w:val="center"/>
                </w:tcPr>
                <w:p>
                  <w:pPr>
                    <w:widowControl/>
                    <w:adjustRightInd w:val="0"/>
                    <w:snapToGrid w:val="0"/>
                    <w:jc w:val="center"/>
                    <w:rPr>
                      <w:b/>
                      <w:bCs/>
                      <w:color w:val="auto"/>
                      <w:highlight w:val="none"/>
                    </w:rPr>
                  </w:pPr>
                  <w:r>
                    <w:rPr>
                      <w:b/>
                      <w:bCs/>
                      <w:color w:val="auto"/>
                      <w:highlight w:val="none"/>
                    </w:rPr>
                    <w:t>控制风速（m/s）</w:t>
                  </w:r>
                </w:p>
              </w:tc>
              <w:tc>
                <w:tcPr>
                  <w:tcW w:w="722" w:type="pct"/>
                  <w:vAlign w:val="center"/>
                </w:tcPr>
                <w:p>
                  <w:pPr>
                    <w:widowControl/>
                    <w:adjustRightInd w:val="0"/>
                    <w:snapToGrid w:val="0"/>
                    <w:jc w:val="center"/>
                    <w:rPr>
                      <w:b/>
                      <w:bCs/>
                      <w:color w:val="auto"/>
                      <w:highlight w:val="none"/>
                    </w:rPr>
                  </w:pPr>
                  <w:r>
                    <w:rPr>
                      <w:b/>
                      <w:bCs/>
                      <w:color w:val="auto"/>
                      <w:highlight w:val="none"/>
                    </w:rPr>
                    <w:t>单个</w:t>
                  </w:r>
                  <w:r>
                    <w:rPr>
                      <w:rFonts w:hint="eastAsia"/>
                      <w:b/>
                      <w:bCs/>
                      <w:color w:val="auto"/>
                      <w:highlight w:val="none"/>
                    </w:rPr>
                    <w:t>集气</w:t>
                  </w:r>
                  <w:r>
                    <w:rPr>
                      <w:b/>
                      <w:bCs/>
                      <w:color w:val="auto"/>
                      <w:highlight w:val="none"/>
                    </w:rPr>
                    <w:t>设施风量（m</w:t>
                  </w:r>
                  <w:r>
                    <w:rPr>
                      <w:b/>
                      <w:bCs/>
                      <w:color w:val="auto"/>
                      <w:highlight w:val="none"/>
                      <w:vertAlign w:val="superscript"/>
                    </w:rPr>
                    <w:t>3</w:t>
                  </w:r>
                  <w:r>
                    <w:rPr>
                      <w:b/>
                      <w:bCs/>
                      <w:color w:val="auto"/>
                      <w:highlight w:val="none"/>
                    </w:rPr>
                    <w:t>/h）</w:t>
                  </w:r>
                </w:p>
              </w:tc>
              <w:tc>
                <w:tcPr>
                  <w:tcW w:w="605" w:type="pct"/>
                  <w:vAlign w:val="center"/>
                </w:tcPr>
                <w:p>
                  <w:pPr>
                    <w:widowControl/>
                    <w:adjustRightInd w:val="0"/>
                    <w:snapToGrid w:val="0"/>
                    <w:jc w:val="center"/>
                    <w:rPr>
                      <w:b/>
                      <w:bCs/>
                      <w:color w:val="auto"/>
                      <w:highlight w:val="none"/>
                    </w:rPr>
                  </w:pPr>
                  <w:r>
                    <w:rPr>
                      <w:b/>
                      <w:bCs/>
                      <w:color w:val="auto"/>
                      <w:highlight w:val="none"/>
                    </w:rPr>
                    <w:t>集气设施数量（个）</w:t>
                  </w:r>
                </w:p>
              </w:tc>
              <w:tc>
                <w:tcPr>
                  <w:tcW w:w="631" w:type="pct"/>
                  <w:vAlign w:val="center"/>
                </w:tcPr>
                <w:p>
                  <w:pPr>
                    <w:widowControl/>
                    <w:adjustRightInd w:val="0"/>
                    <w:snapToGrid w:val="0"/>
                    <w:jc w:val="center"/>
                    <w:rPr>
                      <w:b/>
                      <w:bCs/>
                      <w:color w:val="auto"/>
                      <w:highlight w:val="none"/>
                    </w:rPr>
                  </w:pPr>
                  <w:r>
                    <w:rPr>
                      <w:b/>
                      <w:bCs/>
                      <w:color w:val="auto"/>
                      <w:highlight w:val="none"/>
                    </w:rPr>
                    <w:t>风量（m</w:t>
                  </w:r>
                  <w:r>
                    <w:rPr>
                      <w:b/>
                      <w:bCs/>
                      <w:color w:val="auto"/>
                      <w:highlight w:val="none"/>
                      <w:vertAlign w:val="superscript"/>
                    </w:rPr>
                    <w:t>3</w:t>
                  </w:r>
                  <w:r>
                    <w:rPr>
                      <w:b/>
                      <w:bCs/>
                      <w:color w:val="auto"/>
                      <w:highlight w:val="none"/>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1" w:type="pct"/>
                  <w:vAlign w:val="center"/>
                </w:tcPr>
                <w:p>
                  <w:pPr>
                    <w:widowControl/>
                    <w:adjustRightInd w:val="0"/>
                    <w:snapToGrid w:val="0"/>
                    <w:jc w:val="center"/>
                    <w:rPr>
                      <w:color w:val="auto"/>
                      <w:highlight w:val="none"/>
                    </w:rPr>
                  </w:pPr>
                  <w:r>
                    <w:rPr>
                      <w:rFonts w:hint="eastAsia"/>
                      <w:color w:val="auto"/>
                      <w:highlight w:val="none"/>
                    </w:rPr>
                    <w:t>10t搅拌缸</w:t>
                  </w:r>
                </w:p>
              </w:tc>
              <w:tc>
                <w:tcPr>
                  <w:tcW w:w="617" w:type="pct"/>
                  <w:vAlign w:val="center"/>
                </w:tcPr>
                <w:p>
                  <w:pPr>
                    <w:widowControl/>
                    <w:adjustRightInd w:val="0"/>
                    <w:snapToGrid w:val="0"/>
                    <w:jc w:val="center"/>
                    <w:rPr>
                      <w:color w:val="auto"/>
                      <w:highlight w:val="none"/>
                    </w:rPr>
                  </w:pPr>
                  <w:r>
                    <w:rPr>
                      <w:color w:val="auto"/>
                      <w:highlight w:val="none"/>
                    </w:rPr>
                    <w:t>0.</w:t>
                  </w:r>
                  <w:r>
                    <w:rPr>
                      <w:rFonts w:hint="eastAsia"/>
                      <w:color w:val="auto"/>
                      <w:highlight w:val="none"/>
                    </w:rPr>
                    <w:t>2</w:t>
                  </w:r>
                </w:p>
              </w:tc>
              <w:tc>
                <w:tcPr>
                  <w:tcW w:w="723" w:type="pct"/>
                  <w:vAlign w:val="center"/>
                </w:tcPr>
                <w:p>
                  <w:pPr>
                    <w:widowControl/>
                    <w:adjustRightInd w:val="0"/>
                    <w:snapToGrid w:val="0"/>
                    <w:jc w:val="center"/>
                    <w:rPr>
                      <w:color w:val="auto"/>
                      <w:highlight w:val="none"/>
                    </w:rPr>
                  </w:pPr>
                  <w:r>
                    <w:rPr>
                      <w:rFonts w:hint="eastAsia"/>
                      <w:color w:val="auto"/>
                      <w:highlight w:val="none"/>
                    </w:rPr>
                    <w:t>1*1</w:t>
                  </w:r>
                </w:p>
              </w:tc>
              <w:tc>
                <w:tcPr>
                  <w:tcW w:w="492" w:type="pct"/>
                  <w:vAlign w:val="center"/>
                </w:tcPr>
                <w:p>
                  <w:pPr>
                    <w:widowControl/>
                    <w:adjustRightInd w:val="0"/>
                    <w:snapToGrid w:val="0"/>
                    <w:jc w:val="center"/>
                    <w:rPr>
                      <w:color w:val="auto"/>
                      <w:highlight w:val="none"/>
                    </w:rPr>
                  </w:pPr>
                  <w:r>
                    <w:rPr>
                      <w:rFonts w:hint="eastAsia"/>
                      <w:color w:val="auto"/>
                      <w:highlight w:val="none"/>
                    </w:rPr>
                    <w:t>1</w:t>
                  </w:r>
                </w:p>
              </w:tc>
              <w:tc>
                <w:tcPr>
                  <w:tcW w:w="536" w:type="pct"/>
                  <w:vAlign w:val="center"/>
                </w:tcPr>
                <w:p>
                  <w:pPr>
                    <w:widowControl/>
                    <w:adjustRightInd w:val="0"/>
                    <w:snapToGrid w:val="0"/>
                    <w:jc w:val="center"/>
                    <w:rPr>
                      <w:color w:val="auto"/>
                      <w:highlight w:val="none"/>
                    </w:rPr>
                  </w:pPr>
                  <w:r>
                    <w:rPr>
                      <w:color w:val="auto"/>
                      <w:highlight w:val="none"/>
                    </w:rPr>
                    <w:t>0.</w:t>
                  </w:r>
                  <w:r>
                    <w:rPr>
                      <w:rFonts w:hint="eastAsia"/>
                      <w:color w:val="auto"/>
                      <w:highlight w:val="none"/>
                    </w:rPr>
                    <w:t>6</w:t>
                  </w:r>
                </w:p>
              </w:tc>
              <w:tc>
                <w:tcPr>
                  <w:tcW w:w="722" w:type="pct"/>
                  <w:vAlign w:val="center"/>
                </w:tcPr>
                <w:p>
                  <w:pPr>
                    <w:widowControl/>
                    <w:adjustRightInd w:val="0"/>
                    <w:snapToGrid w:val="0"/>
                    <w:jc w:val="center"/>
                    <w:rPr>
                      <w:color w:val="auto"/>
                      <w:highlight w:val="none"/>
                    </w:rPr>
                  </w:pPr>
                  <w:r>
                    <w:rPr>
                      <w:rFonts w:hint="eastAsia"/>
                      <w:color w:val="auto"/>
                      <w:highlight w:val="none"/>
                    </w:rPr>
                    <w:t>2592</w:t>
                  </w:r>
                </w:p>
              </w:tc>
              <w:tc>
                <w:tcPr>
                  <w:tcW w:w="605" w:type="pct"/>
                  <w:vAlign w:val="center"/>
                </w:tcPr>
                <w:p>
                  <w:pPr>
                    <w:widowControl/>
                    <w:adjustRightInd w:val="0"/>
                    <w:snapToGrid w:val="0"/>
                    <w:jc w:val="center"/>
                    <w:rPr>
                      <w:color w:val="auto"/>
                      <w:highlight w:val="none"/>
                    </w:rPr>
                  </w:pPr>
                  <w:r>
                    <w:rPr>
                      <w:rFonts w:hint="eastAsia"/>
                      <w:color w:val="auto"/>
                      <w:highlight w:val="none"/>
                    </w:rPr>
                    <w:t>1</w:t>
                  </w:r>
                </w:p>
              </w:tc>
              <w:tc>
                <w:tcPr>
                  <w:tcW w:w="631" w:type="pct"/>
                  <w:vAlign w:val="center"/>
                </w:tcPr>
                <w:p>
                  <w:pPr>
                    <w:widowControl/>
                    <w:adjustRightInd w:val="0"/>
                    <w:snapToGrid w:val="0"/>
                    <w:jc w:val="center"/>
                    <w:rPr>
                      <w:color w:val="auto"/>
                      <w:highlight w:val="none"/>
                    </w:rPr>
                  </w:pPr>
                  <w:r>
                    <w:rPr>
                      <w:rFonts w:hint="eastAsia"/>
                      <w:color w:val="auto"/>
                      <w:highlight w:val="none"/>
                    </w:rPr>
                    <w:t>2592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1" w:type="pct"/>
                  <w:vAlign w:val="center"/>
                </w:tcPr>
                <w:p>
                  <w:pPr>
                    <w:widowControl/>
                    <w:adjustRightInd w:val="0"/>
                    <w:snapToGrid w:val="0"/>
                    <w:jc w:val="center"/>
                    <w:rPr>
                      <w:color w:val="auto"/>
                      <w:highlight w:val="none"/>
                    </w:rPr>
                  </w:pPr>
                  <w:r>
                    <w:rPr>
                      <w:rFonts w:hint="eastAsia"/>
                      <w:color w:val="auto"/>
                      <w:highlight w:val="none"/>
                    </w:rPr>
                    <w:t>5t搅拌缸</w:t>
                  </w:r>
                </w:p>
              </w:tc>
              <w:tc>
                <w:tcPr>
                  <w:tcW w:w="617" w:type="pct"/>
                  <w:vAlign w:val="center"/>
                </w:tcPr>
                <w:p>
                  <w:pPr>
                    <w:widowControl/>
                    <w:adjustRightInd w:val="0"/>
                    <w:snapToGrid w:val="0"/>
                    <w:jc w:val="center"/>
                    <w:rPr>
                      <w:color w:val="auto"/>
                      <w:highlight w:val="none"/>
                    </w:rPr>
                  </w:pPr>
                  <w:r>
                    <w:rPr>
                      <w:color w:val="auto"/>
                      <w:highlight w:val="none"/>
                    </w:rPr>
                    <w:t>0.</w:t>
                  </w:r>
                  <w:r>
                    <w:rPr>
                      <w:rFonts w:hint="eastAsia"/>
                      <w:color w:val="auto"/>
                      <w:highlight w:val="none"/>
                    </w:rPr>
                    <w:t>2</w:t>
                  </w:r>
                </w:p>
              </w:tc>
              <w:tc>
                <w:tcPr>
                  <w:tcW w:w="723" w:type="pct"/>
                  <w:vAlign w:val="center"/>
                </w:tcPr>
                <w:p>
                  <w:pPr>
                    <w:widowControl/>
                    <w:adjustRightInd w:val="0"/>
                    <w:snapToGrid w:val="0"/>
                    <w:jc w:val="center"/>
                    <w:rPr>
                      <w:color w:val="auto"/>
                      <w:highlight w:val="none"/>
                    </w:rPr>
                  </w:pPr>
                  <w:r>
                    <w:rPr>
                      <w:rFonts w:hint="eastAsia"/>
                      <w:color w:val="auto"/>
                      <w:highlight w:val="none"/>
                    </w:rPr>
                    <w:t>0.5*0.5</w:t>
                  </w:r>
                </w:p>
              </w:tc>
              <w:tc>
                <w:tcPr>
                  <w:tcW w:w="492" w:type="pct"/>
                  <w:vAlign w:val="center"/>
                </w:tcPr>
                <w:p>
                  <w:pPr>
                    <w:widowControl/>
                    <w:adjustRightInd w:val="0"/>
                    <w:snapToGrid w:val="0"/>
                    <w:jc w:val="center"/>
                    <w:rPr>
                      <w:color w:val="auto"/>
                      <w:highlight w:val="none"/>
                    </w:rPr>
                  </w:pPr>
                  <w:r>
                    <w:rPr>
                      <w:rFonts w:hint="eastAsia"/>
                      <w:color w:val="auto"/>
                      <w:highlight w:val="none"/>
                    </w:rPr>
                    <w:t>0.25</w:t>
                  </w:r>
                </w:p>
              </w:tc>
              <w:tc>
                <w:tcPr>
                  <w:tcW w:w="536" w:type="pct"/>
                  <w:vAlign w:val="center"/>
                </w:tcPr>
                <w:p>
                  <w:pPr>
                    <w:widowControl/>
                    <w:adjustRightInd w:val="0"/>
                    <w:snapToGrid w:val="0"/>
                    <w:jc w:val="center"/>
                    <w:rPr>
                      <w:color w:val="auto"/>
                      <w:highlight w:val="none"/>
                    </w:rPr>
                  </w:pPr>
                  <w:r>
                    <w:rPr>
                      <w:color w:val="auto"/>
                      <w:highlight w:val="none"/>
                    </w:rPr>
                    <w:t>0.</w:t>
                  </w:r>
                  <w:r>
                    <w:rPr>
                      <w:rFonts w:hint="eastAsia"/>
                      <w:color w:val="auto"/>
                      <w:highlight w:val="none"/>
                    </w:rPr>
                    <w:t>6</w:t>
                  </w:r>
                </w:p>
              </w:tc>
              <w:tc>
                <w:tcPr>
                  <w:tcW w:w="722" w:type="pct"/>
                  <w:vAlign w:val="center"/>
                </w:tcPr>
                <w:p>
                  <w:pPr>
                    <w:widowControl/>
                    <w:adjustRightInd w:val="0"/>
                    <w:snapToGrid w:val="0"/>
                    <w:jc w:val="center"/>
                    <w:rPr>
                      <w:color w:val="auto"/>
                      <w:highlight w:val="none"/>
                    </w:rPr>
                  </w:pPr>
                  <w:r>
                    <w:rPr>
                      <w:rFonts w:hint="eastAsia"/>
                      <w:color w:val="auto"/>
                      <w:highlight w:val="none"/>
                    </w:rPr>
                    <w:t>972</w:t>
                  </w:r>
                </w:p>
              </w:tc>
              <w:tc>
                <w:tcPr>
                  <w:tcW w:w="605" w:type="pct"/>
                  <w:vAlign w:val="center"/>
                </w:tcPr>
                <w:p>
                  <w:pPr>
                    <w:widowControl/>
                    <w:adjustRightInd w:val="0"/>
                    <w:snapToGrid w:val="0"/>
                    <w:jc w:val="center"/>
                    <w:rPr>
                      <w:color w:val="auto"/>
                      <w:highlight w:val="none"/>
                    </w:rPr>
                  </w:pPr>
                  <w:r>
                    <w:rPr>
                      <w:rFonts w:hint="eastAsia"/>
                      <w:color w:val="auto"/>
                      <w:highlight w:val="none"/>
                    </w:rPr>
                    <w:t>5</w:t>
                  </w:r>
                </w:p>
              </w:tc>
              <w:tc>
                <w:tcPr>
                  <w:tcW w:w="631" w:type="pct"/>
                  <w:vAlign w:val="center"/>
                </w:tcPr>
                <w:p>
                  <w:pPr>
                    <w:widowControl/>
                    <w:adjustRightInd w:val="0"/>
                    <w:snapToGrid w:val="0"/>
                    <w:jc w:val="center"/>
                    <w:rPr>
                      <w:color w:val="auto"/>
                      <w:highlight w:val="none"/>
                    </w:rPr>
                  </w:pPr>
                  <w:r>
                    <w:rPr>
                      <w:rFonts w:hint="eastAsia"/>
                      <w:color w:val="auto"/>
                      <w:highlight w:val="none"/>
                    </w:rPr>
                    <w:t>4860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1" w:type="pct"/>
                  <w:vAlign w:val="center"/>
                </w:tcPr>
                <w:p>
                  <w:pPr>
                    <w:widowControl/>
                    <w:adjustRightInd w:val="0"/>
                    <w:snapToGrid w:val="0"/>
                    <w:jc w:val="center"/>
                    <w:rPr>
                      <w:color w:val="auto"/>
                      <w:highlight w:val="none"/>
                    </w:rPr>
                  </w:pPr>
                  <w:r>
                    <w:rPr>
                      <w:rFonts w:hint="eastAsia"/>
                      <w:color w:val="auto"/>
                      <w:highlight w:val="none"/>
                    </w:rPr>
                    <w:t>0.2t搅拌缸</w:t>
                  </w:r>
                </w:p>
              </w:tc>
              <w:tc>
                <w:tcPr>
                  <w:tcW w:w="617" w:type="pct"/>
                  <w:vAlign w:val="center"/>
                </w:tcPr>
                <w:p>
                  <w:pPr>
                    <w:widowControl/>
                    <w:adjustRightInd w:val="0"/>
                    <w:snapToGrid w:val="0"/>
                    <w:jc w:val="center"/>
                    <w:rPr>
                      <w:color w:val="auto"/>
                      <w:highlight w:val="none"/>
                    </w:rPr>
                  </w:pPr>
                  <w:r>
                    <w:rPr>
                      <w:color w:val="auto"/>
                      <w:highlight w:val="none"/>
                    </w:rPr>
                    <w:t>0.</w:t>
                  </w:r>
                  <w:r>
                    <w:rPr>
                      <w:rFonts w:hint="eastAsia"/>
                      <w:color w:val="auto"/>
                      <w:highlight w:val="none"/>
                    </w:rPr>
                    <w:t>2</w:t>
                  </w:r>
                </w:p>
              </w:tc>
              <w:tc>
                <w:tcPr>
                  <w:tcW w:w="723" w:type="pct"/>
                  <w:vAlign w:val="center"/>
                </w:tcPr>
                <w:p>
                  <w:pPr>
                    <w:widowControl/>
                    <w:adjustRightInd w:val="0"/>
                    <w:snapToGrid w:val="0"/>
                    <w:jc w:val="center"/>
                    <w:rPr>
                      <w:color w:val="auto"/>
                      <w:highlight w:val="none"/>
                    </w:rPr>
                  </w:pPr>
                  <w:r>
                    <w:rPr>
                      <w:rFonts w:hint="eastAsia"/>
                      <w:color w:val="auto"/>
                      <w:highlight w:val="none"/>
                    </w:rPr>
                    <w:t>0.3*0.3</w:t>
                  </w:r>
                </w:p>
              </w:tc>
              <w:tc>
                <w:tcPr>
                  <w:tcW w:w="492" w:type="pct"/>
                  <w:vAlign w:val="center"/>
                </w:tcPr>
                <w:p>
                  <w:pPr>
                    <w:widowControl/>
                    <w:adjustRightInd w:val="0"/>
                    <w:snapToGrid w:val="0"/>
                    <w:jc w:val="center"/>
                    <w:rPr>
                      <w:color w:val="auto"/>
                      <w:highlight w:val="none"/>
                    </w:rPr>
                  </w:pPr>
                  <w:r>
                    <w:rPr>
                      <w:rFonts w:hint="eastAsia"/>
                      <w:color w:val="auto"/>
                      <w:highlight w:val="none"/>
                    </w:rPr>
                    <w:t>0.09</w:t>
                  </w:r>
                </w:p>
              </w:tc>
              <w:tc>
                <w:tcPr>
                  <w:tcW w:w="536" w:type="pct"/>
                  <w:vAlign w:val="center"/>
                </w:tcPr>
                <w:p>
                  <w:pPr>
                    <w:widowControl/>
                    <w:adjustRightInd w:val="0"/>
                    <w:snapToGrid w:val="0"/>
                    <w:jc w:val="center"/>
                    <w:rPr>
                      <w:color w:val="auto"/>
                      <w:highlight w:val="none"/>
                    </w:rPr>
                  </w:pPr>
                  <w:r>
                    <w:rPr>
                      <w:color w:val="auto"/>
                      <w:highlight w:val="none"/>
                    </w:rPr>
                    <w:t>0.</w:t>
                  </w:r>
                  <w:r>
                    <w:rPr>
                      <w:rFonts w:hint="eastAsia"/>
                      <w:color w:val="auto"/>
                      <w:highlight w:val="none"/>
                    </w:rPr>
                    <w:t>6</w:t>
                  </w:r>
                </w:p>
              </w:tc>
              <w:tc>
                <w:tcPr>
                  <w:tcW w:w="722" w:type="pct"/>
                  <w:vAlign w:val="center"/>
                </w:tcPr>
                <w:p>
                  <w:pPr>
                    <w:widowControl/>
                    <w:adjustRightInd w:val="0"/>
                    <w:snapToGrid w:val="0"/>
                    <w:jc w:val="center"/>
                    <w:rPr>
                      <w:color w:val="auto"/>
                      <w:highlight w:val="none"/>
                    </w:rPr>
                  </w:pPr>
                  <w:r>
                    <w:rPr>
                      <w:rFonts w:hint="eastAsia"/>
                      <w:color w:val="auto"/>
                      <w:highlight w:val="none"/>
                    </w:rPr>
                    <w:t>626.4</w:t>
                  </w:r>
                </w:p>
              </w:tc>
              <w:tc>
                <w:tcPr>
                  <w:tcW w:w="605" w:type="pct"/>
                  <w:vAlign w:val="center"/>
                </w:tcPr>
                <w:p>
                  <w:pPr>
                    <w:widowControl/>
                    <w:adjustRightInd w:val="0"/>
                    <w:snapToGrid w:val="0"/>
                    <w:jc w:val="center"/>
                    <w:rPr>
                      <w:color w:val="auto"/>
                      <w:highlight w:val="none"/>
                    </w:rPr>
                  </w:pPr>
                  <w:r>
                    <w:rPr>
                      <w:rFonts w:hint="eastAsia"/>
                      <w:color w:val="auto"/>
                      <w:highlight w:val="none"/>
                    </w:rPr>
                    <w:t>1</w:t>
                  </w:r>
                </w:p>
              </w:tc>
              <w:tc>
                <w:tcPr>
                  <w:tcW w:w="631" w:type="pct"/>
                  <w:vAlign w:val="center"/>
                </w:tcPr>
                <w:p>
                  <w:pPr>
                    <w:widowControl/>
                    <w:adjustRightInd w:val="0"/>
                    <w:snapToGrid w:val="0"/>
                    <w:jc w:val="center"/>
                    <w:rPr>
                      <w:color w:val="auto"/>
                      <w:highlight w:val="none"/>
                    </w:rPr>
                  </w:pPr>
                  <w:r>
                    <w:rPr>
                      <w:rFonts w:hint="eastAsia"/>
                      <w:color w:val="auto"/>
                      <w:highlight w:val="none"/>
                    </w:rPr>
                    <w:t>626.4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1" w:type="pct"/>
                  <w:vAlign w:val="center"/>
                </w:tcPr>
                <w:p>
                  <w:pPr>
                    <w:widowControl/>
                    <w:adjustRightInd w:val="0"/>
                    <w:snapToGrid w:val="0"/>
                    <w:jc w:val="center"/>
                    <w:rPr>
                      <w:color w:val="auto"/>
                      <w:highlight w:val="none"/>
                    </w:rPr>
                  </w:pPr>
                  <w:r>
                    <w:rPr>
                      <w:rFonts w:hint="eastAsia"/>
                      <w:color w:val="auto"/>
                      <w:highlight w:val="none"/>
                    </w:rPr>
                    <w:t>3t搅拌桶</w:t>
                  </w:r>
                </w:p>
              </w:tc>
              <w:tc>
                <w:tcPr>
                  <w:tcW w:w="617" w:type="pct"/>
                  <w:vAlign w:val="center"/>
                </w:tcPr>
                <w:p>
                  <w:pPr>
                    <w:widowControl/>
                    <w:adjustRightInd w:val="0"/>
                    <w:snapToGrid w:val="0"/>
                    <w:jc w:val="center"/>
                    <w:rPr>
                      <w:color w:val="auto"/>
                      <w:highlight w:val="none"/>
                    </w:rPr>
                  </w:pPr>
                  <w:r>
                    <w:rPr>
                      <w:color w:val="auto"/>
                      <w:highlight w:val="none"/>
                    </w:rPr>
                    <w:t>0.</w:t>
                  </w:r>
                  <w:r>
                    <w:rPr>
                      <w:rFonts w:hint="eastAsia"/>
                      <w:color w:val="auto"/>
                      <w:highlight w:val="none"/>
                    </w:rPr>
                    <w:t>2</w:t>
                  </w:r>
                </w:p>
              </w:tc>
              <w:tc>
                <w:tcPr>
                  <w:tcW w:w="723" w:type="pct"/>
                  <w:vAlign w:val="center"/>
                </w:tcPr>
                <w:p>
                  <w:pPr>
                    <w:widowControl/>
                    <w:adjustRightInd w:val="0"/>
                    <w:snapToGrid w:val="0"/>
                    <w:jc w:val="center"/>
                    <w:rPr>
                      <w:color w:val="auto"/>
                      <w:highlight w:val="none"/>
                    </w:rPr>
                  </w:pPr>
                  <w:r>
                    <w:rPr>
                      <w:rFonts w:hint="eastAsia"/>
                      <w:color w:val="auto"/>
                      <w:highlight w:val="none"/>
                    </w:rPr>
                    <w:t>0.5*0.4</w:t>
                  </w:r>
                </w:p>
              </w:tc>
              <w:tc>
                <w:tcPr>
                  <w:tcW w:w="492" w:type="pct"/>
                  <w:vAlign w:val="center"/>
                </w:tcPr>
                <w:p>
                  <w:pPr>
                    <w:widowControl/>
                    <w:adjustRightInd w:val="0"/>
                    <w:snapToGrid w:val="0"/>
                    <w:jc w:val="center"/>
                    <w:rPr>
                      <w:color w:val="auto"/>
                      <w:highlight w:val="none"/>
                    </w:rPr>
                  </w:pPr>
                  <w:r>
                    <w:rPr>
                      <w:rFonts w:hint="eastAsia"/>
                      <w:color w:val="auto"/>
                      <w:highlight w:val="none"/>
                    </w:rPr>
                    <w:t>0.20</w:t>
                  </w:r>
                </w:p>
              </w:tc>
              <w:tc>
                <w:tcPr>
                  <w:tcW w:w="536" w:type="pct"/>
                  <w:vAlign w:val="center"/>
                </w:tcPr>
                <w:p>
                  <w:pPr>
                    <w:widowControl/>
                    <w:adjustRightInd w:val="0"/>
                    <w:snapToGrid w:val="0"/>
                    <w:jc w:val="center"/>
                    <w:rPr>
                      <w:color w:val="auto"/>
                      <w:highlight w:val="none"/>
                    </w:rPr>
                  </w:pPr>
                  <w:r>
                    <w:rPr>
                      <w:color w:val="auto"/>
                      <w:highlight w:val="none"/>
                    </w:rPr>
                    <w:t>0.</w:t>
                  </w:r>
                  <w:r>
                    <w:rPr>
                      <w:rFonts w:hint="eastAsia"/>
                      <w:color w:val="auto"/>
                      <w:highlight w:val="none"/>
                    </w:rPr>
                    <w:t>6</w:t>
                  </w:r>
                </w:p>
              </w:tc>
              <w:tc>
                <w:tcPr>
                  <w:tcW w:w="722" w:type="pct"/>
                  <w:vAlign w:val="center"/>
                </w:tcPr>
                <w:p>
                  <w:pPr>
                    <w:widowControl/>
                    <w:adjustRightInd w:val="0"/>
                    <w:snapToGrid w:val="0"/>
                    <w:jc w:val="center"/>
                    <w:rPr>
                      <w:color w:val="auto"/>
                      <w:highlight w:val="none"/>
                    </w:rPr>
                  </w:pPr>
                  <w:r>
                    <w:rPr>
                      <w:rFonts w:hint="eastAsia"/>
                      <w:color w:val="auto"/>
                      <w:highlight w:val="none"/>
                    </w:rPr>
                    <w:t>864</w:t>
                  </w:r>
                </w:p>
              </w:tc>
              <w:tc>
                <w:tcPr>
                  <w:tcW w:w="605" w:type="pct"/>
                  <w:vAlign w:val="center"/>
                </w:tcPr>
                <w:p>
                  <w:pPr>
                    <w:widowControl/>
                    <w:adjustRightInd w:val="0"/>
                    <w:snapToGrid w:val="0"/>
                    <w:jc w:val="center"/>
                    <w:rPr>
                      <w:color w:val="auto"/>
                      <w:highlight w:val="none"/>
                    </w:rPr>
                  </w:pPr>
                  <w:r>
                    <w:rPr>
                      <w:rFonts w:hint="eastAsia"/>
                      <w:color w:val="auto"/>
                      <w:highlight w:val="none"/>
                    </w:rPr>
                    <w:t>2</w:t>
                  </w:r>
                </w:p>
              </w:tc>
              <w:tc>
                <w:tcPr>
                  <w:tcW w:w="631" w:type="pct"/>
                  <w:vAlign w:val="center"/>
                </w:tcPr>
                <w:p>
                  <w:pPr>
                    <w:widowControl/>
                    <w:adjustRightInd w:val="0"/>
                    <w:snapToGrid w:val="0"/>
                    <w:jc w:val="center"/>
                    <w:rPr>
                      <w:color w:val="auto"/>
                      <w:highlight w:val="none"/>
                    </w:rPr>
                  </w:pPr>
                  <w:r>
                    <w:rPr>
                      <w:rFonts w:hint="eastAsia"/>
                      <w:color w:val="auto"/>
                      <w:highlight w:val="none"/>
                    </w:rPr>
                    <w:t>1728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1" w:type="pct"/>
                  <w:vAlign w:val="center"/>
                </w:tcPr>
                <w:p>
                  <w:pPr>
                    <w:widowControl/>
                    <w:adjustRightInd w:val="0"/>
                    <w:snapToGrid w:val="0"/>
                    <w:jc w:val="center"/>
                    <w:rPr>
                      <w:color w:val="auto"/>
                      <w:highlight w:val="none"/>
                    </w:rPr>
                  </w:pPr>
                  <w:r>
                    <w:rPr>
                      <w:rFonts w:hint="eastAsia"/>
                      <w:color w:val="auto"/>
                      <w:highlight w:val="none"/>
                    </w:rPr>
                    <w:t>1t搅拌桶</w:t>
                  </w:r>
                </w:p>
              </w:tc>
              <w:tc>
                <w:tcPr>
                  <w:tcW w:w="617" w:type="pct"/>
                  <w:vAlign w:val="center"/>
                </w:tcPr>
                <w:p>
                  <w:pPr>
                    <w:widowControl/>
                    <w:adjustRightInd w:val="0"/>
                    <w:snapToGrid w:val="0"/>
                    <w:jc w:val="center"/>
                    <w:rPr>
                      <w:color w:val="auto"/>
                      <w:highlight w:val="none"/>
                    </w:rPr>
                  </w:pPr>
                  <w:r>
                    <w:rPr>
                      <w:color w:val="auto"/>
                      <w:highlight w:val="none"/>
                    </w:rPr>
                    <w:t>0.</w:t>
                  </w:r>
                  <w:r>
                    <w:rPr>
                      <w:rFonts w:hint="eastAsia"/>
                      <w:color w:val="auto"/>
                      <w:highlight w:val="none"/>
                    </w:rPr>
                    <w:t>2</w:t>
                  </w:r>
                </w:p>
              </w:tc>
              <w:tc>
                <w:tcPr>
                  <w:tcW w:w="723" w:type="pct"/>
                  <w:vAlign w:val="center"/>
                </w:tcPr>
                <w:p>
                  <w:pPr>
                    <w:widowControl/>
                    <w:adjustRightInd w:val="0"/>
                    <w:snapToGrid w:val="0"/>
                    <w:jc w:val="center"/>
                    <w:rPr>
                      <w:color w:val="auto"/>
                      <w:highlight w:val="none"/>
                    </w:rPr>
                  </w:pPr>
                  <w:r>
                    <w:rPr>
                      <w:rFonts w:hint="eastAsia"/>
                      <w:color w:val="auto"/>
                      <w:highlight w:val="none"/>
                    </w:rPr>
                    <w:t>0.3*0.3</w:t>
                  </w:r>
                </w:p>
              </w:tc>
              <w:tc>
                <w:tcPr>
                  <w:tcW w:w="492" w:type="pct"/>
                  <w:vAlign w:val="center"/>
                </w:tcPr>
                <w:p>
                  <w:pPr>
                    <w:widowControl/>
                    <w:adjustRightInd w:val="0"/>
                    <w:snapToGrid w:val="0"/>
                    <w:jc w:val="center"/>
                    <w:rPr>
                      <w:color w:val="auto"/>
                      <w:highlight w:val="none"/>
                    </w:rPr>
                  </w:pPr>
                  <w:r>
                    <w:rPr>
                      <w:rFonts w:hint="eastAsia"/>
                      <w:color w:val="auto"/>
                      <w:highlight w:val="none"/>
                    </w:rPr>
                    <w:t>0.09</w:t>
                  </w:r>
                </w:p>
              </w:tc>
              <w:tc>
                <w:tcPr>
                  <w:tcW w:w="536" w:type="pct"/>
                  <w:vAlign w:val="center"/>
                </w:tcPr>
                <w:p>
                  <w:pPr>
                    <w:widowControl/>
                    <w:adjustRightInd w:val="0"/>
                    <w:snapToGrid w:val="0"/>
                    <w:jc w:val="center"/>
                    <w:rPr>
                      <w:color w:val="auto"/>
                      <w:highlight w:val="none"/>
                    </w:rPr>
                  </w:pPr>
                  <w:r>
                    <w:rPr>
                      <w:color w:val="auto"/>
                      <w:highlight w:val="none"/>
                    </w:rPr>
                    <w:t>0.</w:t>
                  </w:r>
                  <w:r>
                    <w:rPr>
                      <w:rFonts w:hint="eastAsia"/>
                      <w:color w:val="auto"/>
                      <w:highlight w:val="none"/>
                    </w:rPr>
                    <w:t>6</w:t>
                  </w:r>
                </w:p>
              </w:tc>
              <w:tc>
                <w:tcPr>
                  <w:tcW w:w="722" w:type="pct"/>
                  <w:vAlign w:val="center"/>
                </w:tcPr>
                <w:p>
                  <w:pPr>
                    <w:widowControl/>
                    <w:adjustRightInd w:val="0"/>
                    <w:snapToGrid w:val="0"/>
                    <w:jc w:val="center"/>
                    <w:rPr>
                      <w:color w:val="auto"/>
                      <w:highlight w:val="none"/>
                    </w:rPr>
                  </w:pPr>
                  <w:r>
                    <w:rPr>
                      <w:rFonts w:hint="eastAsia"/>
                      <w:color w:val="auto"/>
                      <w:highlight w:val="none"/>
                    </w:rPr>
                    <w:t>626.4</w:t>
                  </w:r>
                </w:p>
              </w:tc>
              <w:tc>
                <w:tcPr>
                  <w:tcW w:w="605" w:type="pct"/>
                  <w:vAlign w:val="center"/>
                </w:tcPr>
                <w:p>
                  <w:pPr>
                    <w:widowControl/>
                    <w:adjustRightInd w:val="0"/>
                    <w:snapToGrid w:val="0"/>
                    <w:jc w:val="center"/>
                    <w:rPr>
                      <w:color w:val="auto"/>
                      <w:highlight w:val="none"/>
                    </w:rPr>
                  </w:pPr>
                  <w:r>
                    <w:rPr>
                      <w:rFonts w:hint="eastAsia"/>
                      <w:color w:val="auto"/>
                      <w:highlight w:val="none"/>
                    </w:rPr>
                    <w:t>1</w:t>
                  </w:r>
                </w:p>
              </w:tc>
              <w:tc>
                <w:tcPr>
                  <w:tcW w:w="631" w:type="pct"/>
                  <w:vAlign w:val="center"/>
                </w:tcPr>
                <w:p>
                  <w:pPr>
                    <w:widowControl/>
                    <w:adjustRightInd w:val="0"/>
                    <w:snapToGrid w:val="0"/>
                    <w:jc w:val="center"/>
                    <w:rPr>
                      <w:color w:val="auto"/>
                      <w:highlight w:val="none"/>
                    </w:rPr>
                  </w:pPr>
                  <w:r>
                    <w:rPr>
                      <w:rFonts w:hint="eastAsia"/>
                      <w:color w:val="auto"/>
                      <w:highlight w:val="none"/>
                    </w:rPr>
                    <w:t>626.4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1" w:type="pct"/>
                  <w:vAlign w:val="center"/>
                </w:tcPr>
                <w:p>
                  <w:pPr>
                    <w:widowControl/>
                    <w:adjustRightInd w:val="0"/>
                    <w:snapToGrid w:val="0"/>
                    <w:jc w:val="center"/>
                    <w:rPr>
                      <w:rFonts w:hint="eastAsia" w:eastAsia="宋体"/>
                      <w:color w:val="auto"/>
                      <w:highlight w:val="none"/>
                      <w:lang w:val="en-US" w:eastAsia="zh-CN"/>
                    </w:rPr>
                  </w:pPr>
                  <w:r>
                    <w:rPr>
                      <w:rFonts w:hint="eastAsia"/>
                      <w:color w:val="auto"/>
                      <w:highlight w:val="none"/>
                      <w:lang w:val="en-US" w:eastAsia="zh-CN"/>
                    </w:rPr>
                    <w:t>研磨机</w:t>
                  </w:r>
                </w:p>
              </w:tc>
              <w:tc>
                <w:tcPr>
                  <w:tcW w:w="617" w:type="pct"/>
                  <w:vAlign w:val="center"/>
                </w:tcPr>
                <w:p>
                  <w:pPr>
                    <w:widowControl/>
                    <w:adjustRightInd w:val="0"/>
                    <w:snapToGrid w:val="0"/>
                    <w:jc w:val="center"/>
                    <w:rPr>
                      <w:rFonts w:hint="default" w:eastAsia="宋体"/>
                      <w:color w:val="auto"/>
                      <w:highlight w:val="none"/>
                      <w:lang w:val="en-US" w:eastAsia="zh-CN"/>
                    </w:rPr>
                  </w:pPr>
                  <w:r>
                    <w:rPr>
                      <w:rFonts w:hint="eastAsia"/>
                      <w:color w:val="auto"/>
                      <w:highlight w:val="none"/>
                      <w:lang w:val="en-US" w:eastAsia="zh-CN"/>
                    </w:rPr>
                    <w:t>0.1</w:t>
                  </w:r>
                </w:p>
              </w:tc>
              <w:tc>
                <w:tcPr>
                  <w:tcW w:w="723" w:type="pct"/>
                  <w:vAlign w:val="center"/>
                </w:tcPr>
                <w:p>
                  <w:pPr>
                    <w:widowControl/>
                    <w:adjustRightInd w:val="0"/>
                    <w:snapToGrid w:val="0"/>
                    <w:jc w:val="center"/>
                    <w:rPr>
                      <w:rFonts w:hint="eastAsia" w:eastAsia="宋体"/>
                      <w:color w:val="auto"/>
                      <w:highlight w:val="none"/>
                      <w:lang w:val="en-US" w:eastAsia="zh-CN"/>
                    </w:rPr>
                  </w:pPr>
                  <w:r>
                    <w:rPr>
                      <w:rFonts w:hint="eastAsia"/>
                      <w:color w:val="auto"/>
                      <w:highlight w:val="none"/>
                    </w:rPr>
                    <w:t>0.</w:t>
                  </w:r>
                  <w:r>
                    <w:rPr>
                      <w:rFonts w:hint="eastAsia"/>
                      <w:color w:val="auto"/>
                      <w:highlight w:val="none"/>
                      <w:lang w:val="en-US" w:eastAsia="zh-CN"/>
                    </w:rPr>
                    <w:t>6</w:t>
                  </w:r>
                  <w:r>
                    <w:rPr>
                      <w:rFonts w:hint="eastAsia"/>
                      <w:color w:val="auto"/>
                      <w:highlight w:val="none"/>
                    </w:rPr>
                    <w:t>*0.</w:t>
                  </w:r>
                  <w:r>
                    <w:rPr>
                      <w:rFonts w:hint="eastAsia"/>
                      <w:color w:val="auto"/>
                      <w:highlight w:val="none"/>
                      <w:lang w:val="en-US" w:eastAsia="zh-CN"/>
                    </w:rPr>
                    <w:t>8</w:t>
                  </w:r>
                </w:p>
              </w:tc>
              <w:tc>
                <w:tcPr>
                  <w:tcW w:w="492" w:type="pct"/>
                  <w:vAlign w:val="center"/>
                </w:tcPr>
                <w:p>
                  <w:pPr>
                    <w:widowControl/>
                    <w:adjustRightInd w:val="0"/>
                    <w:snapToGrid w:val="0"/>
                    <w:jc w:val="center"/>
                    <w:rPr>
                      <w:rFonts w:hint="default" w:eastAsia="宋体"/>
                      <w:color w:val="auto"/>
                      <w:highlight w:val="none"/>
                      <w:lang w:val="en-US" w:eastAsia="zh-CN"/>
                    </w:rPr>
                  </w:pPr>
                  <w:r>
                    <w:rPr>
                      <w:rFonts w:hint="eastAsia"/>
                      <w:color w:val="auto"/>
                      <w:highlight w:val="none"/>
                      <w:lang w:val="en-US" w:eastAsia="zh-CN"/>
                    </w:rPr>
                    <w:t>0.48</w:t>
                  </w:r>
                </w:p>
              </w:tc>
              <w:tc>
                <w:tcPr>
                  <w:tcW w:w="536" w:type="pct"/>
                  <w:vAlign w:val="center"/>
                </w:tcPr>
                <w:p>
                  <w:pPr>
                    <w:widowControl/>
                    <w:adjustRightInd w:val="0"/>
                    <w:snapToGrid w:val="0"/>
                    <w:jc w:val="center"/>
                    <w:rPr>
                      <w:rFonts w:hint="default" w:eastAsia="宋体"/>
                      <w:color w:val="auto"/>
                      <w:highlight w:val="none"/>
                      <w:lang w:val="en-US" w:eastAsia="zh-CN"/>
                    </w:rPr>
                  </w:pPr>
                  <w:r>
                    <w:rPr>
                      <w:rFonts w:hint="eastAsia"/>
                      <w:color w:val="auto"/>
                      <w:highlight w:val="none"/>
                      <w:lang w:val="en-US" w:eastAsia="zh-CN"/>
                    </w:rPr>
                    <w:t>0.6</w:t>
                  </w:r>
                </w:p>
              </w:tc>
              <w:tc>
                <w:tcPr>
                  <w:tcW w:w="722" w:type="pct"/>
                  <w:vAlign w:val="center"/>
                </w:tcPr>
                <w:p>
                  <w:pPr>
                    <w:widowControl/>
                    <w:adjustRightInd w:val="0"/>
                    <w:snapToGrid w:val="0"/>
                    <w:jc w:val="center"/>
                    <w:rPr>
                      <w:rFonts w:hint="default" w:eastAsia="宋体"/>
                      <w:color w:val="auto"/>
                      <w:highlight w:val="none"/>
                      <w:lang w:val="en-US" w:eastAsia="zh-CN"/>
                    </w:rPr>
                  </w:pPr>
                  <w:r>
                    <w:rPr>
                      <w:rFonts w:hint="eastAsia"/>
                      <w:color w:val="auto"/>
                      <w:highlight w:val="none"/>
                      <w:lang w:val="en-US" w:eastAsia="zh-CN"/>
                    </w:rPr>
                    <w:t>1144.8</w:t>
                  </w:r>
                </w:p>
              </w:tc>
              <w:tc>
                <w:tcPr>
                  <w:tcW w:w="605" w:type="pct"/>
                  <w:vAlign w:val="center"/>
                </w:tcPr>
                <w:p>
                  <w:pPr>
                    <w:widowControl/>
                    <w:adjustRightInd w:val="0"/>
                    <w:snapToGrid w:val="0"/>
                    <w:jc w:val="center"/>
                    <w:rPr>
                      <w:rFonts w:hint="eastAsia" w:eastAsia="宋体"/>
                      <w:color w:val="auto"/>
                      <w:highlight w:val="none"/>
                      <w:lang w:val="en-US" w:eastAsia="zh-CN"/>
                    </w:rPr>
                  </w:pPr>
                  <w:r>
                    <w:rPr>
                      <w:rFonts w:hint="eastAsia"/>
                      <w:color w:val="auto"/>
                      <w:highlight w:val="none"/>
                      <w:lang w:val="en-US" w:eastAsia="zh-CN"/>
                    </w:rPr>
                    <w:t>1</w:t>
                  </w:r>
                </w:p>
              </w:tc>
              <w:tc>
                <w:tcPr>
                  <w:tcW w:w="631" w:type="pct"/>
                  <w:vAlign w:val="center"/>
                </w:tcPr>
                <w:p>
                  <w:pPr>
                    <w:widowControl/>
                    <w:adjustRightInd w:val="0"/>
                    <w:snapToGrid w:val="0"/>
                    <w:jc w:val="center"/>
                    <w:rPr>
                      <w:rFonts w:hint="default" w:eastAsia="宋体"/>
                      <w:color w:val="auto"/>
                      <w:highlight w:val="none"/>
                      <w:lang w:val="en-US" w:eastAsia="zh-CN"/>
                    </w:rPr>
                  </w:pPr>
                  <w:r>
                    <w:rPr>
                      <w:rFonts w:hint="eastAsia"/>
                      <w:color w:val="auto"/>
                      <w:highlight w:val="none"/>
                      <w:lang w:val="en-US" w:eastAsia="zh-CN"/>
                    </w:rPr>
                    <w:t>1144.8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1" w:type="pct"/>
                  <w:vAlign w:val="center"/>
                </w:tcPr>
                <w:p>
                  <w:pPr>
                    <w:widowControl/>
                    <w:adjustRightInd w:val="0"/>
                    <w:snapToGrid w:val="0"/>
                    <w:jc w:val="center"/>
                    <w:rPr>
                      <w:rFonts w:hint="default"/>
                      <w:color w:val="auto"/>
                      <w:highlight w:val="none"/>
                      <w:lang w:val="en-US" w:eastAsia="zh-CN"/>
                    </w:rPr>
                  </w:pPr>
                  <w:r>
                    <w:rPr>
                      <w:rFonts w:hint="eastAsia"/>
                      <w:color w:val="auto"/>
                      <w:highlight w:val="none"/>
                      <w:lang w:val="en-US" w:eastAsia="zh-CN"/>
                    </w:rPr>
                    <w:t>分装工位</w:t>
                  </w:r>
                </w:p>
              </w:tc>
              <w:tc>
                <w:tcPr>
                  <w:tcW w:w="617" w:type="pct"/>
                  <w:vAlign w:val="center"/>
                </w:tcPr>
                <w:p>
                  <w:pPr>
                    <w:widowControl/>
                    <w:adjustRightInd w:val="0"/>
                    <w:snapToGrid w:val="0"/>
                    <w:jc w:val="center"/>
                    <w:rPr>
                      <w:rFonts w:hint="default"/>
                      <w:color w:val="auto"/>
                      <w:highlight w:val="none"/>
                      <w:lang w:val="en-US" w:eastAsia="zh-CN"/>
                    </w:rPr>
                  </w:pPr>
                  <w:r>
                    <w:rPr>
                      <w:rFonts w:hint="eastAsia"/>
                      <w:color w:val="auto"/>
                      <w:highlight w:val="none"/>
                      <w:lang w:val="en-US" w:eastAsia="zh-CN"/>
                    </w:rPr>
                    <w:t>0.2</w:t>
                  </w:r>
                </w:p>
              </w:tc>
              <w:tc>
                <w:tcPr>
                  <w:tcW w:w="723" w:type="pct"/>
                  <w:vAlign w:val="center"/>
                </w:tcPr>
                <w:p>
                  <w:pPr>
                    <w:widowControl/>
                    <w:adjustRightInd w:val="0"/>
                    <w:snapToGrid w:val="0"/>
                    <w:jc w:val="center"/>
                    <w:rPr>
                      <w:rFonts w:hint="default" w:eastAsia="宋体"/>
                      <w:color w:val="auto"/>
                      <w:highlight w:val="none"/>
                      <w:lang w:val="en-US" w:eastAsia="zh-CN"/>
                    </w:rPr>
                  </w:pPr>
                  <w:r>
                    <w:rPr>
                      <w:rFonts w:hint="eastAsia"/>
                      <w:color w:val="auto"/>
                      <w:highlight w:val="none"/>
                      <w:lang w:val="en-US" w:eastAsia="zh-CN"/>
                    </w:rPr>
                    <w:t>直径0.2</w:t>
                  </w:r>
                </w:p>
              </w:tc>
              <w:tc>
                <w:tcPr>
                  <w:tcW w:w="492" w:type="pct"/>
                  <w:vAlign w:val="center"/>
                </w:tcPr>
                <w:p>
                  <w:pPr>
                    <w:widowControl/>
                    <w:adjustRightInd w:val="0"/>
                    <w:snapToGrid w:val="0"/>
                    <w:jc w:val="center"/>
                    <w:rPr>
                      <w:rFonts w:hint="default"/>
                      <w:color w:val="auto"/>
                      <w:highlight w:val="none"/>
                      <w:lang w:val="en-US" w:eastAsia="zh-CN"/>
                    </w:rPr>
                  </w:pPr>
                  <w:r>
                    <w:rPr>
                      <w:rFonts w:hint="eastAsia"/>
                      <w:color w:val="auto"/>
                      <w:highlight w:val="none"/>
                      <w:lang w:val="en-US" w:eastAsia="zh-CN"/>
                    </w:rPr>
                    <w:t>0.0314</w:t>
                  </w:r>
                </w:p>
              </w:tc>
              <w:tc>
                <w:tcPr>
                  <w:tcW w:w="536" w:type="pct"/>
                  <w:vAlign w:val="center"/>
                </w:tcPr>
                <w:p>
                  <w:pPr>
                    <w:widowControl/>
                    <w:adjustRightInd w:val="0"/>
                    <w:snapToGrid w:val="0"/>
                    <w:jc w:val="center"/>
                    <w:rPr>
                      <w:rFonts w:hint="default"/>
                      <w:color w:val="auto"/>
                      <w:highlight w:val="none"/>
                      <w:lang w:val="en-US" w:eastAsia="zh-CN"/>
                    </w:rPr>
                  </w:pPr>
                  <w:r>
                    <w:rPr>
                      <w:rFonts w:hint="eastAsia"/>
                      <w:color w:val="auto"/>
                      <w:highlight w:val="none"/>
                      <w:lang w:val="en-US" w:eastAsia="zh-CN"/>
                    </w:rPr>
                    <w:t>0.6</w:t>
                  </w:r>
                </w:p>
              </w:tc>
              <w:tc>
                <w:tcPr>
                  <w:tcW w:w="722" w:type="pct"/>
                  <w:vAlign w:val="center"/>
                </w:tcPr>
                <w:p>
                  <w:pPr>
                    <w:widowControl/>
                    <w:adjustRightInd w:val="0"/>
                    <w:snapToGrid w:val="0"/>
                    <w:jc w:val="center"/>
                    <w:rPr>
                      <w:rFonts w:hint="default"/>
                      <w:color w:val="auto"/>
                      <w:highlight w:val="none"/>
                      <w:lang w:val="en-US" w:eastAsia="zh-CN"/>
                    </w:rPr>
                  </w:pPr>
                  <w:r>
                    <w:rPr>
                      <w:rFonts w:hint="eastAsia"/>
                      <w:color w:val="auto"/>
                      <w:highlight w:val="none"/>
                      <w:lang w:val="en-US" w:eastAsia="zh-CN"/>
                    </w:rPr>
                    <w:t>499.82</w:t>
                  </w:r>
                </w:p>
              </w:tc>
              <w:tc>
                <w:tcPr>
                  <w:tcW w:w="605" w:type="pct"/>
                  <w:vAlign w:val="center"/>
                </w:tcPr>
                <w:p>
                  <w:pPr>
                    <w:widowControl/>
                    <w:adjustRightInd w:val="0"/>
                    <w:snapToGrid w:val="0"/>
                    <w:jc w:val="center"/>
                    <w:rPr>
                      <w:rFonts w:hint="default"/>
                      <w:color w:val="auto"/>
                      <w:highlight w:val="none"/>
                      <w:lang w:val="en-US" w:eastAsia="zh-CN"/>
                    </w:rPr>
                  </w:pPr>
                  <w:r>
                    <w:rPr>
                      <w:rFonts w:hint="eastAsia"/>
                      <w:color w:val="auto"/>
                      <w:highlight w:val="none"/>
                      <w:lang w:val="en-US" w:eastAsia="zh-CN"/>
                    </w:rPr>
                    <w:t>6</w:t>
                  </w:r>
                </w:p>
              </w:tc>
              <w:tc>
                <w:tcPr>
                  <w:tcW w:w="631" w:type="pct"/>
                  <w:vAlign w:val="center"/>
                </w:tcPr>
                <w:p>
                  <w:pPr>
                    <w:widowControl/>
                    <w:adjustRightInd w:val="0"/>
                    <w:snapToGrid w:val="0"/>
                    <w:jc w:val="center"/>
                    <w:rPr>
                      <w:rFonts w:hint="default"/>
                      <w:color w:val="auto"/>
                      <w:highlight w:val="none"/>
                      <w:lang w:val="en-US" w:eastAsia="zh-CN"/>
                    </w:rPr>
                  </w:pPr>
                  <w:r>
                    <w:rPr>
                      <w:rFonts w:hint="eastAsia"/>
                      <w:color w:val="auto"/>
                      <w:highlight w:val="none"/>
                      <w:lang w:val="en-US" w:eastAsia="zh-CN"/>
                    </w:rPr>
                    <w:t>2998.9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4368" w:type="pct"/>
                  <w:gridSpan w:val="7"/>
                  <w:vAlign w:val="center"/>
                </w:tcPr>
                <w:p>
                  <w:pPr>
                    <w:widowControl/>
                    <w:adjustRightInd w:val="0"/>
                    <w:snapToGrid w:val="0"/>
                    <w:jc w:val="center"/>
                    <w:rPr>
                      <w:color w:val="auto"/>
                      <w:highlight w:val="none"/>
                    </w:rPr>
                  </w:pPr>
                  <w:r>
                    <w:rPr>
                      <w:color w:val="auto"/>
                      <w:highlight w:val="none"/>
                    </w:rPr>
                    <w:t>合计</w:t>
                  </w:r>
                </w:p>
              </w:tc>
              <w:tc>
                <w:tcPr>
                  <w:tcW w:w="631" w:type="pct"/>
                  <w:vAlign w:val="center"/>
                </w:tcPr>
                <w:p>
                  <w:pPr>
                    <w:widowControl/>
                    <w:adjustRightInd w:val="0"/>
                    <w:snapToGrid w:val="0"/>
                    <w:jc w:val="center"/>
                    <w:rPr>
                      <w:rFonts w:hint="default" w:eastAsia="宋体"/>
                      <w:color w:val="auto"/>
                      <w:highlight w:val="none"/>
                      <w:lang w:val="en-US" w:eastAsia="zh-CN"/>
                    </w:rPr>
                  </w:pPr>
                  <w:r>
                    <w:rPr>
                      <w:rFonts w:hint="eastAsia"/>
                      <w:color w:val="auto"/>
                      <w:highlight w:val="none"/>
                    </w:rPr>
                    <w:t>1</w:t>
                  </w:r>
                  <w:r>
                    <w:rPr>
                      <w:rFonts w:hint="eastAsia"/>
                      <w:color w:val="auto"/>
                      <w:highlight w:val="none"/>
                      <w:lang w:val="en-US" w:eastAsia="zh-CN"/>
                    </w:rPr>
                    <w:t>4576.5</w:t>
                  </w:r>
                </w:p>
              </w:tc>
            </w:tr>
          </w:tbl>
          <w:p>
            <w:pPr>
              <w:adjustRightInd w:val="0"/>
              <w:snapToGrid w:val="0"/>
              <w:spacing w:line="360" w:lineRule="auto"/>
              <w:ind w:firstLine="420" w:firstLineChars="200"/>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考虑风力损失因素，本次环评建议风量为1</w:t>
            </w:r>
            <w:r>
              <w:rPr>
                <w:rFonts w:hint="eastAsia" w:ascii="Times New Roman" w:hAnsi="Times New Roman" w:eastAsia="宋体" w:cs="Times New Roman"/>
                <w:bCs/>
                <w:color w:val="auto"/>
                <w:szCs w:val="21"/>
                <w:highlight w:val="none"/>
                <w:lang w:val="en-US" w:eastAsia="zh-CN"/>
              </w:rPr>
              <w:t>5000</w:t>
            </w:r>
            <w:r>
              <w:rPr>
                <w:rFonts w:hint="default" w:ascii="Times New Roman" w:hAnsi="Times New Roman" w:eastAsia="宋体" w:cs="Times New Roman"/>
                <w:bCs/>
                <w:color w:val="auto"/>
                <w:szCs w:val="21"/>
                <w:highlight w:val="none"/>
              </w:rPr>
              <w:t>m</w:t>
            </w:r>
            <w:r>
              <w:rPr>
                <w:rFonts w:hint="default" w:ascii="Times New Roman" w:hAnsi="Times New Roman" w:eastAsia="宋体" w:cs="Times New Roman"/>
                <w:bCs/>
                <w:color w:val="auto"/>
                <w:szCs w:val="21"/>
                <w:highlight w:val="none"/>
                <w:vertAlign w:val="superscript"/>
              </w:rPr>
              <w:t>3</w:t>
            </w:r>
            <w:r>
              <w:rPr>
                <w:rFonts w:hint="default" w:ascii="Times New Roman" w:hAnsi="Times New Roman" w:eastAsia="宋体" w:cs="Times New Roman"/>
                <w:bCs/>
                <w:color w:val="auto"/>
                <w:szCs w:val="21"/>
                <w:highlight w:val="none"/>
              </w:rPr>
              <w:t>/h。</w:t>
            </w:r>
          </w:p>
          <w:p>
            <w:pPr>
              <w:adjustRightInd w:val="0"/>
              <w:snapToGrid w:val="0"/>
              <w:spacing w:line="360" w:lineRule="auto"/>
              <w:ind w:firstLine="420" w:firstLineChars="200"/>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根据《广东省工业源挥发性有机物减排量核算方法（试行）》表4.5-1废气收集集气效率参考值，项目拟在投料、搅拌混合</w:t>
            </w:r>
            <w:r>
              <w:rPr>
                <w:rFonts w:hint="default" w:ascii="Times New Roman" w:hAnsi="Times New Roman" w:eastAsia="宋体" w:cs="Times New Roman"/>
                <w:bCs/>
                <w:color w:val="auto"/>
                <w:szCs w:val="21"/>
                <w:highlight w:val="none"/>
                <w:lang w:eastAsia="zh-CN"/>
              </w:rPr>
              <w:t>、</w:t>
            </w:r>
            <w:r>
              <w:rPr>
                <w:rFonts w:hint="default" w:ascii="Times New Roman" w:hAnsi="Times New Roman" w:eastAsia="宋体" w:cs="Times New Roman"/>
                <w:bCs/>
                <w:color w:val="auto"/>
                <w:szCs w:val="21"/>
                <w:highlight w:val="none"/>
                <w:lang w:val="en-US" w:eastAsia="zh-CN"/>
              </w:rPr>
              <w:t>研磨</w:t>
            </w:r>
            <w:r>
              <w:rPr>
                <w:rFonts w:hint="default" w:ascii="Times New Roman" w:hAnsi="Times New Roman" w:eastAsia="宋体" w:cs="Times New Roman"/>
                <w:bCs/>
                <w:color w:val="auto"/>
                <w:szCs w:val="21"/>
                <w:highlight w:val="none"/>
              </w:rPr>
              <w:t>设备</w:t>
            </w:r>
            <w:r>
              <w:rPr>
                <w:rFonts w:hint="default" w:ascii="Times New Roman" w:hAnsi="Times New Roman" w:eastAsia="宋体" w:cs="Times New Roman"/>
                <w:bCs/>
                <w:color w:val="auto"/>
                <w:szCs w:val="21"/>
                <w:highlight w:val="none"/>
                <w:lang w:val="en-US" w:eastAsia="zh-CN"/>
              </w:rPr>
              <w:t>以及分装工位</w:t>
            </w:r>
            <w:r>
              <w:rPr>
                <w:rFonts w:hint="default" w:ascii="Times New Roman" w:hAnsi="Times New Roman" w:eastAsia="宋体" w:cs="Times New Roman"/>
                <w:bCs/>
                <w:color w:val="auto"/>
                <w:szCs w:val="21"/>
                <w:highlight w:val="none"/>
              </w:rPr>
              <w:t>上方设置集气管，</w:t>
            </w:r>
            <w:r>
              <w:rPr>
                <w:rFonts w:hint="default" w:ascii="Times New Roman" w:hAnsi="Times New Roman" w:eastAsia="宋体" w:cs="Times New Roman"/>
                <w:bCs/>
                <w:color w:val="auto"/>
                <w:szCs w:val="21"/>
                <w:highlight w:val="none"/>
                <w:lang w:val="en-US" w:eastAsia="zh-CN"/>
              </w:rPr>
              <w:t>集气罩</w:t>
            </w:r>
            <w:r>
              <w:rPr>
                <w:rFonts w:hint="default" w:ascii="Times New Roman" w:hAnsi="Times New Roman" w:eastAsia="宋体" w:cs="Times New Roman"/>
                <w:bCs/>
                <w:color w:val="auto"/>
                <w:szCs w:val="21"/>
                <w:highlight w:val="none"/>
              </w:rPr>
              <w:t>敞开面控制风速不小于0.5m/s，混合搅拌时全密闭，收集效率取80%，根据《大气污染控制技术手册》（化学工业出版社、马广大主编），布袋除尘器的除尘效率≥95%，本次评价取95%；参考《深圳市典型行业工艺废气排污量核算方法（试行）》，活性炭吸附装置的处理率为70%，当存在两种或两种以上治理设施联合治理时，治理效率可按公式</w:t>
            </w:r>
            <m:oMath>
              <m:r>
                <m:rPr>
                  <m:sty m:val="p"/>
                </m:rPr>
                <w:rPr>
                  <w:rFonts w:hint="default" w:ascii="Cambria Math" w:hAnsi="Cambria Math" w:eastAsia="宋体" w:cs="Times New Roman"/>
                  <w:color w:val="auto"/>
                  <w:sz w:val="24"/>
                  <w:szCs w:val="24"/>
                  <w:highlight w:val="none"/>
                </w:rPr>
                <m:t>η</m:t>
              </m:r>
              <m:r>
                <m:rPr>
                  <m:sty m:val="p"/>
                </m:rPr>
                <w:rPr>
                  <w:rFonts w:hint="default" w:ascii="Cambria Math" w:hAnsi="Cambria Math" w:eastAsia="宋体" w:cs="Times New Roman"/>
                  <w:color w:val="auto"/>
                  <w:sz w:val="24"/>
                  <w:szCs w:val="24"/>
                  <w:highlight w:val="none"/>
                  <w:lang w:val="en-US" w:eastAsia="zh-CN"/>
                </w:rPr>
                <m:t>=1−（1−</m:t>
              </m:r>
              <m:sSub>
                <m:sSubPr>
                  <m:ctrlPr>
                    <w:rPr>
                      <w:rFonts w:hint="default" w:ascii="Cambria Math" w:hAnsi="Cambria Math" w:eastAsia="宋体" w:cs="Times New Roman"/>
                      <w:bCs/>
                      <w:color w:val="auto"/>
                      <w:sz w:val="24"/>
                      <w:szCs w:val="24"/>
                      <w:highlight w:val="none"/>
                      <w:lang w:val="en-US" w:eastAsia="zh-CN"/>
                    </w:rPr>
                  </m:ctrlPr>
                </m:sSubPr>
                <m:e>
                  <m:r>
                    <m:rPr>
                      <m:sty m:val="p"/>
                    </m:rPr>
                    <w:rPr>
                      <w:rFonts w:hint="default" w:ascii="Cambria Math" w:hAnsi="Cambria Math" w:eastAsia="宋体" w:cs="Times New Roman"/>
                      <w:color w:val="auto"/>
                      <w:sz w:val="24"/>
                      <w:szCs w:val="24"/>
                      <w:highlight w:val="none"/>
                      <w:lang w:val="en-US"/>
                    </w:rPr>
                    <m:t>η</m:t>
                  </m:r>
                  <m:ctrlPr>
                    <w:rPr>
                      <w:rFonts w:hint="default" w:ascii="Cambria Math" w:hAnsi="Cambria Math" w:eastAsia="宋体" w:cs="Times New Roman"/>
                      <w:bCs/>
                      <w:color w:val="auto"/>
                      <w:sz w:val="24"/>
                      <w:szCs w:val="24"/>
                      <w:highlight w:val="none"/>
                      <w:lang w:val="en-US" w:eastAsia="zh-CN"/>
                    </w:rPr>
                  </m:ctrlPr>
                </m:e>
                <m:sub>
                  <m:r>
                    <m:rPr>
                      <m:sty m:val="p"/>
                    </m:rPr>
                    <w:rPr>
                      <w:rFonts w:hint="default" w:ascii="Cambria Math" w:hAnsi="Cambria Math" w:eastAsia="宋体" w:cs="Times New Roman"/>
                      <w:color w:val="auto"/>
                      <w:sz w:val="24"/>
                      <w:szCs w:val="24"/>
                      <w:highlight w:val="none"/>
                      <w:lang w:val="en-US" w:eastAsia="zh-CN"/>
                    </w:rPr>
                    <m:t>1</m:t>
                  </m:r>
                  <m:ctrlPr>
                    <w:rPr>
                      <w:rFonts w:hint="default" w:ascii="Cambria Math" w:hAnsi="Cambria Math" w:eastAsia="宋体" w:cs="Times New Roman"/>
                      <w:bCs/>
                      <w:color w:val="auto"/>
                      <w:sz w:val="24"/>
                      <w:szCs w:val="24"/>
                      <w:highlight w:val="none"/>
                      <w:lang w:val="en-US" w:eastAsia="zh-CN"/>
                    </w:rPr>
                  </m:ctrlPr>
                </m:sub>
              </m:sSub>
              <m:r>
                <m:rPr>
                  <m:sty m:val="p"/>
                </m:rPr>
                <w:rPr>
                  <w:rFonts w:hint="default" w:ascii="Cambria Math" w:hAnsi="Cambria Math" w:eastAsia="宋体" w:cs="Times New Roman"/>
                  <w:color w:val="auto"/>
                  <w:sz w:val="24"/>
                  <w:szCs w:val="24"/>
                  <w:highlight w:val="none"/>
                  <w:lang w:val="en-US" w:eastAsia="zh-CN"/>
                </w:rPr>
                <m:t>）</m:t>
              </m:r>
              <m:r>
                <m:rPr>
                  <m:sty m:val="p"/>
                </m:rPr>
                <w:rPr>
                  <w:rFonts w:hint="default" w:ascii="Cambria Math" w:hAnsi="Cambria Math" w:eastAsia="宋体" w:cs="Times New Roman"/>
                  <w:color w:val="auto"/>
                  <w:sz w:val="24"/>
                  <w:szCs w:val="24"/>
                  <w:highlight w:val="none"/>
                  <w:lang w:val="en-US"/>
                </w:rPr>
                <m:t>×</m:t>
              </m:r>
              <m:r>
                <m:rPr>
                  <m:sty m:val="p"/>
                </m:rPr>
                <w:rPr>
                  <w:rFonts w:hint="default" w:ascii="Cambria Math" w:hAnsi="Cambria Math" w:eastAsia="宋体" w:cs="Times New Roman"/>
                  <w:color w:val="auto"/>
                  <w:sz w:val="24"/>
                  <w:szCs w:val="24"/>
                  <w:highlight w:val="none"/>
                  <w:lang w:val="en-US" w:eastAsia="zh-CN"/>
                </w:rPr>
                <m:t>（1−</m:t>
              </m:r>
              <m:sSub>
                <m:sSubPr>
                  <m:ctrlPr>
                    <w:rPr>
                      <w:rFonts w:hint="default" w:ascii="Cambria Math" w:hAnsi="Cambria Math" w:eastAsia="宋体" w:cs="Times New Roman"/>
                      <w:bCs/>
                      <w:color w:val="auto"/>
                      <w:sz w:val="24"/>
                      <w:szCs w:val="24"/>
                      <w:highlight w:val="none"/>
                      <w:lang w:val="en-US" w:eastAsia="zh-CN"/>
                    </w:rPr>
                  </m:ctrlPr>
                </m:sSubPr>
                <m:e>
                  <m:r>
                    <m:rPr>
                      <m:sty m:val="p"/>
                    </m:rPr>
                    <w:rPr>
                      <w:rFonts w:hint="default" w:ascii="Cambria Math" w:hAnsi="Cambria Math" w:eastAsia="宋体" w:cs="Times New Roman"/>
                      <w:color w:val="auto"/>
                      <w:sz w:val="24"/>
                      <w:szCs w:val="24"/>
                      <w:highlight w:val="none"/>
                      <w:lang w:val="en-US"/>
                    </w:rPr>
                    <m:t>η</m:t>
                  </m:r>
                  <m:ctrlPr>
                    <w:rPr>
                      <w:rFonts w:hint="default" w:ascii="Cambria Math" w:hAnsi="Cambria Math" w:eastAsia="宋体" w:cs="Times New Roman"/>
                      <w:bCs/>
                      <w:color w:val="auto"/>
                      <w:sz w:val="24"/>
                      <w:szCs w:val="24"/>
                      <w:highlight w:val="none"/>
                      <w:lang w:val="en-US" w:eastAsia="zh-CN"/>
                    </w:rPr>
                  </m:ctrlPr>
                </m:e>
                <m:sub>
                  <m:r>
                    <m:rPr>
                      <m:sty m:val="p"/>
                    </m:rPr>
                    <w:rPr>
                      <w:rFonts w:hint="default" w:ascii="Cambria Math" w:hAnsi="Cambria Math" w:eastAsia="宋体" w:cs="Times New Roman"/>
                      <w:color w:val="auto"/>
                      <w:sz w:val="24"/>
                      <w:szCs w:val="24"/>
                      <w:highlight w:val="none"/>
                      <w:lang w:val="en-US" w:eastAsia="zh-CN"/>
                    </w:rPr>
                    <m:t>2</m:t>
                  </m:r>
                  <m:ctrlPr>
                    <w:rPr>
                      <w:rFonts w:hint="default" w:ascii="Cambria Math" w:hAnsi="Cambria Math" w:eastAsia="宋体" w:cs="Times New Roman"/>
                      <w:bCs/>
                      <w:color w:val="auto"/>
                      <w:sz w:val="24"/>
                      <w:szCs w:val="24"/>
                      <w:highlight w:val="none"/>
                      <w:lang w:val="en-US" w:eastAsia="zh-CN"/>
                    </w:rPr>
                  </m:ctrlPr>
                </m:sub>
              </m:sSub>
              <m:r>
                <m:rPr>
                  <m:sty m:val="p"/>
                </m:rPr>
                <w:rPr>
                  <w:rFonts w:hint="default" w:ascii="Cambria Math" w:hAnsi="Cambria Math" w:eastAsia="宋体" w:cs="Times New Roman"/>
                  <w:color w:val="auto"/>
                  <w:sz w:val="24"/>
                  <w:szCs w:val="24"/>
                  <w:highlight w:val="none"/>
                  <w:lang w:val="en-US" w:eastAsia="zh-CN"/>
                </w:rPr>
                <m:t>）...（1−</m:t>
              </m:r>
              <m:sSub>
                <m:sSubPr>
                  <m:ctrlPr>
                    <w:rPr>
                      <w:rFonts w:hint="default" w:ascii="Cambria Math" w:hAnsi="Cambria Math" w:eastAsia="宋体" w:cs="Times New Roman"/>
                      <w:bCs/>
                      <w:color w:val="auto"/>
                      <w:sz w:val="24"/>
                      <w:szCs w:val="24"/>
                      <w:highlight w:val="none"/>
                      <w:lang w:val="en-US" w:eastAsia="zh-CN"/>
                    </w:rPr>
                  </m:ctrlPr>
                </m:sSubPr>
                <m:e>
                  <m:r>
                    <m:rPr>
                      <m:sty m:val="p"/>
                    </m:rPr>
                    <w:rPr>
                      <w:rFonts w:hint="default" w:ascii="Cambria Math" w:hAnsi="Cambria Math" w:eastAsia="宋体" w:cs="Times New Roman"/>
                      <w:color w:val="auto"/>
                      <w:sz w:val="24"/>
                      <w:szCs w:val="24"/>
                      <w:highlight w:val="none"/>
                      <w:lang w:val="en-US"/>
                    </w:rPr>
                    <m:t>η</m:t>
                  </m:r>
                  <m:ctrlPr>
                    <w:rPr>
                      <w:rFonts w:hint="default" w:ascii="Cambria Math" w:hAnsi="Cambria Math" w:eastAsia="宋体" w:cs="Times New Roman"/>
                      <w:bCs/>
                      <w:color w:val="auto"/>
                      <w:sz w:val="24"/>
                      <w:szCs w:val="24"/>
                      <w:highlight w:val="none"/>
                      <w:lang w:val="en-US" w:eastAsia="zh-CN"/>
                    </w:rPr>
                  </m:ctrlPr>
                </m:e>
                <m:sub>
                  <m:r>
                    <m:rPr>
                      <m:sty m:val="p"/>
                    </m:rPr>
                    <w:rPr>
                      <w:rFonts w:hint="default" w:ascii="Cambria Math" w:hAnsi="Cambria Math" w:eastAsia="宋体" w:cs="Times New Roman"/>
                      <w:color w:val="auto"/>
                      <w:sz w:val="24"/>
                      <w:szCs w:val="24"/>
                      <w:highlight w:val="none"/>
                      <w:lang w:val="en-US" w:eastAsia="zh-CN"/>
                    </w:rPr>
                    <m:t>i</m:t>
                  </m:r>
                  <m:ctrlPr>
                    <w:rPr>
                      <w:rFonts w:hint="default" w:ascii="Cambria Math" w:hAnsi="Cambria Math" w:eastAsia="宋体" w:cs="Times New Roman"/>
                      <w:bCs/>
                      <w:color w:val="auto"/>
                      <w:sz w:val="24"/>
                      <w:szCs w:val="24"/>
                      <w:highlight w:val="none"/>
                      <w:lang w:val="en-US" w:eastAsia="zh-CN"/>
                    </w:rPr>
                  </m:ctrlPr>
                </m:sub>
              </m:sSub>
              <m:r>
                <m:rPr>
                  <m:sty m:val="p"/>
                </m:rPr>
                <w:rPr>
                  <w:rFonts w:hint="default" w:ascii="Cambria Math" w:hAnsi="Cambria Math" w:eastAsia="宋体" w:cs="Times New Roman"/>
                  <w:color w:val="auto"/>
                  <w:sz w:val="24"/>
                  <w:szCs w:val="24"/>
                  <w:highlight w:val="none"/>
                  <w:lang w:val="en-US" w:eastAsia="zh-CN"/>
                </w:rPr>
                <m:t>）</m:t>
              </m:r>
            </m:oMath>
            <w:r>
              <w:rPr>
                <w:rFonts w:hint="default" w:ascii="Times New Roman" w:hAnsi="Times New Roman" w:eastAsia="宋体" w:cs="Times New Roman"/>
                <w:bCs/>
                <w:color w:val="auto"/>
                <w:szCs w:val="21"/>
                <w:highlight w:val="none"/>
              </w:rPr>
              <w:t>进行计算，本项目二级活性炭吸附装置的综合处理效率为：1-（1-70%）×（1-70%）=91%，本</w:t>
            </w:r>
            <w:r>
              <w:rPr>
                <w:rFonts w:hint="default" w:ascii="Times New Roman" w:hAnsi="Times New Roman" w:eastAsia="宋体" w:cs="Times New Roman"/>
                <w:bCs/>
                <w:color w:val="auto"/>
                <w:szCs w:val="21"/>
                <w:highlight w:val="none"/>
                <w:lang w:val="en-US" w:eastAsia="zh-CN"/>
              </w:rPr>
              <w:t>报告</w:t>
            </w:r>
            <w:r>
              <w:rPr>
                <w:rFonts w:hint="default" w:ascii="Times New Roman" w:hAnsi="Times New Roman" w:eastAsia="宋体" w:cs="Times New Roman"/>
                <w:bCs/>
                <w:color w:val="auto"/>
                <w:szCs w:val="21"/>
                <w:highlight w:val="none"/>
              </w:rPr>
              <w:t>取处理效率为80%，实际运行时，经第一级活性炭吸附后，第二级活性炭吸附效率比第一级要低，保守估算项目</w:t>
            </w:r>
            <w:r>
              <w:rPr>
                <w:rFonts w:hint="default" w:ascii="Times New Roman" w:hAnsi="Times New Roman" w:eastAsia="宋体" w:cs="Times New Roman"/>
                <w:bCs/>
                <w:color w:val="auto"/>
                <w:szCs w:val="21"/>
                <w:highlight w:val="none"/>
                <w:lang w:val="en-US" w:eastAsia="zh-CN"/>
              </w:rPr>
              <w:t>二</w:t>
            </w:r>
            <w:r>
              <w:rPr>
                <w:rFonts w:hint="default" w:ascii="Times New Roman" w:hAnsi="Times New Roman" w:eastAsia="宋体" w:cs="Times New Roman"/>
                <w:bCs/>
                <w:color w:val="auto"/>
                <w:szCs w:val="21"/>
                <w:highlight w:val="none"/>
              </w:rPr>
              <w:t>级活性炭吸附装置的处理率取75%。</w:t>
            </w:r>
          </w:p>
          <w:p>
            <w:pPr>
              <w:adjustRightInd w:val="0"/>
              <w:snapToGrid w:val="0"/>
              <w:spacing w:line="360" w:lineRule="auto"/>
              <w:ind w:firstLine="420" w:firstLineChars="200"/>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项目废气产排情况详见下表。</w:t>
            </w:r>
          </w:p>
          <w:p>
            <w:pPr>
              <w:adjustRightInd w:val="0"/>
              <w:snapToGrid w:val="0"/>
              <w:spacing w:line="360" w:lineRule="auto"/>
              <w:jc w:val="center"/>
              <w:rPr>
                <w:b/>
                <w:color w:val="auto"/>
                <w:szCs w:val="21"/>
                <w:highlight w:val="none"/>
              </w:rPr>
            </w:pPr>
            <w:r>
              <w:rPr>
                <w:b/>
                <w:color w:val="auto"/>
                <w:szCs w:val="21"/>
                <w:highlight w:val="none"/>
              </w:rPr>
              <w:t>表</w:t>
            </w:r>
            <w:r>
              <w:rPr>
                <w:rFonts w:hint="eastAsia"/>
                <w:b/>
                <w:color w:val="auto"/>
                <w:szCs w:val="21"/>
                <w:highlight w:val="none"/>
              </w:rPr>
              <w:t>4-3</w:t>
            </w:r>
            <w:r>
              <w:rPr>
                <w:b/>
                <w:color w:val="auto"/>
                <w:szCs w:val="21"/>
                <w:highlight w:val="none"/>
              </w:rPr>
              <w:t xml:space="preserve"> </w:t>
            </w:r>
            <w:r>
              <w:rPr>
                <w:rFonts w:hint="eastAsia"/>
                <w:b/>
                <w:color w:val="auto"/>
                <w:szCs w:val="21"/>
                <w:highlight w:val="none"/>
              </w:rPr>
              <w:t>废气</w:t>
            </w:r>
            <w:r>
              <w:rPr>
                <w:b/>
                <w:color w:val="auto"/>
                <w:szCs w:val="21"/>
                <w:highlight w:val="none"/>
              </w:rPr>
              <w:t>产排情况一览表</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9"/>
              <w:gridCol w:w="835"/>
              <w:gridCol w:w="805"/>
              <w:gridCol w:w="671"/>
              <w:gridCol w:w="1133"/>
              <w:gridCol w:w="1108"/>
              <w:gridCol w:w="987"/>
              <w:gridCol w:w="1133"/>
              <w:gridCol w:w="1108"/>
              <w:gridCol w:w="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6" w:type="pct"/>
                  <w:vMerge w:val="restart"/>
                  <w:vAlign w:val="center"/>
                </w:tcPr>
                <w:p>
                  <w:pPr>
                    <w:adjustRightInd w:val="0"/>
                    <w:snapToGrid w:val="0"/>
                    <w:jc w:val="center"/>
                    <w:rPr>
                      <w:b/>
                      <w:color w:val="auto"/>
                      <w:szCs w:val="21"/>
                      <w:highlight w:val="none"/>
                    </w:rPr>
                  </w:pPr>
                  <w:r>
                    <w:rPr>
                      <w:b/>
                      <w:color w:val="auto"/>
                      <w:szCs w:val="21"/>
                      <w:highlight w:val="none"/>
                    </w:rPr>
                    <w:t>污染源</w:t>
                  </w:r>
                </w:p>
              </w:tc>
              <w:tc>
                <w:tcPr>
                  <w:tcW w:w="341" w:type="pct"/>
                  <w:vMerge w:val="restart"/>
                  <w:vAlign w:val="center"/>
                </w:tcPr>
                <w:p>
                  <w:pPr>
                    <w:adjustRightInd w:val="0"/>
                    <w:snapToGrid w:val="0"/>
                    <w:jc w:val="center"/>
                    <w:rPr>
                      <w:b/>
                      <w:color w:val="auto"/>
                      <w:szCs w:val="21"/>
                      <w:highlight w:val="none"/>
                    </w:rPr>
                  </w:pPr>
                  <w:r>
                    <w:rPr>
                      <w:b/>
                      <w:color w:val="auto"/>
                      <w:szCs w:val="21"/>
                      <w:highlight w:val="none"/>
                    </w:rPr>
                    <w:t>排气筒</w:t>
                  </w:r>
                </w:p>
              </w:tc>
              <w:tc>
                <w:tcPr>
                  <w:tcW w:w="438" w:type="pct"/>
                  <w:vMerge w:val="restart"/>
                  <w:vAlign w:val="center"/>
                </w:tcPr>
                <w:p>
                  <w:pPr>
                    <w:adjustRightInd w:val="0"/>
                    <w:snapToGrid w:val="0"/>
                    <w:jc w:val="center"/>
                    <w:rPr>
                      <w:b/>
                      <w:color w:val="auto"/>
                      <w:szCs w:val="21"/>
                      <w:highlight w:val="none"/>
                    </w:rPr>
                  </w:pPr>
                  <w:r>
                    <w:rPr>
                      <w:rFonts w:hint="eastAsia"/>
                      <w:b/>
                      <w:color w:val="auto"/>
                      <w:szCs w:val="21"/>
                      <w:highlight w:val="none"/>
                    </w:rPr>
                    <w:t>废气</w:t>
                  </w:r>
                  <w:r>
                    <w:rPr>
                      <w:b/>
                      <w:color w:val="auto"/>
                      <w:szCs w:val="21"/>
                      <w:highlight w:val="none"/>
                    </w:rPr>
                    <w:t>量</w:t>
                  </w:r>
                </w:p>
              </w:tc>
              <w:tc>
                <w:tcPr>
                  <w:tcW w:w="367" w:type="pct"/>
                  <w:vMerge w:val="restart"/>
                  <w:vAlign w:val="center"/>
                </w:tcPr>
                <w:p>
                  <w:pPr>
                    <w:adjustRightInd w:val="0"/>
                    <w:snapToGrid w:val="0"/>
                    <w:jc w:val="center"/>
                    <w:rPr>
                      <w:b/>
                      <w:color w:val="auto"/>
                      <w:szCs w:val="21"/>
                      <w:highlight w:val="none"/>
                    </w:rPr>
                  </w:pPr>
                  <w:r>
                    <w:rPr>
                      <w:b/>
                      <w:color w:val="auto"/>
                      <w:szCs w:val="21"/>
                      <w:highlight w:val="none"/>
                    </w:rPr>
                    <w:t>排放方式</w:t>
                  </w:r>
                </w:p>
              </w:tc>
              <w:tc>
                <w:tcPr>
                  <w:tcW w:w="1743" w:type="pct"/>
                  <w:gridSpan w:val="3"/>
                  <w:vAlign w:val="center"/>
                </w:tcPr>
                <w:p>
                  <w:pPr>
                    <w:adjustRightInd w:val="0"/>
                    <w:snapToGrid w:val="0"/>
                    <w:jc w:val="center"/>
                    <w:rPr>
                      <w:b/>
                      <w:color w:val="auto"/>
                      <w:szCs w:val="21"/>
                      <w:highlight w:val="none"/>
                    </w:rPr>
                  </w:pPr>
                  <w:r>
                    <w:rPr>
                      <w:b/>
                      <w:color w:val="auto"/>
                      <w:szCs w:val="21"/>
                      <w:highlight w:val="none"/>
                    </w:rPr>
                    <w:t>产生情况</w:t>
                  </w:r>
                </w:p>
              </w:tc>
              <w:tc>
                <w:tcPr>
                  <w:tcW w:w="1743" w:type="pct"/>
                  <w:gridSpan w:val="3"/>
                  <w:vAlign w:val="center"/>
                </w:tcPr>
                <w:p>
                  <w:pPr>
                    <w:adjustRightInd w:val="0"/>
                    <w:snapToGrid w:val="0"/>
                    <w:jc w:val="center"/>
                    <w:rPr>
                      <w:b/>
                      <w:color w:val="auto"/>
                      <w:szCs w:val="21"/>
                      <w:highlight w:val="none"/>
                    </w:rPr>
                  </w:pPr>
                  <w:r>
                    <w:rPr>
                      <w:b/>
                      <w:color w:val="auto"/>
                      <w:szCs w:val="21"/>
                      <w:highlight w:val="none"/>
                    </w:rPr>
                    <w:t>排放情况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6" w:type="pct"/>
                  <w:vMerge w:val="continue"/>
                  <w:vAlign w:val="center"/>
                </w:tcPr>
                <w:p>
                  <w:pPr>
                    <w:adjustRightInd w:val="0"/>
                    <w:snapToGrid w:val="0"/>
                    <w:jc w:val="center"/>
                    <w:rPr>
                      <w:b/>
                      <w:color w:val="auto"/>
                      <w:szCs w:val="21"/>
                      <w:highlight w:val="none"/>
                    </w:rPr>
                  </w:pPr>
                </w:p>
              </w:tc>
              <w:tc>
                <w:tcPr>
                  <w:tcW w:w="341" w:type="pct"/>
                  <w:vMerge w:val="continue"/>
                  <w:vAlign w:val="center"/>
                </w:tcPr>
                <w:p>
                  <w:pPr>
                    <w:adjustRightInd w:val="0"/>
                    <w:snapToGrid w:val="0"/>
                    <w:jc w:val="center"/>
                    <w:rPr>
                      <w:b/>
                      <w:color w:val="auto"/>
                      <w:szCs w:val="21"/>
                      <w:highlight w:val="none"/>
                    </w:rPr>
                  </w:pPr>
                </w:p>
              </w:tc>
              <w:tc>
                <w:tcPr>
                  <w:tcW w:w="438" w:type="pct"/>
                  <w:vMerge w:val="continue"/>
                  <w:vAlign w:val="center"/>
                </w:tcPr>
                <w:p>
                  <w:pPr>
                    <w:adjustRightInd w:val="0"/>
                    <w:snapToGrid w:val="0"/>
                    <w:jc w:val="center"/>
                    <w:rPr>
                      <w:b/>
                      <w:color w:val="auto"/>
                      <w:szCs w:val="21"/>
                      <w:highlight w:val="none"/>
                    </w:rPr>
                  </w:pPr>
                </w:p>
              </w:tc>
              <w:tc>
                <w:tcPr>
                  <w:tcW w:w="367" w:type="pct"/>
                  <w:vMerge w:val="continue"/>
                  <w:vAlign w:val="center"/>
                </w:tcPr>
                <w:p>
                  <w:pPr>
                    <w:adjustRightInd w:val="0"/>
                    <w:snapToGrid w:val="0"/>
                    <w:jc w:val="center"/>
                    <w:rPr>
                      <w:b/>
                      <w:color w:val="auto"/>
                      <w:szCs w:val="21"/>
                      <w:highlight w:val="none"/>
                    </w:rPr>
                  </w:pPr>
                </w:p>
              </w:tc>
              <w:tc>
                <w:tcPr>
                  <w:tcW w:w="611" w:type="pct"/>
                  <w:vAlign w:val="center"/>
                </w:tcPr>
                <w:p>
                  <w:pPr>
                    <w:adjustRightInd w:val="0"/>
                    <w:snapToGrid w:val="0"/>
                    <w:jc w:val="center"/>
                    <w:rPr>
                      <w:b/>
                      <w:color w:val="auto"/>
                      <w:szCs w:val="21"/>
                      <w:highlight w:val="none"/>
                    </w:rPr>
                  </w:pPr>
                  <w:r>
                    <w:rPr>
                      <w:b/>
                      <w:color w:val="auto"/>
                      <w:szCs w:val="21"/>
                      <w:highlight w:val="none"/>
                    </w:rPr>
                    <w:t>浓度(mg/m</w:t>
                  </w:r>
                  <w:r>
                    <w:rPr>
                      <w:b/>
                      <w:color w:val="auto"/>
                      <w:szCs w:val="21"/>
                      <w:highlight w:val="none"/>
                      <w:vertAlign w:val="superscript"/>
                    </w:rPr>
                    <w:t>3</w:t>
                  </w:r>
                  <w:r>
                    <w:rPr>
                      <w:b/>
                      <w:color w:val="auto"/>
                      <w:szCs w:val="21"/>
                      <w:highlight w:val="none"/>
                    </w:rPr>
                    <w:t>)</w:t>
                  </w:r>
                </w:p>
              </w:tc>
              <w:tc>
                <w:tcPr>
                  <w:tcW w:w="598" w:type="pct"/>
                  <w:vAlign w:val="center"/>
                </w:tcPr>
                <w:p>
                  <w:pPr>
                    <w:adjustRightInd w:val="0"/>
                    <w:snapToGrid w:val="0"/>
                    <w:jc w:val="center"/>
                    <w:rPr>
                      <w:b/>
                      <w:color w:val="auto"/>
                      <w:szCs w:val="21"/>
                      <w:highlight w:val="none"/>
                    </w:rPr>
                  </w:pPr>
                  <w:r>
                    <w:rPr>
                      <w:b/>
                      <w:color w:val="auto"/>
                      <w:szCs w:val="21"/>
                      <w:highlight w:val="none"/>
                    </w:rPr>
                    <w:t>速率(kg/h)</w:t>
                  </w:r>
                </w:p>
              </w:tc>
              <w:tc>
                <w:tcPr>
                  <w:tcW w:w="534" w:type="pct"/>
                  <w:vAlign w:val="center"/>
                </w:tcPr>
                <w:p>
                  <w:pPr>
                    <w:adjustRightInd w:val="0"/>
                    <w:snapToGrid w:val="0"/>
                    <w:jc w:val="center"/>
                    <w:rPr>
                      <w:b/>
                      <w:color w:val="auto"/>
                      <w:szCs w:val="21"/>
                      <w:highlight w:val="none"/>
                    </w:rPr>
                  </w:pPr>
                  <w:r>
                    <w:rPr>
                      <w:b/>
                      <w:color w:val="auto"/>
                      <w:szCs w:val="21"/>
                      <w:highlight w:val="none"/>
                    </w:rPr>
                    <w:t>产生量(t/a)</w:t>
                  </w:r>
                </w:p>
              </w:tc>
              <w:tc>
                <w:tcPr>
                  <w:tcW w:w="611" w:type="pct"/>
                  <w:vAlign w:val="center"/>
                </w:tcPr>
                <w:p>
                  <w:pPr>
                    <w:adjustRightInd w:val="0"/>
                    <w:snapToGrid w:val="0"/>
                    <w:jc w:val="center"/>
                    <w:rPr>
                      <w:b/>
                      <w:color w:val="auto"/>
                      <w:szCs w:val="21"/>
                      <w:highlight w:val="none"/>
                    </w:rPr>
                  </w:pPr>
                  <w:r>
                    <w:rPr>
                      <w:b/>
                      <w:color w:val="auto"/>
                      <w:szCs w:val="21"/>
                      <w:highlight w:val="none"/>
                    </w:rPr>
                    <w:t>浓度(mg/m</w:t>
                  </w:r>
                  <w:r>
                    <w:rPr>
                      <w:b/>
                      <w:color w:val="auto"/>
                      <w:szCs w:val="21"/>
                      <w:highlight w:val="none"/>
                      <w:vertAlign w:val="superscript"/>
                    </w:rPr>
                    <w:t>3</w:t>
                  </w:r>
                  <w:r>
                    <w:rPr>
                      <w:b/>
                      <w:color w:val="auto"/>
                      <w:szCs w:val="21"/>
                      <w:highlight w:val="none"/>
                    </w:rPr>
                    <w:t>)</w:t>
                  </w:r>
                </w:p>
              </w:tc>
              <w:tc>
                <w:tcPr>
                  <w:tcW w:w="598" w:type="pct"/>
                  <w:vAlign w:val="center"/>
                </w:tcPr>
                <w:p>
                  <w:pPr>
                    <w:adjustRightInd w:val="0"/>
                    <w:snapToGrid w:val="0"/>
                    <w:jc w:val="center"/>
                    <w:rPr>
                      <w:b/>
                      <w:color w:val="auto"/>
                      <w:szCs w:val="21"/>
                      <w:highlight w:val="none"/>
                    </w:rPr>
                  </w:pPr>
                  <w:r>
                    <w:rPr>
                      <w:b/>
                      <w:color w:val="auto"/>
                      <w:szCs w:val="21"/>
                      <w:highlight w:val="none"/>
                    </w:rPr>
                    <w:t>速率(kg/h)</w:t>
                  </w:r>
                </w:p>
              </w:tc>
              <w:tc>
                <w:tcPr>
                  <w:tcW w:w="534" w:type="pct"/>
                  <w:vAlign w:val="center"/>
                </w:tcPr>
                <w:p>
                  <w:pPr>
                    <w:adjustRightInd w:val="0"/>
                    <w:snapToGrid w:val="0"/>
                    <w:jc w:val="center"/>
                    <w:rPr>
                      <w:b/>
                      <w:color w:val="auto"/>
                      <w:szCs w:val="21"/>
                      <w:highlight w:val="none"/>
                    </w:rPr>
                  </w:pPr>
                  <w:r>
                    <w:rPr>
                      <w:b/>
                      <w:color w:val="auto"/>
                      <w:szCs w:val="21"/>
                      <w:highlight w:val="none"/>
                    </w:rPr>
                    <w:t>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366" w:type="pct"/>
                  <w:vMerge w:val="restart"/>
                  <w:vAlign w:val="center"/>
                </w:tcPr>
                <w:p>
                  <w:pPr>
                    <w:adjustRightInd w:val="0"/>
                    <w:jc w:val="center"/>
                    <w:rPr>
                      <w:bCs/>
                      <w:color w:val="auto"/>
                      <w:szCs w:val="21"/>
                      <w:highlight w:val="none"/>
                    </w:rPr>
                  </w:pPr>
                  <w:r>
                    <w:rPr>
                      <w:rFonts w:hint="eastAsia"/>
                      <w:bCs/>
                      <w:color w:val="auto"/>
                      <w:szCs w:val="21"/>
                      <w:highlight w:val="none"/>
                    </w:rPr>
                    <w:t>颗粒物</w:t>
                  </w:r>
                </w:p>
              </w:tc>
              <w:tc>
                <w:tcPr>
                  <w:tcW w:w="341" w:type="pct"/>
                  <w:vMerge w:val="restart"/>
                  <w:vAlign w:val="center"/>
                </w:tcPr>
                <w:p>
                  <w:pPr>
                    <w:adjustRightInd w:val="0"/>
                    <w:jc w:val="center"/>
                    <w:rPr>
                      <w:bCs/>
                      <w:color w:val="auto"/>
                      <w:szCs w:val="21"/>
                      <w:highlight w:val="none"/>
                    </w:rPr>
                  </w:pPr>
                  <w:r>
                    <w:rPr>
                      <w:rFonts w:hint="eastAsia"/>
                      <w:bCs/>
                      <w:color w:val="auto"/>
                      <w:szCs w:val="21"/>
                      <w:highlight w:val="none"/>
                    </w:rPr>
                    <w:t>DA001</w:t>
                  </w:r>
                </w:p>
              </w:tc>
              <w:tc>
                <w:tcPr>
                  <w:tcW w:w="438" w:type="pct"/>
                  <w:vMerge w:val="restart"/>
                  <w:vAlign w:val="center"/>
                </w:tcPr>
                <w:p>
                  <w:pPr>
                    <w:adjustRightInd w:val="0"/>
                    <w:jc w:val="center"/>
                    <w:rPr>
                      <w:bCs/>
                      <w:color w:val="auto"/>
                      <w:szCs w:val="21"/>
                      <w:highlight w:val="none"/>
                    </w:rPr>
                  </w:pPr>
                  <w:r>
                    <w:rPr>
                      <w:rFonts w:hint="eastAsia"/>
                      <w:bCs/>
                      <w:color w:val="auto"/>
                      <w:szCs w:val="21"/>
                      <w:highlight w:val="none"/>
                    </w:rPr>
                    <w:t>1</w:t>
                  </w:r>
                  <w:r>
                    <w:rPr>
                      <w:rFonts w:hint="eastAsia"/>
                      <w:bCs/>
                      <w:color w:val="auto"/>
                      <w:szCs w:val="21"/>
                      <w:highlight w:val="none"/>
                      <w:lang w:val="en-US" w:eastAsia="zh-CN"/>
                    </w:rPr>
                    <w:t>5</w:t>
                  </w:r>
                  <w:r>
                    <w:rPr>
                      <w:bCs/>
                      <w:color w:val="auto"/>
                      <w:szCs w:val="21"/>
                      <w:highlight w:val="none"/>
                    </w:rPr>
                    <w:t>000</w:t>
                  </w:r>
                </w:p>
                <w:p>
                  <w:pPr>
                    <w:adjustRightInd w:val="0"/>
                    <w:jc w:val="center"/>
                    <w:rPr>
                      <w:bCs/>
                      <w:color w:val="auto"/>
                      <w:szCs w:val="21"/>
                      <w:highlight w:val="none"/>
                    </w:rPr>
                  </w:pPr>
                  <w:r>
                    <w:rPr>
                      <w:bCs/>
                      <w:color w:val="auto"/>
                      <w:szCs w:val="21"/>
                      <w:highlight w:val="none"/>
                    </w:rPr>
                    <w:t>m</w:t>
                  </w:r>
                  <w:r>
                    <w:rPr>
                      <w:bCs/>
                      <w:color w:val="auto"/>
                      <w:szCs w:val="21"/>
                      <w:highlight w:val="none"/>
                      <w:vertAlign w:val="superscript"/>
                    </w:rPr>
                    <w:t>3</w:t>
                  </w:r>
                  <w:r>
                    <w:rPr>
                      <w:bCs/>
                      <w:color w:val="auto"/>
                      <w:szCs w:val="21"/>
                      <w:highlight w:val="none"/>
                    </w:rPr>
                    <w:t>/h</w:t>
                  </w:r>
                </w:p>
              </w:tc>
              <w:tc>
                <w:tcPr>
                  <w:tcW w:w="367" w:type="pct"/>
                  <w:vAlign w:val="center"/>
                </w:tcPr>
                <w:p>
                  <w:pPr>
                    <w:adjustRightInd w:val="0"/>
                    <w:snapToGrid w:val="0"/>
                    <w:jc w:val="center"/>
                    <w:rPr>
                      <w:bCs/>
                      <w:color w:val="auto"/>
                      <w:szCs w:val="21"/>
                      <w:highlight w:val="none"/>
                    </w:rPr>
                  </w:pPr>
                  <w:r>
                    <w:rPr>
                      <w:bCs/>
                      <w:color w:val="auto"/>
                      <w:szCs w:val="21"/>
                      <w:highlight w:val="none"/>
                    </w:rPr>
                    <w:t>有组织</w:t>
                  </w:r>
                </w:p>
              </w:tc>
              <w:tc>
                <w:tcPr>
                  <w:tcW w:w="611" w:type="pct"/>
                  <w:vAlign w:val="center"/>
                </w:tcPr>
                <w:p>
                  <w:pPr>
                    <w:widowControl/>
                    <w:jc w:val="center"/>
                    <w:textAlignment w:val="center"/>
                    <w:rPr>
                      <w:rFonts w:hint="default" w:eastAsia="宋体"/>
                      <w:bCs/>
                      <w:color w:val="auto"/>
                      <w:szCs w:val="21"/>
                      <w:highlight w:val="none"/>
                      <w:lang w:val="en-US" w:eastAsia="zh-CN"/>
                    </w:rPr>
                  </w:pPr>
                  <w:r>
                    <w:rPr>
                      <w:rFonts w:hint="eastAsia"/>
                      <w:bCs/>
                      <w:color w:val="auto"/>
                      <w:szCs w:val="21"/>
                      <w:highlight w:val="none"/>
                      <w:lang w:val="en-US" w:eastAsia="zh-CN"/>
                    </w:rPr>
                    <w:t>8.96</w:t>
                  </w:r>
                </w:p>
              </w:tc>
              <w:tc>
                <w:tcPr>
                  <w:tcW w:w="598" w:type="pct"/>
                  <w:vAlign w:val="center"/>
                </w:tcPr>
                <w:p>
                  <w:pPr>
                    <w:widowControl/>
                    <w:jc w:val="center"/>
                    <w:textAlignment w:val="center"/>
                    <w:rPr>
                      <w:bCs/>
                      <w:color w:val="auto"/>
                      <w:szCs w:val="21"/>
                      <w:highlight w:val="none"/>
                    </w:rPr>
                  </w:pPr>
                  <w:r>
                    <w:rPr>
                      <w:color w:val="auto"/>
                      <w:kern w:val="0"/>
                      <w:szCs w:val="21"/>
                      <w:highlight w:val="none"/>
                      <w:lang w:bidi="ar"/>
                    </w:rPr>
                    <w:t>0.</w:t>
                  </w:r>
                  <w:r>
                    <w:rPr>
                      <w:rFonts w:hint="eastAsia"/>
                      <w:color w:val="auto"/>
                      <w:kern w:val="0"/>
                      <w:szCs w:val="21"/>
                      <w:highlight w:val="none"/>
                      <w:lang w:bidi="ar"/>
                    </w:rPr>
                    <w:t>1344</w:t>
                  </w:r>
                </w:p>
              </w:tc>
              <w:tc>
                <w:tcPr>
                  <w:tcW w:w="534" w:type="pct"/>
                  <w:vAlign w:val="center"/>
                </w:tcPr>
                <w:p>
                  <w:pPr>
                    <w:widowControl/>
                    <w:jc w:val="center"/>
                    <w:textAlignment w:val="center"/>
                    <w:rPr>
                      <w:bCs/>
                      <w:color w:val="auto"/>
                      <w:szCs w:val="21"/>
                      <w:highlight w:val="none"/>
                    </w:rPr>
                  </w:pPr>
                  <w:r>
                    <w:rPr>
                      <w:color w:val="auto"/>
                      <w:kern w:val="0"/>
                      <w:szCs w:val="21"/>
                      <w:highlight w:val="none"/>
                      <w:lang w:bidi="ar"/>
                    </w:rPr>
                    <w:t>0.</w:t>
                  </w:r>
                  <w:r>
                    <w:rPr>
                      <w:rFonts w:hint="eastAsia"/>
                      <w:color w:val="auto"/>
                      <w:kern w:val="0"/>
                      <w:szCs w:val="21"/>
                      <w:highlight w:val="none"/>
                      <w:lang w:bidi="ar"/>
                    </w:rPr>
                    <w:t>3226</w:t>
                  </w:r>
                </w:p>
              </w:tc>
              <w:tc>
                <w:tcPr>
                  <w:tcW w:w="611" w:type="pct"/>
                  <w:vAlign w:val="center"/>
                </w:tcPr>
                <w:p>
                  <w:pPr>
                    <w:widowControl/>
                    <w:jc w:val="center"/>
                    <w:textAlignment w:val="center"/>
                    <w:rPr>
                      <w:rFonts w:hint="default" w:eastAsia="宋体"/>
                      <w:bCs/>
                      <w:color w:val="auto"/>
                      <w:szCs w:val="21"/>
                      <w:highlight w:val="none"/>
                      <w:lang w:val="en-US" w:eastAsia="zh-CN"/>
                    </w:rPr>
                  </w:pPr>
                  <w:r>
                    <w:rPr>
                      <w:rFonts w:hint="eastAsia"/>
                      <w:bCs/>
                      <w:color w:val="auto"/>
                      <w:szCs w:val="21"/>
                      <w:highlight w:val="none"/>
                    </w:rPr>
                    <w:t>0.</w:t>
                  </w:r>
                  <w:r>
                    <w:rPr>
                      <w:rFonts w:hint="eastAsia"/>
                      <w:bCs/>
                      <w:color w:val="auto"/>
                      <w:szCs w:val="21"/>
                      <w:highlight w:val="none"/>
                      <w:lang w:val="en-US" w:eastAsia="zh-CN"/>
                    </w:rPr>
                    <w:t>36</w:t>
                  </w:r>
                </w:p>
              </w:tc>
              <w:tc>
                <w:tcPr>
                  <w:tcW w:w="598" w:type="pct"/>
                  <w:vAlign w:val="center"/>
                </w:tcPr>
                <w:p>
                  <w:pPr>
                    <w:widowControl/>
                    <w:jc w:val="center"/>
                    <w:textAlignment w:val="center"/>
                    <w:rPr>
                      <w:bCs/>
                      <w:color w:val="auto"/>
                      <w:szCs w:val="21"/>
                      <w:highlight w:val="none"/>
                    </w:rPr>
                  </w:pPr>
                  <w:r>
                    <w:rPr>
                      <w:color w:val="auto"/>
                      <w:kern w:val="0"/>
                      <w:szCs w:val="21"/>
                      <w:highlight w:val="none"/>
                      <w:lang w:bidi="ar"/>
                    </w:rPr>
                    <w:t>0.0</w:t>
                  </w:r>
                  <w:r>
                    <w:rPr>
                      <w:rFonts w:hint="eastAsia"/>
                      <w:color w:val="auto"/>
                      <w:kern w:val="0"/>
                      <w:szCs w:val="21"/>
                      <w:highlight w:val="none"/>
                      <w:lang w:bidi="ar"/>
                    </w:rPr>
                    <w:t>05377</w:t>
                  </w:r>
                </w:p>
              </w:tc>
              <w:tc>
                <w:tcPr>
                  <w:tcW w:w="534" w:type="pct"/>
                  <w:vAlign w:val="center"/>
                </w:tcPr>
                <w:p>
                  <w:pPr>
                    <w:widowControl/>
                    <w:jc w:val="center"/>
                    <w:textAlignment w:val="center"/>
                    <w:rPr>
                      <w:bCs/>
                      <w:color w:val="auto"/>
                      <w:szCs w:val="21"/>
                      <w:highlight w:val="none"/>
                    </w:rPr>
                  </w:pPr>
                  <w:r>
                    <w:rPr>
                      <w:color w:val="auto"/>
                      <w:kern w:val="0"/>
                      <w:szCs w:val="21"/>
                      <w:highlight w:val="none"/>
                      <w:lang w:bidi="ar"/>
                    </w:rPr>
                    <w:t>0.0</w:t>
                  </w:r>
                  <w:r>
                    <w:rPr>
                      <w:rFonts w:hint="eastAsia"/>
                      <w:color w:val="auto"/>
                      <w:kern w:val="0"/>
                      <w:szCs w:val="21"/>
                      <w:highlight w:val="none"/>
                      <w:lang w:bidi="ar"/>
                    </w:rPr>
                    <w:t>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6" w:type="pct"/>
                  <w:vMerge w:val="continue"/>
                  <w:vAlign w:val="center"/>
                </w:tcPr>
                <w:p>
                  <w:pPr>
                    <w:adjustRightInd w:val="0"/>
                    <w:jc w:val="center"/>
                    <w:rPr>
                      <w:bCs/>
                      <w:color w:val="auto"/>
                      <w:szCs w:val="21"/>
                      <w:highlight w:val="none"/>
                    </w:rPr>
                  </w:pPr>
                </w:p>
              </w:tc>
              <w:tc>
                <w:tcPr>
                  <w:tcW w:w="341" w:type="pct"/>
                  <w:vMerge w:val="continue"/>
                  <w:vAlign w:val="center"/>
                </w:tcPr>
                <w:p>
                  <w:pPr>
                    <w:adjustRightInd w:val="0"/>
                    <w:jc w:val="center"/>
                    <w:rPr>
                      <w:bCs/>
                      <w:color w:val="auto"/>
                      <w:szCs w:val="21"/>
                      <w:highlight w:val="none"/>
                    </w:rPr>
                  </w:pPr>
                </w:p>
              </w:tc>
              <w:tc>
                <w:tcPr>
                  <w:tcW w:w="438" w:type="pct"/>
                  <w:vMerge w:val="continue"/>
                  <w:vAlign w:val="center"/>
                </w:tcPr>
                <w:p>
                  <w:pPr>
                    <w:adjustRightInd w:val="0"/>
                    <w:jc w:val="center"/>
                    <w:rPr>
                      <w:bCs/>
                      <w:color w:val="auto"/>
                      <w:szCs w:val="21"/>
                      <w:highlight w:val="none"/>
                    </w:rPr>
                  </w:pPr>
                </w:p>
              </w:tc>
              <w:tc>
                <w:tcPr>
                  <w:tcW w:w="367" w:type="pct"/>
                  <w:vAlign w:val="center"/>
                </w:tcPr>
                <w:p>
                  <w:pPr>
                    <w:adjustRightInd w:val="0"/>
                    <w:snapToGrid w:val="0"/>
                    <w:jc w:val="center"/>
                    <w:rPr>
                      <w:bCs/>
                      <w:color w:val="auto"/>
                      <w:szCs w:val="21"/>
                      <w:highlight w:val="none"/>
                    </w:rPr>
                  </w:pPr>
                  <w:r>
                    <w:rPr>
                      <w:rFonts w:hint="eastAsia"/>
                      <w:bCs/>
                      <w:color w:val="auto"/>
                      <w:szCs w:val="21"/>
                      <w:highlight w:val="none"/>
                    </w:rPr>
                    <w:t>无组织</w:t>
                  </w:r>
                </w:p>
              </w:tc>
              <w:tc>
                <w:tcPr>
                  <w:tcW w:w="611" w:type="pct"/>
                  <w:vAlign w:val="center"/>
                </w:tcPr>
                <w:p>
                  <w:pPr>
                    <w:widowControl/>
                    <w:jc w:val="center"/>
                    <w:textAlignment w:val="center"/>
                    <w:rPr>
                      <w:bCs/>
                      <w:color w:val="auto"/>
                      <w:szCs w:val="21"/>
                      <w:highlight w:val="none"/>
                    </w:rPr>
                  </w:pPr>
                  <w:r>
                    <w:rPr>
                      <w:color w:val="auto"/>
                      <w:kern w:val="0"/>
                      <w:szCs w:val="21"/>
                      <w:highlight w:val="none"/>
                      <w:lang w:bidi="ar"/>
                    </w:rPr>
                    <w:t>/</w:t>
                  </w:r>
                </w:p>
              </w:tc>
              <w:tc>
                <w:tcPr>
                  <w:tcW w:w="598" w:type="pct"/>
                  <w:vAlign w:val="center"/>
                </w:tcPr>
                <w:p>
                  <w:pPr>
                    <w:widowControl/>
                    <w:jc w:val="center"/>
                    <w:textAlignment w:val="center"/>
                    <w:rPr>
                      <w:bCs/>
                      <w:color w:val="auto"/>
                      <w:szCs w:val="21"/>
                      <w:highlight w:val="none"/>
                    </w:rPr>
                  </w:pPr>
                  <w:r>
                    <w:rPr>
                      <w:color w:val="auto"/>
                      <w:kern w:val="0"/>
                      <w:szCs w:val="21"/>
                      <w:highlight w:val="none"/>
                      <w:lang w:bidi="ar"/>
                    </w:rPr>
                    <w:t>0.</w:t>
                  </w:r>
                  <w:r>
                    <w:rPr>
                      <w:rFonts w:hint="eastAsia"/>
                      <w:color w:val="auto"/>
                      <w:kern w:val="0"/>
                      <w:szCs w:val="21"/>
                      <w:highlight w:val="none"/>
                      <w:lang w:bidi="ar"/>
                    </w:rPr>
                    <w:t>0269</w:t>
                  </w:r>
                </w:p>
              </w:tc>
              <w:tc>
                <w:tcPr>
                  <w:tcW w:w="534" w:type="pct"/>
                  <w:vAlign w:val="center"/>
                </w:tcPr>
                <w:p>
                  <w:pPr>
                    <w:widowControl/>
                    <w:jc w:val="center"/>
                    <w:textAlignment w:val="center"/>
                    <w:rPr>
                      <w:bCs/>
                      <w:color w:val="auto"/>
                      <w:szCs w:val="21"/>
                      <w:highlight w:val="none"/>
                    </w:rPr>
                  </w:pPr>
                  <w:r>
                    <w:rPr>
                      <w:rFonts w:hint="eastAsia"/>
                      <w:color w:val="auto"/>
                      <w:kern w:val="0"/>
                      <w:szCs w:val="21"/>
                      <w:highlight w:val="none"/>
                      <w:lang w:bidi="ar"/>
                    </w:rPr>
                    <w:t>0.0645</w:t>
                  </w:r>
                </w:p>
              </w:tc>
              <w:tc>
                <w:tcPr>
                  <w:tcW w:w="611" w:type="pct"/>
                  <w:vAlign w:val="center"/>
                </w:tcPr>
                <w:p>
                  <w:pPr>
                    <w:widowControl/>
                    <w:jc w:val="center"/>
                    <w:textAlignment w:val="center"/>
                    <w:rPr>
                      <w:bCs/>
                      <w:color w:val="auto"/>
                      <w:szCs w:val="21"/>
                      <w:highlight w:val="none"/>
                    </w:rPr>
                  </w:pPr>
                  <w:r>
                    <w:rPr>
                      <w:color w:val="auto"/>
                      <w:kern w:val="0"/>
                      <w:szCs w:val="21"/>
                      <w:highlight w:val="none"/>
                      <w:lang w:bidi="ar"/>
                    </w:rPr>
                    <w:t>/</w:t>
                  </w:r>
                </w:p>
              </w:tc>
              <w:tc>
                <w:tcPr>
                  <w:tcW w:w="598" w:type="pct"/>
                  <w:vAlign w:val="center"/>
                </w:tcPr>
                <w:p>
                  <w:pPr>
                    <w:widowControl/>
                    <w:jc w:val="center"/>
                    <w:textAlignment w:val="center"/>
                    <w:rPr>
                      <w:bCs/>
                      <w:color w:val="auto"/>
                      <w:szCs w:val="21"/>
                      <w:highlight w:val="none"/>
                    </w:rPr>
                  </w:pPr>
                  <w:r>
                    <w:rPr>
                      <w:color w:val="auto"/>
                      <w:kern w:val="0"/>
                      <w:szCs w:val="21"/>
                      <w:highlight w:val="none"/>
                      <w:lang w:bidi="ar"/>
                    </w:rPr>
                    <w:t>0.</w:t>
                  </w:r>
                  <w:r>
                    <w:rPr>
                      <w:rFonts w:hint="eastAsia"/>
                      <w:color w:val="auto"/>
                      <w:kern w:val="0"/>
                      <w:szCs w:val="21"/>
                      <w:highlight w:val="none"/>
                      <w:lang w:bidi="ar"/>
                    </w:rPr>
                    <w:t>0269</w:t>
                  </w:r>
                </w:p>
              </w:tc>
              <w:tc>
                <w:tcPr>
                  <w:tcW w:w="534" w:type="pct"/>
                  <w:vAlign w:val="center"/>
                </w:tcPr>
                <w:p>
                  <w:pPr>
                    <w:widowControl/>
                    <w:jc w:val="center"/>
                    <w:textAlignment w:val="center"/>
                    <w:rPr>
                      <w:bCs/>
                      <w:color w:val="auto"/>
                      <w:szCs w:val="21"/>
                      <w:highlight w:val="none"/>
                    </w:rPr>
                  </w:pPr>
                  <w:r>
                    <w:rPr>
                      <w:rFonts w:hint="eastAsia"/>
                      <w:color w:val="auto"/>
                      <w:kern w:val="0"/>
                      <w:szCs w:val="21"/>
                      <w:highlight w:val="none"/>
                      <w:lang w:bidi="ar"/>
                    </w:rPr>
                    <w:t>0.0645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6" w:type="pct"/>
                  <w:vMerge w:val="restart"/>
                  <w:vAlign w:val="center"/>
                </w:tcPr>
                <w:p>
                  <w:pPr>
                    <w:adjustRightInd w:val="0"/>
                    <w:jc w:val="center"/>
                    <w:rPr>
                      <w:bCs/>
                      <w:color w:val="auto"/>
                      <w:szCs w:val="21"/>
                      <w:highlight w:val="none"/>
                    </w:rPr>
                  </w:pPr>
                  <w:r>
                    <w:rPr>
                      <w:rFonts w:hint="eastAsia"/>
                      <w:bCs/>
                      <w:color w:val="auto"/>
                      <w:szCs w:val="21"/>
                      <w:highlight w:val="none"/>
                    </w:rPr>
                    <w:t>非甲烷总烃</w:t>
                  </w:r>
                </w:p>
              </w:tc>
              <w:tc>
                <w:tcPr>
                  <w:tcW w:w="341" w:type="pct"/>
                  <w:vMerge w:val="continue"/>
                  <w:vAlign w:val="center"/>
                </w:tcPr>
                <w:p>
                  <w:pPr>
                    <w:adjustRightInd w:val="0"/>
                    <w:jc w:val="center"/>
                    <w:rPr>
                      <w:bCs/>
                      <w:color w:val="auto"/>
                      <w:szCs w:val="21"/>
                      <w:highlight w:val="none"/>
                    </w:rPr>
                  </w:pPr>
                </w:p>
              </w:tc>
              <w:tc>
                <w:tcPr>
                  <w:tcW w:w="438" w:type="pct"/>
                  <w:vMerge w:val="continue"/>
                  <w:vAlign w:val="center"/>
                </w:tcPr>
                <w:p>
                  <w:pPr>
                    <w:adjustRightInd w:val="0"/>
                    <w:jc w:val="center"/>
                    <w:rPr>
                      <w:bCs/>
                      <w:color w:val="auto"/>
                      <w:szCs w:val="21"/>
                      <w:highlight w:val="none"/>
                    </w:rPr>
                  </w:pPr>
                </w:p>
              </w:tc>
              <w:tc>
                <w:tcPr>
                  <w:tcW w:w="367" w:type="pct"/>
                  <w:vAlign w:val="center"/>
                </w:tcPr>
                <w:p>
                  <w:pPr>
                    <w:adjustRightInd w:val="0"/>
                    <w:snapToGrid w:val="0"/>
                    <w:jc w:val="center"/>
                    <w:rPr>
                      <w:bCs/>
                      <w:color w:val="auto"/>
                      <w:szCs w:val="21"/>
                      <w:highlight w:val="none"/>
                    </w:rPr>
                  </w:pPr>
                  <w:r>
                    <w:rPr>
                      <w:bCs/>
                      <w:color w:val="auto"/>
                      <w:szCs w:val="21"/>
                      <w:highlight w:val="none"/>
                    </w:rPr>
                    <w:t>有组织</w:t>
                  </w:r>
                </w:p>
              </w:tc>
              <w:tc>
                <w:tcPr>
                  <w:tcW w:w="611" w:type="pct"/>
                  <w:vAlign w:val="center"/>
                </w:tcPr>
                <w:p>
                  <w:pPr>
                    <w:widowControl/>
                    <w:jc w:val="center"/>
                    <w:textAlignment w:val="center"/>
                    <w:rPr>
                      <w:rFonts w:hint="default" w:eastAsia="宋体"/>
                      <w:bCs/>
                      <w:color w:val="auto"/>
                      <w:szCs w:val="21"/>
                      <w:highlight w:val="none"/>
                      <w:lang w:val="en-US" w:eastAsia="zh-CN"/>
                    </w:rPr>
                  </w:pPr>
                  <w:r>
                    <w:rPr>
                      <w:rFonts w:hint="eastAsia"/>
                      <w:bCs/>
                      <w:color w:val="auto"/>
                      <w:szCs w:val="21"/>
                      <w:highlight w:val="none"/>
                      <w:lang w:val="en-US" w:eastAsia="zh-CN"/>
                    </w:rPr>
                    <w:t>2.63</w:t>
                  </w:r>
                </w:p>
              </w:tc>
              <w:tc>
                <w:tcPr>
                  <w:tcW w:w="598" w:type="pct"/>
                  <w:vAlign w:val="center"/>
                </w:tcPr>
                <w:p>
                  <w:pPr>
                    <w:widowControl/>
                    <w:jc w:val="center"/>
                    <w:textAlignment w:val="center"/>
                    <w:rPr>
                      <w:bCs/>
                      <w:color w:val="auto"/>
                      <w:szCs w:val="21"/>
                      <w:highlight w:val="none"/>
                    </w:rPr>
                  </w:pPr>
                  <w:r>
                    <w:rPr>
                      <w:rFonts w:hint="eastAsia"/>
                      <w:bCs/>
                      <w:color w:val="auto"/>
                      <w:szCs w:val="21"/>
                      <w:highlight w:val="none"/>
                    </w:rPr>
                    <w:t>0.039375</w:t>
                  </w:r>
                </w:p>
              </w:tc>
              <w:tc>
                <w:tcPr>
                  <w:tcW w:w="534" w:type="pct"/>
                  <w:vAlign w:val="center"/>
                </w:tcPr>
                <w:p>
                  <w:pPr>
                    <w:widowControl/>
                    <w:jc w:val="center"/>
                    <w:textAlignment w:val="center"/>
                    <w:rPr>
                      <w:bCs/>
                      <w:color w:val="auto"/>
                      <w:szCs w:val="21"/>
                      <w:highlight w:val="none"/>
                    </w:rPr>
                  </w:pPr>
                  <w:r>
                    <w:rPr>
                      <w:rFonts w:hint="eastAsia"/>
                      <w:bCs/>
                      <w:color w:val="auto"/>
                      <w:szCs w:val="21"/>
                      <w:highlight w:val="none"/>
                    </w:rPr>
                    <w:t>0.0945</w:t>
                  </w:r>
                </w:p>
              </w:tc>
              <w:tc>
                <w:tcPr>
                  <w:tcW w:w="611" w:type="pct"/>
                  <w:vAlign w:val="center"/>
                </w:tcPr>
                <w:p>
                  <w:pPr>
                    <w:widowControl/>
                    <w:jc w:val="center"/>
                    <w:textAlignment w:val="center"/>
                    <w:rPr>
                      <w:rFonts w:hint="default" w:eastAsia="宋体"/>
                      <w:color w:val="auto"/>
                      <w:kern w:val="0"/>
                      <w:szCs w:val="21"/>
                      <w:highlight w:val="none"/>
                      <w:lang w:val="en-US" w:eastAsia="zh-CN" w:bidi="ar"/>
                    </w:rPr>
                  </w:pPr>
                  <w:r>
                    <w:rPr>
                      <w:rFonts w:hint="eastAsia"/>
                      <w:color w:val="auto"/>
                      <w:kern w:val="0"/>
                      <w:szCs w:val="21"/>
                      <w:highlight w:val="none"/>
                      <w:lang w:bidi="ar"/>
                    </w:rPr>
                    <w:t>0.</w:t>
                  </w:r>
                  <w:r>
                    <w:rPr>
                      <w:rFonts w:hint="eastAsia"/>
                      <w:color w:val="auto"/>
                      <w:kern w:val="0"/>
                      <w:szCs w:val="21"/>
                      <w:highlight w:val="none"/>
                      <w:lang w:val="en-US" w:eastAsia="zh-CN" w:bidi="ar"/>
                    </w:rPr>
                    <w:t>53</w:t>
                  </w:r>
                </w:p>
              </w:tc>
              <w:tc>
                <w:tcPr>
                  <w:tcW w:w="598" w:type="pct"/>
                  <w:vAlign w:val="center"/>
                </w:tcPr>
                <w:p>
                  <w:pPr>
                    <w:widowControl/>
                    <w:jc w:val="center"/>
                    <w:textAlignment w:val="center"/>
                    <w:rPr>
                      <w:color w:val="auto"/>
                      <w:kern w:val="0"/>
                      <w:szCs w:val="21"/>
                      <w:highlight w:val="none"/>
                      <w:lang w:bidi="ar"/>
                    </w:rPr>
                  </w:pPr>
                  <w:r>
                    <w:rPr>
                      <w:rFonts w:hint="eastAsia"/>
                      <w:color w:val="auto"/>
                      <w:kern w:val="0"/>
                      <w:szCs w:val="21"/>
                      <w:highlight w:val="none"/>
                      <w:lang w:bidi="ar"/>
                    </w:rPr>
                    <w:t>0.00788</w:t>
                  </w:r>
                </w:p>
              </w:tc>
              <w:tc>
                <w:tcPr>
                  <w:tcW w:w="534" w:type="pct"/>
                  <w:vAlign w:val="center"/>
                </w:tcPr>
                <w:p>
                  <w:pPr>
                    <w:widowControl/>
                    <w:jc w:val="center"/>
                    <w:textAlignment w:val="center"/>
                    <w:rPr>
                      <w:color w:val="auto"/>
                      <w:kern w:val="0"/>
                      <w:szCs w:val="21"/>
                      <w:highlight w:val="none"/>
                      <w:lang w:bidi="ar"/>
                    </w:rPr>
                  </w:pPr>
                  <w:r>
                    <w:rPr>
                      <w:rFonts w:hint="eastAsia"/>
                      <w:color w:val="auto"/>
                      <w:kern w:val="0"/>
                      <w:szCs w:val="21"/>
                      <w:highlight w:val="none"/>
                      <w:lang w:bidi="ar"/>
                    </w:rPr>
                    <w:t>0.0189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6" w:type="pct"/>
                  <w:vMerge w:val="continue"/>
                  <w:vAlign w:val="center"/>
                </w:tcPr>
                <w:p>
                  <w:pPr>
                    <w:adjustRightInd w:val="0"/>
                    <w:jc w:val="center"/>
                    <w:rPr>
                      <w:bCs/>
                      <w:color w:val="auto"/>
                      <w:szCs w:val="21"/>
                      <w:highlight w:val="none"/>
                    </w:rPr>
                  </w:pPr>
                </w:p>
              </w:tc>
              <w:tc>
                <w:tcPr>
                  <w:tcW w:w="341" w:type="pct"/>
                  <w:vMerge w:val="continue"/>
                  <w:vAlign w:val="center"/>
                </w:tcPr>
                <w:p>
                  <w:pPr>
                    <w:adjustRightInd w:val="0"/>
                    <w:jc w:val="center"/>
                    <w:rPr>
                      <w:bCs/>
                      <w:color w:val="auto"/>
                      <w:szCs w:val="21"/>
                      <w:highlight w:val="none"/>
                    </w:rPr>
                  </w:pPr>
                </w:p>
              </w:tc>
              <w:tc>
                <w:tcPr>
                  <w:tcW w:w="438" w:type="pct"/>
                  <w:vMerge w:val="continue"/>
                  <w:vAlign w:val="center"/>
                </w:tcPr>
                <w:p>
                  <w:pPr>
                    <w:adjustRightInd w:val="0"/>
                    <w:jc w:val="center"/>
                    <w:rPr>
                      <w:bCs/>
                      <w:color w:val="auto"/>
                      <w:szCs w:val="21"/>
                      <w:highlight w:val="none"/>
                    </w:rPr>
                  </w:pPr>
                </w:p>
              </w:tc>
              <w:tc>
                <w:tcPr>
                  <w:tcW w:w="367" w:type="pct"/>
                  <w:vAlign w:val="center"/>
                </w:tcPr>
                <w:p>
                  <w:pPr>
                    <w:adjustRightInd w:val="0"/>
                    <w:snapToGrid w:val="0"/>
                    <w:jc w:val="center"/>
                    <w:rPr>
                      <w:bCs/>
                      <w:color w:val="auto"/>
                      <w:szCs w:val="21"/>
                      <w:highlight w:val="none"/>
                    </w:rPr>
                  </w:pPr>
                  <w:r>
                    <w:rPr>
                      <w:rFonts w:hint="eastAsia"/>
                      <w:bCs/>
                      <w:color w:val="auto"/>
                      <w:szCs w:val="21"/>
                      <w:highlight w:val="none"/>
                    </w:rPr>
                    <w:t>无组织</w:t>
                  </w:r>
                </w:p>
              </w:tc>
              <w:tc>
                <w:tcPr>
                  <w:tcW w:w="611" w:type="pct"/>
                  <w:vAlign w:val="center"/>
                </w:tcPr>
                <w:p>
                  <w:pPr>
                    <w:widowControl/>
                    <w:jc w:val="center"/>
                    <w:textAlignment w:val="center"/>
                    <w:rPr>
                      <w:bCs/>
                      <w:color w:val="auto"/>
                      <w:szCs w:val="21"/>
                      <w:highlight w:val="none"/>
                    </w:rPr>
                  </w:pPr>
                  <w:r>
                    <w:rPr>
                      <w:color w:val="auto"/>
                      <w:kern w:val="0"/>
                      <w:szCs w:val="21"/>
                      <w:highlight w:val="none"/>
                      <w:lang w:bidi="ar"/>
                    </w:rPr>
                    <w:t>/</w:t>
                  </w:r>
                </w:p>
              </w:tc>
              <w:tc>
                <w:tcPr>
                  <w:tcW w:w="598" w:type="pct"/>
                  <w:vAlign w:val="center"/>
                </w:tcPr>
                <w:p>
                  <w:pPr>
                    <w:widowControl/>
                    <w:jc w:val="center"/>
                    <w:textAlignment w:val="center"/>
                    <w:rPr>
                      <w:bCs/>
                      <w:color w:val="auto"/>
                      <w:szCs w:val="21"/>
                      <w:highlight w:val="none"/>
                    </w:rPr>
                  </w:pPr>
                  <w:r>
                    <w:rPr>
                      <w:color w:val="auto"/>
                      <w:kern w:val="0"/>
                      <w:szCs w:val="21"/>
                      <w:highlight w:val="none"/>
                      <w:lang w:bidi="ar"/>
                    </w:rPr>
                    <w:t>0.00</w:t>
                  </w:r>
                  <w:r>
                    <w:rPr>
                      <w:rFonts w:hint="eastAsia"/>
                      <w:color w:val="auto"/>
                      <w:kern w:val="0"/>
                      <w:szCs w:val="21"/>
                      <w:highlight w:val="none"/>
                      <w:lang w:bidi="ar"/>
                    </w:rPr>
                    <w:t>788</w:t>
                  </w:r>
                </w:p>
              </w:tc>
              <w:tc>
                <w:tcPr>
                  <w:tcW w:w="534" w:type="pct"/>
                  <w:vAlign w:val="center"/>
                </w:tcPr>
                <w:p>
                  <w:pPr>
                    <w:widowControl/>
                    <w:jc w:val="center"/>
                    <w:textAlignment w:val="center"/>
                    <w:rPr>
                      <w:bCs/>
                      <w:color w:val="auto"/>
                      <w:szCs w:val="21"/>
                      <w:highlight w:val="none"/>
                    </w:rPr>
                  </w:pPr>
                  <w:r>
                    <w:rPr>
                      <w:rFonts w:hint="eastAsia"/>
                      <w:color w:val="auto"/>
                      <w:kern w:val="0"/>
                      <w:szCs w:val="21"/>
                      <w:highlight w:val="none"/>
                      <w:lang w:bidi="ar"/>
                    </w:rPr>
                    <w:t>0.0189</w:t>
                  </w:r>
                </w:p>
              </w:tc>
              <w:tc>
                <w:tcPr>
                  <w:tcW w:w="611" w:type="pct"/>
                  <w:vAlign w:val="center"/>
                </w:tcPr>
                <w:p>
                  <w:pPr>
                    <w:widowControl/>
                    <w:jc w:val="center"/>
                    <w:textAlignment w:val="center"/>
                    <w:rPr>
                      <w:color w:val="auto"/>
                      <w:kern w:val="0"/>
                      <w:szCs w:val="21"/>
                      <w:highlight w:val="none"/>
                      <w:lang w:bidi="ar"/>
                    </w:rPr>
                  </w:pPr>
                  <w:r>
                    <w:rPr>
                      <w:color w:val="auto"/>
                      <w:kern w:val="0"/>
                      <w:szCs w:val="21"/>
                      <w:highlight w:val="none"/>
                      <w:lang w:bidi="ar"/>
                    </w:rPr>
                    <w:t>/</w:t>
                  </w:r>
                </w:p>
              </w:tc>
              <w:tc>
                <w:tcPr>
                  <w:tcW w:w="598" w:type="pct"/>
                  <w:vAlign w:val="center"/>
                </w:tcPr>
                <w:p>
                  <w:pPr>
                    <w:widowControl/>
                    <w:jc w:val="center"/>
                    <w:textAlignment w:val="center"/>
                    <w:rPr>
                      <w:color w:val="auto"/>
                      <w:kern w:val="0"/>
                      <w:szCs w:val="21"/>
                      <w:highlight w:val="none"/>
                      <w:lang w:bidi="ar"/>
                    </w:rPr>
                  </w:pPr>
                  <w:r>
                    <w:rPr>
                      <w:color w:val="auto"/>
                      <w:kern w:val="0"/>
                      <w:szCs w:val="21"/>
                      <w:highlight w:val="none"/>
                      <w:lang w:bidi="ar"/>
                    </w:rPr>
                    <w:t>0.00</w:t>
                  </w:r>
                  <w:r>
                    <w:rPr>
                      <w:rFonts w:hint="eastAsia"/>
                      <w:color w:val="auto"/>
                      <w:kern w:val="0"/>
                      <w:szCs w:val="21"/>
                      <w:highlight w:val="none"/>
                      <w:lang w:bidi="ar"/>
                    </w:rPr>
                    <w:t>788</w:t>
                  </w:r>
                </w:p>
              </w:tc>
              <w:tc>
                <w:tcPr>
                  <w:tcW w:w="534" w:type="pct"/>
                  <w:vAlign w:val="center"/>
                </w:tcPr>
                <w:p>
                  <w:pPr>
                    <w:widowControl/>
                    <w:jc w:val="center"/>
                    <w:textAlignment w:val="center"/>
                    <w:rPr>
                      <w:color w:val="auto"/>
                      <w:kern w:val="0"/>
                      <w:szCs w:val="21"/>
                      <w:highlight w:val="none"/>
                      <w:lang w:bidi="ar"/>
                    </w:rPr>
                  </w:pPr>
                  <w:r>
                    <w:rPr>
                      <w:rFonts w:hint="eastAsia"/>
                      <w:color w:val="auto"/>
                      <w:kern w:val="0"/>
                      <w:szCs w:val="21"/>
                      <w:highlight w:val="none"/>
                      <w:lang w:bidi="ar"/>
                    </w:rPr>
                    <w:t>0.0189</w:t>
                  </w:r>
                </w:p>
              </w:tc>
            </w:tr>
          </w:tbl>
          <w:p>
            <w:pPr>
              <w:spacing w:before="120" w:beforeLines="50" w:line="360" w:lineRule="auto"/>
              <w:ind w:firstLine="422" w:firstLineChars="200"/>
              <w:jc w:val="left"/>
              <w:rPr>
                <w:rFonts w:hint="eastAsia"/>
                <w:b/>
                <w:bCs w:val="0"/>
                <w:color w:val="auto"/>
                <w:szCs w:val="21"/>
                <w:highlight w:val="none"/>
              </w:rPr>
            </w:pPr>
            <w:r>
              <w:rPr>
                <w:rFonts w:hint="eastAsia"/>
                <w:b/>
                <w:bCs w:val="0"/>
                <w:color w:val="auto"/>
                <w:szCs w:val="21"/>
                <w:highlight w:val="none"/>
              </w:rPr>
              <w:t>2、排放口情况</w:t>
            </w:r>
          </w:p>
          <w:p>
            <w:pPr>
              <w:pStyle w:val="41"/>
              <w:spacing w:line="360" w:lineRule="auto"/>
              <w:ind w:firstLine="420" w:firstLineChars="200"/>
              <w:rPr>
                <w:rFonts w:hint="default"/>
                <w:color w:val="auto"/>
                <w:highlight w:val="none"/>
              </w:rPr>
            </w:pPr>
            <w:r>
              <w:rPr>
                <w:rFonts w:ascii="Times New Roman" w:hAnsi="Times New Roman" w:cs="Times New Roman"/>
                <w:color w:val="auto"/>
                <w:sz w:val="21"/>
                <w:szCs w:val="21"/>
                <w:highlight w:val="none"/>
              </w:rPr>
              <w:t>本项目拟设</w:t>
            </w:r>
            <w:r>
              <w:rPr>
                <w:rFonts w:hint="eastAsia" w:ascii="Times New Roman" w:hAnsi="Times New Roman" w:cs="Times New Roman"/>
                <w:color w:val="auto"/>
                <w:sz w:val="21"/>
                <w:szCs w:val="21"/>
                <w:highlight w:val="none"/>
                <w:lang w:val="en-US" w:eastAsia="zh-CN"/>
              </w:rPr>
              <w:t>1</w:t>
            </w:r>
            <w:r>
              <w:rPr>
                <w:rFonts w:ascii="Times New Roman" w:hAnsi="Times New Roman" w:cs="Times New Roman"/>
                <w:color w:val="auto"/>
                <w:sz w:val="21"/>
                <w:szCs w:val="21"/>
                <w:highlight w:val="none"/>
              </w:rPr>
              <w:t>根排气筒，各废气排放口设置情况详见下表。</w:t>
            </w:r>
          </w:p>
          <w:p>
            <w:pPr>
              <w:adjustRightInd w:val="0"/>
              <w:snapToGrid w:val="0"/>
              <w:spacing w:line="360" w:lineRule="auto"/>
              <w:ind w:left="322"/>
              <w:jc w:val="center"/>
              <w:rPr>
                <w:b/>
                <w:color w:val="auto"/>
                <w:highlight w:val="none"/>
              </w:rPr>
            </w:pPr>
            <w:r>
              <w:rPr>
                <w:b/>
                <w:color w:val="auto"/>
                <w:highlight w:val="none"/>
              </w:rPr>
              <w:t>表4-</w:t>
            </w:r>
            <w:r>
              <w:rPr>
                <w:rFonts w:hint="eastAsia"/>
                <w:b/>
                <w:color w:val="auto"/>
                <w:highlight w:val="none"/>
                <w:lang w:val="en-US" w:eastAsia="zh-CN"/>
              </w:rPr>
              <w:t>4</w:t>
            </w:r>
            <w:r>
              <w:rPr>
                <w:b/>
                <w:color w:val="auto"/>
                <w:highlight w:val="none"/>
              </w:rPr>
              <w:t xml:space="preserve"> 本项目废气排放口情况一览表</w:t>
            </w:r>
          </w:p>
          <w:tbl>
            <w:tblPr>
              <w:tblStyle w:val="35"/>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0"/>
              <w:gridCol w:w="698"/>
              <w:gridCol w:w="992"/>
              <w:gridCol w:w="1101"/>
              <w:gridCol w:w="1004"/>
              <w:gridCol w:w="683"/>
              <w:gridCol w:w="807"/>
              <w:gridCol w:w="1154"/>
              <w:gridCol w:w="1124"/>
              <w:gridCol w:w="10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62" w:type="pct"/>
                  <w:vMerge w:val="restart"/>
                  <w:vAlign w:val="center"/>
                </w:tcPr>
                <w:p>
                  <w:pPr>
                    <w:pStyle w:val="114"/>
                    <w:adjustRightInd w:val="0"/>
                    <w:snapToGrid w:val="0"/>
                    <w:jc w:val="center"/>
                    <w:rPr>
                      <w:b/>
                      <w:bCs/>
                      <w:color w:val="auto"/>
                      <w:szCs w:val="21"/>
                      <w:highlight w:val="none"/>
                    </w:rPr>
                  </w:pPr>
                  <w:r>
                    <w:rPr>
                      <w:b/>
                      <w:bCs/>
                      <w:color w:val="auto"/>
                      <w:szCs w:val="21"/>
                      <w:highlight w:val="none"/>
                    </w:rPr>
                    <w:t>排放口编号</w:t>
                  </w:r>
                </w:p>
              </w:tc>
              <w:tc>
                <w:tcPr>
                  <w:tcW w:w="376" w:type="pct"/>
                  <w:vMerge w:val="restart"/>
                  <w:vAlign w:val="center"/>
                </w:tcPr>
                <w:p>
                  <w:pPr>
                    <w:pStyle w:val="114"/>
                    <w:adjustRightInd w:val="0"/>
                    <w:snapToGrid w:val="0"/>
                    <w:jc w:val="center"/>
                    <w:rPr>
                      <w:b/>
                      <w:bCs/>
                      <w:color w:val="auto"/>
                      <w:szCs w:val="21"/>
                      <w:highlight w:val="none"/>
                    </w:rPr>
                  </w:pPr>
                  <w:r>
                    <w:rPr>
                      <w:b/>
                      <w:bCs/>
                      <w:color w:val="auto"/>
                      <w:szCs w:val="21"/>
                      <w:highlight w:val="none"/>
                    </w:rPr>
                    <w:t>名称</w:t>
                  </w:r>
                </w:p>
              </w:tc>
              <w:tc>
                <w:tcPr>
                  <w:tcW w:w="532" w:type="pct"/>
                  <w:vMerge w:val="restart"/>
                  <w:vAlign w:val="center"/>
                </w:tcPr>
                <w:p>
                  <w:pPr>
                    <w:pStyle w:val="114"/>
                    <w:adjustRightInd w:val="0"/>
                    <w:snapToGrid w:val="0"/>
                    <w:jc w:val="center"/>
                    <w:rPr>
                      <w:b/>
                      <w:bCs/>
                      <w:color w:val="auto"/>
                      <w:szCs w:val="21"/>
                      <w:highlight w:val="none"/>
                    </w:rPr>
                  </w:pPr>
                  <w:r>
                    <w:rPr>
                      <w:b/>
                      <w:bCs/>
                      <w:color w:val="auto"/>
                      <w:szCs w:val="21"/>
                      <w:highlight w:val="none"/>
                    </w:rPr>
                    <w:t>污染物种类</w:t>
                  </w:r>
                </w:p>
              </w:tc>
              <w:tc>
                <w:tcPr>
                  <w:tcW w:w="1070" w:type="pct"/>
                  <w:gridSpan w:val="2"/>
                  <w:vAlign w:val="center"/>
                </w:tcPr>
                <w:p>
                  <w:pPr>
                    <w:pStyle w:val="114"/>
                    <w:adjustRightInd w:val="0"/>
                    <w:snapToGrid w:val="0"/>
                    <w:jc w:val="center"/>
                    <w:rPr>
                      <w:b/>
                      <w:bCs/>
                      <w:color w:val="auto"/>
                      <w:szCs w:val="21"/>
                      <w:highlight w:val="none"/>
                    </w:rPr>
                  </w:pPr>
                  <w:r>
                    <w:rPr>
                      <w:b/>
                      <w:bCs/>
                      <w:color w:val="auto"/>
                      <w:szCs w:val="21"/>
                      <w:highlight w:val="none"/>
                    </w:rPr>
                    <w:t>排气筒底部中心坐标</w:t>
                  </w:r>
                </w:p>
              </w:tc>
              <w:tc>
                <w:tcPr>
                  <w:tcW w:w="368" w:type="pct"/>
                  <w:vMerge w:val="restart"/>
                  <w:vAlign w:val="center"/>
                </w:tcPr>
                <w:p>
                  <w:pPr>
                    <w:pStyle w:val="114"/>
                    <w:adjustRightInd w:val="0"/>
                    <w:snapToGrid w:val="0"/>
                    <w:jc w:val="center"/>
                    <w:rPr>
                      <w:b/>
                      <w:bCs/>
                      <w:color w:val="auto"/>
                      <w:szCs w:val="21"/>
                      <w:highlight w:val="none"/>
                    </w:rPr>
                  </w:pPr>
                  <w:r>
                    <w:rPr>
                      <w:b/>
                      <w:bCs/>
                      <w:color w:val="auto"/>
                      <w:szCs w:val="21"/>
                      <w:highlight w:val="none"/>
                    </w:rPr>
                    <w:t>排气筒高度/m</w:t>
                  </w:r>
                </w:p>
              </w:tc>
              <w:tc>
                <w:tcPr>
                  <w:tcW w:w="434" w:type="pct"/>
                  <w:vMerge w:val="restart"/>
                  <w:vAlign w:val="center"/>
                </w:tcPr>
                <w:p>
                  <w:pPr>
                    <w:pStyle w:val="114"/>
                    <w:adjustRightInd w:val="0"/>
                    <w:snapToGrid w:val="0"/>
                    <w:jc w:val="center"/>
                    <w:rPr>
                      <w:b/>
                      <w:bCs/>
                      <w:color w:val="auto"/>
                      <w:szCs w:val="21"/>
                      <w:highlight w:val="none"/>
                    </w:rPr>
                  </w:pPr>
                  <w:r>
                    <w:rPr>
                      <w:b/>
                      <w:bCs/>
                      <w:color w:val="auto"/>
                      <w:szCs w:val="21"/>
                      <w:highlight w:val="none"/>
                    </w:rPr>
                    <w:t>排气筒出口内径/m</w:t>
                  </w:r>
                </w:p>
              </w:tc>
              <w:tc>
                <w:tcPr>
                  <w:tcW w:w="618" w:type="pct"/>
                  <w:vMerge w:val="restart"/>
                  <w:vAlign w:val="center"/>
                </w:tcPr>
                <w:p>
                  <w:pPr>
                    <w:pStyle w:val="114"/>
                    <w:adjustRightInd w:val="0"/>
                    <w:snapToGrid w:val="0"/>
                    <w:jc w:val="center"/>
                    <w:rPr>
                      <w:b/>
                      <w:bCs/>
                      <w:color w:val="auto"/>
                      <w:szCs w:val="21"/>
                      <w:highlight w:val="none"/>
                    </w:rPr>
                  </w:pPr>
                  <w:r>
                    <w:rPr>
                      <w:b/>
                      <w:bCs/>
                      <w:color w:val="auto"/>
                      <w:szCs w:val="21"/>
                      <w:highlight w:val="none"/>
                    </w:rPr>
                    <w:t>排气温度</w:t>
                  </w:r>
                  <w:r>
                    <w:rPr>
                      <w:rFonts w:hint="eastAsia"/>
                      <w:b/>
                      <w:bCs/>
                      <w:color w:val="auto"/>
                      <w:szCs w:val="21"/>
                      <w:highlight w:val="none"/>
                    </w:rPr>
                    <w:t>/</w:t>
                  </w:r>
                  <w:r>
                    <w:rPr>
                      <w:b/>
                      <w:bCs/>
                      <w:color w:val="auto"/>
                      <w:szCs w:val="21"/>
                      <w:highlight w:val="none"/>
                    </w:rPr>
                    <w:t>℃</w:t>
                  </w:r>
                </w:p>
              </w:tc>
              <w:tc>
                <w:tcPr>
                  <w:tcW w:w="602" w:type="pct"/>
                  <w:vMerge w:val="restart"/>
                  <w:vAlign w:val="center"/>
                </w:tcPr>
                <w:p>
                  <w:pPr>
                    <w:pStyle w:val="114"/>
                    <w:adjustRightInd w:val="0"/>
                    <w:snapToGrid w:val="0"/>
                    <w:jc w:val="center"/>
                    <w:rPr>
                      <w:b/>
                      <w:bCs/>
                      <w:color w:val="auto"/>
                      <w:szCs w:val="21"/>
                      <w:highlight w:val="none"/>
                    </w:rPr>
                  </w:pPr>
                  <w:r>
                    <w:rPr>
                      <w:b/>
                      <w:bCs/>
                      <w:color w:val="auto"/>
                      <w:szCs w:val="21"/>
                      <w:highlight w:val="none"/>
                    </w:rPr>
                    <w:t>烟气流量/（m</w:t>
                  </w:r>
                  <w:r>
                    <w:rPr>
                      <w:b/>
                      <w:bCs/>
                      <w:color w:val="auto"/>
                      <w:szCs w:val="21"/>
                      <w:highlight w:val="none"/>
                      <w:vertAlign w:val="superscript"/>
                    </w:rPr>
                    <w:t>3</w:t>
                  </w:r>
                  <w:r>
                    <w:rPr>
                      <w:b/>
                      <w:bCs/>
                      <w:color w:val="auto"/>
                      <w:szCs w:val="21"/>
                      <w:highlight w:val="none"/>
                    </w:rPr>
                    <w:t>/h）</w:t>
                  </w:r>
                </w:p>
              </w:tc>
              <w:tc>
                <w:tcPr>
                  <w:tcW w:w="533" w:type="pct"/>
                  <w:vMerge w:val="restart"/>
                  <w:vAlign w:val="center"/>
                </w:tcPr>
                <w:p>
                  <w:pPr>
                    <w:pStyle w:val="114"/>
                    <w:adjustRightInd w:val="0"/>
                    <w:snapToGrid w:val="0"/>
                    <w:jc w:val="center"/>
                    <w:rPr>
                      <w:b/>
                      <w:bCs/>
                      <w:color w:val="auto"/>
                      <w:szCs w:val="21"/>
                      <w:highlight w:val="none"/>
                    </w:rPr>
                  </w:pPr>
                  <w:r>
                    <w:rPr>
                      <w:b/>
                      <w:bCs/>
                      <w:color w:val="auto"/>
                      <w:szCs w:val="21"/>
                      <w:highlight w:val="none"/>
                    </w:rPr>
                    <w:t>烟气流速/（m/s）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62" w:type="pct"/>
                  <w:vMerge w:val="continue"/>
                  <w:vAlign w:val="center"/>
                </w:tcPr>
                <w:p>
                  <w:pPr>
                    <w:pStyle w:val="114"/>
                    <w:adjustRightInd w:val="0"/>
                    <w:snapToGrid w:val="0"/>
                    <w:jc w:val="center"/>
                    <w:rPr>
                      <w:color w:val="auto"/>
                      <w:szCs w:val="21"/>
                      <w:highlight w:val="none"/>
                    </w:rPr>
                  </w:pPr>
                </w:p>
              </w:tc>
              <w:tc>
                <w:tcPr>
                  <w:tcW w:w="376" w:type="pct"/>
                  <w:vMerge w:val="continue"/>
                  <w:vAlign w:val="center"/>
                </w:tcPr>
                <w:p>
                  <w:pPr>
                    <w:pStyle w:val="114"/>
                    <w:adjustRightInd w:val="0"/>
                    <w:snapToGrid w:val="0"/>
                    <w:jc w:val="center"/>
                    <w:rPr>
                      <w:color w:val="auto"/>
                      <w:szCs w:val="21"/>
                      <w:highlight w:val="none"/>
                    </w:rPr>
                  </w:pPr>
                </w:p>
              </w:tc>
              <w:tc>
                <w:tcPr>
                  <w:tcW w:w="532" w:type="pct"/>
                  <w:vMerge w:val="continue"/>
                  <w:vAlign w:val="center"/>
                </w:tcPr>
                <w:p>
                  <w:pPr>
                    <w:pStyle w:val="114"/>
                    <w:adjustRightInd w:val="0"/>
                    <w:snapToGrid w:val="0"/>
                    <w:jc w:val="center"/>
                    <w:rPr>
                      <w:color w:val="auto"/>
                      <w:szCs w:val="21"/>
                      <w:highlight w:val="none"/>
                    </w:rPr>
                  </w:pPr>
                </w:p>
              </w:tc>
              <w:tc>
                <w:tcPr>
                  <w:tcW w:w="560" w:type="pct"/>
                  <w:vAlign w:val="center"/>
                </w:tcPr>
                <w:p>
                  <w:pPr>
                    <w:pStyle w:val="114"/>
                    <w:jc w:val="center"/>
                    <w:rPr>
                      <w:b/>
                      <w:bCs/>
                      <w:color w:val="auto"/>
                      <w:szCs w:val="21"/>
                      <w:highlight w:val="none"/>
                    </w:rPr>
                  </w:pPr>
                  <w:r>
                    <w:rPr>
                      <w:b/>
                      <w:bCs/>
                      <w:color w:val="auto"/>
                      <w:szCs w:val="21"/>
                      <w:highlight w:val="none"/>
                    </w:rPr>
                    <w:t>经度</w:t>
                  </w:r>
                </w:p>
              </w:tc>
              <w:tc>
                <w:tcPr>
                  <w:tcW w:w="510" w:type="pct"/>
                  <w:vAlign w:val="center"/>
                </w:tcPr>
                <w:p>
                  <w:pPr>
                    <w:pStyle w:val="114"/>
                    <w:jc w:val="center"/>
                    <w:rPr>
                      <w:b/>
                      <w:bCs/>
                      <w:color w:val="auto"/>
                      <w:szCs w:val="21"/>
                      <w:highlight w:val="none"/>
                    </w:rPr>
                  </w:pPr>
                  <w:r>
                    <w:rPr>
                      <w:rFonts w:hint="eastAsia"/>
                      <w:b/>
                      <w:bCs/>
                      <w:color w:val="auto"/>
                      <w:szCs w:val="21"/>
                      <w:highlight w:val="none"/>
                    </w:rPr>
                    <w:t>纬度</w:t>
                  </w:r>
                </w:p>
              </w:tc>
              <w:tc>
                <w:tcPr>
                  <w:tcW w:w="368" w:type="pct"/>
                  <w:vMerge w:val="continue"/>
                  <w:vAlign w:val="center"/>
                </w:tcPr>
                <w:p>
                  <w:pPr>
                    <w:pStyle w:val="114"/>
                    <w:adjustRightInd w:val="0"/>
                    <w:snapToGrid w:val="0"/>
                    <w:jc w:val="center"/>
                    <w:rPr>
                      <w:color w:val="auto"/>
                      <w:szCs w:val="21"/>
                      <w:highlight w:val="none"/>
                    </w:rPr>
                  </w:pPr>
                </w:p>
              </w:tc>
              <w:tc>
                <w:tcPr>
                  <w:tcW w:w="434" w:type="pct"/>
                  <w:vMerge w:val="continue"/>
                  <w:vAlign w:val="center"/>
                </w:tcPr>
                <w:p>
                  <w:pPr>
                    <w:pStyle w:val="114"/>
                    <w:adjustRightInd w:val="0"/>
                    <w:snapToGrid w:val="0"/>
                    <w:jc w:val="center"/>
                    <w:rPr>
                      <w:color w:val="auto"/>
                      <w:szCs w:val="21"/>
                      <w:highlight w:val="none"/>
                    </w:rPr>
                  </w:pPr>
                </w:p>
              </w:tc>
              <w:tc>
                <w:tcPr>
                  <w:tcW w:w="618" w:type="pct"/>
                  <w:vMerge w:val="continue"/>
                  <w:vAlign w:val="center"/>
                </w:tcPr>
                <w:p>
                  <w:pPr>
                    <w:pStyle w:val="114"/>
                    <w:adjustRightInd w:val="0"/>
                    <w:snapToGrid w:val="0"/>
                    <w:ind w:firstLine="425"/>
                    <w:jc w:val="center"/>
                    <w:rPr>
                      <w:color w:val="auto"/>
                      <w:szCs w:val="21"/>
                      <w:highlight w:val="none"/>
                    </w:rPr>
                  </w:pPr>
                </w:p>
              </w:tc>
              <w:tc>
                <w:tcPr>
                  <w:tcW w:w="602" w:type="pct"/>
                  <w:vMerge w:val="continue"/>
                  <w:vAlign w:val="center"/>
                </w:tcPr>
                <w:p>
                  <w:pPr>
                    <w:pStyle w:val="114"/>
                    <w:adjustRightInd w:val="0"/>
                    <w:snapToGrid w:val="0"/>
                    <w:ind w:firstLine="425"/>
                    <w:jc w:val="center"/>
                    <w:rPr>
                      <w:color w:val="auto"/>
                      <w:szCs w:val="21"/>
                      <w:highlight w:val="none"/>
                    </w:rPr>
                  </w:pPr>
                </w:p>
              </w:tc>
              <w:tc>
                <w:tcPr>
                  <w:tcW w:w="533" w:type="pct"/>
                  <w:vMerge w:val="continue"/>
                  <w:vAlign w:val="center"/>
                </w:tcPr>
                <w:p>
                  <w:pPr>
                    <w:pStyle w:val="114"/>
                    <w:adjustRightInd w:val="0"/>
                    <w:snapToGrid w:val="0"/>
                    <w:ind w:firstLine="425"/>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62" w:type="pct"/>
                  <w:vAlign w:val="center"/>
                </w:tcPr>
                <w:p>
                  <w:pPr>
                    <w:pStyle w:val="114"/>
                    <w:adjustRightInd w:val="0"/>
                    <w:snapToGrid w:val="0"/>
                    <w:jc w:val="center"/>
                    <w:rPr>
                      <w:color w:val="auto"/>
                      <w:szCs w:val="21"/>
                      <w:highlight w:val="none"/>
                    </w:rPr>
                  </w:pPr>
                  <w:r>
                    <w:rPr>
                      <w:color w:val="auto"/>
                      <w:szCs w:val="21"/>
                      <w:highlight w:val="none"/>
                    </w:rPr>
                    <w:t>DA001</w:t>
                  </w:r>
                </w:p>
              </w:tc>
              <w:tc>
                <w:tcPr>
                  <w:tcW w:w="376" w:type="pct"/>
                  <w:vAlign w:val="center"/>
                </w:tcPr>
                <w:p>
                  <w:pPr>
                    <w:pStyle w:val="114"/>
                    <w:adjustRightInd w:val="0"/>
                    <w:snapToGrid w:val="0"/>
                    <w:jc w:val="center"/>
                    <w:rPr>
                      <w:color w:val="auto"/>
                      <w:szCs w:val="21"/>
                      <w:highlight w:val="none"/>
                    </w:rPr>
                  </w:pPr>
                  <w:r>
                    <w:rPr>
                      <w:color w:val="auto"/>
                      <w:szCs w:val="21"/>
                      <w:highlight w:val="none"/>
                    </w:rPr>
                    <w:t>投料、混合搅拌废气排放口</w:t>
                  </w:r>
                </w:p>
              </w:tc>
              <w:tc>
                <w:tcPr>
                  <w:tcW w:w="532" w:type="pct"/>
                  <w:vAlign w:val="center"/>
                </w:tcPr>
                <w:p>
                  <w:pPr>
                    <w:pStyle w:val="114"/>
                    <w:adjustRightInd w:val="0"/>
                    <w:snapToGrid w:val="0"/>
                    <w:rPr>
                      <w:color w:val="auto"/>
                      <w:szCs w:val="21"/>
                      <w:highlight w:val="none"/>
                    </w:rPr>
                  </w:pPr>
                  <w:r>
                    <w:rPr>
                      <w:rFonts w:hint="eastAsia"/>
                      <w:color w:val="auto"/>
                      <w:szCs w:val="21"/>
                      <w:highlight w:val="none"/>
                    </w:rPr>
                    <w:t>非甲烷总烃</w:t>
                  </w:r>
                  <w:r>
                    <w:rPr>
                      <w:color w:val="auto"/>
                      <w:szCs w:val="21"/>
                      <w:highlight w:val="none"/>
                    </w:rPr>
                    <w:t>、颗粒物</w:t>
                  </w:r>
                </w:p>
              </w:tc>
              <w:tc>
                <w:tcPr>
                  <w:tcW w:w="560" w:type="pct"/>
                  <w:vAlign w:val="center"/>
                </w:tcPr>
                <w:p>
                  <w:pPr>
                    <w:pStyle w:val="86"/>
                    <w:adjustRightInd w:val="0"/>
                    <w:snapToGrid w:val="0"/>
                    <w:jc w:val="center"/>
                    <w:rPr>
                      <w:rFonts w:hint="default" w:eastAsia="宋体"/>
                      <w:color w:val="auto"/>
                      <w:szCs w:val="21"/>
                      <w:highlight w:val="none"/>
                      <w:lang w:val="en-US" w:eastAsia="zh-CN"/>
                    </w:rPr>
                  </w:pPr>
                  <w:r>
                    <w:rPr>
                      <w:rFonts w:hint="eastAsia"/>
                      <w:color w:val="auto"/>
                      <w:szCs w:val="21"/>
                      <w:highlight w:val="none"/>
                      <w:lang w:val="en-US" w:eastAsia="zh-CN"/>
                    </w:rPr>
                    <w:t>114.02109</w:t>
                  </w:r>
                </w:p>
              </w:tc>
              <w:tc>
                <w:tcPr>
                  <w:tcW w:w="510" w:type="pct"/>
                  <w:vAlign w:val="center"/>
                </w:tcPr>
                <w:p>
                  <w:pPr>
                    <w:pStyle w:val="86"/>
                    <w:adjustRightInd w:val="0"/>
                    <w:snapToGrid w:val="0"/>
                    <w:jc w:val="center"/>
                    <w:rPr>
                      <w:rFonts w:hint="default" w:eastAsia="宋体"/>
                      <w:color w:val="auto"/>
                      <w:szCs w:val="21"/>
                      <w:highlight w:val="none"/>
                      <w:lang w:val="en-US" w:eastAsia="zh-CN"/>
                    </w:rPr>
                  </w:pPr>
                  <w:r>
                    <w:rPr>
                      <w:rFonts w:hint="eastAsia"/>
                      <w:color w:val="auto"/>
                      <w:szCs w:val="21"/>
                      <w:highlight w:val="none"/>
                      <w:lang w:val="en-US" w:eastAsia="zh-CN"/>
                    </w:rPr>
                    <w:t>23.12281</w:t>
                  </w:r>
                </w:p>
              </w:tc>
              <w:tc>
                <w:tcPr>
                  <w:tcW w:w="368" w:type="pct"/>
                  <w:vAlign w:val="center"/>
                </w:tcPr>
                <w:p>
                  <w:pPr>
                    <w:pStyle w:val="114"/>
                    <w:adjustRightInd w:val="0"/>
                    <w:snapToGrid w:val="0"/>
                    <w:jc w:val="center"/>
                    <w:rPr>
                      <w:color w:val="auto"/>
                      <w:szCs w:val="21"/>
                      <w:highlight w:val="none"/>
                    </w:rPr>
                  </w:pPr>
                  <w:r>
                    <w:rPr>
                      <w:rFonts w:hint="eastAsia"/>
                      <w:color w:val="auto"/>
                      <w:szCs w:val="21"/>
                      <w:highlight w:val="none"/>
                    </w:rPr>
                    <w:t>15</w:t>
                  </w:r>
                </w:p>
              </w:tc>
              <w:tc>
                <w:tcPr>
                  <w:tcW w:w="434" w:type="pct"/>
                  <w:vAlign w:val="center"/>
                </w:tcPr>
                <w:p>
                  <w:pPr>
                    <w:pStyle w:val="114"/>
                    <w:adjustRightInd w:val="0"/>
                    <w:snapToGrid w:val="0"/>
                    <w:jc w:val="center"/>
                    <w:rPr>
                      <w:color w:val="auto"/>
                      <w:szCs w:val="21"/>
                      <w:highlight w:val="none"/>
                    </w:rPr>
                  </w:pPr>
                  <w:r>
                    <w:rPr>
                      <w:rFonts w:hint="eastAsia"/>
                      <w:color w:val="auto"/>
                      <w:szCs w:val="21"/>
                      <w:highlight w:val="none"/>
                    </w:rPr>
                    <w:t>0.5</w:t>
                  </w:r>
                </w:p>
              </w:tc>
              <w:tc>
                <w:tcPr>
                  <w:tcW w:w="618" w:type="pct"/>
                  <w:vAlign w:val="center"/>
                </w:tcPr>
                <w:p>
                  <w:pPr>
                    <w:pStyle w:val="114"/>
                    <w:adjustRightInd w:val="0"/>
                    <w:snapToGrid w:val="0"/>
                    <w:jc w:val="center"/>
                    <w:rPr>
                      <w:color w:val="auto"/>
                      <w:szCs w:val="21"/>
                      <w:highlight w:val="none"/>
                    </w:rPr>
                  </w:pPr>
                  <w:r>
                    <w:rPr>
                      <w:rFonts w:hint="eastAsia"/>
                      <w:color w:val="auto"/>
                      <w:szCs w:val="21"/>
                      <w:highlight w:val="none"/>
                    </w:rPr>
                    <w:t>25</w:t>
                  </w:r>
                </w:p>
              </w:tc>
              <w:tc>
                <w:tcPr>
                  <w:tcW w:w="602" w:type="pct"/>
                  <w:vAlign w:val="center"/>
                </w:tcPr>
                <w:p>
                  <w:pPr>
                    <w:pStyle w:val="114"/>
                    <w:adjustRightInd w:val="0"/>
                    <w:snapToGrid w:val="0"/>
                    <w:jc w:val="center"/>
                    <w:rPr>
                      <w:color w:val="auto"/>
                      <w:szCs w:val="21"/>
                      <w:highlight w:val="none"/>
                    </w:rPr>
                  </w:pPr>
                  <w:r>
                    <w:rPr>
                      <w:rFonts w:hint="eastAsia"/>
                      <w:color w:val="auto"/>
                      <w:szCs w:val="21"/>
                      <w:highlight w:val="none"/>
                    </w:rPr>
                    <w:t>1</w:t>
                  </w:r>
                  <w:r>
                    <w:rPr>
                      <w:rFonts w:hint="eastAsia"/>
                      <w:color w:val="auto"/>
                      <w:szCs w:val="21"/>
                      <w:highlight w:val="none"/>
                      <w:lang w:val="en-US" w:eastAsia="zh-CN"/>
                    </w:rPr>
                    <w:t>5</w:t>
                  </w:r>
                  <w:r>
                    <w:rPr>
                      <w:rFonts w:hint="eastAsia"/>
                      <w:color w:val="auto"/>
                      <w:szCs w:val="21"/>
                      <w:highlight w:val="none"/>
                    </w:rPr>
                    <w:t>000</w:t>
                  </w:r>
                </w:p>
              </w:tc>
              <w:tc>
                <w:tcPr>
                  <w:tcW w:w="533" w:type="pct"/>
                  <w:vAlign w:val="center"/>
                </w:tcPr>
                <w:p>
                  <w:pPr>
                    <w:pStyle w:val="114"/>
                    <w:adjustRightInd w:val="0"/>
                    <w:snapToGrid w:val="0"/>
                    <w:jc w:val="center"/>
                    <w:rPr>
                      <w:rFonts w:hint="default" w:eastAsia="宋体"/>
                      <w:color w:val="auto"/>
                      <w:szCs w:val="21"/>
                      <w:highlight w:val="none"/>
                      <w:lang w:val="en-US" w:eastAsia="zh-CN"/>
                    </w:rPr>
                  </w:pPr>
                  <w:r>
                    <w:rPr>
                      <w:rFonts w:hint="eastAsia"/>
                      <w:color w:val="auto"/>
                      <w:szCs w:val="21"/>
                      <w:highlight w:val="none"/>
                      <w:lang w:val="en-US" w:eastAsia="zh-CN"/>
                    </w:rPr>
                    <w:t>21.22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10"/>
                  <w:vAlign w:val="center"/>
                </w:tcPr>
                <w:p>
                  <w:pPr>
                    <w:pStyle w:val="114"/>
                    <w:adjustRightInd w:val="0"/>
                    <w:snapToGrid w:val="0"/>
                    <w:jc w:val="left"/>
                    <w:rPr>
                      <w:color w:val="auto"/>
                      <w:szCs w:val="21"/>
                      <w:highlight w:val="none"/>
                    </w:rPr>
                  </w:pPr>
                  <w:r>
                    <w:rPr>
                      <w:color w:val="auto"/>
                      <w:szCs w:val="21"/>
                      <w:highlight w:val="none"/>
                    </w:rPr>
                    <w:t>备注：排气筒底部中心坐标采用经纬度。</w:t>
                  </w:r>
                </w:p>
              </w:tc>
            </w:tr>
          </w:tbl>
          <w:p>
            <w:pPr>
              <w:adjustRightInd w:val="0"/>
              <w:snapToGrid w:val="0"/>
              <w:spacing w:before="120" w:beforeLines="50" w:line="360" w:lineRule="auto"/>
              <w:ind w:firstLine="422" w:firstLineChars="200"/>
              <w:rPr>
                <w:b/>
                <w:color w:val="auto"/>
                <w:szCs w:val="21"/>
                <w:highlight w:val="none"/>
              </w:rPr>
            </w:pPr>
            <w:r>
              <w:rPr>
                <w:rFonts w:hint="eastAsia"/>
                <w:b/>
                <w:color w:val="auto"/>
                <w:szCs w:val="21"/>
                <w:highlight w:val="none"/>
              </w:rPr>
              <w:t>3、监测要求</w:t>
            </w:r>
          </w:p>
          <w:p>
            <w:pPr>
              <w:adjustRightInd w:val="0"/>
              <w:snapToGrid w:val="0"/>
              <w:spacing w:line="360" w:lineRule="auto"/>
              <w:ind w:firstLine="420" w:firstLineChars="200"/>
              <w:rPr>
                <w:color w:val="auto"/>
                <w:szCs w:val="21"/>
                <w:highlight w:val="none"/>
              </w:rPr>
            </w:pPr>
            <w:r>
              <w:rPr>
                <w:color w:val="auto"/>
                <w:szCs w:val="21"/>
                <w:highlight w:val="none"/>
              </w:rPr>
              <w:t>根据《排污单位自行监测技术指南 总则》（HJ 819-2017）和《排污许可证申请与核发技术规范 橡胶和塑料制品工业》（HJ 1122-2020），</w:t>
            </w:r>
            <w:r>
              <w:rPr>
                <w:rFonts w:hint="eastAsia"/>
                <w:color w:val="auto"/>
                <w:szCs w:val="21"/>
                <w:highlight w:val="none"/>
              </w:rPr>
              <w:t>项目废气排放监测要求详见下表。</w:t>
            </w:r>
          </w:p>
          <w:p>
            <w:pPr>
              <w:adjustRightInd w:val="0"/>
              <w:snapToGrid w:val="0"/>
              <w:spacing w:line="360" w:lineRule="auto"/>
              <w:ind w:left="322"/>
              <w:jc w:val="center"/>
              <w:rPr>
                <w:b/>
                <w:color w:val="auto"/>
                <w:highlight w:val="none"/>
              </w:rPr>
            </w:pPr>
            <w:r>
              <w:rPr>
                <w:b/>
                <w:color w:val="auto"/>
                <w:highlight w:val="none"/>
              </w:rPr>
              <w:t>表4-</w:t>
            </w:r>
            <w:r>
              <w:rPr>
                <w:rFonts w:hint="eastAsia"/>
                <w:b/>
                <w:color w:val="auto"/>
                <w:highlight w:val="none"/>
                <w:lang w:val="en-US" w:eastAsia="zh-CN"/>
              </w:rPr>
              <w:t>5</w:t>
            </w:r>
            <w:r>
              <w:rPr>
                <w:b/>
                <w:color w:val="auto"/>
                <w:highlight w:val="none"/>
              </w:rPr>
              <w:t xml:space="preserve"> 本项目废气排放监测要求一览表</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7"/>
              <w:gridCol w:w="1018"/>
              <w:gridCol w:w="1282"/>
              <w:gridCol w:w="742"/>
              <w:gridCol w:w="1731"/>
              <w:gridCol w:w="1121"/>
              <w:gridCol w:w="3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3" w:type="pct"/>
                  <w:vMerge w:val="restart"/>
                  <w:vAlign w:val="center"/>
                </w:tcPr>
                <w:p>
                  <w:pPr>
                    <w:widowControl/>
                    <w:ind w:left="-36" w:leftChars="-17" w:right="-38" w:rightChars="-18"/>
                    <w:jc w:val="center"/>
                    <w:rPr>
                      <w:b/>
                      <w:color w:val="auto"/>
                      <w:kern w:val="0"/>
                      <w:szCs w:val="21"/>
                      <w:highlight w:val="none"/>
                    </w:rPr>
                  </w:pPr>
                  <w:r>
                    <w:rPr>
                      <w:rFonts w:hint="eastAsia"/>
                      <w:b/>
                      <w:color w:val="auto"/>
                      <w:kern w:val="0"/>
                      <w:szCs w:val="21"/>
                      <w:highlight w:val="none"/>
                    </w:rPr>
                    <w:t>废气</w:t>
                  </w:r>
                </w:p>
                <w:p>
                  <w:pPr>
                    <w:widowControl/>
                    <w:ind w:left="-36" w:leftChars="-17" w:right="-38" w:rightChars="-18"/>
                    <w:jc w:val="center"/>
                    <w:rPr>
                      <w:b/>
                      <w:color w:val="auto"/>
                      <w:szCs w:val="21"/>
                      <w:highlight w:val="none"/>
                    </w:rPr>
                  </w:pPr>
                  <w:r>
                    <w:rPr>
                      <w:rFonts w:hint="eastAsia"/>
                      <w:b/>
                      <w:color w:val="auto"/>
                      <w:kern w:val="0"/>
                      <w:szCs w:val="21"/>
                      <w:highlight w:val="none"/>
                    </w:rPr>
                    <w:t>类型</w:t>
                  </w:r>
                </w:p>
              </w:tc>
              <w:tc>
                <w:tcPr>
                  <w:tcW w:w="539" w:type="pct"/>
                  <w:vMerge w:val="restart"/>
                  <w:vAlign w:val="center"/>
                </w:tcPr>
                <w:p>
                  <w:pPr>
                    <w:pStyle w:val="114"/>
                    <w:adjustRightInd w:val="0"/>
                    <w:snapToGrid w:val="0"/>
                    <w:jc w:val="center"/>
                    <w:rPr>
                      <w:b/>
                      <w:color w:val="auto"/>
                      <w:szCs w:val="21"/>
                      <w:highlight w:val="none"/>
                    </w:rPr>
                  </w:pPr>
                  <w:r>
                    <w:rPr>
                      <w:b/>
                      <w:color w:val="auto"/>
                      <w:szCs w:val="21"/>
                      <w:highlight w:val="none"/>
                    </w:rPr>
                    <w:t>监测点位</w:t>
                  </w:r>
                </w:p>
              </w:tc>
              <w:tc>
                <w:tcPr>
                  <w:tcW w:w="679" w:type="pct"/>
                  <w:vMerge w:val="restart"/>
                  <w:vAlign w:val="center"/>
                </w:tcPr>
                <w:p>
                  <w:pPr>
                    <w:pStyle w:val="114"/>
                    <w:adjustRightInd w:val="0"/>
                    <w:snapToGrid w:val="0"/>
                    <w:jc w:val="center"/>
                    <w:rPr>
                      <w:b/>
                      <w:color w:val="auto"/>
                      <w:szCs w:val="21"/>
                      <w:highlight w:val="none"/>
                    </w:rPr>
                  </w:pPr>
                  <w:r>
                    <w:rPr>
                      <w:b/>
                      <w:color w:val="auto"/>
                      <w:szCs w:val="21"/>
                      <w:highlight w:val="none"/>
                    </w:rPr>
                    <w:t>监测因子</w:t>
                  </w:r>
                </w:p>
              </w:tc>
              <w:tc>
                <w:tcPr>
                  <w:tcW w:w="393" w:type="pct"/>
                  <w:vMerge w:val="restart"/>
                  <w:vAlign w:val="center"/>
                </w:tcPr>
                <w:p>
                  <w:pPr>
                    <w:pStyle w:val="114"/>
                    <w:adjustRightInd w:val="0"/>
                    <w:snapToGrid w:val="0"/>
                    <w:jc w:val="center"/>
                    <w:rPr>
                      <w:b/>
                      <w:color w:val="auto"/>
                      <w:szCs w:val="21"/>
                      <w:highlight w:val="none"/>
                    </w:rPr>
                  </w:pPr>
                  <w:r>
                    <w:rPr>
                      <w:b/>
                      <w:color w:val="auto"/>
                      <w:szCs w:val="21"/>
                      <w:highlight w:val="none"/>
                    </w:rPr>
                    <w:t>监测频次</w:t>
                  </w:r>
                </w:p>
              </w:tc>
              <w:tc>
                <w:tcPr>
                  <w:tcW w:w="3124" w:type="pct"/>
                  <w:gridSpan w:val="3"/>
                  <w:vAlign w:val="center"/>
                </w:tcPr>
                <w:p>
                  <w:pPr>
                    <w:pStyle w:val="114"/>
                    <w:adjustRightInd w:val="0"/>
                    <w:snapToGrid w:val="0"/>
                    <w:jc w:val="center"/>
                    <w:rPr>
                      <w:b/>
                      <w:color w:val="auto"/>
                      <w:szCs w:val="21"/>
                      <w:highlight w:val="none"/>
                    </w:rPr>
                  </w:pPr>
                  <w:r>
                    <w:rPr>
                      <w:rFonts w:hint="eastAsia"/>
                      <w:b/>
                      <w:color w:val="auto"/>
                      <w:szCs w:val="21"/>
                      <w:highlight w:val="none"/>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263" w:type="pct"/>
                  <w:vMerge w:val="continue"/>
                  <w:vAlign w:val="center"/>
                </w:tcPr>
                <w:p>
                  <w:pPr>
                    <w:pStyle w:val="114"/>
                    <w:adjustRightInd w:val="0"/>
                    <w:snapToGrid w:val="0"/>
                    <w:jc w:val="center"/>
                    <w:rPr>
                      <w:b/>
                      <w:color w:val="auto"/>
                      <w:szCs w:val="21"/>
                      <w:highlight w:val="none"/>
                    </w:rPr>
                  </w:pPr>
                </w:p>
              </w:tc>
              <w:tc>
                <w:tcPr>
                  <w:tcW w:w="539" w:type="pct"/>
                  <w:vMerge w:val="continue"/>
                  <w:vAlign w:val="center"/>
                </w:tcPr>
                <w:p>
                  <w:pPr>
                    <w:pStyle w:val="114"/>
                    <w:adjustRightInd w:val="0"/>
                    <w:snapToGrid w:val="0"/>
                    <w:jc w:val="center"/>
                    <w:rPr>
                      <w:b/>
                      <w:color w:val="auto"/>
                      <w:szCs w:val="21"/>
                      <w:highlight w:val="none"/>
                    </w:rPr>
                  </w:pPr>
                </w:p>
              </w:tc>
              <w:tc>
                <w:tcPr>
                  <w:tcW w:w="679" w:type="pct"/>
                  <w:vMerge w:val="continue"/>
                  <w:vAlign w:val="center"/>
                </w:tcPr>
                <w:p>
                  <w:pPr>
                    <w:pStyle w:val="114"/>
                    <w:adjustRightInd w:val="0"/>
                    <w:snapToGrid w:val="0"/>
                    <w:jc w:val="center"/>
                    <w:rPr>
                      <w:b/>
                      <w:color w:val="auto"/>
                      <w:szCs w:val="21"/>
                      <w:highlight w:val="none"/>
                    </w:rPr>
                  </w:pPr>
                </w:p>
              </w:tc>
              <w:tc>
                <w:tcPr>
                  <w:tcW w:w="393" w:type="pct"/>
                  <w:vMerge w:val="continue"/>
                  <w:vAlign w:val="center"/>
                </w:tcPr>
                <w:p>
                  <w:pPr>
                    <w:pStyle w:val="114"/>
                    <w:adjustRightInd w:val="0"/>
                    <w:snapToGrid w:val="0"/>
                    <w:jc w:val="center"/>
                    <w:rPr>
                      <w:b/>
                      <w:color w:val="auto"/>
                      <w:szCs w:val="21"/>
                      <w:highlight w:val="none"/>
                    </w:rPr>
                  </w:pPr>
                </w:p>
              </w:tc>
              <w:tc>
                <w:tcPr>
                  <w:tcW w:w="917" w:type="pct"/>
                  <w:vAlign w:val="center"/>
                </w:tcPr>
                <w:p>
                  <w:pPr>
                    <w:pStyle w:val="114"/>
                    <w:adjustRightInd w:val="0"/>
                    <w:snapToGrid w:val="0"/>
                    <w:jc w:val="center"/>
                    <w:rPr>
                      <w:b/>
                      <w:color w:val="auto"/>
                      <w:szCs w:val="21"/>
                      <w:highlight w:val="none"/>
                    </w:rPr>
                  </w:pPr>
                  <w:r>
                    <w:rPr>
                      <w:rFonts w:hint="eastAsia"/>
                      <w:b/>
                      <w:color w:val="auto"/>
                      <w:szCs w:val="21"/>
                      <w:highlight w:val="none"/>
                    </w:rPr>
                    <w:t>排放浓度mg/m</w:t>
                  </w:r>
                  <w:r>
                    <w:rPr>
                      <w:rFonts w:hint="eastAsia"/>
                      <w:b/>
                      <w:color w:val="auto"/>
                      <w:szCs w:val="21"/>
                      <w:highlight w:val="none"/>
                      <w:vertAlign w:val="superscript"/>
                    </w:rPr>
                    <w:t>3</w:t>
                  </w:r>
                </w:p>
              </w:tc>
              <w:tc>
                <w:tcPr>
                  <w:tcW w:w="594" w:type="pct"/>
                  <w:vAlign w:val="center"/>
                </w:tcPr>
                <w:p>
                  <w:pPr>
                    <w:pStyle w:val="114"/>
                    <w:adjustRightInd w:val="0"/>
                    <w:snapToGrid w:val="0"/>
                    <w:jc w:val="center"/>
                    <w:rPr>
                      <w:b/>
                      <w:color w:val="auto"/>
                      <w:szCs w:val="21"/>
                      <w:highlight w:val="none"/>
                    </w:rPr>
                  </w:pPr>
                  <w:r>
                    <w:rPr>
                      <w:rFonts w:hint="eastAsia"/>
                      <w:b/>
                      <w:color w:val="auto"/>
                      <w:szCs w:val="21"/>
                      <w:highlight w:val="none"/>
                    </w:rPr>
                    <w:t>最高允许排放速率kg/h</w:t>
                  </w:r>
                </w:p>
              </w:tc>
              <w:tc>
                <w:tcPr>
                  <w:tcW w:w="1612" w:type="pct"/>
                  <w:vAlign w:val="center"/>
                </w:tcPr>
                <w:p>
                  <w:pPr>
                    <w:pStyle w:val="114"/>
                    <w:adjustRightInd w:val="0"/>
                    <w:snapToGrid w:val="0"/>
                    <w:jc w:val="center"/>
                    <w:rPr>
                      <w:b/>
                      <w:color w:val="auto"/>
                      <w:szCs w:val="21"/>
                      <w:highlight w:val="none"/>
                    </w:rPr>
                  </w:pPr>
                  <w:r>
                    <w:rPr>
                      <w:rFonts w:hint="eastAsia"/>
                      <w:b/>
                      <w:color w:val="auto"/>
                      <w:szCs w:val="21"/>
                      <w:highlight w:val="none"/>
                    </w:rPr>
                    <w:t>标准名称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1" w:hRule="atLeast"/>
                <w:jc w:val="center"/>
              </w:trPr>
              <w:tc>
                <w:tcPr>
                  <w:tcW w:w="263" w:type="pct"/>
                  <w:vMerge w:val="restart"/>
                  <w:vAlign w:val="center"/>
                </w:tcPr>
                <w:p>
                  <w:pPr>
                    <w:pStyle w:val="114"/>
                    <w:adjustRightInd w:val="0"/>
                    <w:snapToGrid w:val="0"/>
                    <w:jc w:val="center"/>
                    <w:rPr>
                      <w:color w:val="auto"/>
                      <w:szCs w:val="21"/>
                      <w:highlight w:val="none"/>
                    </w:rPr>
                  </w:pPr>
                  <w:r>
                    <w:rPr>
                      <w:rFonts w:hint="eastAsia"/>
                      <w:color w:val="auto"/>
                      <w:szCs w:val="21"/>
                      <w:highlight w:val="none"/>
                    </w:rPr>
                    <w:t>有组织</w:t>
                  </w:r>
                </w:p>
              </w:tc>
              <w:tc>
                <w:tcPr>
                  <w:tcW w:w="539" w:type="pct"/>
                  <w:vMerge w:val="restart"/>
                  <w:vAlign w:val="center"/>
                </w:tcPr>
                <w:p>
                  <w:pPr>
                    <w:pStyle w:val="114"/>
                    <w:adjustRightInd w:val="0"/>
                    <w:snapToGrid w:val="0"/>
                    <w:jc w:val="center"/>
                    <w:rPr>
                      <w:color w:val="auto"/>
                      <w:szCs w:val="21"/>
                      <w:highlight w:val="none"/>
                    </w:rPr>
                  </w:pPr>
                  <w:r>
                    <w:rPr>
                      <w:color w:val="auto"/>
                      <w:szCs w:val="21"/>
                      <w:highlight w:val="none"/>
                    </w:rPr>
                    <w:t>投料、混合搅拌废气排放口</w:t>
                  </w:r>
                </w:p>
              </w:tc>
              <w:tc>
                <w:tcPr>
                  <w:tcW w:w="679" w:type="pct"/>
                  <w:vAlign w:val="center"/>
                </w:tcPr>
                <w:p>
                  <w:pPr>
                    <w:adjustRightInd w:val="0"/>
                    <w:snapToGrid w:val="0"/>
                    <w:jc w:val="center"/>
                    <w:rPr>
                      <w:color w:val="auto"/>
                      <w:szCs w:val="21"/>
                      <w:highlight w:val="none"/>
                    </w:rPr>
                  </w:pPr>
                  <w:r>
                    <w:rPr>
                      <w:rFonts w:hint="eastAsia"/>
                      <w:color w:val="auto"/>
                      <w:szCs w:val="21"/>
                      <w:highlight w:val="none"/>
                    </w:rPr>
                    <w:t>非甲烷总烃</w:t>
                  </w:r>
                </w:p>
              </w:tc>
              <w:tc>
                <w:tcPr>
                  <w:tcW w:w="393" w:type="pct"/>
                  <w:vMerge w:val="restart"/>
                  <w:vAlign w:val="center"/>
                </w:tcPr>
                <w:p>
                  <w:pPr>
                    <w:pStyle w:val="114"/>
                    <w:adjustRightInd w:val="0"/>
                    <w:snapToGrid w:val="0"/>
                    <w:jc w:val="center"/>
                    <w:rPr>
                      <w:color w:val="auto"/>
                      <w:szCs w:val="21"/>
                      <w:highlight w:val="none"/>
                    </w:rPr>
                  </w:pPr>
                  <w:r>
                    <w:rPr>
                      <w:rFonts w:hint="eastAsia"/>
                      <w:color w:val="auto"/>
                      <w:szCs w:val="21"/>
                      <w:highlight w:val="none"/>
                    </w:rPr>
                    <w:t>1次/年</w:t>
                  </w:r>
                </w:p>
              </w:tc>
              <w:tc>
                <w:tcPr>
                  <w:tcW w:w="917" w:type="pct"/>
                  <w:vAlign w:val="center"/>
                </w:tcPr>
                <w:p>
                  <w:pPr>
                    <w:pStyle w:val="110"/>
                    <w:rPr>
                      <w:rFonts w:hint="default" w:eastAsia="宋体"/>
                      <w:color w:val="FF0000"/>
                      <w:szCs w:val="21"/>
                      <w:highlight w:val="none"/>
                      <w:lang w:val="en-US" w:eastAsia="zh-CN"/>
                    </w:rPr>
                  </w:pPr>
                  <w:r>
                    <w:rPr>
                      <w:rFonts w:hint="eastAsia"/>
                      <w:color w:val="FF0000"/>
                      <w:szCs w:val="21"/>
                      <w:highlight w:val="none"/>
                      <w:lang w:val="en-US" w:eastAsia="zh-CN"/>
                    </w:rPr>
                    <w:t>10</w:t>
                  </w:r>
                </w:p>
              </w:tc>
              <w:tc>
                <w:tcPr>
                  <w:tcW w:w="594" w:type="pct"/>
                  <w:vAlign w:val="center"/>
                </w:tcPr>
                <w:p>
                  <w:pPr>
                    <w:jc w:val="center"/>
                    <w:rPr>
                      <w:color w:val="FF0000"/>
                      <w:szCs w:val="21"/>
                      <w:highlight w:val="none"/>
                    </w:rPr>
                  </w:pPr>
                  <w:r>
                    <w:rPr>
                      <w:rFonts w:hint="eastAsia"/>
                      <w:color w:val="FF0000"/>
                      <w:szCs w:val="21"/>
                      <w:highlight w:val="none"/>
                    </w:rPr>
                    <w:t>/</w:t>
                  </w:r>
                </w:p>
              </w:tc>
              <w:tc>
                <w:tcPr>
                  <w:tcW w:w="1612" w:type="pct"/>
                  <w:vMerge w:val="restart"/>
                  <w:vAlign w:val="center"/>
                </w:tcPr>
                <w:p>
                  <w:pPr>
                    <w:pStyle w:val="114"/>
                    <w:adjustRightInd w:val="0"/>
                    <w:snapToGrid w:val="0"/>
                    <w:jc w:val="center"/>
                    <w:rPr>
                      <w:color w:val="FF0000"/>
                      <w:szCs w:val="21"/>
                      <w:highlight w:val="none"/>
                    </w:rPr>
                  </w:pPr>
                  <w:r>
                    <w:rPr>
                      <w:bCs/>
                      <w:color w:val="FF0000"/>
                      <w:szCs w:val="21"/>
                      <w:highlight w:val="none"/>
                    </w:rPr>
                    <w:t>《</w:t>
                  </w:r>
                  <w:r>
                    <w:rPr>
                      <w:rFonts w:hint="eastAsia"/>
                      <w:bCs/>
                      <w:color w:val="FF0000"/>
                      <w:szCs w:val="21"/>
                      <w:highlight w:val="none"/>
                      <w:lang w:val="en-US" w:eastAsia="zh-CN"/>
                    </w:rPr>
                    <w:t>橡胶制品</w:t>
                  </w:r>
                  <w:r>
                    <w:rPr>
                      <w:bCs/>
                      <w:color w:val="FF0000"/>
                      <w:szCs w:val="21"/>
                      <w:highlight w:val="none"/>
                    </w:rPr>
                    <w:t>工业污染物排放标准》（GB31572-2015）表5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3" w:type="pct"/>
                  <w:vMerge w:val="continue"/>
                  <w:vAlign w:val="center"/>
                </w:tcPr>
                <w:p>
                  <w:pPr>
                    <w:pStyle w:val="114"/>
                    <w:adjustRightInd w:val="0"/>
                    <w:snapToGrid w:val="0"/>
                    <w:jc w:val="center"/>
                    <w:rPr>
                      <w:color w:val="auto"/>
                      <w:szCs w:val="21"/>
                      <w:highlight w:val="none"/>
                    </w:rPr>
                  </w:pPr>
                </w:p>
              </w:tc>
              <w:tc>
                <w:tcPr>
                  <w:tcW w:w="539" w:type="pct"/>
                  <w:vMerge w:val="continue"/>
                  <w:vAlign w:val="center"/>
                </w:tcPr>
                <w:p>
                  <w:pPr>
                    <w:pStyle w:val="114"/>
                    <w:adjustRightInd w:val="0"/>
                    <w:snapToGrid w:val="0"/>
                    <w:jc w:val="center"/>
                    <w:rPr>
                      <w:color w:val="auto"/>
                      <w:szCs w:val="21"/>
                      <w:highlight w:val="none"/>
                    </w:rPr>
                  </w:pPr>
                </w:p>
              </w:tc>
              <w:tc>
                <w:tcPr>
                  <w:tcW w:w="679" w:type="pct"/>
                  <w:vAlign w:val="center"/>
                </w:tcPr>
                <w:p>
                  <w:pPr>
                    <w:adjustRightInd w:val="0"/>
                    <w:snapToGrid w:val="0"/>
                    <w:jc w:val="center"/>
                    <w:rPr>
                      <w:color w:val="auto"/>
                      <w:szCs w:val="21"/>
                      <w:highlight w:val="none"/>
                    </w:rPr>
                  </w:pPr>
                  <w:r>
                    <w:rPr>
                      <w:rFonts w:hint="eastAsia"/>
                      <w:color w:val="auto"/>
                      <w:szCs w:val="21"/>
                      <w:highlight w:val="none"/>
                    </w:rPr>
                    <w:t>颗粒物</w:t>
                  </w:r>
                </w:p>
              </w:tc>
              <w:tc>
                <w:tcPr>
                  <w:tcW w:w="393" w:type="pct"/>
                  <w:vMerge w:val="continue"/>
                  <w:vAlign w:val="center"/>
                </w:tcPr>
                <w:p>
                  <w:pPr>
                    <w:pStyle w:val="114"/>
                    <w:adjustRightInd w:val="0"/>
                    <w:snapToGrid w:val="0"/>
                    <w:jc w:val="center"/>
                    <w:rPr>
                      <w:color w:val="auto"/>
                      <w:szCs w:val="21"/>
                      <w:highlight w:val="none"/>
                    </w:rPr>
                  </w:pPr>
                </w:p>
              </w:tc>
              <w:tc>
                <w:tcPr>
                  <w:tcW w:w="917" w:type="pct"/>
                  <w:vAlign w:val="center"/>
                </w:tcPr>
                <w:p>
                  <w:pPr>
                    <w:pStyle w:val="110"/>
                    <w:rPr>
                      <w:rFonts w:hint="default" w:eastAsia="宋体"/>
                      <w:color w:val="FF0000"/>
                      <w:szCs w:val="21"/>
                      <w:highlight w:val="none"/>
                      <w:lang w:val="en-US" w:eastAsia="zh-CN"/>
                    </w:rPr>
                  </w:pPr>
                  <w:r>
                    <w:rPr>
                      <w:rFonts w:hint="eastAsia"/>
                      <w:color w:val="FF0000"/>
                      <w:szCs w:val="21"/>
                      <w:highlight w:val="none"/>
                      <w:lang w:val="en-US" w:eastAsia="zh-CN"/>
                    </w:rPr>
                    <w:t>12</w:t>
                  </w:r>
                </w:p>
              </w:tc>
              <w:tc>
                <w:tcPr>
                  <w:tcW w:w="594" w:type="pct"/>
                  <w:vAlign w:val="center"/>
                </w:tcPr>
                <w:p>
                  <w:pPr>
                    <w:jc w:val="center"/>
                    <w:rPr>
                      <w:color w:val="FF0000"/>
                      <w:szCs w:val="21"/>
                      <w:highlight w:val="none"/>
                    </w:rPr>
                  </w:pPr>
                  <w:r>
                    <w:rPr>
                      <w:rFonts w:hint="eastAsia"/>
                      <w:color w:val="FF0000"/>
                      <w:szCs w:val="21"/>
                      <w:highlight w:val="none"/>
                    </w:rPr>
                    <w:t>/</w:t>
                  </w:r>
                </w:p>
              </w:tc>
              <w:tc>
                <w:tcPr>
                  <w:tcW w:w="1612" w:type="pct"/>
                  <w:vMerge w:val="continue"/>
                  <w:vAlign w:val="center"/>
                </w:tcPr>
                <w:p>
                  <w:pPr>
                    <w:pStyle w:val="114"/>
                    <w:adjustRightInd w:val="0"/>
                    <w:snapToGrid w:val="0"/>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263" w:type="pct"/>
                  <w:vMerge w:val="restart"/>
                  <w:vAlign w:val="center"/>
                </w:tcPr>
                <w:p>
                  <w:pPr>
                    <w:pStyle w:val="114"/>
                    <w:adjustRightInd w:val="0"/>
                    <w:snapToGrid w:val="0"/>
                    <w:jc w:val="center"/>
                    <w:rPr>
                      <w:color w:val="auto"/>
                      <w:szCs w:val="21"/>
                      <w:highlight w:val="none"/>
                    </w:rPr>
                  </w:pPr>
                  <w:r>
                    <w:rPr>
                      <w:rFonts w:hint="eastAsia"/>
                      <w:color w:val="auto"/>
                      <w:szCs w:val="21"/>
                      <w:highlight w:val="none"/>
                    </w:rPr>
                    <w:t>无组织</w:t>
                  </w:r>
                </w:p>
              </w:tc>
              <w:tc>
                <w:tcPr>
                  <w:tcW w:w="539" w:type="pct"/>
                  <w:vMerge w:val="restart"/>
                  <w:vAlign w:val="center"/>
                </w:tcPr>
                <w:p>
                  <w:pPr>
                    <w:pStyle w:val="114"/>
                    <w:adjustRightInd w:val="0"/>
                    <w:snapToGrid w:val="0"/>
                    <w:jc w:val="center"/>
                    <w:rPr>
                      <w:color w:val="auto"/>
                      <w:szCs w:val="21"/>
                      <w:highlight w:val="none"/>
                    </w:rPr>
                  </w:pPr>
                  <w:r>
                    <w:rPr>
                      <w:rFonts w:hint="eastAsia"/>
                      <w:color w:val="auto"/>
                      <w:szCs w:val="21"/>
                      <w:highlight w:val="none"/>
                    </w:rPr>
                    <w:t>厂界</w:t>
                  </w:r>
                </w:p>
              </w:tc>
              <w:tc>
                <w:tcPr>
                  <w:tcW w:w="679" w:type="pct"/>
                  <w:vAlign w:val="center"/>
                </w:tcPr>
                <w:p>
                  <w:pPr>
                    <w:adjustRightInd w:val="0"/>
                    <w:snapToGrid w:val="0"/>
                    <w:jc w:val="center"/>
                    <w:rPr>
                      <w:color w:val="auto"/>
                      <w:szCs w:val="21"/>
                      <w:highlight w:val="none"/>
                    </w:rPr>
                  </w:pPr>
                  <w:r>
                    <w:rPr>
                      <w:rFonts w:hint="eastAsia"/>
                      <w:color w:val="auto"/>
                      <w:szCs w:val="21"/>
                      <w:highlight w:val="none"/>
                    </w:rPr>
                    <w:t>非甲烷总烃</w:t>
                  </w:r>
                </w:p>
              </w:tc>
              <w:tc>
                <w:tcPr>
                  <w:tcW w:w="393" w:type="pct"/>
                  <w:vMerge w:val="restart"/>
                  <w:vAlign w:val="center"/>
                </w:tcPr>
                <w:p>
                  <w:pPr>
                    <w:pStyle w:val="114"/>
                    <w:adjustRightInd w:val="0"/>
                    <w:snapToGrid w:val="0"/>
                    <w:jc w:val="center"/>
                    <w:rPr>
                      <w:color w:val="auto"/>
                      <w:szCs w:val="21"/>
                      <w:highlight w:val="none"/>
                    </w:rPr>
                  </w:pPr>
                  <w:r>
                    <w:rPr>
                      <w:rFonts w:hint="eastAsia"/>
                      <w:color w:val="auto"/>
                      <w:szCs w:val="21"/>
                      <w:highlight w:val="none"/>
                    </w:rPr>
                    <w:t>1次/年</w:t>
                  </w:r>
                </w:p>
              </w:tc>
              <w:tc>
                <w:tcPr>
                  <w:tcW w:w="917" w:type="pct"/>
                  <w:vAlign w:val="center"/>
                </w:tcPr>
                <w:p>
                  <w:pPr>
                    <w:pStyle w:val="114"/>
                    <w:adjustRightInd w:val="0"/>
                    <w:snapToGrid w:val="0"/>
                    <w:jc w:val="center"/>
                    <w:rPr>
                      <w:color w:val="auto"/>
                      <w:szCs w:val="21"/>
                      <w:highlight w:val="none"/>
                    </w:rPr>
                  </w:pPr>
                  <w:r>
                    <w:rPr>
                      <w:rFonts w:hint="eastAsia"/>
                      <w:color w:val="auto"/>
                      <w:szCs w:val="21"/>
                      <w:highlight w:val="none"/>
                    </w:rPr>
                    <w:t>4.0</w:t>
                  </w:r>
                </w:p>
              </w:tc>
              <w:tc>
                <w:tcPr>
                  <w:tcW w:w="594" w:type="pct"/>
                  <w:vAlign w:val="center"/>
                </w:tcPr>
                <w:p>
                  <w:pPr>
                    <w:adjustRightInd w:val="0"/>
                    <w:snapToGrid w:val="0"/>
                    <w:jc w:val="center"/>
                    <w:rPr>
                      <w:color w:val="auto"/>
                      <w:szCs w:val="21"/>
                      <w:highlight w:val="none"/>
                    </w:rPr>
                  </w:pPr>
                  <w:r>
                    <w:rPr>
                      <w:rFonts w:hint="eastAsia"/>
                      <w:color w:val="auto"/>
                      <w:szCs w:val="21"/>
                      <w:highlight w:val="none"/>
                    </w:rPr>
                    <w:t>/</w:t>
                  </w:r>
                </w:p>
              </w:tc>
              <w:tc>
                <w:tcPr>
                  <w:tcW w:w="1612" w:type="pct"/>
                  <w:vMerge w:val="restart"/>
                  <w:vAlign w:val="center"/>
                </w:tcPr>
                <w:p>
                  <w:pPr>
                    <w:pStyle w:val="114"/>
                    <w:adjustRightInd w:val="0"/>
                    <w:snapToGrid w:val="0"/>
                    <w:jc w:val="center"/>
                    <w:rPr>
                      <w:color w:val="auto"/>
                      <w:szCs w:val="21"/>
                      <w:highlight w:val="none"/>
                    </w:rPr>
                  </w:pPr>
                  <w:r>
                    <w:rPr>
                      <w:bCs/>
                      <w:color w:val="auto"/>
                      <w:szCs w:val="21"/>
                    </w:rPr>
                    <w:t>《</w:t>
                  </w:r>
                  <w:r>
                    <w:rPr>
                      <w:rFonts w:hint="eastAsia"/>
                      <w:bCs/>
                      <w:color w:val="auto"/>
                      <w:szCs w:val="21"/>
                      <w:lang w:val="en-US" w:eastAsia="zh-CN"/>
                    </w:rPr>
                    <w:t>橡胶制品</w:t>
                  </w:r>
                  <w:r>
                    <w:rPr>
                      <w:bCs/>
                      <w:color w:val="auto"/>
                      <w:szCs w:val="21"/>
                    </w:rPr>
                    <w:t>工业污染物排放标准》（GB</w:t>
                  </w:r>
                  <w:r>
                    <w:rPr>
                      <w:rFonts w:hint="eastAsia"/>
                      <w:bCs/>
                      <w:color w:val="auto"/>
                      <w:szCs w:val="21"/>
                      <w:lang w:val="en-US" w:eastAsia="zh-CN"/>
                    </w:rPr>
                    <w:t>27632</w:t>
                  </w:r>
                  <w:r>
                    <w:rPr>
                      <w:bCs/>
                      <w:color w:val="auto"/>
                      <w:szCs w:val="21"/>
                    </w:rPr>
                    <w:t>-201</w:t>
                  </w:r>
                  <w:r>
                    <w:rPr>
                      <w:rFonts w:hint="eastAsia"/>
                      <w:bCs/>
                      <w:color w:val="auto"/>
                      <w:szCs w:val="21"/>
                      <w:lang w:val="en-US" w:eastAsia="zh-CN"/>
                    </w:rPr>
                    <w:t>1</w:t>
                  </w:r>
                  <w:r>
                    <w:rPr>
                      <w:bCs/>
                      <w:color w:val="auto"/>
                      <w:szCs w:val="21"/>
                    </w:rPr>
                    <w:t>）表</w:t>
                  </w:r>
                  <w:r>
                    <w:rPr>
                      <w:rFonts w:hint="eastAsia"/>
                      <w:bCs/>
                      <w:color w:val="auto"/>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263" w:type="pct"/>
                  <w:vMerge w:val="continue"/>
                  <w:vAlign w:val="center"/>
                </w:tcPr>
                <w:p>
                  <w:pPr>
                    <w:pStyle w:val="114"/>
                    <w:adjustRightInd w:val="0"/>
                    <w:snapToGrid w:val="0"/>
                    <w:jc w:val="center"/>
                    <w:rPr>
                      <w:color w:val="auto"/>
                      <w:szCs w:val="21"/>
                      <w:highlight w:val="none"/>
                    </w:rPr>
                  </w:pPr>
                </w:p>
              </w:tc>
              <w:tc>
                <w:tcPr>
                  <w:tcW w:w="539" w:type="pct"/>
                  <w:vMerge w:val="continue"/>
                  <w:vAlign w:val="center"/>
                </w:tcPr>
                <w:p>
                  <w:pPr>
                    <w:pStyle w:val="114"/>
                    <w:adjustRightInd w:val="0"/>
                    <w:snapToGrid w:val="0"/>
                    <w:jc w:val="center"/>
                    <w:rPr>
                      <w:color w:val="auto"/>
                      <w:szCs w:val="21"/>
                      <w:highlight w:val="none"/>
                    </w:rPr>
                  </w:pPr>
                </w:p>
              </w:tc>
              <w:tc>
                <w:tcPr>
                  <w:tcW w:w="679" w:type="pct"/>
                  <w:vAlign w:val="center"/>
                </w:tcPr>
                <w:p>
                  <w:pPr>
                    <w:adjustRightInd w:val="0"/>
                    <w:snapToGrid w:val="0"/>
                    <w:jc w:val="center"/>
                    <w:rPr>
                      <w:color w:val="auto"/>
                      <w:szCs w:val="21"/>
                      <w:highlight w:val="none"/>
                    </w:rPr>
                  </w:pPr>
                  <w:r>
                    <w:rPr>
                      <w:rFonts w:hint="eastAsia"/>
                      <w:color w:val="auto"/>
                      <w:szCs w:val="21"/>
                      <w:highlight w:val="none"/>
                    </w:rPr>
                    <w:t>颗粒物</w:t>
                  </w:r>
                </w:p>
              </w:tc>
              <w:tc>
                <w:tcPr>
                  <w:tcW w:w="393" w:type="pct"/>
                  <w:vMerge w:val="continue"/>
                  <w:vAlign w:val="center"/>
                </w:tcPr>
                <w:p>
                  <w:pPr>
                    <w:pStyle w:val="114"/>
                    <w:adjustRightInd w:val="0"/>
                    <w:snapToGrid w:val="0"/>
                    <w:jc w:val="center"/>
                    <w:rPr>
                      <w:color w:val="auto"/>
                      <w:szCs w:val="21"/>
                      <w:highlight w:val="none"/>
                    </w:rPr>
                  </w:pPr>
                </w:p>
              </w:tc>
              <w:tc>
                <w:tcPr>
                  <w:tcW w:w="917" w:type="pct"/>
                  <w:vAlign w:val="center"/>
                </w:tcPr>
                <w:p>
                  <w:pPr>
                    <w:pStyle w:val="114"/>
                    <w:adjustRightInd w:val="0"/>
                    <w:snapToGrid w:val="0"/>
                    <w:jc w:val="center"/>
                    <w:rPr>
                      <w:color w:val="auto"/>
                      <w:szCs w:val="21"/>
                      <w:highlight w:val="none"/>
                    </w:rPr>
                  </w:pPr>
                  <w:r>
                    <w:rPr>
                      <w:rFonts w:hint="eastAsia"/>
                      <w:color w:val="auto"/>
                      <w:szCs w:val="21"/>
                      <w:highlight w:val="none"/>
                    </w:rPr>
                    <w:t>1.0</w:t>
                  </w:r>
                </w:p>
              </w:tc>
              <w:tc>
                <w:tcPr>
                  <w:tcW w:w="594" w:type="pct"/>
                  <w:vAlign w:val="center"/>
                </w:tcPr>
                <w:p>
                  <w:pPr>
                    <w:adjustRightInd w:val="0"/>
                    <w:snapToGrid w:val="0"/>
                    <w:jc w:val="center"/>
                    <w:rPr>
                      <w:color w:val="auto"/>
                      <w:szCs w:val="21"/>
                      <w:highlight w:val="none"/>
                    </w:rPr>
                  </w:pPr>
                  <w:r>
                    <w:rPr>
                      <w:rFonts w:hint="eastAsia"/>
                      <w:color w:val="auto"/>
                      <w:szCs w:val="21"/>
                      <w:highlight w:val="none"/>
                    </w:rPr>
                    <w:t>/</w:t>
                  </w:r>
                </w:p>
              </w:tc>
              <w:tc>
                <w:tcPr>
                  <w:tcW w:w="1612" w:type="pct"/>
                  <w:vMerge w:val="continue"/>
                  <w:vAlign w:val="center"/>
                </w:tcPr>
                <w:p>
                  <w:pPr>
                    <w:pStyle w:val="114"/>
                    <w:adjustRightInd w:val="0"/>
                    <w:snapToGrid w:val="0"/>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263" w:type="pct"/>
                  <w:vMerge w:val="continue"/>
                  <w:vAlign w:val="center"/>
                </w:tcPr>
                <w:p>
                  <w:pPr>
                    <w:pStyle w:val="114"/>
                    <w:adjustRightInd w:val="0"/>
                    <w:snapToGrid w:val="0"/>
                    <w:jc w:val="center"/>
                    <w:rPr>
                      <w:color w:val="auto"/>
                      <w:szCs w:val="21"/>
                      <w:highlight w:val="none"/>
                    </w:rPr>
                  </w:pPr>
                </w:p>
              </w:tc>
              <w:tc>
                <w:tcPr>
                  <w:tcW w:w="539" w:type="pct"/>
                  <w:vMerge w:val="restart"/>
                  <w:vAlign w:val="center"/>
                </w:tcPr>
                <w:p>
                  <w:pPr>
                    <w:pStyle w:val="114"/>
                    <w:adjustRightInd w:val="0"/>
                    <w:snapToGrid w:val="0"/>
                    <w:jc w:val="center"/>
                    <w:rPr>
                      <w:color w:val="auto"/>
                      <w:szCs w:val="21"/>
                      <w:highlight w:val="none"/>
                    </w:rPr>
                  </w:pPr>
                  <w:r>
                    <w:rPr>
                      <w:rFonts w:hint="eastAsia"/>
                      <w:color w:val="auto"/>
                      <w:szCs w:val="21"/>
                      <w:highlight w:val="none"/>
                    </w:rPr>
                    <w:t>厂区内</w:t>
                  </w:r>
                </w:p>
              </w:tc>
              <w:tc>
                <w:tcPr>
                  <w:tcW w:w="679" w:type="pct"/>
                  <w:vMerge w:val="restart"/>
                  <w:vAlign w:val="center"/>
                </w:tcPr>
                <w:p>
                  <w:pPr>
                    <w:widowControl/>
                    <w:ind w:left="-101" w:leftChars="-48" w:right="-88" w:rightChars="-42"/>
                    <w:jc w:val="center"/>
                    <w:rPr>
                      <w:rFonts w:hAnsi="宋体"/>
                      <w:bCs/>
                      <w:color w:val="auto"/>
                      <w:kern w:val="0"/>
                      <w:szCs w:val="21"/>
                      <w:highlight w:val="none"/>
                    </w:rPr>
                  </w:pPr>
                  <w:r>
                    <w:rPr>
                      <w:rFonts w:hint="eastAsia"/>
                      <w:bCs/>
                      <w:color w:val="auto"/>
                      <w:szCs w:val="21"/>
                      <w:highlight w:val="none"/>
                    </w:rPr>
                    <w:t>非甲烷总烃</w:t>
                  </w:r>
                </w:p>
              </w:tc>
              <w:tc>
                <w:tcPr>
                  <w:tcW w:w="393" w:type="pct"/>
                  <w:vMerge w:val="restart"/>
                  <w:vAlign w:val="center"/>
                </w:tcPr>
                <w:p>
                  <w:pPr>
                    <w:ind w:left="-90" w:leftChars="-43" w:right="-105" w:rightChars="-50"/>
                    <w:jc w:val="center"/>
                    <w:rPr>
                      <w:bCs/>
                      <w:color w:val="auto"/>
                      <w:szCs w:val="21"/>
                      <w:highlight w:val="none"/>
                    </w:rPr>
                  </w:pPr>
                  <w:r>
                    <w:rPr>
                      <w:rFonts w:hint="eastAsia"/>
                      <w:color w:val="auto"/>
                      <w:szCs w:val="21"/>
                      <w:highlight w:val="none"/>
                    </w:rPr>
                    <w:t>1次/年</w:t>
                  </w:r>
                </w:p>
              </w:tc>
              <w:tc>
                <w:tcPr>
                  <w:tcW w:w="917" w:type="pct"/>
                  <w:vAlign w:val="center"/>
                </w:tcPr>
                <w:p>
                  <w:pPr>
                    <w:pStyle w:val="114"/>
                    <w:adjustRightInd w:val="0"/>
                    <w:snapToGrid w:val="0"/>
                    <w:jc w:val="center"/>
                    <w:rPr>
                      <w:color w:val="auto"/>
                      <w:szCs w:val="21"/>
                      <w:highlight w:val="none"/>
                    </w:rPr>
                  </w:pPr>
                  <w:r>
                    <w:rPr>
                      <w:rFonts w:hint="eastAsia"/>
                      <w:color w:val="auto"/>
                      <w:szCs w:val="21"/>
                      <w:highlight w:val="none"/>
                    </w:rPr>
                    <w:t>6（监控点处1h平均浓度值）</w:t>
                  </w:r>
                </w:p>
              </w:tc>
              <w:tc>
                <w:tcPr>
                  <w:tcW w:w="594" w:type="pct"/>
                  <w:vAlign w:val="center"/>
                </w:tcPr>
                <w:p>
                  <w:pPr>
                    <w:adjustRightInd w:val="0"/>
                    <w:snapToGrid w:val="0"/>
                    <w:jc w:val="center"/>
                    <w:rPr>
                      <w:color w:val="auto"/>
                      <w:szCs w:val="21"/>
                      <w:highlight w:val="none"/>
                    </w:rPr>
                  </w:pPr>
                  <w:r>
                    <w:rPr>
                      <w:rFonts w:hint="eastAsia"/>
                      <w:color w:val="auto"/>
                      <w:szCs w:val="21"/>
                      <w:highlight w:val="none"/>
                    </w:rPr>
                    <w:t>/</w:t>
                  </w:r>
                </w:p>
              </w:tc>
              <w:tc>
                <w:tcPr>
                  <w:tcW w:w="1612" w:type="pct"/>
                  <w:vMerge w:val="restart"/>
                  <w:vAlign w:val="center"/>
                </w:tcPr>
                <w:p>
                  <w:pPr>
                    <w:pStyle w:val="114"/>
                    <w:adjustRightInd w:val="0"/>
                    <w:snapToGrid w:val="0"/>
                    <w:jc w:val="center"/>
                    <w:rPr>
                      <w:color w:val="auto"/>
                      <w:szCs w:val="21"/>
                      <w:highlight w:val="none"/>
                    </w:rPr>
                  </w:pPr>
                  <w:r>
                    <w:rPr>
                      <w:rFonts w:hint="eastAsia"/>
                      <w:bCs/>
                      <w:color w:val="auto"/>
                      <w:szCs w:val="21"/>
                      <w:highlight w:val="none"/>
                    </w:rPr>
                    <w:t>《固定污染源挥发性有机物综合排放标准》（DB44/2367-2022）表</w:t>
                  </w:r>
                  <w:r>
                    <w:rPr>
                      <w:bCs/>
                      <w:color w:val="auto"/>
                      <w:szCs w:val="21"/>
                      <w:highlight w:val="none"/>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263" w:type="pct"/>
                  <w:vMerge w:val="continue"/>
                  <w:vAlign w:val="center"/>
                </w:tcPr>
                <w:p>
                  <w:pPr>
                    <w:pStyle w:val="114"/>
                    <w:adjustRightInd w:val="0"/>
                    <w:snapToGrid w:val="0"/>
                    <w:jc w:val="center"/>
                    <w:rPr>
                      <w:color w:val="auto"/>
                      <w:szCs w:val="21"/>
                      <w:highlight w:val="none"/>
                    </w:rPr>
                  </w:pPr>
                </w:p>
              </w:tc>
              <w:tc>
                <w:tcPr>
                  <w:tcW w:w="539" w:type="pct"/>
                  <w:vMerge w:val="continue"/>
                  <w:vAlign w:val="center"/>
                </w:tcPr>
                <w:p>
                  <w:pPr>
                    <w:pStyle w:val="114"/>
                    <w:adjustRightInd w:val="0"/>
                    <w:snapToGrid w:val="0"/>
                    <w:jc w:val="center"/>
                    <w:rPr>
                      <w:color w:val="auto"/>
                      <w:szCs w:val="21"/>
                      <w:highlight w:val="none"/>
                    </w:rPr>
                  </w:pPr>
                </w:p>
              </w:tc>
              <w:tc>
                <w:tcPr>
                  <w:tcW w:w="679" w:type="pct"/>
                  <w:vMerge w:val="continue"/>
                  <w:vAlign w:val="center"/>
                </w:tcPr>
                <w:p>
                  <w:pPr>
                    <w:widowControl/>
                    <w:ind w:left="-101" w:leftChars="-48" w:right="-88" w:rightChars="-42"/>
                    <w:jc w:val="center"/>
                    <w:rPr>
                      <w:bCs/>
                      <w:color w:val="auto"/>
                      <w:szCs w:val="21"/>
                      <w:highlight w:val="none"/>
                    </w:rPr>
                  </w:pPr>
                </w:p>
              </w:tc>
              <w:tc>
                <w:tcPr>
                  <w:tcW w:w="393" w:type="pct"/>
                  <w:vMerge w:val="continue"/>
                  <w:vAlign w:val="center"/>
                </w:tcPr>
                <w:p>
                  <w:pPr>
                    <w:ind w:left="-90" w:leftChars="-43" w:right="-105" w:rightChars="-50"/>
                    <w:jc w:val="center"/>
                    <w:rPr>
                      <w:color w:val="auto"/>
                      <w:szCs w:val="21"/>
                      <w:highlight w:val="none"/>
                    </w:rPr>
                  </w:pPr>
                </w:p>
              </w:tc>
              <w:tc>
                <w:tcPr>
                  <w:tcW w:w="917" w:type="pct"/>
                  <w:vAlign w:val="center"/>
                </w:tcPr>
                <w:p>
                  <w:pPr>
                    <w:pStyle w:val="114"/>
                    <w:adjustRightInd w:val="0"/>
                    <w:snapToGrid w:val="0"/>
                    <w:jc w:val="center"/>
                    <w:rPr>
                      <w:color w:val="auto"/>
                      <w:szCs w:val="21"/>
                      <w:highlight w:val="none"/>
                    </w:rPr>
                  </w:pPr>
                  <w:r>
                    <w:rPr>
                      <w:rFonts w:hint="eastAsia"/>
                      <w:color w:val="auto"/>
                      <w:szCs w:val="21"/>
                      <w:highlight w:val="none"/>
                    </w:rPr>
                    <w:t>20（监控点处任意一次浓度值）</w:t>
                  </w:r>
                </w:p>
              </w:tc>
              <w:tc>
                <w:tcPr>
                  <w:tcW w:w="594" w:type="pct"/>
                  <w:vAlign w:val="center"/>
                </w:tcPr>
                <w:p>
                  <w:pPr>
                    <w:adjustRightInd w:val="0"/>
                    <w:snapToGrid w:val="0"/>
                    <w:jc w:val="center"/>
                    <w:rPr>
                      <w:color w:val="auto"/>
                      <w:szCs w:val="21"/>
                      <w:highlight w:val="none"/>
                    </w:rPr>
                  </w:pPr>
                  <w:r>
                    <w:rPr>
                      <w:rFonts w:hint="eastAsia"/>
                      <w:color w:val="auto"/>
                      <w:szCs w:val="21"/>
                      <w:highlight w:val="none"/>
                    </w:rPr>
                    <w:t>/</w:t>
                  </w:r>
                </w:p>
              </w:tc>
              <w:tc>
                <w:tcPr>
                  <w:tcW w:w="1612" w:type="pct"/>
                  <w:vMerge w:val="continue"/>
                  <w:vAlign w:val="center"/>
                </w:tcPr>
                <w:p>
                  <w:pPr>
                    <w:pStyle w:val="114"/>
                    <w:adjustRightInd w:val="0"/>
                    <w:snapToGrid w:val="0"/>
                    <w:jc w:val="center"/>
                    <w:rPr>
                      <w:bCs/>
                      <w:color w:val="auto"/>
                      <w:szCs w:val="21"/>
                      <w:highlight w:val="none"/>
                    </w:rPr>
                  </w:pPr>
                </w:p>
              </w:tc>
            </w:tr>
          </w:tbl>
          <w:p>
            <w:pPr>
              <w:adjustRightInd w:val="0"/>
              <w:snapToGrid w:val="0"/>
              <w:spacing w:before="120" w:beforeLines="50" w:line="360" w:lineRule="auto"/>
              <w:ind w:firstLine="422" w:firstLineChars="200"/>
              <w:rPr>
                <w:b/>
                <w:color w:val="auto"/>
                <w:szCs w:val="21"/>
                <w:highlight w:val="none"/>
              </w:rPr>
            </w:pPr>
            <w:r>
              <w:rPr>
                <w:rFonts w:hint="eastAsia"/>
                <w:b/>
                <w:color w:val="auto"/>
                <w:szCs w:val="21"/>
                <w:highlight w:val="none"/>
              </w:rPr>
              <w:t>4、非正常工况源强分析</w:t>
            </w:r>
          </w:p>
          <w:p>
            <w:pPr>
              <w:adjustRightInd w:val="0"/>
              <w:snapToGrid w:val="0"/>
              <w:spacing w:line="360" w:lineRule="auto"/>
              <w:ind w:firstLine="420" w:firstLineChars="200"/>
              <w:rPr>
                <w:bCs/>
                <w:color w:val="auto"/>
                <w:kern w:val="21"/>
                <w:szCs w:val="21"/>
                <w:highlight w:val="none"/>
              </w:rPr>
            </w:pPr>
            <w:r>
              <w:rPr>
                <w:bCs/>
                <w:color w:val="auto"/>
                <w:kern w:val="21"/>
                <w:szCs w:val="21"/>
                <w:highlight w:val="none"/>
              </w:rPr>
              <w:t>项目在建成投产后，偶有废气处理设备故障等非正常情况，非正常工况下污染物产排情况详见下表。</w:t>
            </w:r>
          </w:p>
          <w:p>
            <w:pPr>
              <w:adjustRightInd w:val="0"/>
              <w:snapToGrid w:val="0"/>
              <w:spacing w:line="360" w:lineRule="auto"/>
              <w:jc w:val="center"/>
              <w:rPr>
                <w:b/>
                <w:color w:val="auto"/>
                <w:szCs w:val="21"/>
                <w:highlight w:val="none"/>
              </w:rPr>
            </w:pPr>
            <w:r>
              <w:rPr>
                <w:rFonts w:hint="eastAsia"/>
                <w:b/>
                <w:color w:val="auto"/>
                <w:szCs w:val="21"/>
                <w:highlight w:val="none"/>
              </w:rPr>
              <w:t>表4-</w:t>
            </w:r>
            <w:r>
              <w:rPr>
                <w:rFonts w:hint="eastAsia"/>
                <w:b/>
                <w:color w:val="auto"/>
                <w:szCs w:val="21"/>
                <w:highlight w:val="none"/>
                <w:lang w:val="en-US" w:eastAsia="zh-CN"/>
              </w:rPr>
              <w:t>6</w:t>
            </w:r>
            <w:r>
              <w:rPr>
                <w:rFonts w:hint="eastAsia"/>
                <w:b/>
                <w:color w:val="auto"/>
                <w:szCs w:val="21"/>
                <w:highlight w:val="none"/>
              </w:rPr>
              <w:t xml:space="preserve"> </w:t>
            </w:r>
            <w:r>
              <w:rPr>
                <w:b/>
                <w:color w:val="auto"/>
                <w:szCs w:val="21"/>
                <w:highlight w:val="none"/>
              </w:rPr>
              <w:t>非正常工况下大气污染物产排情况一览表</w:t>
            </w:r>
          </w:p>
          <w:tbl>
            <w:tblPr>
              <w:tblStyle w:val="35"/>
              <w:tblW w:w="499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979"/>
              <w:gridCol w:w="1595"/>
              <w:gridCol w:w="1136"/>
              <w:gridCol w:w="999"/>
              <w:gridCol w:w="950"/>
              <w:gridCol w:w="951"/>
              <w:gridCol w:w="951"/>
              <w:gridCol w:w="10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42" w:type="pct"/>
                  <w:vAlign w:val="center"/>
                </w:tcPr>
                <w:p>
                  <w:pPr>
                    <w:adjustRightInd w:val="0"/>
                    <w:snapToGrid w:val="0"/>
                    <w:jc w:val="center"/>
                    <w:rPr>
                      <w:b/>
                      <w:color w:val="auto"/>
                      <w:szCs w:val="21"/>
                      <w:highlight w:val="none"/>
                    </w:rPr>
                  </w:pPr>
                  <w:r>
                    <w:rPr>
                      <w:rFonts w:hint="eastAsia"/>
                      <w:b/>
                      <w:color w:val="auto"/>
                      <w:szCs w:val="21"/>
                      <w:highlight w:val="none"/>
                    </w:rPr>
                    <w:t>排口编号</w:t>
                  </w:r>
                </w:p>
              </w:tc>
              <w:tc>
                <w:tcPr>
                  <w:tcW w:w="528" w:type="pct"/>
                  <w:vAlign w:val="center"/>
                </w:tcPr>
                <w:p>
                  <w:pPr>
                    <w:adjustRightInd w:val="0"/>
                    <w:snapToGrid w:val="0"/>
                    <w:jc w:val="center"/>
                    <w:rPr>
                      <w:b/>
                      <w:color w:val="auto"/>
                      <w:szCs w:val="21"/>
                      <w:highlight w:val="none"/>
                    </w:rPr>
                  </w:pPr>
                  <w:r>
                    <w:rPr>
                      <w:b/>
                      <w:color w:val="auto"/>
                      <w:szCs w:val="21"/>
                      <w:highlight w:val="none"/>
                    </w:rPr>
                    <w:t>污染</w:t>
                  </w:r>
                  <w:r>
                    <w:rPr>
                      <w:rFonts w:hint="eastAsia"/>
                      <w:b/>
                      <w:color w:val="auto"/>
                      <w:szCs w:val="21"/>
                      <w:highlight w:val="none"/>
                    </w:rPr>
                    <w:t>物名称</w:t>
                  </w:r>
                </w:p>
              </w:tc>
              <w:tc>
                <w:tcPr>
                  <w:tcW w:w="855" w:type="pct"/>
                  <w:vAlign w:val="center"/>
                </w:tcPr>
                <w:p>
                  <w:pPr>
                    <w:adjustRightInd w:val="0"/>
                    <w:snapToGrid w:val="0"/>
                    <w:jc w:val="center"/>
                    <w:rPr>
                      <w:b/>
                      <w:color w:val="auto"/>
                      <w:szCs w:val="21"/>
                      <w:highlight w:val="none"/>
                    </w:rPr>
                  </w:pPr>
                  <w:r>
                    <w:rPr>
                      <w:rFonts w:hint="eastAsia"/>
                      <w:b/>
                      <w:color w:val="auto"/>
                      <w:szCs w:val="21"/>
                      <w:highlight w:val="none"/>
                    </w:rPr>
                    <w:t>非正常工况</w:t>
                  </w:r>
                </w:p>
              </w:tc>
              <w:tc>
                <w:tcPr>
                  <w:tcW w:w="574" w:type="pct"/>
                  <w:vAlign w:val="center"/>
                </w:tcPr>
                <w:p>
                  <w:pPr>
                    <w:adjustRightInd w:val="0"/>
                    <w:snapToGrid w:val="0"/>
                    <w:jc w:val="center"/>
                    <w:rPr>
                      <w:b/>
                      <w:color w:val="auto"/>
                      <w:szCs w:val="21"/>
                      <w:highlight w:val="none"/>
                    </w:rPr>
                  </w:pPr>
                  <w:r>
                    <w:rPr>
                      <w:rFonts w:hint="eastAsia"/>
                      <w:b/>
                      <w:color w:val="auto"/>
                      <w:szCs w:val="21"/>
                      <w:highlight w:val="none"/>
                    </w:rPr>
                    <w:t>废气量</w:t>
                  </w:r>
                </w:p>
              </w:tc>
              <w:tc>
                <w:tcPr>
                  <w:tcW w:w="539" w:type="pct"/>
                  <w:vAlign w:val="center"/>
                </w:tcPr>
                <w:p>
                  <w:pPr>
                    <w:adjustRightInd w:val="0"/>
                    <w:snapToGrid w:val="0"/>
                    <w:jc w:val="center"/>
                    <w:rPr>
                      <w:b/>
                      <w:color w:val="auto"/>
                      <w:szCs w:val="21"/>
                      <w:highlight w:val="none"/>
                    </w:rPr>
                  </w:pPr>
                  <w:r>
                    <w:rPr>
                      <w:rFonts w:hint="eastAsia"/>
                      <w:b/>
                      <w:color w:val="auto"/>
                      <w:szCs w:val="21"/>
                      <w:highlight w:val="none"/>
                    </w:rPr>
                    <w:t>排放浓度mg/m</w:t>
                  </w:r>
                  <w:r>
                    <w:rPr>
                      <w:rFonts w:hint="eastAsia"/>
                      <w:b/>
                      <w:color w:val="auto"/>
                      <w:szCs w:val="21"/>
                      <w:highlight w:val="none"/>
                      <w:vertAlign w:val="superscript"/>
                    </w:rPr>
                    <w:t>3</w:t>
                  </w:r>
                </w:p>
              </w:tc>
              <w:tc>
                <w:tcPr>
                  <w:tcW w:w="513" w:type="pct"/>
                  <w:vAlign w:val="center"/>
                </w:tcPr>
                <w:p>
                  <w:pPr>
                    <w:adjustRightInd w:val="0"/>
                    <w:snapToGrid w:val="0"/>
                    <w:jc w:val="center"/>
                    <w:rPr>
                      <w:b/>
                      <w:color w:val="auto"/>
                      <w:szCs w:val="21"/>
                      <w:highlight w:val="none"/>
                    </w:rPr>
                  </w:pPr>
                  <w:r>
                    <w:rPr>
                      <w:rFonts w:hint="eastAsia"/>
                      <w:b/>
                      <w:color w:val="auto"/>
                      <w:szCs w:val="21"/>
                      <w:highlight w:val="none"/>
                    </w:rPr>
                    <w:t>源强kg/h</w:t>
                  </w:r>
                </w:p>
              </w:tc>
              <w:tc>
                <w:tcPr>
                  <w:tcW w:w="513" w:type="pct"/>
                  <w:vAlign w:val="center"/>
                </w:tcPr>
                <w:p>
                  <w:pPr>
                    <w:adjustRightInd w:val="0"/>
                    <w:snapToGrid w:val="0"/>
                    <w:jc w:val="center"/>
                    <w:rPr>
                      <w:b/>
                      <w:color w:val="auto"/>
                      <w:szCs w:val="21"/>
                      <w:highlight w:val="none"/>
                    </w:rPr>
                  </w:pPr>
                  <w:r>
                    <w:rPr>
                      <w:rFonts w:hint="eastAsia"/>
                      <w:b/>
                      <w:color w:val="auto"/>
                      <w:szCs w:val="21"/>
                      <w:highlight w:val="none"/>
                    </w:rPr>
                    <w:t>源高m</w:t>
                  </w:r>
                </w:p>
              </w:tc>
              <w:tc>
                <w:tcPr>
                  <w:tcW w:w="513" w:type="pct"/>
                  <w:vAlign w:val="center"/>
                </w:tcPr>
                <w:p>
                  <w:pPr>
                    <w:adjustRightInd w:val="0"/>
                    <w:snapToGrid w:val="0"/>
                    <w:jc w:val="center"/>
                    <w:rPr>
                      <w:b/>
                      <w:color w:val="auto"/>
                      <w:highlight w:val="none"/>
                    </w:rPr>
                  </w:pPr>
                  <w:r>
                    <w:rPr>
                      <w:rFonts w:hint="eastAsia"/>
                      <w:b/>
                      <w:color w:val="auto"/>
                      <w:highlight w:val="none"/>
                    </w:rPr>
                    <w:t>排放时间h</w:t>
                  </w:r>
                </w:p>
              </w:tc>
              <w:tc>
                <w:tcPr>
                  <w:tcW w:w="520" w:type="pct"/>
                  <w:vAlign w:val="center"/>
                </w:tcPr>
                <w:p>
                  <w:pPr>
                    <w:adjustRightInd w:val="0"/>
                    <w:snapToGrid w:val="0"/>
                    <w:jc w:val="center"/>
                    <w:rPr>
                      <w:b/>
                      <w:color w:val="auto"/>
                      <w:highlight w:val="none"/>
                    </w:rPr>
                  </w:pPr>
                  <w:r>
                    <w:rPr>
                      <w:rFonts w:hint="eastAsia"/>
                      <w:b/>
                      <w:color w:val="auto"/>
                      <w:highlight w:val="none"/>
                    </w:rPr>
                    <w:t>排放量t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442" w:type="pct"/>
                  <w:vMerge w:val="restart"/>
                  <w:vAlign w:val="center"/>
                </w:tcPr>
                <w:p>
                  <w:pPr>
                    <w:adjustRightInd w:val="0"/>
                    <w:snapToGrid w:val="0"/>
                    <w:jc w:val="center"/>
                    <w:rPr>
                      <w:bCs/>
                      <w:color w:val="auto"/>
                      <w:szCs w:val="21"/>
                      <w:highlight w:val="none"/>
                    </w:rPr>
                  </w:pPr>
                  <w:r>
                    <w:rPr>
                      <w:rFonts w:hint="eastAsia"/>
                      <w:bCs/>
                      <w:color w:val="auto"/>
                      <w:szCs w:val="21"/>
                      <w:highlight w:val="none"/>
                    </w:rPr>
                    <w:t>DA001</w:t>
                  </w:r>
                </w:p>
              </w:tc>
              <w:tc>
                <w:tcPr>
                  <w:tcW w:w="528" w:type="pct"/>
                  <w:vAlign w:val="center"/>
                </w:tcPr>
                <w:p>
                  <w:pPr>
                    <w:adjustRightInd w:val="0"/>
                    <w:snapToGrid w:val="0"/>
                    <w:jc w:val="center"/>
                    <w:rPr>
                      <w:bCs/>
                      <w:color w:val="auto"/>
                      <w:szCs w:val="21"/>
                      <w:highlight w:val="none"/>
                    </w:rPr>
                  </w:pPr>
                  <w:r>
                    <w:rPr>
                      <w:rFonts w:hint="eastAsia"/>
                      <w:bCs/>
                      <w:color w:val="auto"/>
                      <w:szCs w:val="21"/>
                      <w:highlight w:val="none"/>
                    </w:rPr>
                    <w:t>非甲烷总烃</w:t>
                  </w:r>
                </w:p>
              </w:tc>
              <w:tc>
                <w:tcPr>
                  <w:tcW w:w="855" w:type="pct"/>
                  <w:vMerge w:val="restart"/>
                  <w:vAlign w:val="center"/>
                </w:tcPr>
                <w:p>
                  <w:pPr>
                    <w:adjustRightInd w:val="0"/>
                    <w:snapToGrid w:val="0"/>
                    <w:jc w:val="center"/>
                    <w:rPr>
                      <w:bCs/>
                      <w:color w:val="auto"/>
                      <w:szCs w:val="21"/>
                      <w:highlight w:val="none"/>
                    </w:rPr>
                  </w:pPr>
                  <w:r>
                    <w:rPr>
                      <w:rFonts w:hint="eastAsia"/>
                      <w:color w:val="auto"/>
                      <w:szCs w:val="21"/>
                      <w:highlight w:val="none"/>
                    </w:rPr>
                    <w:t>设备故障等，处理效率降为20%</w:t>
                  </w:r>
                </w:p>
              </w:tc>
              <w:tc>
                <w:tcPr>
                  <w:tcW w:w="574" w:type="pct"/>
                  <w:vMerge w:val="restart"/>
                  <w:vAlign w:val="center"/>
                </w:tcPr>
                <w:p>
                  <w:pPr>
                    <w:adjustRightInd w:val="0"/>
                    <w:snapToGrid w:val="0"/>
                    <w:jc w:val="center"/>
                    <w:rPr>
                      <w:bCs/>
                      <w:color w:val="auto"/>
                      <w:szCs w:val="21"/>
                      <w:highlight w:val="none"/>
                    </w:rPr>
                  </w:pPr>
                  <w:r>
                    <w:rPr>
                      <w:rFonts w:hint="eastAsia"/>
                      <w:bCs/>
                      <w:color w:val="auto"/>
                      <w:szCs w:val="21"/>
                      <w:highlight w:val="none"/>
                    </w:rPr>
                    <w:t>1</w:t>
                  </w:r>
                  <w:r>
                    <w:rPr>
                      <w:rFonts w:hint="eastAsia"/>
                      <w:bCs/>
                      <w:color w:val="auto"/>
                      <w:szCs w:val="21"/>
                      <w:highlight w:val="none"/>
                      <w:lang w:val="en-US" w:eastAsia="zh-CN"/>
                    </w:rPr>
                    <w:t>5</w:t>
                  </w:r>
                  <w:r>
                    <w:rPr>
                      <w:rFonts w:hint="eastAsia"/>
                      <w:bCs/>
                      <w:color w:val="auto"/>
                      <w:szCs w:val="21"/>
                      <w:highlight w:val="none"/>
                    </w:rPr>
                    <w:t>000m</w:t>
                  </w:r>
                  <w:r>
                    <w:rPr>
                      <w:rFonts w:hint="eastAsia"/>
                      <w:bCs/>
                      <w:color w:val="auto"/>
                      <w:szCs w:val="21"/>
                      <w:highlight w:val="none"/>
                      <w:vertAlign w:val="superscript"/>
                    </w:rPr>
                    <w:t>3</w:t>
                  </w:r>
                  <w:r>
                    <w:rPr>
                      <w:rFonts w:hint="eastAsia"/>
                      <w:bCs/>
                      <w:color w:val="auto"/>
                      <w:szCs w:val="21"/>
                      <w:highlight w:val="none"/>
                    </w:rPr>
                    <w:t>/h</w:t>
                  </w:r>
                </w:p>
              </w:tc>
              <w:tc>
                <w:tcPr>
                  <w:tcW w:w="539" w:type="pct"/>
                  <w:vAlign w:val="center"/>
                </w:tcPr>
                <w:p>
                  <w:pPr>
                    <w:adjustRightInd w:val="0"/>
                    <w:snapToGrid w:val="0"/>
                    <w:jc w:val="center"/>
                    <w:rPr>
                      <w:rFonts w:hint="default" w:eastAsia="宋体"/>
                      <w:bCs/>
                      <w:color w:val="auto"/>
                      <w:szCs w:val="21"/>
                      <w:highlight w:val="none"/>
                      <w:lang w:val="en-US" w:eastAsia="zh-CN"/>
                    </w:rPr>
                  </w:pPr>
                  <w:r>
                    <w:rPr>
                      <w:rFonts w:hint="eastAsia"/>
                      <w:bCs/>
                      <w:color w:val="auto"/>
                      <w:szCs w:val="21"/>
                      <w:highlight w:val="none"/>
                      <w:lang w:val="en-US" w:eastAsia="zh-CN"/>
                    </w:rPr>
                    <w:t>1.68</w:t>
                  </w:r>
                </w:p>
              </w:tc>
              <w:tc>
                <w:tcPr>
                  <w:tcW w:w="513" w:type="pct"/>
                  <w:vAlign w:val="center"/>
                </w:tcPr>
                <w:p>
                  <w:pPr>
                    <w:adjustRightInd w:val="0"/>
                    <w:snapToGrid w:val="0"/>
                    <w:jc w:val="center"/>
                    <w:rPr>
                      <w:bCs/>
                      <w:color w:val="auto"/>
                      <w:szCs w:val="21"/>
                      <w:highlight w:val="none"/>
                    </w:rPr>
                  </w:pPr>
                  <w:r>
                    <w:rPr>
                      <w:rFonts w:hint="eastAsia"/>
                      <w:bCs/>
                      <w:color w:val="auto"/>
                      <w:szCs w:val="21"/>
                      <w:highlight w:val="none"/>
                    </w:rPr>
                    <w:t>0.0252</w:t>
                  </w:r>
                </w:p>
              </w:tc>
              <w:tc>
                <w:tcPr>
                  <w:tcW w:w="513" w:type="pct"/>
                  <w:vMerge w:val="restart"/>
                  <w:vAlign w:val="center"/>
                </w:tcPr>
                <w:p>
                  <w:pPr>
                    <w:adjustRightInd w:val="0"/>
                    <w:snapToGrid w:val="0"/>
                    <w:jc w:val="center"/>
                    <w:rPr>
                      <w:bCs/>
                      <w:color w:val="auto"/>
                      <w:szCs w:val="21"/>
                      <w:highlight w:val="none"/>
                    </w:rPr>
                  </w:pPr>
                  <w:r>
                    <w:rPr>
                      <w:rFonts w:hint="eastAsia"/>
                      <w:bCs/>
                      <w:color w:val="auto"/>
                      <w:szCs w:val="21"/>
                      <w:highlight w:val="none"/>
                    </w:rPr>
                    <w:t>15</w:t>
                  </w:r>
                </w:p>
              </w:tc>
              <w:tc>
                <w:tcPr>
                  <w:tcW w:w="513" w:type="pct"/>
                  <w:vAlign w:val="center"/>
                </w:tcPr>
                <w:p>
                  <w:pPr>
                    <w:adjustRightInd w:val="0"/>
                    <w:snapToGrid w:val="0"/>
                    <w:jc w:val="center"/>
                    <w:rPr>
                      <w:bCs/>
                      <w:color w:val="auto"/>
                      <w:szCs w:val="21"/>
                      <w:highlight w:val="none"/>
                    </w:rPr>
                  </w:pPr>
                  <w:r>
                    <w:rPr>
                      <w:rFonts w:hint="eastAsia"/>
                      <w:bCs/>
                      <w:color w:val="auto"/>
                      <w:szCs w:val="21"/>
                      <w:highlight w:val="none"/>
                    </w:rPr>
                    <w:t>1</w:t>
                  </w:r>
                </w:p>
              </w:tc>
              <w:tc>
                <w:tcPr>
                  <w:tcW w:w="520" w:type="pct"/>
                  <w:vAlign w:val="center"/>
                </w:tcPr>
                <w:p>
                  <w:pPr>
                    <w:adjustRightInd w:val="0"/>
                    <w:snapToGrid w:val="0"/>
                    <w:jc w:val="center"/>
                    <w:rPr>
                      <w:rFonts w:hint="default" w:ascii="Times New Roman" w:hAnsi="Times New Roman" w:eastAsia="宋体" w:cs="Times New Roman"/>
                      <w:bCs/>
                      <w:color w:val="auto"/>
                      <w:szCs w:val="21"/>
                      <w:highlight w:val="none"/>
                      <w:lang w:val="en-US" w:eastAsia="zh-CN"/>
                    </w:rPr>
                  </w:pPr>
                  <w:r>
                    <w:rPr>
                      <w:rFonts w:hint="eastAsia"/>
                      <w:bCs/>
                      <w:color w:val="auto"/>
                      <w:szCs w:val="21"/>
                      <w:highlight w:val="none"/>
                      <w:lang w:val="en-US" w:eastAsia="zh-CN"/>
                    </w:rPr>
                    <w:t>2.52</w:t>
                  </w:r>
                  <w:r>
                    <w:rPr>
                      <w:rFonts w:hint="default" w:ascii="Times New Roman" w:hAnsi="Times New Roman" w:cs="Times New Roman"/>
                      <w:bCs/>
                      <w:color w:val="auto"/>
                      <w:szCs w:val="21"/>
                      <w:highlight w:val="none"/>
                      <w:lang w:val="en-US" w:eastAsia="zh-CN"/>
                    </w:rPr>
                    <w:t>×</w:t>
                  </w:r>
                  <w:r>
                    <w:rPr>
                      <w:rFonts w:hint="eastAsia" w:cs="Times New Roman"/>
                      <w:bCs/>
                      <w:color w:val="auto"/>
                      <w:szCs w:val="21"/>
                      <w:highlight w:val="none"/>
                      <w:lang w:val="en-US" w:eastAsia="zh-CN"/>
                    </w:rPr>
                    <w:t>10</w:t>
                  </w:r>
                  <w:r>
                    <w:rPr>
                      <w:rFonts w:hint="eastAsia" w:cs="Times New Roman"/>
                      <w:bCs/>
                      <w:color w:val="auto"/>
                      <w:szCs w:val="21"/>
                      <w:highlight w:val="none"/>
                      <w:vertAlign w:val="superscript"/>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42" w:type="pct"/>
                  <w:vMerge w:val="continue"/>
                  <w:vAlign w:val="center"/>
                </w:tcPr>
                <w:p>
                  <w:pPr>
                    <w:adjustRightInd w:val="0"/>
                    <w:snapToGrid w:val="0"/>
                    <w:jc w:val="center"/>
                    <w:rPr>
                      <w:bCs/>
                      <w:color w:val="auto"/>
                      <w:szCs w:val="21"/>
                      <w:highlight w:val="none"/>
                    </w:rPr>
                  </w:pPr>
                </w:p>
              </w:tc>
              <w:tc>
                <w:tcPr>
                  <w:tcW w:w="528" w:type="pct"/>
                  <w:vAlign w:val="center"/>
                </w:tcPr>
                <w:p>
                  <w:pPr>
                    <w:adjustRightInd w:val="0"/>
                    <w:snapToGrid w:val="0"/>
                    <w:jc w:val="center"/>
                    <w:rPr>
                      <w:bCs/>
                      <w:color w:val="auto"/>
                      <w:szCs w:val="21"/>
                      <w:highlight w:val="none"/>
                    </w:rPr>
                  </w:pPr>
                  <w:r>
                    <w:rPr>
                      <w:rFonts w:hint="eastAsia"/>
                      <w:bCs/>
                      <w:color w:val="auto"/>
                      <w:szCs w:val="21"/>
                      <w:highlight w:val="none"/>
                    </w:rPr>
                    <w:t>颗粒物</w:t>
                  </w:r>
                </w:p>
              </w:tc>
              <w:tc>
                <w:tcPr>
                  <w:tcW w:w="855" w:type="pct"/>
                  <w:vMerge w:val="continue"/>
                  <w:vAlign w:val="center"/>
                </w:tcPr>
                <w:p>
                  <w:pPr>
                    <w:adjustRightInd w:val="0"/>
                    <w:snapToGrid w:val="0"/>
                    <w:jc w:val="center"/>
                    <w:rPr>
                      <w:color w:val="auto"/>
                      <w:szCs w:val="21"/>
                      <w:highlight w:val="none"/>
                    </w:rPr>
                  </w:pPr>
                </w:p>
              </w:tc>
              <w:tc>
                <w:tcPr>
                  <w:tcW w:w="574" w:type="pct"/>
                  <w:vMerge w:val="continue"/>
                  <w:vAlign w:val="center"/>
                </w:tcPr>
                <w:p>
                  <w:pPr>
                    <w:adjustRightInd w:val="0"/>
                    <w:snapToGrid w:val="0"/>
                    <w:jc w:val="center"/>
                    <w:rPr>
                      <w:bCs/>
                      <w:color w:val="auto"/>
                      <w:szCs w:val="21"/>
                      <w:highlight w:val="none"/>
                    </w:rPr>
                  </w:pPr>
                </w:p>
              </w:tc>
              <w:tc>
                <w:tcPr>
                  <w:tcW w:w="539" w:type="pct"/>
                  <w:vAlign w:val="center"/>
                </w:tcPr>
                <w:p>
                  <w:pPr>
                    <w:adjustRightInd w:val="0"/>
                    <w:snapToGrid w:val="0"/>
                    <w:jc w:val="center"/>
                    <w:rPr>
                      <w:rFonts w:hint="default" w:eastAsia="宋体"/>
                      <w:bCs/>
                      <w:color w:val="auto"/>
                      <w:szCs w:val="21"/>
                      <w:highlight w:val="none"/>
                      <w:lang w:val="en-US" w:eastAsia="zh-CN"/>
                    </w:rPr>
                  </w:pPr>
                  <w:r>
                    <w:rPr>
                      <w:rFonts w:hint="eastAsia"/>
                      <w:bCs/>
                      <w:color w:val="auto"/>
                      <w:szCs w:val="21"/>
                      <w:highlight w:val="none"/>
                      <w:lang w:val="en-US" w:eastAsia="zh-CN"/>
                    </w:rPr>
                    <w:t>5.73</w:t>
                  </w:r>
                </w:p>
              </w:tc>
              <w:tc>
                <w:tcPr>
                  <w:tcW w:w="513" w:type="pct"/>
                  <w:vAlign w:val="center"/>
                </w:tcPr>
                <w:p>
                  <w:pPr>
                    <w:adjustRightInd w:val="0"/>
                    <w:snapToGrid w:val="0"/>
                    <w:jc w:val="center"/>
                    <w:rPr>
                      <w:bCs/>
                      <w:color w:val="auto"/>
                      <w:szCs w:val="21"/>
                      <w:highlight w:val="none"/>
                    </w:rPr>
                  </w:pPr>
                  <w:r>
                    <w:rPr>
                      <w:rFonts w:hint="eastAsia"/>
                      <w:bCs/>
                      <w:color w:val="auto"/>
                      <w:szCs w:val="21"/>
                      <w:highlight w:val="none"/>
                    </w:rPr>
                    <w:t>0.086</w:t>
                  </w:r>
                </w:p>
              </w:tc>
              <w:tc>
                <w:tcPr>
                  <w:tcW w:w="513" w:type="pct"/>
                  <w:vMerge w:val="continue"/>
                  <w:vAlign w:val="center"/>
                </w:tcPr>
                <w:p>
                  <w:pPr>
                    <w:adjustRightInd w:val="0"/>
                    <w:snapToGrid w:val="0"/>
                    <w:jc w:val="center"/>
                    <w:rPr>
                      <w:bCs/>
                      <w:color w:val="auto"/>
                      <w:szCs w:val="21"/>
                      <w:highlight w:val="none"/>
                    </w:rPr>
                  </w:pPr>
                </w:p>
              </w:tc>
              <w:tc>
                <w:tcPr>
                  <w:tcW w:w="513" w:type="pct"/>
                  <w:vAlign w:val="center"/>
                </w:tcPr>
                <w:p>
                  <w:pPr>
                    <w:adjustRightInd w:val="0"/>
                    <w:snapToGrid w:val="0"/>
                    <w:jc w:val="center"/>
                    <w:rPr>
                      <w:bCs/>
                      <w:color w:val="auto"/>
                      <w:szCs w:val="21"/>
                      <w:highlight w:val="none"/>
                    </w:rPr>
                  </w:pPr>
                  <w:r>
                    <w:rPr>
                      <w:rFonts w:hint="eastAsia"/>
                      <w:bCs/>
                      <w:color w:val="auto"/>
                      <w:szCs w:val="21"/>
                      <w:highlight w:val="none"/>
                    </w:rPr>
                    <w:t>1</w:t>
                  </w:r>
                </w:p>
              </w:tc>
              <w:tc>
                <w:tcPr>
                  <w:tcW w:w="520" w:type="pct"/>
                  <w:vAlign w:val="center"/>
                </w:tcPr>
                <w:p>
                  <w:pPr>
                    <w:adjustRightInd w:val="0"/>
                    <w:snapToGrid w:val="0"/>
                    <w:jc w:val="center"/>
                    <w:rPr>
                      <w:bCs/>
                      <w:color w:val="auto"/>
                      <w:szCs w:val="21"/>
                      <w:highlight w:val="none"/>
                    </w:rPr>
                  </w:pPr>
                  <w:r>
                    <w:rPr>
                      <w:rFonts w:hint="eastAsia" w:cs="Times New Roman"/>
                      <w:bCs/>
                      <w:color w:val="auto"/>
                      <w:szCs w:val="21"/>
                      <w:highlight w:val="none"/>
                      <w:lang w:val="en-US" w:eastAsia="zh-CN"/>
                    </w:rPr>
                    <w:t>8.6</w:t>
                  </w:r>
                  <w:r>
                    <w:rPr>
                      <w:rFonts w:hint="default" w:ascii="Times New Roman" w:hAnsi="Times New Roman" w:cs="Times New Roman"/>
                      <w:bCs/>
                      <w:color w:val="auto"/>
                      <w:szCs w:val="21"/>
                      <w:highlight w:val="none"/>
                      <w:lang w:val="en-US" w:eastAsia="zh-CN"/>
                    </w:rPr>
                    <w:t>×</w:t>
                  </w:r>
                  <w:r>
                    <w:rPr>
                      <w:rFonts w:hint="eastAsia" w:cs="Times New Roman"/>
                      <w:bCs/>
                      <w:color w:val="auto"/>
                      <w:szCs w:val="21"/>
                      <w:highlight w:val="none"/>
                      <w:lang w:val="en-US" w:eastAsia="zh-CN"/>
                    </w:rPr>
                    <w:t>10</w:t>
                  </w:r>
                  <w:r>
                    <w:rPr>
                      <w:rFonts w:hint="eastAsia" w:cs="Times New Roman"/>
                      <w:bCs/>
                      <w:color w:val="auto"/>
                      <w:szCs w:val="21"/>
                      <w:highlight w:val="none"/>
                      <w:vertAlign w:val="superscript"/>
                      <w:lang w:val="en-US" w:eastAsia="zh-CN"/>
                    </w:rPr>
                    <w:t>-5</w:t>
                  </w:r>
                </w:p>
              </w:tc>
            </w:tr>
          </w:tbl>
          <w:p>
            <w:pPr>
              <w:adjustRightInd w:val="0"/>
              <w:snapToGrid w:val="0"/>
              <w:spacing w:before="120" w:beforeLines="50" w:line="360" w:lineRule="auto"/>
              <w:ind w:firstLine="422" w:firstLineChars="200"/>
              <w:rPr>
                <w:b/>
                <w:color w:val="auto"/>
                <w:szCs w:val="21"/>
                <w:highlight w:val="none"/>
              </w:rPr>
            </w:pPr>
            <w:r>
              <w:rPr>
                <w:rFonts w:hint="eastAsia"/>
                <w:b/>
                <w:color w:val="auto"/>
                <w:szCs w:val="21"/>
                <w:highlight w:val="none"/>
              </w:rPr>
              <w:t>5、</w:t>
            </w:r>
            <w:r>
              <w:rPr>
                <w:b/>
                <w:color w:val="auto"/>
                <w:szCs w:val="21"/>
                <w:highlight w:val="none"/>
              </w:rPr>
              <w:t>废气污染防治技术可行性分析</w:t>
            </w:r>
          </w:p>
          <w:p>
            <w:pPr>
              <w:widowControl/>
              <w:adjustRightInd w:val="0"/>
              <w:snapToGrid w:val="0"/>
              <w:spacing w:line="360" w:lineRule="auto"/>
              <w:ind w:firstLine="420" w:firstLineChars="200"/>
              <w:rPr>
                <w:b/>
                <w:bCs/>
                <w:color w:val="auto"/>
                <w:szCs w:val="21"/>
                <w:highlight w:val="none"/>
              </w:rPr>
            </w:pPr>
            <w:r>
              <w:rPr>
                <w:rFonts w:hint="eastAsia"/>
                <w:color w:val="auto"/>
                <w:szCs w:val="21"/>
                <w:highlight w:val="none"/>
              </w:rPr>
              <w:t>项目搅拌混合粉尘、</w:t>
            </w:r>
            <w:r>
              <w:rPr>
                <w:color w:val="auto"/>
                <w:highlight w:val="none"/>
              </w:rPr>
              <w:t>投料搅拌混合</w:t>
            </w:r>
            <w:r>
              <w:rPr>
                <w:rFonts w:hint="eastAsia"/>
                <w:color w:val="auto"/>
                <w:highlight w:val="none"/>
                <w:lang w:eastAsia="zh-CN"/>
              </w:rPr>
              <w:t>、</w:t>
            </w:r>
            <w:r>
              <w:rPr>
                <w:rFonts w:hint="eastAsia"/>
                <w:color w:val="auto"/>
                <w:highlight w:val="none"/>
                <w:lang w:val="en-US" w:eastAsia="zh-CN"/>
              </w:rPr>
              <w:t>研磨、</w:t>
            </w:r>
            <w:r>
              <w:rPr>
                <w:color w:val="auto"/>
                <w:highlight w:val="none"/>
              </w:rPr>
              <w:t>分装废气</w:t>
            </w:r>
            <w:r>
              <w:rPr>
                <w:rFonts w:hint="eastAsia"/>
                <w:color w:val="auto"/>
                <w:highlight w:val="none"/>
              </w:rPr>
              <w:t>经</w:t>
            </w:r>
            <w:r>
              <w:rPr>
                <w:rFonts w:hint="eastAsia"/>
                <w:color w:val="auto"/>
                <w:szCs w:val="21"/>
                <w:highlight w:val="none"/>
              </w:rPr>
              <w:t>集气罩收集后汇入“布袋除尘器+</w:t>
            </w:r>
            <w:r>
              <w:rPr>
                <w:rFonts w:hint="eastAsia"/>
                <w:color w:val="auto"/>
                <w:szCs w:val="21"/>
                <w:highlight w:val="none"/>
                <w:lang w:val="en-US" w:eastAsia="zh-CN"/>
              </w:rPr>
              <w:t>二</w:t>
            </w:r>
            <w:r>
              <w:rPr>
                <w:rFonts w:hint="eastAsia"/>
                <w:color w:val="auto"/>
                <w:szCs w:val="21"/>
                <w:highlight w:val="none"/>
              </w:rPr>
              <w:t>级活性炭吸附”装置处理达标后</w:t>
            </w:r>
            <w:r>
              <w:rPr>
                <w:rFonts w:hint="eastAsia" w:ascii="Times New Roman" w:hAnsi="Times New Roman" w:eastAsia="宋体" w:cs="Times New Roman"/>
                <w:color w:val="auto"/>
                <w:szCs w:val="21"/>
                <w:highlight w:val="none"/>
              </w:rPr>
              <w:t>通过15m高排气筒排放，根据《排污许可证申请与核发技术规范 橡胶和塑料制品工业》（HJ1122-2020），属可行技术</w:t>
            </w:r>
            <w:r>
              <w:rPr>
                <w:rFonts w:hint="eastAsia" w:ascii="Times New Roman" w:hAnsi="Times New Roman" w:eastAsia="宋体" w:cs="Times New Roman"/>
                <w:color w:val="auto"/>
                <w:szCs w:val="21"/>
                <w:highlight w:val="none"/>
                <w:lang w:eastAsia="zh-CN"/>
              </w:rPr>
              <w:t>。</w:t>
            </w:r>
          </w:p>
          <w:p>
            <w:pPr>
              <w:spacing w:line="360" w:lineRule="auto"/>
              <w:ind w:left="420" w:leftChars="200"/>
              <w:rPr>
                <w:b/>
                <w:bCs/>
                <w:color w:val="auto"/>
                <w:szCs w:val="21"/>
                <w:highlight w:val="none"/>
              </w:rPr>
            </w:pPr>
            <w:r>
              <w:rPr>
                <w:rFonts w:hint="eastAsia"/>
                <w:b/>
                <w:bCs/>
                <w:color w:val="auto"/>
                <w:szCs w:val="21"/>
                <w:highlight w:val="none"/>
              </w:rPr>
              <w:t>6、大气环境影响分析</w:t>
            </w:r>
          </w:p>
          <w:p>
            <w:pPr>
              <w:widowControl/>
              <w:adjustRightInd w:val="0"/>
              <w:snapToGrid w:val="0"/>
              <w:spacing w:line="360" w:lineRule="auto"/>
              <w:ind w:firstLine="420" w:firstLineChars="200"/>
              <w:rPr>
                <w:color w:val="auto"/>
                <w:szCs w:val="21"/>
                <w:highlight w:val="none"/>
              </w:rPr>
            </w:pPr>
            <w:r>
              <w:rPr>
                <w:color w:val="auto"/>
                <w:szCs w:val="21"/>
                <w:highlight w:val="none"/>
              </w:rPr>
              <w:t>根据《20</w:t>
            </w:r>
            <w:r>
              <w:rPr>
                <w:rFonts w:hint="eastAsia"/>
                <w:color w:val="auto"/>
                <w:szCs w:val="21"/>
                <w:highlight w:val="none"/>
              </w:rPr>
              <w:t>21</w:t>
            </w:r>
            <w:r>
              <w:rPr>
                <w:color w:val="auto"/>
                <w:szCs w:val="21"/>
                <w:highlight w:val="none"/>
              </w:rPr>
              <w:t>年惠州市生态环境状况公报》，项目所在地环境空气质量现状良好。</w:t>
            </w:r>
          </w:p>
          <w:p>
            <w:pPr>
              <w:widowControl/>
              <w:adjustRightInd w:val="0"/>
              <w:snapToGrid w:val="0"/>
              <w:spacing w:line="360" w:lineRule="auto"/>
              <w:ind w:firstLine="420" w:firstLineChars="200"/>
              <w:rPr>
                <w:color w:val="auto"/>
                <w:highlight w:val="none"/>
              </w:rPr>
            </w:pPr>
            <w:r>
              <w:rPr>
                <w:color w:val="auto"/>
                <w:szCs w:val="21"/>
                <w:highlight w:val="none"/>
              </w:rPr>
              <w:t>项目</w:t>
            </w:r>
            <w:r>
              <w:rPr>
                <w:rFonts w:hint="eastAsia"/>
                <w:color w:val="auto"/>
                <w:szCs w:val="21"/>
                <w:highlight w:val="none"/>
                <w:lang w:bidi="ar"/>
              </w:rPr>
              <w:t>粉尘、有机废气的排放可满足</w:t>
            </w:r>
            <w:r>
              <w:rPr>
                <w:rFonts w:hint="eastAsia"/>
                <w:bCs/>
                <w:color w:val="auto"/>
                <w:szCs w:val="21"/>
                <w:highlight w:val="none"/>
              </w:rPr>
              <w:t>，</w:t>
            </w:r>
            <w:r>
              <w:rPr>
                <w:rFonts w:hint="eastAsia" w:hAnsi="宋体"/>
                <w:color w:val="auto"/>
                <w:szCs w:val="21"/>
                <w:highlight w:val="none"/>
              </w:rPr>
              <w:t>经布袋</w:t>
            </w:r>
            <w:r>
              <w:rPr>
                <w:rFonts w:hAnsi="宋体"/>
                <w:color w:val="auto"/>
                <w:szCs w:val="21"/>
                <w:highlight w:val="none"/>
              </w:rPr>
              <w:t>除尘器</w:t>
            </w:r>
            <w:r>
              <w:rPr>
                <w:rFonts w:hint="eastAsia" w:hAnsi="宋体"/>
                <w:color w:val="auto"/>
                <w:szCs w:val="21"/>
                <w:highlight w:val="none"/>
                <w:lang w:val="en-US" w:eastAsia="zh-CN"/>
              </w:rPr>
              <w:t>+二级活性炭吸附装置</w:t>
            </w:r>
            <w:r>
              <w:rPr>
                <w:rFonts w:hint="eastAsia" w:hAnsi="宋体"/>
                <w:color w:val="auto"/>
                <w:szCs w:val="21"/>
                <w:highlight w:val="none"/>
              </w:rPr>
              <w:t>处理</w:t>
            </w:r>
            <w:r>
              <w:rPr>
                <w:rFonts w:hAnsi="宋体"/>
                <w:color w:val="auto"/>
                <w:szCs w:val="21"/>
                <w:highlight w:val="none"/>
              </w:rPr>
              <w:t>后</w:t>
            </w:r>
            <w:r>
              <w:rPr>
                <w:rFonts w:hint="eastAsia" w:hAnsi="宋体"/>
                <w:color w:val="auto"/>
                <w:szCs w:val="21"/>
                <w:highlight w:val="none"/>
              </w:rPr>
              <w:t>经</w:t>
            </w:r>
            <w:r>
              <w:rPr>
                <w:rFonts w:hAnsi="宋体"/>
                <w:color w:val="auto"/>
                <w:szCs w:val="21"/>
                <w:highlight w:val="none"/>
              </w:rPr>
              <w:t>15</w:t>
            </w:r>
            <w:r>
              <w:rPr>
                <w:rFonts w:hint="eastAsia" w:hAnsi="宋体"/>
                <w:color w:val="auto"/>
                <w:szCs w:val="21"/>
                <w:highlight w:val="none"/>
              </w:rPr>
              <w:t>米高排气筒DA001</w:t>
            </w:r>
            <w:r>
              <w:rPr>
                <w:rFonts w:hAnsi="宋体"/>
                <w:color w:val="auto"/>
                <w:szCs w:val="21"/>
                <w:highlight w:val="none"/>
              </w:rPr>
              <w:t>高空排放</w:t>
            </w:r>
            <w:r>
              <w:rPr>
                <w:rFonts w:hint="eastAsia" w:hAnsi="宋体"/>
                <w:color w:val="auto"/>
                <w:szCs w:val="21"/>
                <w:highlight w:val="none"/>
              </w:rPr>
              <w:t>。</w:t>
            </w:r>
            <w:r>
              <w:rPr>
                <w:rFonts w:hint="eastAsia"/>
                <w:color w:val="auto"/>
                <w:szCs w:val="21"/>
                <w:highlight w:val="none"/>
              </w:rPr>
              <w:t>经</w:t>
            </w:r>
            <w:r>
              <w:rPr>
                <w:color w:val="auto"/>
                <w:szCs w:val="21"/>
                <w:highlight w:val="none"/>
              </w:rPr>
              <w:t>处理后</w:t>
            </w:r>
            <w:r>
              <w:rPr>
                <w:rFonts w:hint="eastAsia"/>
                <w:color w:val="auto"/>
                <w:szCs w:val="21"/>
                <w:highlight w:val="none"/>
                <w:lang w:val="en-US" w:eastAsia="zh-CN"/>
              </w:rPr>
              <w:t>颗粒物</w:t>
            </w:r>
            <w:r>
              <w:rPr>
                <w:color w:val="auto"/>
                <w:szCs w:val="21"/>
                <w:highlight w:val="none"/>
              </w:rPr>
              <w:t>排放量为</w:t>
            </w:r>
            <w:r>
              <w:rPr>
                <w:rFonts w:hint="eastAsia" w:hAnsi="宋体"/>
                <w:color w:val="auto"/>
                <w:szCs w:val="21"/>
                <w:highlight w:val="none"/>
              </w:rPr>
              <w:t>0.</w:t>
            </w:r>
            <w:r>
              <w:rPr>
                <w:rFonts w:hAnsi="宋体"/>
                <w:color w:val="auto"/>
                <w:szCs w:val="21"/>
                <w:highlight w:val="none"/>
              </w:rPr>
              <w:t>0</w:t>
            </w:r>
            <w:r>
              <w:rPr>
                <w:rFonts w:hint="eastAsia" w:hAnsi="宋体"/>
                <w:color w:val="auto"/>
                <w:szCs w:val="21"/>
                <w:highlight w:val="none"/>
                <w:lang w:val="en-US" w:eastAsia="zh-CN"/>
              </w:rPr>
              <w:t>129</w:t>
            </w:r>
            <w:r>
              <w:rPr>
                <w:rFonts w:hint="eastAsia" w:hAnsi="宋体"/>
                <w:color w:val="auto"/>
                <w:szCs w:val="21"/>
                <w:highlight w:val="none"/>
              </w:rPr>
              <w:t>t/a，</w:t>
            </w:r>
            <w:r>
              <w:rPr>
                <w:rFonts w:hAnsi="宋体"/>
                <w:color w:val="auto"/>
                <w:szCs w:val="21"/>
                <w:highlight w:val="none"/>
              </w:rPr>
              <w:t>排放速率为</w:t>
            </w:r>
            <w:r>
              <w:rPr>
                <w:rFonts w:hint="eastAsia" w:hAnsi="宋体"/>
                <w:color w:val="auto"/>
                <w:szCs w:val="21"/>
                <w:highlight w:val="none"/>
              </w:rPr>
              <w:t>0.</w:t>
            </w:r>
            <w:r>
              <w:rPr>
                <w:rFonts w:hAnsi="宋体"/>
                <w:color w:val="auto"/>
                <w:szCs w:val="21"/>
                <w:highlight w:val="none"/>
              </w:rPr>
              <w:t>0</w:t>
            </w:r>
            <w:r>
              <w:rPr>
                <w:rFonts w:hint="eastAsia" w:hAnsi="宋体"/>
                <w:color w:val="auto"/>
                <w:szCs w:val="21"/>
                <w:highlight w:val="none"/>
                <w:lang w:val="en-US" w:eastAsia="zh-CN"/>
              </w:rPr>
              <w:t>05377</w:t>
            </w:r>
            <w:r>
              <w:rPr>
                <w:rFonts w:hint="eastAsia" w:hAnsi="宋体"/>
                <w:color w:val="auto"/>
                <w:szCs w:val="21"/>
                <w:highlight w:val="none"/>
              </w:rPr>
              <w:t>kg</w:t>
            </w:r>
            <w:r>
              <w:rPr>
                <w:rFonts w:hAnsi="宋体"/>
                <w:color w:val="auto"/>
                <w:szCs w:val="21"/>
                <w:highlight w:val="none"/>
              </w:rPr>
              <w:t>/h</w:t>
            </w:r>
            <w:r>
              <w:rPr>
                <w:rFonts w:hint="eastAsia" w:hAnsi="宋体"/>
                <w:color w:val="auto"/>
                <w:szCs w:val="21"/>
                <w:highlight w:val="none"/>
              </w:rPr>
              <w:t>，</w:t>
            </w:r>
            <w:r>
              <w:rPr>
                <w:rFonts w:hAnsi="宋体"/>
                <w:color w:val="auto"/>
                <w:szCs w:val="21"/>
                <w:highlight w:val="none"/>
              </w:rPr>
              <w:t>排放浓度为</w:t>
            </w:r>
            <w:r>
              <w:rPr>
                <w:rFonts w:hint="eastAsia" w:hAnsi="宋体"/>
                <w:color w:val="auto"/>
                <w:szCs w:val="21"/>
                <w:highlight w:val="none"/>
                <w:lang w:val="en-US" w:eastAsia="zh-CN"/>
              </w:rPr>
              <w:t>0.36</w:t>
            </w:r>
            <w:r>
              <w:rPr>
                <w:rFonts w:hAnsi="宋体"/>
                <w:color w:val="auto"/>
                <w:szCs w:val="21"/>
                <w:highlight w:val="none"/>
              </w:rPr>
              <w:t>mg/m</w:t>
            </w:r>
            <w:r>
              <w:rPr>
                <w:rFonts w:hAnsi="宋体"/>
                <w:color w:val="auto"/>
                <w:szCs w:val="21"/>
                <w:highlight w:val="none"/>
                <w:vertAlign w:val="superscript"/>
              </w:rPr>
              <w:t>3</w:t>
            </w:r>
            <w:r>
              <w:rPr>
                <w:rFonts w:hint="eastAsia"/>
                <w:color w:val="auto"/>
                <w:szCs w:val="21"/>
                <w:highlight w:val="none"/>
              </w:rPr>
              <w:t>，</w:t>
            </w:r>
            <w:r>
              <w:rPr>
                <w:rFonts w:hint="eastAsia"/>
                <w:color w:val="auto"/>
                <w:szCs w:val="21"/>
                <w:highlight w:val="none"/>
                <w:lang w:val="en-US" w:eastAsia="zh-CN"/>
              </w:rPr>
              <w:t>非甲烷总烃</w:t>
            </w:r>
            <w:r>
              <w:rPr>
                <w:color w:val="auto"/>
                <w:szCs w:val="21"/>
                <w:highlight w:val="none"/>
              </w:rPr>
              <w:t>排放量为</w:t>
            </w:r>
            <w:r>
              <w:rPr>
                <w:rFonts w:hint="eastAsia"/>
                <w:color w:val="auto"/>
                <w:szCs w:val="21"/>
                <w:highlight w:val="none"/>
                <w:lang w:val="en-US" w:eastAsia="zh-CN"/>
              </w:rPr>
              <w:t>0.0189</w:t>
            </w:r>
            <w:r>
              <w:rPr>
                <w:rFonts w:hint="eastAsia" w:hAnsi="宋体"/>
                <w:color w:val="auto"/>
                <w:szCs w:val="21"/>
                <w:highlight w:val="none"/>
              </w:rPr>
              <w:t>t/a，</w:t>
            </w:r>
            <w:r>
              <w:rPr>
                <w:rFonts w:hAnsi="宋体"/>
                <w:color w:val="auto"/>
                <w:szCs w:val="21"/>
                <w:highlight w:val="none"/>
              </w:rPr>
              <w:t>排放速率为</w:t>
            </w:r>
            <w:r>
              <w:rPr>
                <w:rFonts w:hint="eastAsia" w:hAnsi="宋体"/>
                <w:color w:val="auto"/>
                <w:szCs w:val="21"/>
                <w:highlight w:val="none"/>
              </w:rPr>
              <w:t>0.</w:t>
            </w:r>
            <w:r>
              <w:rPr>
                <w:rFonts w:hAnsi="宋体"/>
                <w:color w:val="auto"/>
                <w:szCs w:val="21"/>
                <w:highlight w:val="none"/>
              </w:rPr>
              <w:t>0</w:t>
            </w:r>
            <w:r>
              <w:rPr>
                <w:rFonts w:hint="eastAsia" w:hAnsi="宋体"/>
                <w:color w:val="auto"/>
                <w:szCs w:val="21"/>
                <w:highlight w:val="none"/>
                <w:lang w:val="en-US" w:eastAsia="zh-CN"/>
              </w:rPr>
              <w:t>0788</w:t>
            </w:r>
            <w:r>
              <w:rPr>
                <w:rFonts w:hint="eastAsia" w:hAnsi="宋体"/>
                <w:color w:val="auto"/>
                <w:szCs w:val="21"/>
                <w:highlight w:val="none"/>
              </w:rPr>
              <w:t>kg</w:t>
            </w:r>
            <w:r>
              <w:rPr>
                <w:rFonts w:hAnsi="宋体"/>
                <w:color w:val="auto"/>
                <w:szCs w:val="21"/>
                <w:highlight w:val="none"/>
              </w:rPr>
              <w:t>/h</w:t>
            </w:r>
            <w:r>
              <w:rPr>
                <w:rFonts w:hint="eastAsia" w:hAnsi="宋体"/>
                <w:color w:val="auto"/>
                <w:szCs w:val="21"/>
                <w:highlight w:val="none"/>
              </w:rPr>
              <w:t>，</w:t>
            </w:r>
            <w:r>
              <w:rPr>
                <w:rFonts w:hAnsi="宋体"/>
                <w:color w:val="auto"/>
                <w:szCs w:val="21"/>
                <w:highlight w:val="none"/>
              </w:rPr>
              <w:t>排放浓度为</w:t>
            </w:r>
            <w:r>
              <w:rPr>
                <w:rFonts w:hint="eastAsia" w:hAnsi="宋体"/>
                <w:color w:val="auto"/>
                <w:szCs w:val="21"/>
                <w:highlight w:val="none"/>
                <w:lang w:val="en-US" w:eastAsia="zh-CN"/>
              </w:rPr>
              <w:t>0.53</w:t>
            </w:r>
            <w:r>
              <w:rPr>
                <w:rFonts w:hAnsi="宋体"/>
                <w:color w:val="auto"/>
                <w:szCs w:val="21"/>
                <w:highlight w:val="none"/>
              </w:rPr>
              <w:t>mg/m</w:t>
            </w:r>
            <w:r>
              <w:rPr>
                <w:rFonts w:hAnsi="宋体"/>
                <w:color w:val="auto"/>
                <w:szCs w:val="21"/>
                <w:highlight w:val="none"/>
                <w:vertAlign w:val="superscript"/>
              </w:rPr>
              <w:t>3</w:t>
            </w:r>
            <w:r>
              <w:rPr>
                <w:rFonts w:hint="eastAsia"/>
                <w:color w:val="auto"/>
                <w:szCs w:val="21"/>
                <w:highlight w:val="none"/>
              </w:rPr>
              <w:t>，</w:t>
            </w:r>
            <w:r>
              <w:rPr>
                <w:rFonts w:hint="eastAsia" w:hAnsi="宋体"/>
                <w:bCs/>
                <w:color w:val="auto"/>
                <w:szCs w:val="21"/>
                <w:highlight w:val="none"/>
              </w:rPr>
              <w:t>可以满足</w:t>
            </w:r>
            <w:r>
              <w:rPr>
                <w:bCs/>
                <w:color w:val="FF0000"/>
                <w:szCs w:val="21"/>
              </w:rPr>
              <w:t>《</w:t>
            </w:r>
            <w:r>
              <w:rPr>
                <w:rFonts w:hint="eastAsia"/>
                <w:bCs/>
                <w:color w:val="FF0000"/>
                <w:szCs w:val="21"/>
                <w:lang w:val="en-US" w:eastAsia="zh-CN"/>
              </w:rPr>
              <w:t>橡胶制品</w:t>
            </w:r>
            <w:r>
              <w:rPr>
                <w:bCs/>
                <w:color w:val="FF0000"/>
                <w:szCs w:val="21"/>
              </w:rPr>
              <w:t>工业污染物排放标准》（GB</w:t>
            </w:r>
            <w:r>
              <w:rPr>
                <w:rFonts w:hint="eastAsia"/>
                <w:bCs/>
                <w:color w:val="FF0000"/>
                <w:szCs w:val="21"/>
                <w:lang w:val="en-US" w:eastAsia="zh-CN"/>
              </w:rPr>
              <w:t>27632</w:t>
            </w:r>
            <w:r>
              <w:rPr>
                <w:bCs/>
                <w:color w:val="FF0000"/>
                <w:szCs w:val="21"/>
              </w:rPr>
              <w:t>-201</w:t>
            </w:r>
            <w:r>
              <w:rPr>
                <w:rFonts w:hint="eastAsia"/>
                <w:bCs/>
                <w:color w:val="FF0000"/>
                <w:szCs w:val="21"/>
                <w:lang w:val="en-US" w:eastAsia="zh-CN"/>
              </w:rPr>
              <w:t>1</w:t>
            </w:r>
            <w:r>
              <w:rPr>
                <w:bCs/>
                <w:color w:val="FF0000"/>
                <w:szCs w:val="21"/>
              </w:rPr>
              <w:t>）表5</w:t>
            </w:r>
            <w:r>
              <w:rPr>
                <w:rFonts w:hint="eastAsia"/>
                <w:bCs/>
                <w:color w:val="FF0000"/>
                <w:szCs w:val="21"/>
                <w:lang w:val="en-US" w:eastAsia="zh-CN"/>
              </w:rPr>
              <w:t>限值要求</w:t>
            </w:r>
            <w:r>
              <w:rPr>
                <w:rFonts w:hint="eastAsia" w:hAnsi="宋体"/>
                <w:bCs/>
                <w:color w:val="auto"/>
                <w:szCs w:val="21"/>
                <w:highlight w:val="none"/>
              </w:rPr>
              <w:t>，对周边大气环境影响不大。</w:t>
            </w:r>
            <w:r>
              <w:rPr>
                <w:rFonts w:hint="eastAsia"/>
                <w:color w:val="auto"/>
                <w:szCs w:val="21"/>
                <w:highlight w:val="none"/>
              </w:rPr>
              <w:t>未收集</w:t>
            </w:r>
            <w:r>
              <w:rPr>
                <w:color w:val="auto"/>
                <w:szCs w:val="21"/>
                <w:highlight w:val="none"/>
              </w:rPr>
              <w:t>的</w:t>
            </w:r>
            <w:r>
              <w:rPr>
                <w:rFonts w:hint="eastAsia"/>
                <w:color w:val="auto"/>
                <w:szCs w:val="21"/>
                <w:highlight w:val="none"/>
                <w:lang w:val="en-US" w:eastAsia="zh-CN"/>
              </w:rPr>
              <w:t>颗粒物</w:t>
            </w:r>
            <w:r>
              <w:rPr>
                <w:rFonts w:hint="eastAsia"/>
                <w:color w:val="auto"/>
                <w:szCs w:val="21"/>
                <w:highlight w:val="none"/>
                <w:lang w:eastAsia="zh-CN"/>
              </w:rPr>
              <w:t>、</w:t>
            </w:r>
            <w:r>
              <w:rPr>
                <w:rFonts w:hint="eastAsia"/>
                <w:color w:val="auto"/>
                <w:szCs w:val="21"/>
                <w:highlight w:val="none"/>
                <w:lang w:val="en-US" w:eastAsia="zh-CN"/>
              </w:rPr>
              <w:t>非甲烷总烃</w:t>
            </w:r>
            <w:r>
              <w:rPr>
                <w:color w:val="auto"/>
                <w:szCs w:val="21"/>
                <w:highlight w:val="none"/>
              </w:rPr>
              <w:t>无组织排放，</w:t>
            </w:r>
            <w:r>
              <w:rPr>
                <w:rFonts w:hint="eastAsia"/>
                <w:color w:val="auto"/>
                <w:szCs w:val="21"/>
                <w:highlight w:val="none"/>
                <w:lang w:val="en-US" w:eastAsia="zh-CN"/>
              </w:rPr>
              <w:t>颗粒物</w:t>
            </w:r>
            <w:r>
              <w:rPr>
                <w:color w:val="auto"/>
                <w:szCs w:val="21"/>
                <w:highlight w:val="none"/>
              </w:rPr>
              <w:t>无组织排放量</w:t>
            </w:r>
            <w:r>
              <w:rPr>
                <w:rFonts w:hint="eastAsia"/>
                <w:color w:val="auto"/>
                <w:szCs w:val="21"/>
                <w:highlight w:val="none"/>
              </w:rPr>
              <w:t>为0.</w:t>
            </w:r>
            <w:r>
              <w:rPr>
                <w:rFonts w:hint="eastAsia"/>
                <w:color w:val="auto"/>
                <w:szCs w:val="21"/>
                <w:highlight w:val="none"/>
                <w:lang w:val="en-US" w:eastAsia="zh-CN"/>
              </w:rPr>
              <w:t>0645</w:t>
            </w:r>
            <w:r>
              <w:rPr>
                <w:rFonts w:hint="eastAsia"/>
                <w:color w:val="auto"/>
                <w:szCs w:val="21"/>
                <w:highlight w:val="none"/>
              </w:rPr>
              <w:t>t/a，</w:t>
            </w:r>
            <w:r>
              <w:rPr>
                <w:color w:val="auto"/>
                <w:szCs w:val="21"/>
                <w:highlight w:val="none"/>
              </w:rPr>
              <w:t>排放速率为0.0</w:t>
            </w:r>
            <w:r>
              <w:rPr>
                <w:rFonts w:hint="eastAsia"/>
                <w:color w:val="auto"/>
                <w:szCs w:val="21"/>
                <w:highlight w:val="none"/>
                <w:lang w:val="en-US" w:eastAsia="zh-CN"/>
              </w:rPr>
              <w:t>269</w:t>
            </w:r>
            <w:r>
              <w:rPr>
                <w:rFonts w:hint="eastAsia"/>
                <w:color w:val="auto"/>
                <w:szCs w:val="21"/>
                <w:highlight w:val="none"/>
              </w:rPr>
              <w:t xml:space="preserve"> kg</w:t>
            </w:r>
            <w:r>
              <w:rPr>
                <w:color w:val="auto"/>
                <w:szCs w:val="21"/>
                <w:highlight w:val="none"/>
              </w:rPr>
              <w:t>/h</w:t>
            </w:r>
            <w:r>
              <w:rPr>
                <w:rFonts w:hint="eastAsia" w:hAnsi="宋体"/>
                <w:color w:val="auto"/>
                <w:szCs w:val="21"/>
                <w:highlight w:val="none"/>
              </w:rPr>
              <w:t>，</w:t>
            </w:r>
            <w:r>
              <w:rPr>
                <w:rFonts w:hint="eastAsia" w:hAnsi="宋体"/>
                <w:color w:val="auto"/>
                <w:szCs w:val="21"/>
                <w:highlight w:val="none"/>
                <w:lang w:val="en-US" w:eastAsia="zh-CN"/>
              </w:rPr>
              <w:t>非甲烷总烃</w:t>
            </w:r>
            <w:r>
              <w:rPr>
                <w:color w:val="auto"/>
                <w:szCs w:val="21"/>
                <w:highlight w:val="none"/>
              </w:rPr>
              <w:t>无组织排放量</w:t>
            </w:r>
            <w:r>
              <w:rPr>
                <w:rFonts w:hint="eastAsia"/>
                <w:color w:val="auto"/>
                <w:szCs w:val="21"/>
                <w:highlight w:val="none"/>
              </w:rPr>
              <w:t>为0.</w:t>
            </w:r>
            <w:r>
              <w:rPr>
                <w:rFonts w:hint="eastAsia"/>
                <w:color w:val="auto"/>
                <w:szCs w:val="21"/>
                <w:highlight w:val="none"/>
                <w:lang w:val="en-US" w:eastAsia="zh-CN"/>
              </w:rPr>
              <w:t>0189</w:t>
            </w:r>
            <w:r>
              <w:rPr>
                <w:rFonts w:hint="eastAsia"/>
                <w:color w:val="auto"/>
                <w:szCs w:val="21"/>
                <w:highlight w:val="none"/>
              </w:rPr>
              <w:t>t/a，</w:t>
            </w:r>
            <w:r>
              <w:rPr>
                <w:color w:val="auto"/>
                <w:szCs w:val="21"/>
                <w:highlight w:val="none"/>
              </w:rPr>
              <w:t>排放速率为0.0</w:t>
            </w:r>
            <w:r>
              <w:rPr>
                <w:rFonts w:hint="eastAsia"/>
                <w:color w:val="auto"/>
                <w:szCs w:val="21"/>
                <w:highlight w:val="none"/>
                <w:lang w:val="en-US" w:eastAsia="zh-CN"/>
              </w:rPr>
              <w:t>0788</w:t>
            </w:r>
            <w:r>
              <w:rPr>
                <w:rFonts w:hint="eastAsia"/>
                <w:color w:val="auto"/>
                <w:szCs w:val="21"/>
                <w:highlight w:val="none"/>
              </w:rPr>
              <w:t>kg</w:t>
            </w:r>
            <w:r>
              <w:rPr>
                <w:color w:val="auto"/>
                <w:szCs w:val="21"/>
                <w:highlight w:val="none"/>
              </w:rPr>
              <w:t>/h</w:t>
            </w:r>
            <w:r>
              <w:rPr>
                <w:rFonts w:hint="eastAsia"/>
                <w:color w:val="auto"/>
                <w:szCs w:val="21"/>
                <w:highlight w:val="none"/>
                <w:lang w:eastAsia="zh-CN"/>
              </w:rPr>
              <w:t>，</w:t>
            </w:r>
            <w:r>
              <w:rPr>
                <w:rFonts w:hAnsi="宋体"/>
                <w:bCs/>
                <w:color w:val="auto"/>
                <w:szCs w:val="21"/>
                <w:highlight w:val="none"/>
              </w:rPr>
              <w:t>通过加强车间通风，可达到</w:t>
            </w:r>
            <w:r>
              <w:rPr>
                <w:bCs/>
                <w:color w:val="FF0000"/>
                <w:szCs w:val="21"/>
              </w:rPr>
              <w:t>《</w:t>
            </w:r>
            <w:r>
              <w:rPr>
                <w:rFonts w:hint="eastAsia"/>
                <w:bCs/>
                <w:color w:val="FF0000"/>
                <w:szCs w:val="21"/>
                <w:lang w:val="en-US" w:eastAsia="zh-CN"/>
              </w:rPr>
              <w:t>橡胶制品</w:t>
            </w:r>
            <w:r>
              <w:rPr>
                <w:bCs/>
                <w:color w:val="FF0000"/>
                <w:szCs w:val="21"/>
              </w:rPr>
              <w:t>工业污染物排放标准》（GB</w:t>
            </w:r>
            <w:r>
              <w:rPr>
                <w:rFonts w:hint="eastAsia"/>
                <w:bCs/>
                <w:color w:val="FF0000"/>
                <w:szCs w:val="21"/>
                <w:lang w:val="en-US" w:eastAsia="zh-CN"/>
              </w:rPr>
              <w:t>27632</w:t>
            </w:r>
            <w:r>
              <w:rPr>
                <w:bCs/>
                <w:color w:val="FF0000"/>
                <w:szCs w:val="21"/>
              </w:rPr>
              <w:t>-201</w:t>
            </w:r>
            <w:r>
              <w:rPr>
                <w:rFonts w:hint="eastAsia"/>
                <w:bCs/>
                <w:color w:val="FF0000"/>
                <w:szCs w:val="21"/>
                <w:lang w:val="en-US" w:eastAsia="zh-CN"/>
              </w:rPr>
              <w:t>1</w:t>
            </w:r>
            <w:r>
              <w:rPr>
                <w:bCs/>
                <w:color w:val="FF0000"/>
                <w:szCs w:val="21"/>
              </w:rPr>
              <w:t>）表</w:t>
            </w:r>
            <w:r>
              <w:rPr>
                <w:rFonts w:hint="eastAsia"/>
                <w:bCs/>
                <w:color w:val="FF0000"/>
                <w:szCs w:val="21"/>
                <w:lang w:val="en-US" w:eastAsia="zh-CN"/>
              </w:rPr>
              <w:t>6</w:t>
            </w:r>
            <w:r>
              <w:rPr>
                <w:rFonts w:hint="eastAsia"/>
                <w:bCs/>
                <w:color w:val="FF0000"/>
                <w:szCs w:val="21"/>
                <w:highlight w:val="none"/>
              </w:rPr>
              <w:t>限值要求</w:t>
            </w:r>
            <w:r>
              <w:rPr>
                <w:rFonts w:hAnsi="宋体"/>
                <w:bCs/>
                <w:color w:val="auto"/>
                <w:szCs w:val="21"/>
                <w:highlight w:val="none"/>
              </w:rPr>
              <w:t>，不会对周围空气环境产生明显影响。</w:t>
            </w:r>
          </w:p>
          <w:p>
            <w:pPr>
              <w:spacing w:line="360" w:lineRule="auto"/>
              <w:ind w:firstLine="420" w:firstLineChars="200"/>
              <w:rPr>
                <w:color w:val="auto"/>
                <w:szCs w:val="21"/>
                <w:highlight w:val="none"/>
              </w:rPr>
            </w:pPr>
            <w:r>
              <w:rPr>
                <w:color w:val="auto"/>
                <w:szCs w:val="21"/>
                <w:highlight w:val="none"/>
              </w:rPr>
              <w:t>项目距离最近的环境敏感</w:t>
            </w:r>
            <w:r>
              <w:rPr>
                <w:rFonts w:hint="eastAsia"/>
                <w:color w:val="auto"/>
                <w:szCs w:val="21"/>
                <w:highlight w:val="none"/>
              </w:rPr>
              <w:t>目标草莓公寓</w:t>
            </w:r>
            <w:r>
              <w:rPr>
                <w:color w:val="auto"/>
                <w:szCs w:val="21"/>
                <w:highlight w:val="none"/>
              </w:rPr>
              <w:t>（距离约</w:t>
            </w:r>
            <w:r>
              <w:rPr>
                <w:rFonts w:hint="eastAsia"/>
                <w:color w:val="auto"/>
                <w:szCs w:val="21"/>
                <w:highlight w:val="none"/>
              </w:rPr>
              <w:t>176</w:t>
            </w:r>
            <w:r>
              <w:rPr>
                <w:color w:val="auto"/>
                <w:szCs w:val="21"/>
                <w:highlight w:val="none"/>
              </w:rPr>
              <w:t>m）较远，正常工况下不会对周边大气环境造成影响。加之，非正产工况发生概率较低，频次约为每年1次，一旦发生非正常工况，需立即停止生产，待检修完毕后再恢复生产</w:t>
            </w:r>
            <w:r>
              <w:rPr>
                <w:rFonts w:hint="eastAsia"/>
                <w:color w:val="auto"/>
                <w:szCs w:val="21"/>
                <w:highlight w:val="none"/>
                <w:lang w:eastAsia="zh-CN"/>
              </w:rPr>
              <w:t>，</w:t>
            </w:r>
            <w:r>
              <w:rPr>
                <w:rFonts w:hint="eastAsia"/>
                <w:color w:val="auto"/>
                <w:szCs w:val="21"/>
                <w:highlight w:val="none"/>
                <w:lang w:val="en-US" w:eastAsia="zh-CN"/>
              </w:rPr>
              <w:t>采取上述措施，项目</w:t>
            </w:r>
            <w:r>
              <w:rPr>
                <w:rFonts w:hint="eastAsia" w:hAnsi="宋体"/>
                <w:bCs/>
                <w:color w:val="auto"/>
                <w:szCs w:val="21"/>
                <w:highlight w:val="none"/>
              </w:rPr>
              <w:t>对周边大气环境影响不大。</w:t>
            </w:r>
          </w:p>
          <w:p>
            <w:pPr>
              <w:spacing w:line="360" w:lineRule="auto"/>
              <w:ind w:left="420"/>
              <w:rPr>
                <w:b/>
                <w:bCs/>
                <w:color w:val="auto"/>
                <w:szCs w:val="21"/>
                <w:highlight w:val="none"/>
              </w:rPr>
            </w:pPr>
            <w:r>
              <w:rPr>
                <w:rFonts w:hint="eastAsia"/>
                <w:b/>
                <w:bCs/>
                <w:color w:val="auto"/>
                <w:szCs w:val="21"/>
                <w:highlight w:val="none"/>
              </w:rPr>
              <w:t>7、卫生防护距离</w:t>
            </w:r>
          </w:p>
          <w:p>
            <w:pPr>
              <w:autoSpaceDE w:val="0"/>
              <w:autoSpaceDN w:val="0"/>
              <w:snapToGrid w:val="0"/>
              <w:spacing w:line="360" w:lineRule="auto"/>
              <w:ind w:firstLine="422" w:firstLineChars="200"/>
              <w:rPr>
                <w:b/>
                <w:bCs/>
                <w:color w:val="auto"/>
                <w:highlight w:val="none"/>
              </w:rPr>
            </w:pPr>
            <w:r>
              <w:rPr>
                <w:b/>
                <w:bCs/>
                <w:color w:val="auto"/>
                <w:highlight w:val="none"/>
              </w:rPr>
              <w:t>（1）主要特征大气有害物质</w:t>
            </w:r>
          </w:p>
          <w:p>
            <w:pPr>
              <w:adjustRightInd w:val="0"/>
              <w:snapToGrid w:val="0"/>
              <w:spacing w:line="360" w:lineRule="auto"/>
              <w:ind w:firstLine="420" w:firstLineChars="200"/>
              <w:textAlignment w:val="baseline"/>
              <w:rPr>
                <w:color w:val="auto"/>
                <w:highlight w:val="none"/>
              </w:rPr>
            </w:pPr>
            <w:r>
              <w:rPr>
                <w:color w:val="auto"/>
                <w:highlight w:val="none"/>
              </w:rPr>
              <w:t>项目</w:t>
            </w:r>
            <w:r>
              <w:rPr>
                <w:rFonts w:hint="eastAsia"/>
                <w:color w:val="auto"/>
                <w:highlight w:val="none"/>
              </w:rPr>
              <w:t>无组织排放的</w:t>
            </w:r>
            <w:r>
              <w:rPr>
                <w:color w:val="auto"/>
                <w:highlight w:val="none"/>
              </w:rPr>
              <w:t>废气为</w:t>
            </w:r>
            <w:r>
              <w:rPr>
                <w:rFonts w:hint="eastAsia"/>
                <w:color w:val="auto"/>
                <w:highlight w:val="none"/>
              </w:rPr>
              <w:t>颗粒物、</w:t>
            </w:r>
            <w:r>
              <w:rPr>
                <w:color w:val="auto"/>
                <w:highlight w:val="none"/>
              </w:rPr>
              <w:t>非甲烷总烃。根据《大气有害物质无组织排放卫生防护距离推导技术导则》（GB/T39499-2020），当目标企业无组织排放存在多种有毒有害污染物时，基于单个污染物的等标排放量计算结果，优先选择等标排放量最大的污染物为企业无组织排放的主要特征大气有害物质。</w:t>
            </w:r>
          </w:p>
          <w:p>
            <w:pPr>
              <w:adjustRightInd w:val="0"/>
              <w:snapToGrid w:val="0"/>
              <w:spacing w:line="360" w:lineRule="auto"/>
              <w:ind w:firstLine="420" w:firstLineChars="200"/>
              <w:textAlignment w:val="baseline"/>
              <w:rPr>
                <w:bCs/>
                <w:color w:val="auto"/>
                <w:highlight w:val="none"/>
              </w:rPr>
            </w:pPr>
            <w:r>
              <w:rPr>
                <w:color w:val="auto"/>
                <w:highlight w:val="none"/>
              </w:rPr>
              <w:t>根据《大气有害物质无组织排放卫生防护距离推导技术导则》（GB/T 39499-2020），根据目标行业企业的产品产量及其原辅材料、工艺特征、中间产物、产排污特点等具体情况，考虑对人体健康损害的毒性特点，选取特征大气有害物质，本项目无组织排放的</w:t>
            </w:r>
            <w:r>
              <w:rPr>
                <w:rFonts w:hint="eastAsia"/>
                <w:color w:val="auto"/>
                <w:highlight w:val="none"/>
              </w:rPr>
              <w:t>污染物</w:t>
            </w:r>
            <w:r>
              <w:rPr>
                <w:color w:val="auto"/>
                <w:highlight w:val="none"/>
              </w:rPr>
              <w:t>主要有</w:t>
            </w:r>
            <w:r>
              <w:rPr>
                <w:rFonts w:hint="eastAsia"/>
                <w:color w:val="auto"/>
                <w:highlight w:val="none"/>
              </w:rPr>
              <w:t>非甲烷总烃、TSP</w:t>
            </w:r>
            <w:r>
              <w:rPr>
                <w:rFonts w:hint="eastAsia"/>
                <w:bCs/>
                <w:color w:val="auto"/>
                <w:highlight w:val="none"/>
              </w:rPr>
              <w:t>，</w:t>
            </w:r>
            <w:r>
              <w:rPr>
                <w:bCs/>
                <w:color w:val="auto"/>
                <w:highlight w:val="none"/>
              </w:rPr>
              <w:t>非甲烷总烃的环境标准限值参照执行《大气污染物综合排放标准详解》P244页的推荐值：2mg/m</w:t>
            </w:r>
            <w:r>
              <w:rPr>
                <w:bCs/>
                <w:color w:val="auto"/>
                <w:highlight w:val="none"/>
                <w:vertAlign w:val="superscript"/>
              </w:rPr>
              <w:t>3</w:t>
            </w:r>
            <w:r>
              <w:rPr>
                <w:rFonts w:hint="eastAsia"/>
                <w:bCs/>
                <w:color w:val="auto"/>
                <w:highlight w:val="none"/>
              </w:rPr>
              <w:t>，</w:t>
            </w:r>
            <w:r>
              <w:rPr>
                <w:rFonts w:hint="eastAsia"/>
                <w:bCs/>
                <w:color w:val="auto"/>
                <w:szCs w:val="21"/>
                <w:highlight w:val="none"/>
              </w:rPr>
              <w:t>TSP的</w:t>
            </w:r>
            <w:r>
              <w:rPr>
                <w:bCs/>
                <w:color w:val="auto"/>
                <w:szCs w:val="21"/>
                <w:highlight w:val="none"/>
              </w:rPr>
              <w:t>环境标准限值取《环境空气质量标准》（GB3095-2012）</w:t>
            </w:r>
            <w:r>
              <w:rPr>
                <w:rFonts w:hint="eastAsia"/>
                <w:bCs/>
                <w:color w:val="auto"/>
                <w:szCs w:val="21"/>
                <w:highlight w:val="none"/>
              </w:rPr>
              <w:t>及其2018年修改单的</w:t>
            </w:r>
            <w:r>
              <w:rPr>
                <w:bCs/>
                <w:color w:val="auto"/>
                <w:szCs w:val="21"/>
                <w:highlight w:val="none"/>
              </w:rPr>
              <w:t>二级标准</w:t>
            </w:r>
            <w:r>
              <w:rPr>
                <w:rFonts w:hint="eastAsia"/>
                <w:bCs/>
                <w:color w:val="auto"/>
                <w:szCs w:val="21"/>
                <w:highlight w:val="none"/>
              </w:rPr>
              <w:t>中TSP</w:t>
            </w:r>
            <w:r>
              <w:rPr>
                <w:bCs/>
                <w:color w:val="auto"/>
                <w:szCs w:val="21"/>
                <w:highlight w:val="none"/>
              </w:rPr>
              <w:t xml:space="preserve"> 24</w:t>
            </w:r>
            <w:r>
              <w:rPr>
                <w:rFonts w:hint="eastAsia"/>
                <w:bCs/>
                <w:color w:val="auto"/>
                <w:szCs w:val="21"/>
                <w:highlight w:val="none"/>
              </w:rPr>
              <w:t>小时</w:t>
            </w:r>
            <w:r>
              <w:rPr>
                <w:bCs/>
                <w:color w:val="auto"/>
                <w:szCs w:val="21"/>
                <w:highlight w:val="none"/>
              </w:rPr>
              <w:t>均值的</w:t>
            </w:r>
            <w:r>
              <w:rPr>
                <w:rFonts w:hint="eastAsia"/>
                <w:bCs/>
                <w:color w:val="auto"/>
                <w:szCs w:val="21"/>
                <w:highlight w:val="none"/>
              </w:rPr>
              <w:t>3倍</w:t>
            </w:r>
            <w:r>
              <w:rPr>
                <w:bCs/>
                <w:color w:val="auto"/>
                <w:szCs w:val="21"/>
                <w:highlight w:val="none"/>
              </w:rPr>
              <w:t>，</w:t>
            </w:r>
            <w:r>
              <w:rPr>
                <w:rFonts w:hint="eastAsia"/>
                <w:bCs/>
                <w:color w:val="auto"/>
                <w:szCs w:val="21"/>
                <w:highlight w:val="none"/>
              </w:rPr>
              <w:t>本项目各污染物等标排放量</w:t>
            </w:r>
            <w:r>
              <w:rPr>
                <w:bCs/>
                <w:color w:val="auto"/>
                <w:szCs w:val="21"/>
                <w:highlight w:val="none"/>
              </w:rPr>
              <w:t>如下表所示。</w:t>
            </w:r>
          </w:p>
          <w:p>
            <w:pPr>
              <w:adjustRightInd w:val="0"/>
              <w:snapToGrid w:val="0"/>
              <w:spacing w:line="360" w:lineRule="auto"/>
              <w:ind w:left="322"/>
              <w:jc w:val="center"/>
              <w:rPr>
                <w:b/>
                <w:color w:val="auto"/>
                <w:highlight w:val="none"/>
              </w:rPr>
            </w:pPr>
            <w:r>
              <w:rPr>
                <w:rFonts w:hint="eastAsia"/>
                <w:b/>
                <w:color w:val="auto"/>
                <w:highlight w:val="none"/>
              </w:rPr>
              <w:t>表4-</w:t>
            </w:r>
            <w:r>
              <w:rPr>
                <w:rFonts w:hint="eastAsia"/>
                <w:b/>
                <w:color w:val="auto"/>
                <w:highlight w:val="none"/>
                <w:lang w:val="en-US" w:eastAsia="zh-CN"/>
              </w:rPr>
              <w:t>7</w:t>
            </w:r>
            <w:r>
              <w:rPr>
                <w:rFonts w:hint="eastAsia"/>
                <w:b/>
                <w:color w:val="auto"/>
                <w:highlight w:val="none"/>
              </w:rPr>
              <w:t xml:space="preserve"> 项目主要</w:t>
            </w:r>
            <w:r>
              <w:rPr>
                <w:b/>
                <w:color w:val="auto"/>
                <w:highlight w:val="none"/>
              </w:rPr>
              <w:t>污染物等标排放量</w:t>
            </w:r>
            <w:r>
              <w:rPr>
                <w:rFonts w:hint="eastAsia"/>
                <w:b/>
                <w:color w:val="auto"/>
                <w:highlight w:val="none"/>
              </w:rPr>
              <w:t>表</w:t>
            </w:r>
          </w:p>
          <w:tbl>
            <w:tblPr>
              <w:tblStyle w:val="35"/>
              <w:tblW w:w="5000" w:type="pct"/>
              <w:jc w:val="center"/>
              <w:tblBorders>
                <w:top w:val="single" w:color="auto" w:sz="6" w:space="0"/>
                <w:left w:val="none" w:color="auto" w:sz="0" w:space="0"/>
                <w:bottom w:val="single" w:color="auto" w:sz="6"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45"/>
              <w:gridCol w:w="1034"/>
              <w:gridCol w:w="2078"/>
              <w:gridCol w:w="1319"/>
              <w:gridCol w:w="2153"/>
              <w:gridCol w:w="2017"/>
            </w:tblGrid>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447" w:type="pct"/>
                  <w:vAlign w:val="center"/>
                </w:tcPr>
                <w:p>
                  <w:pPr>
                    <w:adjustRightInd w:val="0"/>
                    <w:snapToGrid w:val="0"/>
                    <w:jc w:val="center"/>
                    <w:rPr>
                      <w:b/>
                      <w:bCs/>
                      <w:color w:val="auto"/>
                      <w:szCs w:val="21"/>
                      <w:highlight w:val="none"/>
                      <w:lang w:val="zh-CN" w:bidi="zh-CN"/>
                    </w:rPr>
                  </w:pPr>
                  <w:r>
                    <w:rPr>
                      <w:rFonts w:hint="eastAsia"/>
                      <w:b/>
                      <w:bCs/>
                      <w:color w:val="auto"/>
                      <w:szCs w:val="21"/>
                      <w:highlight w:val="none"/>
                      <w:lang w:val="zh-CN" w:bidi="zh-CN"/>
                    </w:rPr>
                    <w:t>面</w:t>
                  </w:r>
                  <w:r>
                    <w:rPr>
                      <w:b/>
                      <w:bCs/>
                      <w:color w:val="auto"/>
                      <w:szCs w:val="21"/>
                      <w:highlight w:val="none"/>
                      <w:lang w:val="zh-CN" w:bidi="zh-CN"/>
                    </w:rPr>
                    <w:t>源所在</w:t>
                  </w:r>
                </w:p>
              </w:tc>
              <w:tc>
                <w:tcPr>
                  <w:tcW w:w="547" w:type="pct"/>
                  <w:vAlign w:val="center"/>
                </w:tcPr>
                <w:p>
                  <w:pPr>
                    <w:adjustRightInd w:val="0"/>
                    <w:snapToGrid w:val="0"/>
                    <w:jc w:val="center"/>
                    <w:rPr>
                      <w:b/>
                      <w:bCs/>
                      <w:color w:val="auto"/>
                      <w:szCs w:val="21"/>
                      <w:highlight w:val="none"/>
                      <w:lang w:val="zh-CN" w:bidi="zh-CN"/>
                    </w:rPr>
                  </w:pPr>
                  <w:r>
                    <w:rPr>
                      <w:b/>
                      <w:bCs/>
                      <w:color w:val="auto"/>
                      <w:szCs w:val="21"/>
                      <w:highlight w:val="none"/>
                      <w:lang w:bidi="zh-CN"/>
                    </w:rPr>
                    <w:t>污染物</w:t>
                  </w:r>
                </w:p>
              </w:tc>
              <w:tc>
                <w:tcPr>
                  <w:tcW w:w="1099" w:type="pct"/>
                  <w:vAlign w:val="center"/>
                </w:tcPr>
                <w:p>
                  <w:pPr>
                    <w:adjustRightInd w:val="0"/>
                    <w:snapToGrid w:val="0"/>
                    <w:jc w:val="center"/>
                    <w:rPr>
                      <w:b/>
                      <w:bCs/>
                      <w:color w:val="auto"/>
                      <w:szCs w:val="21"/>
                      <w:highlight w:val="none"/>
                      <w:lang w:val="zh-CN" w:bidi="zh-CN"/>
                    </w:rPr>
                  </w:pPr>
                  <w:r>
                    <w:rPr>
                      <w:b/>
                      <w:bCs/>
                      <w:color w:val="auto"/>
                      <w:szCs w:val="21"/>
                      <w:highlight w:val="none"/>
                      <w:lang w:bidi="zh-CN"/>
                    </w:rPr>
                    <w:t>无组织排放量</w:t>
                  </w:r>
                  <w:r>
                    <w:rPr>
                      <w:b/>
                      <w:bCs/>
                      <w:color w:val="auto"/>
                      <w:szCs w:val="21"/>
                      <w:highlight w:val="none"/>
                      <w:lang w:val="zh-CN" w:bidi="zh-CN"/>
                    </w:rPr>
                    <w:t>Qc（kg/h）</w:t>
                  </w:r>
                </w:p>
              </w:tc>
              <w:tc>
                <w:tcPr>
                  <w:tcW w:w="698" w:type="pct"/>
                  <w:vAlign w:val="center"/>
                </w:tcPr>
                <w:p>
                  <w:pPr>
                    <w:adjustRightInd w:val="0"/>
                    <w:snapToGrid w:val="0"/>
                    <w:jc w:val="center"/>
                    <w:rPr>
                      <w:b/>
                      <w:bCs/>
                      <w:color w:val="auto"/>
                      <w:szCs w:val="21"/>
                      <w:highlight w:val="none"/>
                      <w:lang w:val="zh-CN" w:bidi="zh-CN"/>
                    </w:rPr>
                  </w:pPr>
                  <w:r>
                    <w:rPr>
                      <w:b/>
                      <w:bCs/>
                      <w:color w:val="auto"/>
                      <w:szCs w:val="21"/>
                      <w:highlight w:val="none"/>
                      <w:lang w:bidi="zh-CN"/>
                    </w:rPr>
                    <w:t>标准限值</w:t>
                  </w:r>
                  <w:r>
                    <w:rPr>
                      <w:b/>
                      <w:bCs/>
                      <w:color w:val="auto"/>
                      <w:szCs w:val="21"/>
                      <w:highlight w:val="none"/>
                      <w:lang w:val="zh-CN" w:bidi="zh-CN"/>
                    </w:rPr>
                    <w:t>C</w:t>
                  </w:r>
                  <w:r>
                    <w:rPr>
                      <w:b/>
                      <w:bCs/>
                      <w:color w:val="auto"/>
                      <w:szCs w:val="21"/>
                      <w:highlight w:val="none"/>
                      <w:vertAlign w:val="subscript"/>
                      <w:lang w:val="zh-CN" w:bidi="zh-CN"/>
                    </w:rPr>
                    <w:t>m</w:t>
                  </w:r>
                </w:p>
                <w:p>
                  <w:pPr>
                    <w:adjustRightInd w:val="0"/>
                    <w:snapToGrid w:val="0"/>
                    <w:jc w:val="center"/>
                    <w:rPr>
                      <w:b/>
                      <w:bCs/>
                      <w:color w:val="auto"/>
                      <w:szCs w:val="21"/>
                      <w:highlight w:val="none"/>
                      <w:lang w:bidi="zh-CN"/>
                    </w:rPr>
                  </w:pPr>
                  <w:r>
                    <w:rPr>
                      <w:b/>
                      <w:bCs/>
                      <w:color w:val="auto"/>
                      <w:szCs w:val="21"/>
                      <w:highlight w:val="none"/>
                      <w:lang w:val="zh-CN" w:bidi="zh-CN"/>
                    </w:rPr>
                    <w:t>（mg/m³）</w:t>
                  </w:r>
                </w:p>
              </w:tc>
              <w:tc>
                <w:tcPr>
                  <w:tcW w:w="1139" w:type="pct"/>
                  <w:vAlign w:val="center"/>
                </w:tcPr>
                <w:p>
                  <w:pPr>
                    <w:adjustRightInd w:val="0"/>
                    <w:snapToGrid w:val="0"/>
                    <w:jc w:val="center"/>
                    <w:rPr>
                      <w:b/>
                      <w:bCs/>
                      <w:color w:val="auto"/>
                      <w:szCs w:val="21"/>
                      <w:highlight w:val="none"/>
                      <w:lang w:val="zh-CN" w:bidi="zh-CN"/>
                    </w:rPr>
                  </w:pPr>
                  <w:r>
                    <w:rPr>
                      <w:b/>
                      <w:bCs/>
                      <w:color w:val="auto"/>
                      <w:szCs w:val="21"/>
                      <w:highlight w:val="none"/>
                      <w:lang w:bidi="zh-CN"/>
                    </w:rPr>
                    <w:t>等标排放量</w:t>
                  </w:r>
                  <w:r>
                    <w:rPr>
                      <w:b/>
                      <w:bCs/>
                      <w:color w:val="auto"/>
                      <w:szCs w:val="21"/>
                      <w:highlight w:val="none"/>
                      <w:lang w:val="zh-CN" w:bidi="zh-CN"/>
                    </w:rPr>
                    <w:t>Qc</w:t>
                  </w:r>
                  <w:r>
                    <w:rPr>
                      <w:b/>
                      <w:bCs/>
                      <w:color w:val="auto"/>
                      <w:szCs w:val="21"/>
                      <w:highlight w:val="none"/>
                      <w:lang w:bidi="zh-CN"/>
                    </w:rPr>
                    <w:t>/</w:t>
                  </w:r>
                  <w:r>
                    <w:rPr>
                      <w:b/>
                      <w:bCs/>
                      <w:color w:val="auto"/>
                      <w:szCs w:val="21"/>
                      <w:highlight w:val="none"/>
                      <w:lang w:val="zh-CN" w:bidi="zh-CN"/>
                    </w:rPr>
                    <w:t>C</w:t>
                  </w:r>
                  <w:r>
                    <w:rPr>
                      <w:b/>
                      <w:bCs/>
                      <w:color w:val="auto"/>
                      <w:szCs w:val="21"/>
                      <w:highlight w:val="none"/>
                      <w:vertAlign w:val="subscript"/>
                      <w:lang w:val="zh-CN" w:bidi="zh-CN"/>
                    </w:rPr>
                    <w:t>m</w:t>
                  </w:r>
                  <w:r>
                    <w:rPr>
                      <w:b/>
                      <w:bCs/>
                      <w:color w:val="auto"/>
                      <w:szCs w:val="21"/>
                      <w:highlight w:val="none"/>
                      <w:lang w:val="zh-CN" w:bidi="zh-CN"/>
                    </w:rPr>
                    <w:t>（m³/ h）</w:t>
                  </w:r>
                </w:p>
              </w:tc>
              <w:tc>
                <w:tcPr>
                  <w:tcW w:w="1067" w:type="pct"/>
                  <w:vAlign w:val="center"/>
                </w:tcPr>
                <w:p>
                  <w:pPr>
                    <w:adjustRightInd w:val="0"/>
                    <w:snapToGrid w:val="0"/>
                    <w:jc w:val="center"/>
                    <w:rPr>
                      <w:b/>
                      <w:bCs/>
                      <w:color w:val="auto"/>
                      <w:szCs w:val="21"/>
                      <w:highlight w:val="none"/>
                      <w:lang w:bidi="zh-CN"/>
                    </w:rPr>
                  </w:pPr>
                  <w:r>
                    <w:rPr>
                      <w:b/>
                      <w:bCs/>
                      <w:color w:val="auto"/>
                      <w:szCs w:val="21"/>
                      <w:highlight w:val="none"/>
                      <w:lang w:bidi="zh-CN"/>
                    </w:rPr>
                    <w:t>项目主要特征大气有害物质</w:t>
                  </w: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447" w:type="pct"/>
                  <w:vMerge w:val="restart"/>
                  <w:vAlign w:val="center"/>
                </w:tcPr>
                <w:p>
                  <w:pPr>
                    <w:adjustRightInd w:val="0"/>
                    <w:snapToGrid w:val="0"/>
                    <w:jc w:val="center"/>
                    <w:rPr>
                      <w:color w:val="auto"/>
                      <w:szCs w:val="21"/>
                      <w:highlight w:val="none"/>
                      <w:lang w:bidi="zh-CN"/>
                    </w:rPr>
                  </w:pPr>
                  <w:r>
                    <w:rPr>
                      <w:rFonts w:hint="eastAsia"/>
                      <w:color w:val="auto"/>
                      <w:szCs w:val="21"/>
                      <w:highlight w:val="none"/>
                      <w:lang w:bidi="zh-CN"/>
                    </w:rPr>
                    <w:t>生产车间</w:t>
                  </w:r>
                </w:p>
              </w:tc>
              <w:tc>
                <w:tcPr>
                  <w:tcW w:w="547" w:type="pct"/>
                  <w:vAlign w:val="center"/>
                </w:tcPr>
                <w:p>
                  <w:pPr>
                    <w:adjustRightInd w:val="0"/>
                    <w:snapToGrid w:val="0"/>
                    <w:jc w:val="center"/>
                    <w:rPr>
                      <w:color w:val="auto"/>
                      <w:szCs w:val="21"/>
                      <w:highlight w:val="none"/>
                      <w:lang w:bidi="zh-CN"/>
                    </w:rPr>
                  </w:pPr>
                  <w:r>
                    <w:rPr>
                      <w:color w:val="auto"/>
                      <w:szCs w:val="21"/>
                      <w:highlight w:val="none"/>
                      <w:lang w:bidi="zh-CN"/>
                    </w:rPr>
                    <w:t>TSP</w:t>
                  </w:r>
                </w:p>
              </w:tc>
              <w:tc>
                <w:tcPr>
                  <w:tcW w:w="1099" w:type="pct"/>
                  <w:vAlign w:val="center"/>
                </w:tcPr>
                <w:p>
                  <w:pPr>
                    <w:adjustRightInd w:val="0"/>
                    <w:snapToGrid w:val="0"/>
                    <w:jc w:val="center"/>
                    <w:rPr>
                      <w:color w:val="auto"/>
                      <w:szCs w:val="21"/>
                      <w:highlight w:val="none"/>
                      <w:lang w:bidi="zh-CN"/>
                    </w:rPr>
                  </w:pPr>
                  <w:r>
                    <w:rPr>
                      <w:rFonts w:hint="eastAsia"/>
                      <w:color w:val="auto"/>
                      <w:szCs w:val="21"/>
                      <w:highlight w:val="none"/>
                      <w:lang w:bidi="zh-CN"/>
                    </w:rPr>
                    <w:t>0.0269</w:t>
                  </w:r>
                </w:p>
              </w:tc>
              <w:tc>
                <w:tcPr>
                  <w:tcW w:w="698" w:type="pct"/>
                  <w:vAlign w:val="center"/>
                </w:tcPr>
                <w:p>
                  <w:pPr>
                    <w:adjustRightInd w:val="0"/>
                    <w:snapToGrid w:val="0"/>
                    <w:jc w:val="center"/>
                    <w:rPr>
                      <w:color w:val="auto"/>
                      <w:szCs w:val="21"/>
                      <w:highlight w:val="none"/>
                      <w:lang w:bidi="zh-CN"/>
                    </w:rPr>
                  </w:pPr>
                  <w:r>
                    <w:rPr>
                      <w:rFonts w:hint="eastAsia"/>
                      <w:color w:val="auto"/>
                      <w:szCs w:val="21"/>
                      <w:highlight w:val="none"/>
                      <w:lang w:bidi="zh-CN"/>
                    </w:rPr>
                    <w:t>0.9</w:t>
                  </w:r>
                </w:p>
              </w:tc>
              <w:tc>
                <w:tcPr>
                  <w:tcW w:w="1139" w:type="pct"/>
                  <w:vAlign w:val="center"/>
                </w:tcPr>
                <w:p>
                  <w:pPr>
                    <w:adjustRightInd w:val="0"/>
                    <w:snapToGrid w:val="0"/>
                    <w:jc w:val="center"/>
                    <w:rPr>
                      <w:color w:val="auto"/>
                      <w:szCs w:val="21"/>
                      <w:highlight w:val="none"/>
                      <w:lang w:bidi="zh-CN"/>
                    </w:rPr>
                  </w:pPr>
                  <w:r>
                    <w:rPr>
                      <w:rFonts w:hint="eastAsia"/>
                      <w:color w:val="auto"/>
                      <w:szCs w:val="21"/>
                      <w:highlight w:val="none"/>
                      <w:lang w:bidi="zh-CN"/>
                    </w:rPr>
                    <w:t>0.02989</w:t>
                  </w:r>
                </w:p>
              </w:tc>
              <w:tc>
                <w:tcPr>
                  <w:tcW w:w="1067" w:type="pct"/>
                  <w:vAlign w:val="center"/>
                </w:tcPr>
                <w:p>
                  <w:pPr>
                    <w:adjustRightInd w:val="0"/>
                    <w:snapToGrid w:val="0"/>
                    <w:jc w:val="center"/>
                    <w:rPr>
                      <w:color w:val="auto"/>
                      <w:szCs w:val="21"/>
                      <w:highlight w:val="none"/>
                      <w:lang w:bidi="zh-CN"/>
                    </w:rPr>
                  </w:pPr>
                  <w:r>
                    <w:rPr>
                      <w:color w:val="auto"/>
                      <w:szCs w:val="21"/>
                      <w:highlight w:val="none"/>
                      <w:lang w:bidi="zh-CN"/>
                    </w:rPr>
                    <w:t>TSP</w:t>
                  </w: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 w:hRule="atLeast"/>
                <w:jc w:val="center"/>
              </w:trPr>
              <w:tc>
                <w:tcPr>
                  <w:tcW w:w="447" w:type="pct"/>
                  <w:vMerge w:val="continue"/>
                  <w:vAlign w:val="center"/>
                </w:tcPr>
                <w:p>
                  <w:pPr>
                    <w:adjustRightInd w:val="0"/>
                    <w:snapToGrid w:val="0"/>
                    <w:jc w:val="center"/>
                    <w:rPr>
                      <w:color w:val="auto"/>
                      <w:szCs w:val="21"/>
                      <w:highlight w:val="none"/>
                      <w:lang w:bidi="zh-CN"/>
                    </w:rPr>
                  </w:pPr>
                </w:p>
              </w:tc>
              <w:tc>
                <w:tcPr>
                  <w:tcW w:w="547" w:type="pct"/>
                  <w:vAlign w:val="center"/>
                </w:tcPr>
                <w:p>
                  <w:pPr>
                    <w:adjustRightInd w:val="0"/>
                    <w:snapToGrid w:val="0"/>
                    <w:jc w:val="center"/>
                    <w:rPr>
                      <w:color w:val="auto"/>
                      <w:szCs w:val="21"/>
                      <w:highlight w:val="none"/>
                      <w:lang w:bidi="zh-CN"/>
                    </w:rPr>
                  </w:pPr>
                  <w:r>
                    <w:rPr>
                      <w:rFonts w:hint="eastAsia"/>
                      <w:color w:val="auto"/>
                      <w:szCs w:val="21"/>
                      <w:highlight w:val="none"/>
                      <w:lang w:bidi="zh-CN"/>
                    </w:rPr>
                    <w:t>非甲烷</w:t>
                  </w:r>
                  <w:r>
                    <w:rPr>
                      <w:color w:val="auto"/>
                      <w:szCs w:val="21"/>
                      <w:highlight w:val="none"/>
                      <w:lang w:bidi="zh-CN"/>
                    </w:rPr>
                    <w:t>总烃</w:t>
                  </w:r>
                </w:p>
              </w:tc>
              <w:tc>
                <w:tcPr>
                  <w:tcW w:w="1099" w:type="pct"/>
                  <w:vAlign w:val="center"/>
                </w:tcPr>
                <w:p>
                  <w:pPr>
                    <w:adjustRightInd w:val="0"/>
                    <w:snapToGrid w:val="0"/>
                    <w:jc w:val="center"/>
                    <w:rPr>
                      <w:color w:val="auto"/>
                      <w:szCs w:val="21"/>
                      <w:highlight w:val="none"/>
                      <w:lang w:bidi="zh-CN"/>
                    </w:rPr>
                  </w:pPr>
                  <w:r>
                    <w:rPr>
                      <w:rFonts w:hint="eastAsia"/>
                      <w:color w:val="auto"/>
                      <w:szCs w:val="21"/>
                      <w:highlight w:val="none"/>
                      <w:lang w:bidi="zh-CN"/>
                    </w:rPr>
                    <w:t>0.00788</w:t>
                  </w:r>
                </w:p>
              </w:tc>
              <w:tc>
                <w:tcPr>
                  <w:tcW w:w="698" w:type="pct"/>
                  <w:vAlign w:val="center"/>
                </w:tcPr>
                <w:p>
                  <w:pPr>
                    <w:adjustRightInd w:val="0"/>
                    <w:snapToGrid w:val="0"/>
                    <w:jc w:val="center"/>
                    <w:rPr>
                      <w:color w:val="auto"/>
                      <w:szCs w:val="21"/>
                      <w:highlight w:val="none"/>
                      <w:lang w:bidi="zh-CN"/>
                    </w:rPr>
                  </w:pPr>
                  <w:r>
                    <w:rPr>
                      <w:color w:val="auto"/>
                      <w:szCs w:val="21"/>
                      <w:highlight w:val="none"/>
                      <w:lang w:bidi="zh-CN"/>
                    </w:rPr>
                    <w:t>2.0</w:t>
                  </w:r>
                </w:p>
              </w:tc>
              <w:tc>
                <w:tcPr>
                  <w:tcW w:w="1139" w:type="pct"/>
                  <w:vAlign w:val="center"/>
                </w:tcPr>
                <w:p>
                  <w:pPr>
                    <w:adjustRightInd w:val="0"/>
                    <w:snapToGrid w:val="0"/>
                    <w:jc w:val="center"/>
                    <w:rPr>
                      <w:color w:val="auto"/>
                      <w:szCs w:val="21"/>
                      <w:highlight w:val="none"/>
                      <w:lang w:bidi="zh-CN"/>
                    </w:rPr>
                  </w:pPr>
                  <w:r>
                    <w:rPr>
                      <w:rFonts w:hint="eastAsia"/>
                      <w:color w:val="auto"/>
                      <w:szCs w:val="21"/>
                      <w:highlight w:val="none"/>
                      <w:lang w:bidi="zh-CN"/>
                    </w:rPr>
                    <w:t>0.00394</w:t>
                  </w:r>
                </w:p>
              </w:tc>
              <w:tc>
                <w:tcPr>
                  <w:tcW w:w="1067" w:type="pct"/>
                  <w:vAlign w:val="center"/>
                </w:tcPr>
                <w:p>
                  <w:pPr>
                    <w:adjustRightInd w:val="0"/>
                    <w:snapToGrid w:val="0"/>
                    <w:jc w:val="center"/>
                    <w:rPr>
                      <w:color w:val="auto"/>
                      <w:szCs w:val="21"/>
                      <w:highlight w:val="none"/>
                      <w:lang w:bidi="zh-CN"/>
                    </w:rPr>
                  </w:pPr>
                  <w:r>
                    <w:rPr>
                      <w:rFonts w:hint="eastAsia"/>
                      <w:color w:val="auto"/>
                      <w:szCs w:val="21"/>
                      <w:highlight w:val="none"/>
                      <w:lang w:bidi="zh-CN"/>
                    </w:rPr>
                    <w:t>非甲烷</w:t>
                  </w:r>
                  <w:r>
                    <w:rPr>
                      <w:color w:val="auto"/>
                      <w:szCs w:val="21"/>
                      <w:highlight w:val="none"/>
                      <w:lang w:bidi="zh-CN"/>
                    </w:rPr>
                    <w:t>总烃</w:t>
                  </w:r>
                </w:p>
              </w:tc>
            </w:tr>
          </w:tbl>
          <w:p>
            <w:pPr>
              <w:adjustRightInd w:val="0"/>
              <w:snapToGrid w:val="0"/>
              <w:spacing w:before="120" w:beforeLines="50" w:line="360" w:lineRule="auto"/>
              <w:ind w:firstLine="420" w:firstLineChars="200"/>
              <w:textAlignment w:val="baseline"/>
              <w:rPr>
                <w:color w:val="auto"/>
                <w:highlight w:val="none"/>
              </w:rPr>
            </w:pPr>
            <w:r>
              <w:rPr>
                <w:rFonts w:hint="eastAsia"/>
                <w:color w:val="auto"/>
                <w:highlight w:val="none"/>
              </w:rPr>
              <w:t>项目厂</w:t>
            </w:r>
            <w:r>
              <w:rPr>
                <w:color w:val="auto"/>
                <w:highlight w:val="none"/>
              </w:rPr>
              <w:t>房</w:t>
            </w:r>
            <w:r>
              <w:rPr>
                <w:rFonts w:hint="eastAsia"/>
                <w:color w:val="auto"/>
                <w:highlight w:val="none"/>
              </w:rPr>
              <w:t>无组织排放存在两种污染物（TVOC、TSP），基于单个污染物的等标排放量计算结果，项目有毒有害污染物的等标排放量相差86.8</w:t>
            </w:r>
            <w:r>
              <w:rPr>
                <w:color w:val="auto"/>
                <w:highlight w:val="none"/>
              </w:rPr>
              <w:t>%，</w:t>
            </w:r>
            <w:r>
              <w:rPr>
                <w:rFonts w:hint="eastAsia"/>
                <w:color w:val="auto"/>
                <w:highlight w:val="none"/>
              </w:rPr>
              <w:t>大于10%，优先选择等标排放量最大的污染物作为企业无组织排放的主要特征大气有害物质。经计算，项目厂房主要特征大气有害物质为T</w:t>
            </w:r>
            <w:r>
              <w:rPr>
                <w:color w:val="auto"/>
                <w:highlight w:val="none"/>
              </w:rPr>
              <w:t>SP</w:t>
            </w:r>
            <w:r>
              <w:rPr>
                <w:rFonts w:hint="eastAsia"/>
                <w:color w:val="auto"/>
                <w:highlight w:val="none"/>
              </w:rPr>
              <w:t>；</w:t>
            </w:r>
          </w:p>
          <w:p>
            <w:pPr>
              <w:pStyle w:val="5"/>
              <w:widowControl w:val="0"/>
              <w:adjustRightInd w:val="0"/>
              <w:spacing w:after="0" w:line="360" w:lineRule="auto"/>
              <w:ind w:left="420" w:leftChars="200"/>
              <w:rPr>
                <w:b/>
                <w:bCs/>
                <w:color w:val="auto"/>
                <w:sz w:val="21"/>
                <w:szCs w:val="21"/>
                <w:highlight w:val="none"/>
              </w:rPr>
            </w:pPr>
            <w:r>
              <w:rPr>
                <w:rFonts w:hint="eastAsia"/>
                <w:b/>
                <w:bCs/>
                <w:color w:val="auto"/>
                <w:sz w:val="21"/>
                <w:szCs w:val="21"/>
                <w:highlight w:val="none"/>
              </w:rPr>
              <w:t>（2）</w:t>
            </w:r>
            <w:r>
              <w:rPr>
                <w:b/>
                <w:bCs/>
                <w:color w:val="auto"/>
                <w:sz w:val="21"/>
                <w:szCs w:val="21"/>
                <w:highlight w:val="none"/>
              </w:rPr>
              <w:t>大气环境防护距离</w:t>
            </w:r>
          </w:p>
          <w:p>
            <w:pPr>
              <w:adjustRightInd w:val="0"/>
              <w:snapToGrid w:val="0"/>
              <w:spacing w:line="360" w:lineRule="auto"/>
              <w:ind w:firstLine="436" w:firstLineChars="200"/>
              <w:rPr>
                <w:color w:val="auto"/>
                <w:spacing w:val="4"/>
                <w:szCs w:val="21"/>
                <w:highlight w:val="none"/>
              </w:rPr>
            </w:pPr>
            <w:r>
              <w:rPr>
                <w:color w:val="auto"/>
                <w:spacing w:val="4"/>
                <w:szCs w:val="21"/>
                <w:highlight w:val="none"/>
              </w:rPr>
              <w:t>卫生防护距离是指产生有害因素的部门（车间或工段）的边界至居民区边界的最小距离。根据环保法规，无组织排放源所在单元与居民区之间应设卫生防护距离。根据《制定地方大气污染排放标准的技术办法》（</w:t>
            </w:r>
            <w:r>
              <w:rPr>
                <w:color w:val="auto"/>
                <w:szCs w:val="21"/>
                <w:highlight w:val="none"/>
              </w:rPr>
              <w:t>GB/T39499—2020</w:t>
            </w:r>
            <w:r>
              <w:rPr>
                <w:color w:val="auto"/>
                <w:spacing w:val="4"/>
                <w:szCs w:val="21"/>
                <w:highlight w:val="none"/>
              </w:rPr>
              <w:t>），企业卫生防护距离可按下式计算：</w:t>
            </w:r>
          </w:p>
          <w:p>
            <w:pPr>
              <w:adjustRightInd w:val="0"/>
              <w:snapToGrid w:val="0"/>
              <w:spacing w:line="360" w:lineRule="auto"/>
              <w:ind w:firstLine="480"/>
              <w:jc w:val="center"/>
              <w:rPr>
                <w:color w:val="auto"/>
                <w:spacing w:val="4"/>
                <w:szCs w:val="21"/>
                <w:highlight w:val="none"/>
              </w:rPr>
            </w:pPr>
            <w:r>
              <w:rPr>
                <w:color w:val="auto"/>
                <w:spacing w:val="4"/>
                <w:szCs w:val="21"/>
                <w:highlight w:val="none"/>
              </w:rPr>
              <w:object>
                <v:shape id="_x0000_i1026" o:spt="75" type="#_x0000_t75" style="height:41.45pt;width:168.2pt;" o:ole="t" filled="f" coordsize="21600,21600">
                  <v:path/>
                  <v:fill on="f" focussize="0,0"/>
                  <v:stroke/>
                  <v:imagedata r:id="rId16" o:title=""/>
                  <o:lock v:ext="edit" aspectratio="t"/>
                  <w10:wrap type="none"/>
                  <w10:anchorlock/>
                </v:shape>
                <o:OLEObject Type="Embed" ProgID="Equation.3" ShapeID="_x0000_i1026" DrawAspect="Content" ObjectID="_1468075726" r:id="rId15">
                  <o:LockedField>false</o:LockedField>
                </o:OLEObject>
              </w:object>
            </w:r>
          </w:p>
          <w:p>
            <w:pPr>
              <w:autoSpaceDE w:val="0"/>
              <w:autoSpaceDN w:val="0"/>
              <w:adjustRightInd w:val="0"/>
              <w:snapToGrid w:val="0"/>
              <w:spacing w:line="360" w:lineRule="auto"/>
              <w:ind w:firstLine="420" w:firstLineChars="200"/>
              <w:rPr>
                <w:color w:val="auto"/>
                <w:szCs w:val="21"/>
                <w:highlight w:val="none"/>
              </w:rPr>
            </w:pPr>
            <w:r>
              <w:rPr>
                <w:color w:val="auto"/>
                <w:szCs w:val="21"/>
                <w:highlight w:val="none"/>
              </w:rPr>
              <w:t>式中：</w:t>
            </w:r>
          </w:p>
          <w:p>
            <w:pPr>
              <w:autoSpaceDE w:val="0"/>
              <w:autoSpaceDN w:val="0"/>
              <w:adjustRightInd w:val="0"/>
              <w:snapToGrid w:val="0"/>
              <w:spacing w:line="360" w:lineRule="auto"/>
              <w:ind w:firstLine="420" w:firstLineChars="200"/>
              <w:rPr>
                <w:color w:val="auto"/>
                <w:szCs w:val="21"/>
                <w:highlight w:val="none"/>
              </w:rPr>
            </w:pPr>
            <w:r>
              <w:rPr>
                <w:color w:val="auto"/>
                <w:szCs w:val="21"/>
                <w:highlight w:val="none"/>
              </w:rPr>
              <w:t>Qc——</w:t>
            </w:r>
            <w:r>
              <w:rPr>
                <w:rFonts w:hint="eastAsia"/>
                <w:color w:val="auto"/>
                <w:szCs w:val="21"/>
                <w:highlight w:val="none"/>
              </w:rPr>
              <w:t>大气有害物质的</w:t>
            </w:r>
            <w:r>
              <w:rPr>
                <w:color w:val="auto"/>
                <w:szCs w:val="21"/>
                <w:highlight w:val="none"/>
              </w:rPr>
              <w:t>无组织排放量，</w:t>
            </w:r>
            <w:r>
              <w:rPr>
                <w:rFonts w:hint="eastAsia"/>
                <w:color w:val="auto"/>
                <w:szCs w:val="21"/>
                <w:highlight w:val="none"/>
              </w:rPr>
              <w:t>单位为千克每小时（</w:t>
            </w:r>
            <w:r>
              <w:rPr>
                <w:color w:val="auto"/>
                <w:szCs w:val="21"/>
                <w:highlight w:val="none"/>
              </w:rPr>
              <w:t>kg/h</w:t>
            </w:r>
            <w:r>
              <w:rPr>
                <w:rFonts w:hint="eastAsia"/>
                <w:color w:val="auto"/>
                <w:szCs w:val="21"/>
                <w:highlight w:val="none"/>
              </w:rPr>
              <w:t>）</w:t>
            </w:r>
            <w:r>
              <w:rPr>
                <w:color w:val="auto"/>
                <w:szCs w:val="21"/>
                <w:highlight w:val="none"/>
              </w:rPr>
              <w:t>；</w:t>
            </w:r>
          </w:p>
          <w:p>
            <w:pPr>
              <w:autoSpaceDE w:val="0"/>
              <w:autoSpaceDN w:val="0"/>
              <w:adjustRightInd w:val="0"/>
              <w:snapToGrid w:val="0"/>
              <w:spacing w:line="360" w:lineRule="auto"/>
              <w:ind w:firstLine="420" w:firstLineChars="200"/>
              <w:rPr>
                <w:color w:val="auto"/>
                <w:szCs w:val="21"/>
                <w:highlight w:val="none"/>
              </w:rPr>
            </w:pPr>
            <w:r>
              <w:rPr>
                <w:color w:val="auto"/>
                <w:szCs w:val="21"/>
                <w:highlight w:val="none"/>
              </w:rPr>
              <w:t>Cm——</w:t>
            </w:r>
            <w:r>
              <w:rPr>
                <w:rFonts w:hint="eastAsia"/>
                <w:color w:val="auto"/>
                <w:szCs w:val="21"/>
                <w:highlight w:val="none"/>
              </w:rPr>
              <w:t>大气有害物质</w:t>
            </w:r>
            <w:r>
              <w:rPr>
                <w:color w:val="auto"/>
                <w:szCs w:val="21"/>
                <w:highlight w:val="none"/>
              </w:rPr>
              <w:t>环境空气质量的标准限值，</w:t>
            </w:r>
            <w:r>
              <w:rPr>
                <w:rFonts w:hint="eastAsia"/>
                <w:color w:val="auto"/>
                <w:szCs w:val="21"/>
                <w:highlight w:val="none"/>
              </w:rPr>
              <w:t>单位为毫克每立方米（</w:t>
            </w:r>
            <w:r>
              <w:rPr>
                <w:color w:val="auto"/>
                <w:szCs w:val="21"/>
                <w:highlight w:val="none"/>
              </w:rPr>
              <w:t>mg/m</w:t>
            </w:r>
            <w:r>
              <w:rPr>
                <w:color w:val="auto"/>
                <w:szCs w:val="21"/>
                <w:highlight w:val="none"/>
                <w:vertAlign w:val="superscript"/>
              </w:rPr>
              <w:t>3</w:t>
            </w:r>
            <w:r>
              <w:rPr>
                <w:rFonts w:hint="eastAsia"/>
                <w:color w:val="auto"/>
                <w:szCs w:val="21"/>
                <w:highlight w:val="none"/>
              </w:rPr>
              <w:t>）</w:t>
            </w:r>
            <w:r>
              <w:rPr>
                <w:color w:val="auto"/>
                <w:szCs w:val="21"/>
                <w:highlight w:val="none"/>
              </w:rPr>
              <w:t>；</w:t>
            </w:r>
          </w:p>
          <w:p>
            <w:pPr>
              <w:autoSpaceDE w:val="0"/>
              <w:autoSpaceDN w:val="0"/>
              <w:adjustRightInd w:val="0"/>
              <w:snapToGrid w:val="0"/>
              <w:spacing w:line="360" w:lineRule="auto"/>
              <w:ind w:firstLine="420" w:firstLineChars="200"/>
              <w:rPr>
                <w:color w:val="auto"/>
                <w:szCs w:val="21"/>
                <w:highlight w:val="none"/>
              </w:rPr>
            </w:pPr>
            <w:r>
              <w:rPr>
                <w:color w:val="auto"/>
                <w:szCs w:val="21"/>
                <w:highlight w:val="none"/>
              </w:rPr>
              <w:t>L——</w:t>
            </w:r>
            <w:r>
              <w:rPr>
                <w:rFonts w:hint="eastAsia"/>
                <w:color w:val="auto"/>
                <w:szCs w:val="21"/>
                <w:highlight w:val="none"/>
              </w:rPr>
              <w:t>大气有害物质</w:t>
            </w:r>
            <w:r>
              <w:rPr>
                <w:color w:val="auto"/>
                <w:szCs w:val="21"/>
                <w:highlight w:val="none"/>
              </w:rPr>
              <w:t>生防护距离初值，</w:t>
            </w:r>
            <w:r>
              <w:rPr>
                <w:rFonts w:hint="eastAsia"/>
                <w:color w:val="auto"/>
                <w:szCs w:val="21"/>
                <w:highlight w:val="none"/>
              </w:rPr>
              <w:t>单位为米（</w:t>
            </w:r>
            <w:r>
              <w:rPr>
                <w:color w:val="auto"/>
                <w:szCs w:val="21"/>
                <w:highlight w:val="none"/>
              </w:rPr>
              <w:t>m</w:t>
            </w:r>
            <w:r>
              <w:rPr>
                <w:rFonts w:hint="eastAsia"/>
                <w:color w:val="auto"/>
                <w:szCs w:val="21"/>
                <w:highlight w:val="none"/>
              </w:rPr>
              <w:t>）</w:t>
            </w:r>
            <w:r>
              <w:rPr>
                <w:color w:val="auto"/>
                <w:szCs w:val="21"/>
                <w:highlight w:val="none"/>
              </w:rPr>
              <w:t>；</w:t>
            </w:r>
          </w:p>
          <w:p>
            <w:pPr>
              <w:autoSpaceDE w:val="0"/>
              <w:autoSpaceDN w:val="0"/>
              <w:adjustRightInd w:val="0"/>
              <w:snapToGrid w:val="0"/>
              <w:spacing w:line="360" w:lineRule="auto"/>
              <w:ind w:firstLine="420" w:firstLineChars="200"/>
              <w:rPr>
                <w:color w:val="auto"/>
                <w:szCs w:val="21"/>
                <w:highlight w:val="none"/>
              </w:rPr>
            </w:pPr>
            <w:r>
              <w:rPr>
                <w:color w:val="auto"/>
                <w:szCs w:val="21"/>
                <w:highlight w:val="none"/>
              </w:rPr>
              <w:t>r——</w:t>
            </w:r>
            <w:r>
              <w:rPr>
                <w:rFonts w:hint="eastAsia"/>
                <w:color w:val="auto"/>
                <w:szCs w:val="21"/>
                <w:highlight w:val="none"/>
              </w:rPr>
              <w:t>大气有害物质</w:t>
            </w:r>
            <w:r>
              <w:rPr>
                <w:color w:val="auto"/>
                <w:szCs w:val="21"/>
                <w:highlight w:val="none"/>
              </w:rPr>
              <w:t>无组织排放源所在生产单元的等效半径，</w:t>
            </w:r>
            <w:r>
              <w:rPr>
                <w:rFonts w:hint="eastAsia"/>
                <w:color w:val="auto"/>
                <w:szCs w:val="21"/>
                <w:highlight w:val="none"/>
              </w:rPr>
              <w:t>单位为米（</w:t>
            </w:r>
            <w:r>
              <w:rPr>
                <w:color w:val="auto"/>
                <w:szCs w:val="21"/>
                <w:highlight w:val="none"/>
              </w:rPr>
              <w:t>m</w:t>
            </w:r>
            <w:r>
              <w:rPr>
                <w:rFonts w:hint="eastAsia"/>
                <w:color w:val="auto"/>
                <w:szCs w:val="21"/>
                <w:highlight w:val="none"/>
              </w:rPr>
              <w:t>）</w:t>
            </w:r>
            <w:r>
              <w:rPr>
                <w:color w:val="auto"/>
                <w:szCs w:val="21"/>
                <w:highlight w:val="none"/>
              </w:rPr>
              <w:t>；</w:t>
            </w:r>
          </w:p>
          <w:p>
            <w:pPr>
              <w:numPr>
                <w:ilvl w:val="0"/>
                <w:numId w:val="6"/>
              </w:numPr>
              <w:adjustRightInd w:val="0"/>
              <w:snapToGrid w:val="0"/>
              <w:spacing w:line="360" w:lineRule="auto"/>
              <w:ind w:firstLine="420" w:firstLineChars="200"/>
              <w:rPr>
                <w:color w:val="auto"/>
                <w:szCs w:val="21"/>
                <w:highlight w:val="none"/>
              </w:rPr>
            </w:pPr>
            <w:r>
              <w:rPr>
                <w:color w:val="auto"/>
                <w:szCs w:val="21"/>
                <w:highlight w:val="none"/>
              </w:rPr>
              <w:t>B、C、D——卫生防护距离初值计算系数，无因次，根据工业企业所在地区近5年平均风速及大气污染源构成类别从下表选取。</w:t>
            </w:r>
          </w:p>
          <w:p>
            <w:pPr>
              <w:adjustRightInd w:val="0"/>
              <w:snapToGrid w:val="0"/>
              <w:spacing w:line="360" w:lineRule="auto"/>
              <w:jc w:val="center"/>
              <w:rPr>
                <w:b/>
                <w:color w:val="auto"/>
                <w:highlight w:val="none"/>
              </w:rPr>
            </w:pPr>
            <w:r>
              <w:rPr>
                <w:b/>
                <w:color w:val="auto"/>
                <w:highlight w:val="none"/>
              </w:rPr>
              <w:t>表4-</w:t>
            </w:r>
            <w:r>
              <w:rPr>
                <w:rFonts w:hint="eastAsia"/>
                <w:b/>
                <w:color w:val="auto"/>
                <w:highlight w:val="none"/>
                <w:lang w:val="en-US" w:eastAsia="zh-CN"/>
              </w:rPr>
              <w:t>8</w:t>
            </w:r>
            <w:r>
              <w:rPr>
                <w:b/>
                <w:color w:val="auto"/>
                <w:highlight w:val="none"/>
              </w:rPr>
              <w:t xml:space="preserve"> 卫生防护距离初值计算系数</w:t>
            </w:r>
          </w:p>
          <w:tbl>
            <w:tblPr>
              <w:tblStyle w:val="3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2"/>
              <w:gridCol w:w="1288"/>
              <w:gridCol w:w="811"/>
              <w:gridCol w:w="811"/>
              <w:gridCol w:w="822"/>
              <w:gridCol w:w="811"/>
              <w:gridCol w:w="811"/>
              <w:gridCol w:w="822"/>
              <w:gridCol w:w="811"/>
              <w:gridCol w:w="814"/>
              <w:gridCol w:w="8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restart"/>
                  <w:vAlign w:val="center"/>
                </w:tcPr>
                <w:p>
                  <w:pPr>
                    <w:jc w:val="center"/>
                    <w:rPr>
                      <w:b/>
                      <w:bCs/>
                      <w:color w:val="auto"/>
                      <w:highlight w:val="none"/>
                    </w:rPr>
                  </w:pPr>
                  <w:r>
                    <w:rPr>
                      <w:b/>
                      <w:bCs/>
                      <w:color w:val="auto"/>
                      <w:highlight w:val="none"/>
                    </w:rPr>
                    <w:t>卫生防护距离初值计算系数</w:t>
                  </w:r>
                </w:p>
              </w:tc>
              <w:tc>
                <w:tcPr>
                  <w:tcW w:w="683" w:type="pct"/>
                  <w:vMerge w:val="restart"/>
                  <w:vAlign w:val="center"/>
                </w:tcPr>
                <w:p>
                  <w:pPr>
                    <w:jc w:val="center"/>
                    <w:rPr>
                      <w:b/>
                      <w:bCs/>
                      <w:color w:val="auto"/>
                      <w:highlight w:val="none"/>
                    </w:rPr>
                  </w:pPr>
                  <w:r>
                    <w:rPr>
                      <w:b/>
                      <w:bCs/>
                      <w:color w:val="auto"/>
                      <w:highlight w:val="none"/>
                    </w:rPr>
                    <w:t>工业企业</w:t>
                  </w:r>
                </w:p>
                <w:p>
                  <w:pPr>
                    <w:jc w:val="center"/>
                    <w:rPr>
                      <w:b/>
                      <w:bCs/>
                      <w:color w:val="auto"/>
                      <w:highlight w:val="none"/>
                    </w:rPr>
                  </w:pPr>
                  <w:r>
                    <w:rPr>
                      <w:b/>
                      <w:bCs/>
                      <w:color w:val="auto"/>
                      <w:highlight w:val="none"/>
                    </w:rPr>
                    <w:t>所在地区</w:t>
                  </w:r>
                </w:p>
                <w:p>
                  <w:pPr>
                    <w:jc w:val="center"/>
                    <w:rPr>
                      <w:b/>
                      <w:bCs/>
                      <w:color w:val="auto"/>
                      <w:highlight w:val="none"/>
                    </w:rPr>
                  </w:pPr>
                  <w:r>
                    <w:rPr>
                      <w:b/>
                      <w:bCs/>
                      <w:color w:val="auto"/>
                      <w:highlight w:val="none"/>
                    </w:rPr>
                    <w:t>近5年平</w:t>
                  </w:r>
                </w:p>
                <w:p>
                  <w:pPr>
                    <w:jc w:val="center"/>
                    <w:rPr>
                      <w:b/>
                      <w:bCs/>
                      <w:color w:val="auto"/>
                      <w:highlight w:val="none"/>
                    </w:rPr>
                  </w:pPr>
                  <w:r>
                    <w:rPr>
                      <w:b/>
                      <w:bCs/>
                      <w:color w:val="auto"/>
                      <w:highlight w:val="none"/>
                    </w:rPr>
                    <w:t>均风速m/s</w:t>
                  </w:r>
                </w:p>
              </w:tc>
              <w:tc>
                <w:tcPr>
                  <w:tcW w:w="3891" w:type="pct"/>
                  <w:gridSpan w:val="9"/>
                  <w:vAlign w:val="center"/>
                </w:tcPr>
                <w:p>
                  <w:pPr>
                    <w:jc w:val="center"/>
                    <w:rPr>
                      <w:b/>
                      <w:bCs/>
                      <w:color w:val="auto"/>
                      <w:highlight w:val="none"/>
                    </w:rPr>
                  </w:pPr>
                  <w:r>
                    <w:rPr>
                      <w:b/>
                      <w:bCs/>
                      <w:color w:val="auto"/>
                      <w:highlight w:val="none"/>
                    </w:rPr>
                    <w:t>卫生防护距离L,m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jc w:val="center"/>
                    <w:rPr>
                      <w:color w:val="auto"/>
                      <w:highlight w:val="none"/>
                    </w:rPr>
                  </w:pPr>
                </w:p>
              </w:tc>
              <w:tc>
                <w:tcPr>
                  <w:tcW w:w="683" w:type="pct"/>
                  <w:vMerge w:val="continue"/>
                  <w:vAlign w:val="center"/>
                </w:tcPr>
                <w:p>
                  <w:pPr>
                    <w:jc w:val="center"/>
                    <w:rPr>
                      <w:color w:val="auto"/>
                      <w:highlight w:val="none"/>
                    </w:rPr>
                  </w:pPr>
                </w:p>
              </w:tc>
              <w:tc>
                <w:tcPr>
                  <w:tcW w:w="1296" w:type="pct"/>
                  <w:gridSpan w:val="3"/>
                  <w:vAlign w:val="center"/>
                </w:tcPr>
                <w:p>
                  <w:pPr>
                    <w:jc w:val="center"/>
                    <w:rPr>
                      <w:color w:val="auto"/>
                      <w:highlight w:val="none"/>
                    </w:rPr>
                  </w:pPr>
                  <w:r>
                    <w:rPr>
                      <w:color w:val="auto"/>
                      <w:highlight w:val="none"/>
                    </w:rPr>
                    <w:t>L≤1000</w:t>
                  </w:r>
                </w:p>
              </w:tc>
              <w:tc>
                <w:tcPr>
                  <w:tcW w:w="1296" w:type="pct"/>
                  <w:gridSpan w:val="3"/>
                  <w:vAlign w:val="center"/>
                </w:tcPr>
                <w:p>
                  <w:pPr>
                    <w:jc w:val="center"/>
                    <w:rPr>
                      <w:color w:val="auto"/>
                      <w:highlight w:val="none"/>
                    </w:rPr>
                  </w:pPr>
                  <w:r>
                    <w:rPr>
                      <w:color w:val="auto"/>
                      <w:highlight w:val="none"/>
                    </w:rPr>
                    <w:t>1000＜L≤2000</w:t>
                  </w:r>
                </w:p>
              </w:tc>
              <w:tc>
                <w:tcPr>
                  <w:tcW w:w="1297" w:type="pct"/>
                  <w:gridSpan w:val="3"/>
                  <w:vAlign w:val="center"/>
                </w:tcPr>
                <w:p>
                  <w:pPr>
                    <w:jc w:val="center"/>
                    <w:rPr>
                      <w:color w:val="auto"/>
                      <w:highlight w:val="none"/>
                    </w:rPr>
                  </w:pPr>
                  <w:r>
                    <w:rPr>
                      <w:color w:val="auto"/>
                      <w:highlight w:val="none"/>
                    </w:rPr>
                    <w:t>L＞2000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jc w:val="center"/>
                    <w:rPr>
                      <w:color w:val="auto"/>
                      <w:highlight w:val="none"/>
                    </w:rPr>
                  </w:pPr>
                </w:p>
              </w:tc>
              <w:tc>
                <w:tcPr>
                  <w:tcW w:w="683" w:type="pct"/>
                  <w:vMerge w:val="continue"/>
                  <w:vAlign w:val="center"/>
                </w:tcPr>
                <w:p>
                  <w:pPr>
                    <w:jc w:val="center"/>
                    <w:rPr>
                      <w:color w:val="auto"/>
                      <w:highlight w:val="none"/>
                    </w:rPr>
                  </w:pPr>
                </w:p>
              </w:tc>
              <w:tc>
                <w:tcPr>
                  <w:tcW w:w="3891" w:type="pct"/>
                  <w:gridSpan w:val="9"/>
                  <w:vAlign w:val="center"/>
                </w:tcPr>
                <w:p>
                  <w:pPr>
                    <w:jc w:val="center"/>
                    <w:rPr>
                      <w:color w:val="auto"/>
                      <w:highlight w:val="none"/>
                    </w:rPr>
                  </w:pPr>
                  <w:r>
                    <w:rPr>
                      <w:color w:val="auto"/>
                      <w:highlight w:val="none"/>
                    </w:rPr>
                    <w:t>工业企业大气污染源构成类型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7" w:hRule="atLeast"/>
                <w:jc w:val="center"/>
              </w:trPr>
              <w:tc>
                <w:tcPr>
                  <w:tcW w:w="425" w:type="pct"/>
                  <w:vMerge w:val="continue"/>
                  <w:vAlign w:val="center"/>
                </w:tcPr>
                <w:p>
                  <w:pPr>
                    <w:jc w:val="center"/>
                    <w:rPr>
                      <w:color w:val="auto"/>
                      <w:highlight w:val="none"/>
                    </w:rPr>
                  </w:pPr>
                </w:p>
              </w:tc>
              <w:tc>
                <w:tcPr>
                  <w:tcW w:w="683" w:type="pct"/>
                  <w:vMerge w:val="continue"/>
                  <w:vAlign w:val="center"/>
                </w:tcPr>
                <w:p>
                  <w:pPr>
                    <w:jc w:val="center"/>
                    <w:rPr>
                      <w:color w:val="auto"/>
                      <w:highlight w:val="none"/>
                    </w:rPr>
                  </w:pPr>
                </w:p>
              </w:tc>
              <w:tc>
                <w:tcPr>
                  <w:tcW w:w="430" w:type="pct"/>
                  <w:vAlign w:val="center"/>
                </w:tcPr>
                <w:p>
                  <w:pPr>
                    <w:jc w:val="center"/>
                    <w:rPr>
                      <w:color w:val="auto"/>
                      <w:highlight w:val="none"/>
                    </w:rPr>
                  </w:pPr>
                  <w:r>
                    <w:rPr>
                      <w:color w:val="auto"/>
                      <w:highlight w:val="none"/>
                    </w:rPr>
                    <w:t>Ⅰ</w:t>
                  </w:r>
                </w:p>
              </w:tc>
              <w:tc>
                <w:tcPr>
                  <w:tcW w:w="430" w:type="pct"/>
                  <w:vAlign w:val="center"/>
                </w:tcPr>
                <w:p>
                  <w:pPr>
                    <w:jc w:val="center"/>
                    <w:rPr>
                      <w:color w:val="auto"/>
                      <w:highlight w:val="none"/>
                    </w:rPr>
                  </w:pPr>
                  <w:r>
                    <w:rPr>
                      <w:color w:val="auto"/>
                      <w:highlight w:val="none"/>
                    </w:rPr>
                    <w:t>Ⅱ</w:t>
                  </w:r>
                </w:p>
              </w:tc>
              <w:tc>
                <w:tcPr>
                  <w:tcW w:w="435" w:type="pct"/>
                  <w:vAlign w:val="center"/>
                </w:tcPr>
                <w:p>
                  <w:pPr>
                    <w:jc w:val="center"/>
                    <w:rPr>
                      <w:color w:val="auto"/>
                      <w:highlight w:val="none"/>
                    </w:rPr>
                  </w:pPr>
                  <w:r>
                    <w:rPr>
                      <w:color w:val="auto"/>
                      <w:highlight w:val="none"/>
                    </w:rPr>
                    <w:t>Ⅲ</w:t>
                  </w:r>
                </w:p>
              </w:tc>
              <w:tc>
                <w:tcPr>
                  <w:tcW w:w="430" w:type="pct"/>
                  <w:vAlign w:val="center"/>
                </w:tcPr>
                <w:p>
                  <w:pPr>
                    <w:jc w:val="center"/>
                    <w:rPr>
                      <w:color w:val="auto"/>
                      <w:highlight w:val="none"/>
                    </w:rPr>
                  </w:pPr>
                  <w:r>
                    <w:rPr>
                      <w:color w:val="auto"/>
                      <w:highlight w:val="none"/>
                    </w:rPr>
                    <w:t>Ⅰ</w:t>
                  </w:r>
                </w:p>
              </w:tc>
              <w:tc>
                <w:tcPr>
                  <w:tcW w:w="430" w:type="pct"/>
                  <w:vAlign w:val="center"/>
                </w:tcPr>
                <w:p>
                  <w:pPr>
                    <w:jc w:val="center"/>
                    <w:rPr>
                      <w:color w:val="auto"/>
                      <w:highlight w:val="none"/>
                    </w:rPr>
                  </w:pPr>
                  <w:r>
                    <w:rPr>
                      <w:color w:val="auto"/>
                      <w:highlight w:val="none"/>
                    </w:rPr>
                    <w:t>Ⅱ</w:t>
                  </w:r>
                </w:p>
              </w:tc>
              <w:tc>
                <w:tcPr>
                  <w:tcW w:w="435" w:type="pct"/>
                  <w:vAlign w:val="center"/>
                </w:tcPr>
                <w:p>
                  <w:pPr>
                    <w:jc w:val="center"/>
                    <w:rPr>
                      <w:color w:val="auto"/>
                      <w:highlight w:val="none"/>
                    </w:rPr>
                  </w:pPr>
                  <w:r>
                    <w:rPr>
                      <w:color w:val="auto"/>
                      <w:highlight w:val="none"/>
                    </w:rPr>
                    <w:t>Ⅲ</w:t>
                  </w:r>
                </w:p>
              </w:tc>
              <w:tc>
                <w:tcPr>
                  <w:tcW w:w="430" w:type="pct"/>
                  <w:vAlign w:val="center"/>
                </w:tcPr>
                <w:p>
                  <w:pPr>
                    <w:jc w:val="center"/>
                    <w:rPr>
                      <w:color w:val="auto"/>
                      <w:highlight w:val="none"/>
                    </w:rPr>
                  </w:pPr>
                  <w:r>
                    <w:rPr>
                      <w:color w:val="auto"/>
                      <w:highlight w:val="none"/>
                    </w:rPr>
                    <w:t>Ⅰ</w:t>
                  </w:r>
                </w:p>
              </w:tc>
              <w:tc>
                <w:tcPr>
                  <w:tcW w:w="431" w:type="pct"/>
                  <w:vAlign w:val="center"/>
                </w:tcPr>
                <w:p>
                  <w:pPr>
                    <w:jc w:val="center"/>
                    <w:rPr>
                      <w:color w:val="auto"/>
                      <w:highlight w:val="none"/>
                    </w:rPr>
                  </w:pPr>
                  <w:r>
                    <w:rPr>
                      <w:color w:val="auto"/>
                      <w:highlight w:val="none"/>
                    </w:rPr>
                    <w:t>Ⅱ</w:t>
                  </w:r>
                </w:p>
              </w:tc>
              <w:tc>
                <w:tcPr>
                  <w:tcW w:w="435" w:type="pct"/>
                  <w:vAlign w:val="center"/>
                </w:tcPr>
                <w:p>
                  <w:pPr>
                    <w:jc w:val="center"/>
                    <w:rPr>
                      <w:color w:val="auto"/>
                      <w:highlight w:val="none"/>
                    </w:rPr>
                  </w:pPr>
                  <w:r>
                    <w:rPr>
                      <w:color w:val="auto"/>
                      <w:highlight w:val="none"/>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restart"/>
                  <w:vAlign w:val="center"/>
                </w:tcPr>
                <w:p>
                  <w:pPr>
                    <w:jc w:val="center"/>
                    <w:rPr>
                      <w:color w:val="auto"/>
                      <w:highlight w:val="none"/>
                    </w:rPr>
                  </w:pPr>
                  <w:r>
                    <w:rPr>
                      <w:color w:val="auto"/>
                      <w:highlight w:val="none"/>
                    </w:rPr>
                    <w:t>A</w:t>
                  </w:r>
                </w:p>
              </w:tc>
              <w:tc>
                <w:tcPr>
                  <w:tcW w:w="683" w:type="pct"/>
                  <w:vAlign w:val="center"/>
                </w:tcPr>
                <w:p>
                  <w:pPr>
                    <w:jc w:val="center"/>
                    <w:rPr>
                      <w:color w:val="auto"/>
                      <w:highlight w:val="none"/>
                    </w:rPr>
                  </w:pPr>
                  <w:r>
                    <w:rPr>
                      <w:color w:val="auto"/>
                      <w:highlight w:val="none"/>
                    </w:rPr>
                    <w:t>&lt;2</w:t>
                  </w:r>
                </w:p>
              </w:tc>
              <w:tc>
                <w:tcPr>
                  <w:tcW w:w="430" w:type="pct"/>
                  <w:vAlign w:val="center"/>
                </w:tcPr>
                <w:p>
                  <w:pPr>
                    <w:jc w:val="center"/>
                    <w:rPr>
                      <w:color w:val="auto"/>
                      <w:highlight w:val="none"/>
                    </w:rPr>
                  </w:pPr>
                  <w:r>
                    <w:rPr>
                      <w:color w:val="auto"/>
                      <w:highlight w:val="none"/>
                    </w:rPr>
                    <w:t>400</w:t>
                  </w:r>
                </w:p>
              </w:tc>
              <w:tc>
                <w:tcPr>
                  <w:tcW w:w="430" w:type="pct"/>
                  <w:vAlign w:val="center"/>
                </w:tcPr>
                <w:p>
                  <w:pPr>
                    <w:jc w:val="center"/>
                    <w:rPr>
                      <w:color w:val="auto"/>
                      <w:highlight w:val="none"/>
                    </w:rPr>
                  </w:pPr>
                  <w:r>
                    <w:rPr>
                      <w:color w:val="auto"/>
                      <w:highlight w:val="none"/>
                    </w:rPr>
                    <w:t>400</w:t>
                  </w:r>
                </w:p>
              </w:tc>
              <w:tc>
                <w:tcPr>
                  <w:tcW w:w="435" w:type="pct"/>
                  <w:vAlign w:val="center"/>
                </w:tcPr>
                <w:p>
                  <w:pPr>
                    <w:jc w:val="center"/>
                    <w:rPr>
                      <w:color w:val="auto"/>
                      <w:highlight w:val="none"/>
                    </w:rPr>
                  </w:pPr>
                  <w:r>
                    <w:rPr>
                      <w:color w:val="auto"/>
                      <w:highlight w:val="none"/>
                    </w:rPr>
                    <w:t>400</w:t>
                  </w:r>
                </w:p>
              </w:tc>
              <w:tc>
                <w:tcPr>
                  <w:tcW w:w="430" w:type="pct"/>
                  <w:vAlign w:val="center"/>
                </w:tcPr>
                <w:p>
                  <w:pPr>
                    <w:jc w:val="center"/>
                    <w:rPr>
                      <w:color w:val="auto"/>
                      <w:highlight w:val="none"/>
                    </w:rPr>
                  </w:pPr>
                  <w:r>
                    <w:rPr>
                      <w:color w:val="auto"/>
                      <w:highlight w:val="none"/>
                    </w:rPr>
                    <w:t>400</w:t>
                  </w:r>
                </w:p>
              </w:tc>
              <w:tc>
                <w:tcPr>
                  <w:tcW w:w="430" w:type="pct"/>
                  <w:vAlign w:val="center"/>
                </w:tcPr>
                <w:p>
                  <w:pPr>
                    <w:jc w:val="center"/>
                    <w:rPr>
                      <w:color w:val="auto"/>
                      <w:highlight w:val="none"/>
                    </w:rPr>
                  </w:pPr>
                  <w:r>
                    <w:rPr>
                      <w:color w:val="auto"/>
                      <w:highlight w:val="none"/>
                    </w:rPr>
                    <w:t>400</w:t>
                  </w:r>
                </w:p>
              </w:tc>
              <w:tc>
                <w:tcPr>
                  <w:tcW w:w="435" w:type="pct"/>
                  <w:vAlign w:val="center"/>
                </w:tcPr>
                <w:p>
                  <w:pPr>
                    <w:jc w:val="center"/>
                    <w:rPr>
                      <w:color w:val="auto"/>
                      <w:highlight w:val="none"/>
                    </w:rPr>
                  </w:pPr>
                  <w:r>
                    <w:rPr>
                      <w:color w:val="auto"/>
                      <w:highlight w:val="none"/>
                    </w:rPr>
                    <w:t>400</w:t>
                  </w:r>
                </w:p>
              </w:tc>
              <w:tc>
                <w:tcPr>
                  <w:tcW w:w="430" w:type="pct"/>
                  <w:vAlign w:val="center"/>
                </w:tcPr>
                <w:p>
                  <w:pPr>
                    <w:jc w:val="center"/>
                    <w:rPr>
                      <w:color w:val="auto"/>
                      <w:highlight w:val="none"/>
                    </w:rPr>
                  </w:pPr>
                  <w:r>
                    <w:rPr>
                      <w:color w:val="auto"/>
                      <w:highlight w:val="none"/>
                    </w:rPr>
                    <w:t>80</w:t>
                  </w:r>
                </w:p>
              </w:tc>
              <w:tc>
                <w:tcPr>
                  <w:tcW w:w="431" w:type="pct"/>
                  <w:vAlign w:val="center"/>
                </w:tcPr>
                <w:p>
                  <w:pPr>
                    <w:jc w:val="center"/>
                    <w:rPr>
                      <w:color w:val="auto"/>
                      <w:highlight w:val="none"/>
                    </w:rPr>
                  </w:pPr>
                  <w:r>
                    <w:rPr>
                      <w:color w:val="auto"/>
                      <w:highlight w:val="none"/>
                    </w:rPr>
                    <w:t>80</w:t>
                  </w:r>
                </w:p>
              </w:tc>
              <w:tc>
                <w:tcPr>
                  <w:tcW w:w="435" w:type="pct"/>
                  <w:vAlign w:val="center"/>
                </w:tcPr>
                <w:p>
                  <w:pPr>
                    <w:jc w:val="center"/>
                    <w:rPr>
                      <w:color w:val="auto"/>
                      <w:highlight w:val="none"/>
                    </w:rPr>
                  </w:pPr>
                  <w:r>
                    <w:rPr>
                      <w:color w:val="auto"/>
                      <w:highlight w:val="none"/>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jc w:val="center"/>
                    <w:rPr>
                      <w:color w:val="auto"/>
                      <w:highlight w:val="none"/>
                    </w:rPr>
                  </w:pPr>
                </w:p>
              </w:tc>
              <w:tc>
                <w:tcPr>
                  <w:tcW w:w="683" w:type="pct"/>
                  <w:vAlign w:val="center"/>
                </w:tcPr>
                <w:p>
                  <w:pPr>
                    <w:jc w:val="center"/>
                    <w:rPr>
                      <w:color w:val="auto"/>
                      <w:highlight w:val="none"/>
                    </w:rPr>
                  </w:pPr>
                  <w:r>
                    <w:rPr>
                      <w:color w:val="auto"/>
                      <w:highlight w:val="none"/>
                    </w:rPr>
                    <w:t>2～4</w:t>
                  </w:r>
                </w:p>
              </w:tc>
              <w:tc>
                <w:tcPr>
                  <w:tcW w:w="430" w:type="pct"/>
                  <w:vAlign w:val="center"/>
                </w:tcPr>
                <w:p>
                  <w:pPr>
                    <w:jc w:val="center"/>
                    <w:rPr>
                      <w:color w:val="auto"/>
                      <w:highlight w:val="none"/>
                    </w:rPr>
                  </w:pPr>
                  <w:r>
                    <w:rPr>
                      <w:color w:val="auto"/>
                      <w:highlight w:val="none"/>
                    </w:rPr>
                    <w:t>700</w:t>
                  </w:r>
                </w:p>
              </w:tc>
              <w:tc>
                <w:tcPr>
                  <w:tcW w:w="430" w:type="pct"/>
                  <w:vAlign w:val="center"/>
                </w:tcPr>
                <w:p>
                  <w:pPr>
                    <w:jc w:val="center"/>
                    <w:rPr>
                      <w:color w:val="auto"/>
                      <w:highlight w:val="none"/>
                    </w:rPr>
                  </w:pPr>
                  <w:r>
                    <w:rPr>
                      <w:color w:val="auto"/>
                      <w:highlight w:val="none"/>
                    </w:rPr>
                    <w:t>470</w:t>
                  </w:r>
                </w:p>
              </w:tc>
              <w:tc>
                <w:tcPr>
                  <w:tcW w:w="435" w:type="pct"/>
                  <w:vAlign w:val="center"/>
                </w:tcPr>
                <w:p>
                  <w:pPr>
                    <w:jc w:val="center"/>
                    <w:rPr>
                      <w:color w:val="auto"/>
                      <w:highlight w:val="none"/>
                    </w:rPr>
                  </w:pPr>
                  <w:r>
                    <w:rPr>
                      <w:color w:val="auto"/>
                      <w:highlight w:val="none"/>
                    </w:rPr>
                    <w:t>350</w:t>
                  </w:r>
                </w:p>
              </w:tc>
              <w:tc>
                <w:tcPr>
                  <w:tcW w:w="430" w:type="pct"/>
                  <w:vAlign w:val="center"/>
                </w:tcPr>
                <w:p>
                  <w:pPr>
                    <w:jc w:val="center"/>
                    <w:rPr>
                      <w:color w:val="auto"/>
                      <w:highlight w:val="none"/>
                    </w:rPr>
                  </w:pPr>
                  <w:r>
                    <w:rPr>
                      <w:color w:val="auto"/>
                      <w:highlight w:val="none"/>
                    </w:rPr>
                    <w:t>700</w:t>
                  </w:r>
                </w:p>
              </w:tc>
              <w:tc>
                <w:tcPr>
                  <w:tcW w:w="430" w:type="pct"/>
                  <w:vAlign w:val="center"/>
                </w:tcPr>
                <w:p>
                  <w:pPr>
                    <w:jc w:val="center"/>
                    <w:rPr>
                      <w:color w:val="auto"/>
                      <w:highlight w:val="none"/>
                    </w:rPr>
                  </w:pPr>
                  <w:r>
                    <w:rPr>
                      <w:color w:val="auto"/>
                      <w:highlight w:val="none"/>
                    </w:rPr>
                    <w:t>470</w:t>
                  </w:r>
                </w:p>
              </w:tc>
              <w:tc>
                <w:tcPr>
                  <w:tcW w:w="435" w:type="pct"/>
                  <w:vAlign w:val="center"/>
                </w:tcPr>
                <w:p>
                  <w:pPr>
                    <w:jc w:val="center"/>
                    <w:rPr>
                      <w:color w:val="auto"/>
                      <w:highlight w:val="none"/>
                    </w:rPr>
                  </w:pPr>
                  <w:r>
                    <w:rPr>
                      <w:color w:val="auto"/>
                      <w:highlight w:val="none"/>
                    </w:rPr>
                    <w:t>350</w:t>
                  </w:r>
                </w:p>
              </w:tc>
              <w:tc>
                <w:tcPr>
                  <w:tcW w:w="430" w:type="pct"/>
                  <w:vAlign w:val="center"/>
                </w:tcPr>
                <w:p>
                  <w:pPr>
                    <w:jc w:val="center"/>
                    <w:rPr>
                      <w:color w:val="auto"/>
                      <w:highlight w:val="none"/>
                    </w:rPr>
                  </w:pPr>
                  <w:r>
                    <w:rPr>
                      <w:color w:val="auto"/>
                      <w:highlight w:val="none"/>
                    </w:rPr>
                    <w:t>380</w:t>
                  </w:r>
                </w:p>
              </w:tc>
              <w:tc>
                <w:tcPr>
                  <w:tcW w:w="431" w:type="pct"/>
                  <w:vAlign w:val="center"/>
                </w:tcPr>
                <w:p>
                  <w:pPr>
                    <w:jc w:val="center"/>
                    <w:rPr>
                      <w:color w:val="auto"/>
                      <w:highlight w:val="none"/>
                    </w:rPr>
                  </w:pPr>
                  <w:r>
                    <w:rPr>
                      <w:color w:val="auto"/>
                      <w:highlight w:val="none"/>
                    </w:rPr>
                    <w:t>250</w:t>
                  </w:r>
                </w:p>
              </w:tc>
              <w:tc>
                <w:tcPr>
                  <w:tcW w:w="435" w:type="pct"/>
                  <w:vAlign w:val="center"/>
                </w:tcPr>
                <w:p>
                  <w:pPr>
                    <w:jc w:val="center"/>
                    <w:rPr>
                      <w:color w:val="auto"/>
                      <w:highlight w:val="none"/>
                    </w:rPr>
                  </w:pPr>
                  <w:r>
                    <w:rPr>
                      <w:color w:val="auto"/>
                      <w:highlight w:val="none"/>
                    </w:rPr>
                    <w:t>190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jc w:val="center"/>
                    <w:rPr>
                      <w:color w:val="auto"/>
                      <w:highlight w:val="none"/>
                    </w:rPr>
                  </w:pPr>
                </w:p>
              </w:tc>
              <w:tc>
                <w:tcPr>
                  <w:tcW w:w="683" w:type="pct"/>
                  <w:vAlign w:val="center"/>
                </w:tcPr>
                <w:p>
                  <w:pPr>
                    <w:jc w:val="center"/>
                    <w:rPr>
                      <w:color w:val="auto"/>
                      <w:highlight w:val="none"/>
                    </w:rPr>
                  </w:pPr>
                  <w:r>
                    <w:rPr>
                      <w:color w:val="auto"/>
                      <w:highlight w:val="none"/>
                    </w:rPr>
                    <w:t>&gt;4</w:t>
                  </w:r>
                </w:p>
              </w:tc>
              <w:tc>
                <w:tcPr>
                  <w:tcW w:w="430" w:type="pct"/>
                  <w:vAlign w:val="center"/>
                </w:tcPr>
                <w:p>
                  <w:pPr>
                    <w:jc w:val="center"/>
                    <w:rPr>
                      <w:color w:val="auto"/>
                      <w:highlight w:val="none"/>
                    </w:rPr>
                  </w:pPr>
                  <w:r>
                    <w:rPr>
                      <w:color w:val="auto"/>
                      <w:highlight w:val="none"/>
                    </w:rPr>
                    <w:t>530</w:t>
                  </w:r>
                </w:p>
              </w:tc>
              <w:tc>
                <w:tcPr>
                  <w:tcW w:w="430" w:type="pct"/>
                  <w:vAlign w:val="center"/>
                </w:tcPr>
                <w:p>
                  <w:pPr>
                    <w:jc w:val="center"/>
                    <w:rPr>
                      <w:color w:val="auto"/>
                      <w:highlight w:val="none"/>
                    </w:rPr>
                  </w:pPr>
                  <w:r>
                    <w:rPr>
                      <w:color w:val="auto"/>
                      <w:highlight w:val="none"/>
                    </w:rPr>
                    <w:t>350</w:t>
                  </w:r>
                </w:p>
              </w:tc>
              <w:tc>
                <w:tcPr>
                  <w:tcW w:w="435" w:type="pct"/>
                  <w:vAlign w:val="center"/>
                </w:tcPr>
                <w:p>
                  <w:pPr>
                    <w:jc w:val="center"/>
                    <w:rPr>
                      <w:color w:val="auto"/>
                      <w:highlight w:val="none"/>
                    </w:rPr>
                  </w:pPr>
                  <w:r>
                    <w:rPr>
                      <w:color w:val="auto"/>
                      <w:highlight w:val="none"/>
                    </w:rPr>
                    <w:t>260</w:t>
                  </w:r>
                </w:p>
              </w:tc>
              <w:tc>
                <w:tcPr>
                  <w:tcW w:w="430" w:type="pct"/>
                  <w:vAlign w:val="center"/>
                </w:tcPr>
                <w:p>
                  <w:pPr>
                    <w:jc w:val="center"/>
                    <w:rPr>
                      <w:color w:val="auto"/>
                      <w:highlight w:val="none"/>
                    </w:rPr>
                  </w:pPr>
                  <w:r>
                    <w:rPr>
                      <w:color w:val="auto"/>
                      <w:highlight w:val="none"/>
                    </w:rPr>
                    <w:t>530</w:t>
                  </w:r>
                </w:p>
              </w:tc>
              <w:tc>
                <w:tcPr>
                  <w:tcW w:w="430" w:type="pct"/>
                  <w:vAlign w:val="center"/>
                </w:tcPr>
                <w:p>
                  <w:pPr>
                    <w:jc w:val="center"/>
                    <w:rPr>
                      <w:color w:val="auto"/>
                      <w:highlight w:val="none"/>
                    </w:rPr>
                  </w:pPr>
                  <w:r>
                    <w:rPr>
                      <w:color w:val="auto"/>
                      <w:highlight w:val="none"/>
                    </w:rPr>
                    <w:t>350</w:t>
                  </w:r>
                </w:p>
              </w:tc>
              <w:tc>
                <w:tcPr>
                  <w:tcW w:w="435" w:type="pct"/>
                  <w:vAlign w:val="center"/>
                </w:tcPr>
                <w:p>
                  <w:pPr>
                    <w:jc w:val="center"/>
                    <w:rPr>
                      <w:color w:val="auto"/>
                      <w:highlight w:val="none"/>
                    </w:rPr>
                  </w:pPr>
                  <w:r>
                    <w:rPr>
                      <w:color w:val="auto"/>
                      <w:highlight w:val="none"/>
                    </w:rPr>
                    <w:t>260</w:t>
                  </w:r>
                </w:p>
              </w:tc>
              <w:tc>
                <w:tcPr>
                  <w:tcW w:w="430" w:type="pct"/>
                  <w:vAlign w:val="center"/>
                </w:tcPr>
                <w:p>
                  <w:pPr>
                    <w:jc w:val="center"/>
                    <w:rPr>
                      <w:color w:val="auto"/>
                      <w:highlight w:val="none"/>
                    </w:rPr>
                  </w:pPr>
                  <w:r>
                    <w:rPr>
                      <w:color w:val="auto"/>
                      <w:highlight w:val="none"/>
                    </w:rPr>
                    <w:t>290</w:t>
                  </w:r>
                </w:p>
              </w:tc>
              <w:tc>
                <w:tcPr>
                  <w:tcW w:w="431" w:type="pct"/>
                  <w:vAlign w:val="center"/>
                </w:tcPr>
                <w:p>
                  <w:pPr>
                    <w:jc w:val="center"/>
                    <w:rPr>
                      <w:color w:val="auto"/>
                      <w:highlight w:val="none"/>
                    </w:rPr>
                  </w:pPr>
                  <w:r>
                    <w:rPr>
                      <w:color w:val="auto"/>
                      <w:highlight w:val="none"/>
                    </w:rPr>
                    <w:t>190</w:t>
                  </w:r>
                </w:p>
              </w:tc>
              <w:tc>
                <w:tcPr>
                  <w:tcW w:w="435" w:type="pct"/>
                  <w:vAlign w:val="center"/>
                </w:tcPr>
                <w:p>
                  <w:pPr>
                    <w:jc w:val="center"/>
                    <w:rPr>
                      <w:color w:val="auto"/>
                      <w:highlight w:val="none"/>
                    </w:rPr>
                  </w:pPr>
                  <w:r>
                    <w:rPr>
                      <w:color w:val="auto"/>
                      <w:highlight w:val="none"/>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restart"/>
                  <w:vAlign w:val="center"/>
                </w:tcPr>
                <w:p>
                  <w:pPr>
                    <w:jc w:val="center"/>
                    <w:rPr>
                      <w:color w:val="auto"/>
                      <w:highlight w:val="none"/>
                    </w:rPr>
                  </w:pPr>
                  <w:r>
                    <w:rPr>
                      <w:color w:val="auto"/>
                      <w:highlight w:val="none"/>
                    </w:rPr>
                    <w:t>B</w:t>
                  </w:r>
                </w:p>
              </w:tc>
              <w:tc>
                <w:tcPr>
                  <w:tcW w:w="683" w:type="pct"/>
                  <w:vAlign w:val="center"/>
                </w:tcPr>
                <w:p>
                  <w:pPr>
                    <w:jc w:val="center"/>
                    <w:rPr>
                      <w:color w:val="auto"/>
                      <w:highlight w:val="none"/>
                    </w:rPr>
                  </w:pPr>
                  <w:r>
                    <w:rPr>
                      <w:color w:val="auto"/>
                      <w:highlight w:val="none"/>
                    </w:rPr>
                    <w:t>&lt;2</w:t>
                  </w:r>
                </w:p>
              </w:tc>
              <w:tc>
                <w:tcPr>
                  <w:tcW w:w="1296" w:type="pct"/>
                  <w:gridSpan w:val="3"/>
                  <w:vAlign w:val="center"/>
                </w:tcPr>
                <w:p>
                  <w:pPr>
                    <w:jc w:val="center"/>
                    <w:rPr>
                      <w:color w:val="auto"/>
                      <w:highlight w:val="none"/>
                    </w:rPr>
                  </w:pPr>
                  <w:r>
                    <w:rPr>
                      <w:color w:val="auto"/>
                      <w:highlight w:val="none"/>
                    </w:rPr>
                    <w:t>0.01</w:t>
                  </w:r>
                </w:p>
              </w:tc>
              <w:tc>
                <w:tcPr>
                  <w:tcW w:w="1296" w:type="pct"/>
                  <w:gridSpan w:val="3"/>
                  <w:vAlign w:val="center"/>
                </w:tcPr>
                <w:p>
                  <w:pPr>
                    <w:jc w:val="center"/>
                    <w:rPr>
                      <w:color w:val="auto"/>
                      <w:highlight w:val="none"/>
                    </w:rPr>
                  </w:pPr>
                  <w:r>
                    <w:rPr>
                      <w:color w:val="auto"/>
                      <w:highlight w:val="none"/>
                    </w:rPr>
                    <w:t>0.015</w:t>
                  </w:r>
                </w:p>
              </w:tc>
              <w:tc>
                <w:tcPr>
                  <w:tcW w:w="1297" w:type="pct"/>
                  <w:gridSpan w:val="3"/>
                  <w:vAlign w:val="center"/>
                </w:tcPr>
                <w:p>
                  <w:pPr>
                    <w:jc w:val="center"/>
                    <w:rPr>
                      <w:color w:val="auto"/>
                      <w:highlight w:val="none"/>
                    </w:rPr>
                  </w:pPr>
                  <w:r>
                    <w:rPr>
                      <w:color w:val="auto"/>
                      <w:highlight w:val="none"/>
                    </w:rPr>
                    <w:t>0.015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jc w:val="center"/>
                    <w:rPr>
                      <w:color w:val="auto"/>
                      <w:highlight w:val="none"/>
                    </w:rPr>
                  </w:pPr>
                </w:p>
              </w:tc>
              <w:tc>
                <w:tcPr>
                  <w:tcW w:w="683" w:type="pct"/>
                  <w:vAlign w:val="center"/>
                </w:tcPr>
                <w:p>
                  <w:pPr>
                    <w:jc w:val="center"/>
                    <w:rPr>
                      <w:color w:val="auto"/>
                      <w:highlight w:val="none"/>
                    </w:rPr>
                  </w:pPr>
                  <w:r>
                    <w:rPr>
                      <w:color w:val="auto"/>
                      <w:highlight w:val="none"/>
                    </w:rPr>
                    <w:t>&gt;2</w:t>
                  </w:r>
                </w:p>
              </w:tc>
              <w:tc>
                <w:tcPr>
                  <w:tcW w:w="1296" w:type="pct"/>
                  <w:gridSpan w:val="3"/>
                  <w:vAlign w:val="center"/>
                </w:tcPr>
                <w:p>
                  <w:pPr>
                    <w:jc w:val="center"/>
                    <w:rPr>
                      <w:color w:val="auto"/>
                      <w:highlight w:val="none"/>
                    </w:rPr>
                  </w:pPr>
                  <w:r>
                    <w:rPr>
                      <w:color w:val="auto"/>
                      <w:highlight w:val="none"/>
                    </w:rPr>
                    <w:t>0.021</w:t>
                  </w:r>
                </w:p>
              </w:tc>
              <w:tc>
                <w:tcPr>
                  <w:tcW w:w="1296" w:type="pct"/>
                  <w:gridSpan w:val="3"/>
                  <w:vAlign w:val="center"/>
                </w:tcPr>
                <w:p>
                  <w:pPr>
                    <w:jc w:val="center"/>
                    <w:rPr>
                      <w:color w:val="auto"/>
                      <w:highlight w:val="none"/>
                    </w:rPr>
                  </w:pPr>
                  <w:r>
                    <w:rPr>
                      <w:color w:val="auto"/>
                      <w:highlight w:val="none"/>
                    </w:rPr>
                    <w:t>0.036</w:t>
                  </w:r>
                </w:p>
              </w:tc>
              <w:tc>
                <w:tcPr>
                  <w:tcW w:w="1297" w:type="pct"/>
                  <w:gridSpan w:val="3"/>
                  <w:vAlign w:val="center"/>
                </w:tcPr>
                <w:p>
                  <w:pPr>
                    <w:jc w:val="center"/>
                    <w:rPr>
                      <w:color w:val="auto"/>
                      <w:highlight w:val="none"/>
                    </w:rPr>
                  </w:pPr>
                  <w:r>
                    <w:rPr>
                      <w:color w:val="auto"/>
                      <w:highlight w:val="none"/>
                    </w:rPr>
                    <w:t>0.036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restart"/>
                  <w:vAlign w:val="center"/>
                </w:tcPr>
                <w:p>
                  <w:pPr>
                    <w:jc w:val="center"/>
                    <w:rPr>
                      <w:color w:val="auto"/>
                      <w:highlight w:val="none"/>
                    </w:rPr>
                  </w:pPr>
                  <w:r>
                    <w:rPr>
                      <w:color w:val="auto"/>
                      <w:highlight w:val="none"/>
                    </w:rPr>
                    <w:t>C</w:t>
                  </w:r>
                </w:p>
              </w:tc>
              <w:tc>
                <w:tcPr>
                  <w:tcW w:w="683" w:type="pct"/>
                  <w:vAlign w:val="center"/>
                </w:tcPr>
                <w:p>
                  <w:pPr>
                    <w:jc w:val="center"/>
                    <w:rPr>
                      <w:color w:val="auto"/>
                      <w:highlight w:val="none"/>
                    </w:rPr>
                  </w:pPr>
                  <w:r>
                    <w:rPr>
                      <w:color w:val="auto"/>
                      <w:highlight w:val="none"/>
                    </w:rPr>
                    <w:t>&lt;2</w:t>
                  </w:r>
                </w:p>
              </w:tc>
              <w:tc>
                <w:tcPr>
                  <w:tcW w:w="1296" w:type="pct"/>
                  <w:gridSpan w:val="3"/>
                  <w:vAlign w:val="center"/>
                </w:tcPr>
                <w:p>
                  <w:pPr>
                    <w:jc w:val="center"/>
                    <w:rPr>
                      <w:color w:val="auto"/>
                      <w:highlight w:val="none"/>
                    </w:rPr>
                  </w:pPr>
                  <w:r>
                    <w:rPr>
                      <w:color w:val="auto"/>
                      <w:highlight w:val="none"/>
                    </w:rPr>
                    <w:t>1.85</w:t>
                  </w:r>
                </w:p>
              </w:tc>
              <w:tc>
                <w:tcPr>
                  <w:tcW w:w="1296" w:type="pct"/>
                  <w:gridSpan w:val="3"/>
                  <w:vAlign w:val="center"/>
                </w:tcPr>
                <w:p>
                  <w:pPr>
                    <w:jc w:val="center"/>
                    <w:rPr>
                      <w:color w:val="auto"/>
                      <w:highlight w:val="none"/>
                    </w:rPr>
                  </w:pPr>
                  <w:r>
                    <w:rPr>
                      <w:color w:val="auto"/>
                      <w:highlight w:val="none"/>
                    </w:rPr>
                    <w:t>1.79</w:t>
                  </w:r>
                </w:p>
              </w:tc>
              <w:tc>
                <w:tcPr>
                  <w:tcW w:w="1297" w:type="pct"/>
                  <w:gridSpan w:val="3"/>
                  <w:vAlign w:val="center"/>
                </w:tcPr>
                <w:p>
                  <w:pPr>
                    <w:jc w:val="center"/>
                    <w:rPr>
                      <w:color w:val="auto"/>
                      <w:highlight w:val="none"/>
                    </w:rPr>
                  </w:pPr>
                  <w:r>
                    <w:rPr>
                      <w:color w:val="auto"/>
                      <w:highlight w:val="none"/>
                    </w:rPr>
                    <w:t>1.79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jc w:val="center"/>
                    <w:rPr>
                      <w:color w:val="auto"/>
                      <w:highlight w:val="none"/>
                    </w:rPr>
                  </w:pPr>
                </w:p>
              </w:tc>
              <w:tc>
                <w:tcPr>
                  <w:tcW w:w="683" w:type="pct"/>
                  <w:vAlign w:val="center"/>
                </w:tcPr>
                <w:p>
                  <w:pPr>
                    <w:jc w:val="center"/>
                    <w:rPr>
                      <w:color w:val="auto"/>
                      <w:highlight w:val="none"/>
                    </w:rPr>
                  </w:pPr>
                  <w:r>
                    <w:rPr>
                      <w:color w:val="auto"/>
                      <w:highlight w:val="none"/>
                    </w:rPr>
                    <w:t>&gt;2</w:t>
                  </w:r>
                </w:p>
              </w:tc>
              <w:tc>
                <w:tcPr>
                  <w:tcW w:w="1296" w:type="pct"/>
                  <w:gridSpan w:val="3"/>
                  <w:vAlign w:val="center"/>
                </w:tcPr>
                <w:p>
                  <w:pPr>
                    <w:jc w:val="center"/>
                    <w:rPr>
                      <w:color w:val="auto"/>
                      <w:highlight w:val="none"/>
                    </w:rPr>
                  </w:pPr>
                  <w:r>
                    <w:rPr>
                      <w:color w:val="auto"/>
                      <w:highlight w:val="none"/>
                    </w:rPr>
                    <w:t>1.85</w:t>
                  </w:r>
                </w:p>
              </w:tc>
              <w:tc>
                <w:tcPr>
                  <w:tcW w:w="1296" w:type="pct"/>
                  <w:gridSpan w:val="3"/>
                  <w:vAlign w:val="center"/>
                </w:tcPr>
                <w:p>
                  <w:pPr>
                    <w:jc w:val="center"/>
                    <w:rPr>
                      <w:color w:val="auto"/>
                      <w:highlight w:val="none"/>
                    </w:rPr>
                  </w:pPr>
                  <w:r>
                    <w:rPr>
                      <w:color w:val="auto"/>
                      <w:highlight w:val="none"/>
                    </w:rPr>
                    <w:t>1.77</w:t>
                  </w:r>
                </w:p>
              </w:tc>
              <w:tc>
                <w:tcPr>
                  <w:tcW w:w="1297" w:type="pct"/>
                  <w:gridSpan w:val="3"/>
                  <w:vAlign w:val="center"/>
                </w:tcPr>
                <w:p>
                  <w:pPr>
                    <w:jc w:val="center"/>
                    <w:rPr>
                      <w:color w:val="auto"/>
                      <w:highlight w:val="none"/>
                    </w:rPr>
                  </w:pPr>
                  <w:r>
                    <w:rPr>
                      <w:color w:val="auto"/>
                      <w:highlight w:val="none"/>
                    </w:rPr>
                    <w:t>1.77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restart"/>
                  <w:vAlign w:val="center"/>
                </w:tcPr>
                <w:p>
                  <w:pPr>
                    <w:jc w:val="center"/>
                    <w:rPr>
                      <w:color w:val="auto"/>
                      <w:highlight w:val="none"/>
                    </w:rPr>
                  </w:pPr>
                  <w:r>
                    <w:rPr>
                      <w:color w:val="auto"/>
                      <w:highlight w:val="none"/>
                    </w:rPr>
                    <w:t>D</w:t>
                  </w:r>
                </w:p>
              </w:tc>
              <w:tc>
                <w:tcPr>
                  <w:tcW w:w="683" w:type="pct"/>
                  <w:vAlign w:val="center"/>
                </w:tcPr>
                <w:p>
                  <w:pPr>
                    <w:jc w:val="center"/>
                    <w:rPr>
                      <w:color w:val="auto"/>
                      <w:highlight w:val="none"/>
                    </w:rPr>
                  </w:pPr>
                  <w:r>
                    <w:rPr>
                      <w:color w:val="auto"/>
                      <w:highlight w:val="none"/>
                    </w:rPr>
                    <w:t>&lt;2</w:t>
                  </w:r>
                </w:p>
              </w:tc>
              <w:tc>
                <w:tcPr>
                  <w:tcW w:w="1296" w:type="pct"/>
                  <w:gridSpan w:val="3"/>
                  <w:vAlign w:val="center"/>
                </w:tcPr>
                <w:p>
                  <w:pPr>
                    <w:jc w:val="center"/>
                    <w:rPr>
                      <w:color w:val="auto"/>
                      <w:highlight w:val="none"/>
                    </w:rPr>
                  </w:pPr>
                  <w:r>
                    <w:rPr>
                      <w:color w:val="auto"/>
                      <w:highlight w:val="none"/>
                    </w:rPr>
                    <w:t>0.78</w:t>
                  </w:r>
                </w:p>
              </w:tc>
              <w:tc>
                <w:tcPr>
                  <w:tcW w:w="1296" w:type="pct"/>
                  <w:gridSpan w:val="3"/>
                  <w:vAlign w:val="center"/>
                </w:tcPr>
                <w:p>
                  <w:pPr>
                    <w:jc w:val="center"/>
                    <w:rPr>
                      <w:color w:val="auto"/>
                      <w:highlight w:val="none"/>
                    </w:rPr>
                  </w:pPr>
                  <w:r>
                    <w:rPr>
                      <w:color w:val="auto"/>
                      <w:highlight w:val="none"/>
                    </w:rPr>
                    <w:t>0.78</w:t>
                  </w:r>
                </w:p>
              </w:tc>
              <w:tc>
                <w:tcPr>
                  <w:tcW w:w="1297" w:type="pct"/>
                  <w:gridSpan w:val="3"/>
                  <w:vAlign w:val="center"/>
                </w:tcPr>
                <w:p>
                  <w:pPr>
                    <w:jc w:val="center"/>
                    <w:rPr>
                      <w:color w:val="auto"/>
                      <w:highlight w:val="none"/>
                    </w:rPr>
                  </w:pPr>
                  <w:r>
                    <w:rPr>
                      <w:color w:val="auto"/>
                      <w:highlight w:val="none"/>
                    </w:rPr>
                    <w:t>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jc w:val="center"/>
                    <w:rPr>
                      <w:color w:val="auto"/>
                      <w:highlight w:val="none"/>
                    </w:rPr>
                  </w:pPr>
                </w:p>
              </w:tc>
              <w:tc>
                <w:tcPr>
                  <w:tcW w:w="683" w:type="pct"/>
                  <w:vAlign w:val="center"/>
                </w:tcPr>
                <w:p>
                  <w:pPr>
                    <w:jc w:val="center"/>
                    <w:rPr>
                      <w:color w:val="auto"/>
                      <w:highlight w:val="none"/>
                    </w:rPr>
                  </w:pPr>
                  <w:r>
                    <w:rPr>
                      <w:color w:val="auto"/>
                      <w:highlight w:val="none"/>
                    </w:rPr>
                    <w:t>&gt;2</w:t>
                  </w:r>
                </w:p>
              </w:tc>
              <w:tc>
                <w:tcPr>
                  <w:tcW w:w="1296" w:type="pct"/>
                  <w:gridSpan w:val="3"/>
                  <w:vAlign w:val="center"/>
                </w:tcPr>
                <w:p>
                  <w:pPr>
                    <w:jc w:val="center"/>
                    <w:rPr>
                      <w:color w:val="auto"/>
                      <w:highlight w:val="none"/>
                    </w:rPr>
                  </w:pPr>
                  <w:r>
                    <w:rPr>
                      <w:color w:val="auto"/>
                      <w:highlight w:val="none"/>
                    </w:rPr>
                    <w:t>0.84</w:t>
                  </w:r>
                </w:p>
              </w:tc>
              <w:tc>
                <w:tcPr>
                  <w:tcW w:w="1296" w:type="pct"/>
                  <w:gridSpan w:val="3"/>
                  <w:vAlign w:val="center"/>
                </w:tcPr>
                <w:p>
                  <w:pPr>
                    <w:jc w:val="center"/>
                    <w:rPr>
                      <w:color w:val="auto"/>
                      <w:highlight w:val="none"/>
                    </w:rPr>
                  </w:pPr>
                  <w:r>
                    <w:rPr>
                      <w:color w:val="auto"/>
                      <w:highlight w:val="none"/>
                    </w:rPr>
                    <w:t>0.84</w:t>
                  </w:r>
                </w:p>
              </w:tc>
              <w:tc>
                <w:tcPr>
                  <w:tcW w:w="1297" w:type="pct"/>
                  <w:gridSpan w:val="3"/>
                  <w:vAlign w:val="center"/>
                </w:tcPr>
                <w:p>
                  <w:pPr>
                    <w:jc w:val="center"/>
                    <w:rPr>
                      <w:color w:val="auto"/>
                      <w:highlight w:val="none"/>
                    </w:rPr>
                  </w:pPr>
                  <w:r>
                    <w:rPr>
                      <w:color w:val="auto"/>
                      <w:highlight w:val="none"/>
                    </w:rPr>
                    <w:t>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000" w:type="pct"/>
                  <w:gridSpan w:val="11"/>
                  <w:vAlign w:val="center"/>
                </w:tcPr>
                <w:p>
                  <w:pPr>
                    <w:autoSpaceDE w:val="0"/>
                    <w:autoSpaceDN w:val="0"/>
                    <w:adjustRightInd w:val="0"/>
                    <w:ind w:firstLine="420" w:firstLineChars="200"/>
                    <w:rPr>
                      <w:color w:val="auto"/>
                      <w:highlight w:val="none"/>
                    </w:rPr>
                  </w:pPr>
                  <w:r>
                    <w:rPr>
                      <w:color w:val="auto"/>
                      <w:highlight w:val="none"/>
                    </w:rPr>
                    <w:t>注：Ⅰ类：与无组织排放源共存的排放同种有害气体的排气筒的排放量，大于标准规定的允许排放量的三分之一者。</w:t>
                  </w:r>
                </w:p>
                <w:p>
                  <w:pPr>
                    <w:autoSpaceDE w:val="0"/>
                    <w:autoSpaceDN w:val="0"/>
                    <w:adjustRightInd w:val="0"/>
                    <w:ind w:firstLine="420" w:firstLineChars="200"/>
                    <w:rPr>
                      <w:color w:val="auto"/>
                      <w:highlight w:val="none"/>
                    </w:rPr>
                  </w:pPr>
                  <w:r>
                    <w:rPr>
                      <w:color w:val="auto"/>
                      <w:highlight w:val="none"/>
                    </w:rPr>
                    <w:t>Ⅱ类：与无组织排放源共存的排放同种有害气体的排气筒的排放量，小于标准规定的允许排放量的三分之一，或虽无排放同种大气污染物之排气筒共存但无组织排放的有害物质的容许浓度指标是按急性反应指标确定者。</w:t>
                  </w:r>
                </w:p>
                <w:p>
                  <w:pPr>
                    <w:autoSpaceDE w:val="0"/>
                    <w:autoSpaceDN w:val="0"/>
                    <w:adjustRightInd w:val="0"/>
                    <w:ind w:firstLine="420" w:firstLineChars="200"/>
                    <w:rPr>
                      <w:color w:val="auto"/>
                      <w:highlight w:val="none"/>
                    </w:rPr>
                  </w:pPr>
                  <w:r>
                    <w:rPr>
                      <w:color w:val="auto"/>
                      <w:highlight w:val="none"/>
                    </w:rPr>
                    <w:t>Ⅲ类：无排放同种有害物质的排气筒与无组织排放源共存，且无组织排放的有害物质的容许浓度是按慢性反应指标确定者。</w:t>
                  </w:r>
                </w:p>
              </w:tc>
            </w:tr>
          </w:tbl>
          <w:p>
            <w:pPr>
              <w:widowControl/>
              <w:adjustRightInd w:val="0"/>
              <w:snapToGrid w:val="0"/>
              <w:spacing w:before="120" w:beforeLines="50" w:line="360" w:lineRule="auto"/>
              <w:ind w:firstLine="420" w:firstLineChars="200"/>
              <w:rPr>
                <w:color w:val="auto"/>
                <w:highlight w:val="none"/>
              </w:rPr>
            </w:pPr>
            <w:r>
              <w:rPr>
                <w:color w:val="auto"/>
                <w:highlight w:val="none"/>
              </w:rPr>
              <w:t>项目</w:t>
            </w:r>
            <w:r>
              <w:rPr>
                <w:rFonts w:hint="eastAsia"/>
                <w:color w:val="auto"/>
                <w:highlight w:val="none"/>
              </w:rPr>
              <w:t>厂房占地450m</w:t>
            </w:r>
            <w:r>
              <w:rPr>
                <w:rFonts w:hint="eastAsia"/>
                <w:color w:val="auto"/>
                <w:highlight w:val="none"/>
                <w:vertAlign w:val="superscript"/>
              </w:rPr>
              <w:t>2</w:t>
            </w:r>
            <w:r>
              <w:rPr>
                <w:rFonts w:hint="eastAsia"/>
                <w:color w:val="auto"/>
                <w:highlight w:val="none"/>
              </w:rPr>
              <w:t>，</w:t>
            </w:r>
            <w:r>
              <w:rPr>
                <w:color w:val="auto"/>
                <w:highlight w:val="none"/>
              </w:rPr>
              <w:t>经计算得出厂房等效半径（r）为</w:t>
            </w:r>
            <w:r>
              <w:rPr>
                <w:rFonts w:hint="eastAsia"/>
                <w:color w:val="auto"/>
                <w:highlight w:val="none"/>
              </w:rPr>
              <w:t>11.99</w:t>
            </w:r>
            <w:r>
              <w:rPr>
                <w:color w:val="auto"/>
                <w:highlight w:val="none"/>
              </w:rPr>
              <w:t>m</w:t>
            </w:r>
            <w:r>
              <w:rPr>
                <w:rStyle w:val="40"/>
                <w:rFonts w:hint="eastAsia"/>
                <w:color w:val="auto"/>
                <w:highlight w:val="none"/>
                <w:vertAlign w:val="superscript"/>
              </w:rPr>
              <w:t>2</w:t>
            </w:r>
            <w:r>
              <w:rPr>
                <w:color w:val="auto"/>
                <w:highlight w:val="none"/>
              </w:rPr>
              <w:t>，所在地区近5年平均风速为2.2m/s，卫生防护距离L≦1000m，且大气污染源构成类型为Ⅱ类，按上述卫生防护距离初值公式对本项目TSP无组织排放的卫生防护距离初值进行计算，项目卫生防护距离初值计算参数取值及具体计算结果见下表。</w:t>
            </w:r>
          </w:p>
          <w:p>
            <w:pPr>
              <w:adjustRightInd w:val="0"/>
              <w:snapToGrid w:val="0"/>
              <w:spacing w:line="360" w:lineRule="auto"/>
              <w:jc w:val="center"/>
              <w:rPr>
                <w:b/>
                <w:color w:val="auto"/>
                <w:highlight w:val="none"/>
              </w:rPr>
            </w:pPr>
            <w:r>
              <w:rPr>
                <w:b/>
                <w:color w:val="auto"/>
                <w:highlight w:val="none"/>
              </w:rPr>
              <w:t>表4-</w:t>
            </w:r>
            <w:r>
              <w:rPr>
                <w:rFonts w:hint="eastAsia"/>
                <w:b/>
                <w:color w:val="auto"/>
                <w:highlight w:val="none"/>
                <w:lang w:val="en-US" w:eastAsia="zh-CN"/>
              </w:rPr>
              <w:t>9</w:t>
            </w:r>
            <w:r>
              <w:rPr>
                <w:b/>
                <w:color w:val="auto"/>
                <w:highlight w:val="none"/>
              </w:rPr>
              <w:t xml:space="preserve"> 本项目卫生防护距离计算参数表</w:t>
            </w:r>
          </w:p>
          <w:tbl>
            <w:tblPr>
              <w:tblStyle w:val="3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8"/>
              <w:gridCol w:w="1860"/>
              <w:gridCol w:w="1949"/>
              <w:gridCol w:w="1007"/>
              <w:gridCol w:w="1179"/>
              <w:gridCol w:w="1007"/>
              <w:gridCol w:w="1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714" w:type="pct"/>
                  <w:vMerge w:val="restart"/>
                  <w:vAlign w:val="center"/>
                </w:tcPr>
                <w:p>
                  <w:pPr>
                    <w:tabs>
                      <w:tab w:val="left" w:pos="0"/>
                    </w:tabs>
                    <w:jc w:val="center"/>
                    <w:rPr>
                      <w:b/>
                      <w:bCs/>
                      <w:color w:val="auto"/>
                      <w:highlight w:val="none"/>
                    </w:rPr>
                  </w:pPr>
                  <w:r>
                    <w:rPr>
                      <w:b/>
                      <w:bCs/>
                      <w:color w:val="auto"/>
                      <w:highlight w:val="none"/>
                    </w:rPr>
                    <w:t>计算系数</w:t>
                  </w:r>
                </w:p>
              </w:tc>
              <w:tc>
                <w:tcPr>
                  <w:tcW w:w="985" w:type="pct"/>
                  <w:vAlign w:val="center"/>
                </w:tcPr>
                <w:p>
                  <w:pPr>
                    <w:jc w:val="center"/>
                    <w:rPr>
                      <w:b/>
                      <w:color w:val="auto"/>
                      <w:highlight w:val="none"/>
                    </w:rPr>
                  </w:pPr>
                  <w:r>
                    <w:rPr>
                      <w:b/>
                      <w:color w:val="auto"/>
                      <w:highlight w:val="none"/>
                    </w:rPr>
                    <w:t>近5年平均风速</w:t>
                  </w:r>
                </w:p>
                <w:p>
                  <w:pPr>
                    <w:tabs>
                      <w:tab w:val="left" w:pos="0"/>
                    </w:tabs>
                    <w:jc w:val="center"/>
                    <w:rPr>
                      <w:b/>
                      <w:bCs/>
                      <w:color w:val="auto"/>
                      <w:highlight w:val="none"/>
                    </w:rPr>
                  </w:pPr>
                  <w:r>
                    <w:rPr>
                      <w:b/>
                      <w:color w:val="auto"/>
                      <w:highlight w:val="none"/>
                    </w:rPr>
                    <w:t>（m/s）</w:t>
                  </w:r>
                </w:p>
              </w:tc>
              <w:tc>
                <w:tcPr>
                  <w:tcW w:w="1032" w:type="pct"/>
                  <w:vAlign w:val="center"/>
                </w:tcPr>
                <w:p>
                  <w:pPr>
                    <w:tabs>
                      <w:tab w:val="left" w:pos="0"/>
                    </w:tabs>
                    <w:jc w:val="center"/>
                    <w:rPr>
                      <w:b/>
                      <w:bCs/>
                      <w:color w:val="auto"/>
                      <w:highlight w:val="none"/>
                    </w:rPr>
                  </w:pPr>
                  <w:r>
                    <w:rPr>
                      <w:b/>
                      <w:color w:val="auto"/>
                      <w:highlight w:val="none"/>
                    </w:rPr>
                    <w:t>工业企业大气污染源构成类别</w:t>
                  </w:r>
                </w:p>
              </w:tc>
              <w:tc>
                <w:tcPr>
                  <w:tcW w:w="533" w:type="pct"/>
                  <w:vAlign w:val="center"/>
                </w:tcPr>
                <w:p>
                  <w:pPr>
                    <w:tabs>
                      <w:tab w:val="left" w:pos="0"/>
                    </w:tabs>
                    <w:jc w:val="center"/>
                    <w:rPr>
                      <w:b/>
                      <w:bCs/>
                      <w:color w:val="auto"/>
                      <w:highlight w:val="none"/>
                    </w:rPr>
                  </w:pPr>
                  <w:r>
                    <w:rPr>
                      <w:b/>
                      <w:color w:val="auto"/>
                      <w:highlight w:val="none"/>
                    </w:rPr>
                    <w:t>A</w:t>
                  </w:r>
                </w:p>
              </w:tc>
              <w:tc>
                <w:tcPr>
                  <w:tcW w:w="624" w:type="pct"/>
                  <w:vAlign w:val="center"/>
                </w:tcPr>
                <w:p>
                  <w:pPr>
                    <w:tabs>
                      <w:tab w:val="left" w:pos="0"/>
                    </w:tabs>
                    <w:jc w:val="center"/>
                    <w:rPr>
                      <w:b/>
                      <w:bCs/>
                      <w:color w:val="auto"/>
                      <w:highlight w:val="none"/>
                    </w:rPr>
                  </w:pPr>
                  <w:r>
                    <w:rPr>
                      <w:b/>
                      <w:color w:val="auto"/>
                      <w:highlight w:val="none"/>
                    </w:rPr>
                    <w:t>B</w:t>
                  </w:r>
                </w:p>
              </w:tc>
              <w:tc>
                <w:tcPr>
                  <w:tcW w:w="533" w:type="pct"/>
                  <w:vAlign w:val="center"/>
                </w:tcPr>
                <w:p>
                  <w:pPr>
                    <w:tabs>
                      <w:tab w:val="left" w:pos="0"/>
                    </w:tabs>
                    <w:jc w:val="center"/>
                    <w:rPr>
                      <w:b/>
                      <w:bCs/>
                      <w:color w:val="auto"/>
                      <w:highlight w:val="none"/>
                    </w:rPr>
                  </w:pPr>
                  <w:r>
                    <w:rPr>
                      <w:b/>
                      <w:color w:val="auto"/>
                      <w:highlight w:val="none"/>
                    </w:rPr>
                    <w:t>C</w:t>
                  </w:r>
                </w:p>
              </w:tc>
              <w:tc>
                <w:tcPr>
                  <w:tcW w:w="575" w:type="pct"/>
                  <w:vAlign w:val="center"/>
                </w:tcPr>
                <w:p>
                  <w:pPr>
                    <w:tabs>
                      <w:tab w:val="left" w:pos="0"/>
                    </w:tabs>
                    <w:jc w:val="center"/>
                    <w:rPr>
                      <w:b/>
                      <w:bCs/>
                      <w:color w:val="auto"/>
                      <w:highlight w:val="none"/>
                    </w:rPr>
                  </w:pPr>
                  <w:r>
                    <w:rPr>
                      <w:b/>
                      <w:color w:val="auto"/>
                      <w:highlight w:val="none"/>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14" w:type="pct"/>
                  <w:vMerge w:val="continue"/>
                  <w:vAlign w:val="center"/>
                </w:tcPr>
                <w:p>
                  <w:pPr>
                    <w:tabs>
                      <w:tab w:val="left" w:pos="0"/>
                    </w:tabs>
                    <w:jc w:val="center"/>
                    <w:rPr>
                      <w:b/>
                      <w:bCs/>
                      <w:color w:val="auto"/>
                      <w:highlight w:val="none"/>
                    </w:rPr>
                  </w:pPr>
                </w:p>
              </w:tc>
              <w:tc>
                <w:tcPr>
                  <w:tcW w:w="985" w:type="pct"/>
                  <w:vAlign w:val="center"/>
                </w:tcPr>
                <w:p>
                  <w:pPr>
                    <w:tabs>
                      <w:tab w:val="left" w:pos="0"/>
                    </w:tabs>
                    <w:jc w:val="center"/>
                    <w:rPr>
                      <w:b/>
                      <w:bCs/>
                      <w:color w:val="auto"/>
                      <w:highlight w:val="none"/>
                    </w:rPr>
                  </w:pPr>
                  <w:r>
                    <w:rPr>
                      <w:color w:val="auto"/>
                      <w:highlight w:val="none"/>
                    </w:rPr>
                    <w:t>2.2</w:t>
                  </w:r>
                </w:p>
              </w:tc>
              <w:tc>
                <w:tcPr>
                  <w:tcW w:w="1032" w:type="pct"/>
                  <w:vAlign w:val="center"/>
                </w:tcPr>
                <w:p>
                  <w:pPr>
                    <w:tabs>
                      <w:tab w:val="left" w:pos="0"/>
                    </w:tabs>
                    <w:jc w:val="center"/>
                    <w:rPr>
                      <w:b/>
                      <w:bCs/>
                      <w:color w:val="auto"/>
                      <w:highlight w:val="none"/>
                    </w:rPr>
                  </w:pPr>
                  <w:r>
                    <w:rPr>
                      <w:color w:val="auto"/>
                      <w:highlight w:val="none"/>
                    </w:rPr>
                    <w:t>Ⅱ</w:t>
                  </w:r>
                </w:p>
              </w:tc>
              <w:tc>
                <w:tcPr>
                  <w:tcW w:w="533" w:type="pct"/>
                  <w:vAlign w:val="center"/>
                </w:tcPr>
                <w:p>
                  <w:pPr>
                    <w:tabs>
                      <w:tab w:val="left" w:pos="0"/>
                    </w:tabs>
                    <w:jc w:val="center"/>
                    <w:rPr>
                      <w:b/>
                      <w:bCs/>
                      <w:color w:val="auto"/>
                      <w:highlight w:val="none"/>
                    </w:rPr>
                  </w:pPr>
                  <w:r>
                    <w:rPr>
                      <w:color w:val="auto"/>
                      <w:highlight w:val="none"/>
                    </w:rPr>
                    <w:t>470</w:t>
                  </w:r>
                </w:p>
              </w:tc>
              <w:tc>
                <w:tcPr>
                  <w:tcW w:w="624" w:type="pct"/>
                  <w:vAlign w:val="center"/>
                </w:tcPr>
                <w:p>
                  <w:pPr>
                    <w:tabs>
                      <w:tab w:val="left" w:pos="0"/>
                    </w:tabs>
                    <w:jc w:val="center"/>
                    <w:rPr>
                      <w:b/>
                      <w:bCs/>
                      <w:color w:val="auto"/>
                      <w:highlight w:val="none"/>
                    </w:rPr>
                  </w:pPr>
                  <w:r>
                    <w:rPr>
                      <w:color w:val="auto"/>
                      <w:highlight w:val="none"/>
                    </w:rPr>
                    <w:t>0.021</w:t>
                  </w:r>
                </w:p>
              </w:tc>
              <w:tc>
                <w:tcPr>
                  <w:tcW w:w="533" w:type="pct"/>
                  <w:vAlign w:val="center"/>
                </w:tcPr>
                <w:p>
                  <w:pPr>
                    <w:tabs>
                      <w:tab w:val="left" w:pos="0"/>
                    </w:tabs>
                    <w:jc w:val="center"/>
                    <w:rPr>
                      <w:b/>
                      <w:bCs/>
                      <w:color w:val="auto"/>
                      <w:highlight w:val="none"/>
                    </w:rPr>
                  </w:pPr>
                  <w:r>
                    <w:rPr>
                      <w:color w:val="auto"/>
                      <w:highlight w:val="none"/>
                    </w:rPr>
                    <w:t>1.85</w:t>
                  </w:r>
                </w:p>
              </w:tc>
              <w:tc>
                <w:tcPr>
                  <w:tcW w:w="575" w:type="pct"/>
                  <w:vAlign w:val="center"/>
                </w:tcPr>
                <w:p>
                  <w:pPr>
                    <w:tabs>
                      <w:tab w:val="left" w:pos="0"/>
                    </w:tabs>
                    <w:jc w:val="center"/>
                    <w:rPr>
                      <w:b/>
                      <w:bCs/>
                      <w:color w:val="auto"/>
                      <w:highlight w:val="none"/>
                    </w:rPr>
                  </w:pPr>
                  <w:r>
                    <w:rPr>
                      <w:color w:val="auto"/>
                      <w:highlight w:val="none"/>
                    </w:rPr>
                    <w:t>0.84</w:t>
                  </w:r>
                </w:p>
              </w:tc>
            </w:tr>
          </w:tbl>
          <w:p>
            <w:pPr>
              <w:adjustRightInd w:val="0"/>
              <w:snapToGrid w:val="0"/>
              <w:spacing w:before="120" w:beforeLines="50" w:line="360" w:lineRule="auto"/>
              <w:jc w:val="center"/>
              <w:rPr>
                <w:b/>
                <w:color w:val="auto"/>
                <w:highlight w:val="none"/>
              </w:rPr>
            </w:pPr>
            <w:r>
              <w:rPr>
                <w:b/>
                <w:color w:val="auto"/>
                <w:highlight w:val="none"/>
              </w:rPr>
              <w:t>表4-1</w:t>
            </w:r>
            <w:r>
              <w:rPr>
                <w:rFonts w:hint="eastAsia"/>
                <w:b/>
                <w:color w:val="auto"/>
                <w:highlight w:val="none"/>
                <w:lang w:val="en-US" w:eastAsia="zh-CN"/>
              </w:rPr>
              <w:t>0</w:t>
            </w:r>
            <w:r>
              <w:rPr>
                <w:b/>
                <w:color w:val="auto"/>
                <w:highlight w:val="none"/>
              </w:rPr>
              <w:t xml:space="preserve"> 本项目卫生防护距离计算初值</w:t>
            </w:r>
          </w:p>
          <w:tbl>
            <w:tblPr>
              <w:tblStyle w:val="3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3"/>
              <w:gridCol w:w="1176"/>
              <w:gridCol w:w="1681"/>
              <w:gridCol w:w="1514"/>
              <w:gridCol w:w="1853"/>
              <w:gridCol w:w="19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5" w:type="pct"/>
                  <w:vAlign w:val="center"/>
                </w:tcPr>
                <w:p>
                  <w:pPr>
                    <w:jc w:val="center"/>
                    <w:rPr>
                      <w:b/>
                      <w:color w:val="auto"/>
                      <w:highlight w:val="none"/>
                    </w:rPr>
                  </w:pPr>
                  <w:r>
                    <w:rPr>
                      <w:b/>
                      <w:color w:val="auto"/>
                      <w:highlight w:val="none"/>
                    </w:rPr>
                    <w:t>污染源</w:t>
                  </w:r>
                </w:p>
              </w:tc>
              <w:tc>
                <w:tcPr>
                  <w:tcW w:w="623" w:type="pct"/>
                  <w:vAlign w:val="center"/>
                </w:tcPr>
                <w:p>
                  <w:pPr>
                    <w:jc w:val="center"/>
                    <w:rPr>
                      <w:b/>
                      <w:color w:val="auto"/>
                      <w:highlight w:val="none"/>
                    </w:rPr>
                  </w:pPr>
                  <w:r>
                    <w:rPr>
                      <w:b/>
                      <w:color w:val="auto"/>
                      <w:highlight w:val="none"/>
                    </w:rPr>
                    <w:t>污染物</w:t>
                  </w:r>
                </w:p>
              </w:tc>
              <w:tc>
                <w:tcPr>
                  <w:tcW w:w="890" w:type="pct"/>
                  <w:vAlign w:val="center"/>
                </w:tcPr>
                <w:p>
                  <w:pPr>
                    <w:jc w:val="center"/>
                    <w:rPr>
                      <w:b/>
                      <w:color w:val="auto"/>
                      <w:highlight w:val="none"/>
                    </w:rPr>
                  </w:pPr>
                  <w:r>
                    <w:rPr>
                      <w:b/>
                      <w:color w:val="auto"/>
                      <w:highlight w:val="none"/>
                    </w:rPr>
                    <w:t>污染物源强（kg/h）</w:t>
                  </w:r>
                </w:p>
              </w:tc>
              <w:tc>
                <w:tcPr>
                  <w:tcW w:w="802" w:type="pct"/>
                  <w:vAlign w:val="center"/>
                </w:tcPr>
                <w:p>
                  <w:pPr>
                    <w:jc w:val="center"/>
                    <w:rPr>
                      <w:b/>
                      <w:color w:val="auto"/>
                      <w:highlight w:val="none"/>
                    </w:rPr>
                  </w:pPr>
                  <w:r>
                    <w:rPr>
                      <w:b/>
                      <w:color w:val="auto"/>
                      <w:highlight w:val="none"/>
                    </w:rPr>
                    <w:t>评价标准（mg/m</w:t>
                  </w:r>
                  <w:r>
                    <w:rPr>
                      <w:b/>
                      <w:color w:val="auto"/>
                      <w:highlight w:val="none"/>
                      <w:vertAlign w:val="superscript"/>
                    </w:rPr>
                    <w:t>3</w:t>
                  </w:r>
                  <w:r>
                    <w:rPr>
                      <w:b/>
                      <w:color w:val="auto"/>
                      <w:highlight w:val="none"/>
                    </w:rPr>
                    <w:t>）</w:t>
                  </w:r>
                </w:p>
              </w:tc>
              <w:tc>
                <w:tcPr>
                  <w:tcW w:w="981" w:type="pct"/>
                  <w:vAlign w:val="center"/>
                </w:tcPr>
                <w:p>
                  <w:pPr>
                    <w:jc w:val="center"/>
                    <w:rPr>
                      <w:b/>
                      <w:color w:val="auto"/>
                      <w:highlight w:val="none"/>
                    </w:rPr>
                  </w:pPr>
                  <w:r>
                    <w:rPr>
                      <w:b/>
                      <w:color w:val="auto"/>
                      <w:highlight w:val="none"/>
                    </w:rPr>
                    <w:t>等效半径（m）</w:t>
                  </w:r>
                </w:p>
              </w:tc>
              <w:tc>
                <w:tcPr>
                  <w:tcW w:w="1016" w:type="pct"/>
                  <w:vAlign w:val="center"/>
                </w:tcPr>
                <w:p>
                  <w:pPr>
                    <w:jc w:val="center"/>
                    <w:rPr>
                      <w:b/>
                      <w:color w:val="auto"/>
                      <w:highlight w:val="none"/>
                    </w:rPr>
                  </w:pPr>
                  <w:r>
                    <w:rPr>
                      <w:b/>
                      <w:color w:val="auto"/>
                      <w:highlight w:val="none"/>
                    </w:rPr>
                    <w:t>计算结果（m）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685" w:type="pct"/>
                  <w:vAlign w:val="center"/>
                </w:tcPr>
                <w:p>
                  <w:pPr>
                    <w:jc w:val="center"/>
                    <w:rPr>
                      <w:color w:val="auto"/>
                      <w:highlight w:val="none"/>
                    </w:rPr>
                  </w:pPr>
                  <w:r>
                    <w:rPr>
                      <w:color w:val="auto"/>
                      <w:highlight w:val="none"/>
                    </w:rPr>
                    <w:t>A</w:t>
                  </w:r>
                  <w:r>
                    <w:rPr>
                      <w:rFonts w:hint="eastAsia"/>
                      <w:color w:val="auto"/>
                      <w:highlight w:val="none"/>
                    </w:rPr>
                    <w:t>厂房</w:t>
                  </w:r>
                </w:p>
              </w:tc>
              <w:tc>
                <w:tcPr>
                  <w:tcW w:w="623" w:type="pct"/>
                  <w:vAlign w:val="center"/>
                </w:tcPr>
                <w:p>
                  <w:pPr>
                    <w:jc w:val="center"/>
                    <w:rPr>
                      <w:color w:val="auto"/>
                      <w:highlight w:val="none"/>
                    </w:rPr>
                  </w:pPr>
                  <w:r>
                    <w:rPr>
                      <w:color w:val="auto"/>
                      <w:highlight w:val="none"/>
                    </w:rPr>
                    <w:t>TSP</w:t>
                  </w:r>
                </w:p>
              </w:tc>
              <w:tc>
                <w:tcPr>
                  <w:tcW w:w="890" w:type="pct"/>
                  <w:vAlign w:val="center"/>
                </w:tcPr>
                <w:p>
                  <w:pPr>
                    <w:jc w:val="center"/>
                    <w:rPr>
                      <w:color w:val="auto"/>
                      <w:highlight w:val="none"/>
                    </w:rPr>
                  </w:pPr>
                  <w:r>
                    <w:rPr>
                      <w:rFonts w:hint="eastAsia"/>
                      <w:color w:val="auto"/>
                      <w:highlight w:val="none"/>
                    </w:rPr>
                    <w:t>0.0269</w:t>
                  </w:r>
                </w:p>
              </w:tc>
              <w:tc>
                <w:tcPr>
                  <w:tcW w:w="802" w:type="pct"/>
                  <w:vAlign w:val="center"/>
                </w:tcPr>
                <w:p>
                  <w:pPr>
                    <w:jc w:val="center"/>
                    <w:rPr>
                      <w:color w:val="auto"/>
                      <w:highlight w:val="none"/>
                    </w:rPr>
                  </w:pPr>
                  <w:r>
                    <w:rPr>
                      <w:color w:val="auto"/>
                      <w:highlight w:val="none"/>
                    </w:rPr>
                    <w:t>0.9</w:t>
                  </w:r>
                </w:p>
              </w:tc>
              <w:tc>
                <w:tcPr>
                  <w:tcW w:w="981" w:type="pct"/>
                  <w:vAlign w:val="center"/>
                </w:tcPr>
                <w:p>
                  <w:pPr>
                    <w:jc w:val="center"/>
                    <w:rPr>
                      <w:color w:val="auto"/>
                      <w:highlight w:val="none"/>
                    </w:rPr>
                  </w:pPr>
                  <w:r>
                    <w:rPr>
                      <w:rFonts w:hint="eastAsia"/>
                      <w:color w:val="auto"/>
                      <w:highlight w:val="none"/>
                    </w:rPr>
                    <w:t>11.99</w:t>
                  </w:r>
                </w:p>
              </w:tc>
              <w:tc>
                <w:tcPr>
                  <w:tcW w:w="1016" w:type="pct"/>
                  <w:vAlign w:val="center"/>
                </w:tcPr>
                <w:p>
                  <w:pPr>
                    <w:jc w:val="center"/>
                    <w:rPr>
                      <w:color w:val="auto"/>
                      <w:highlight w:val="none"/>
                    </w:rPr>
                  </w:pPr>
                  <w:r>
                    <w:rPr>
                      <w:rFonts w:hint="eastAsia"/>
                      <w:color w:val="auto"/>
                      <w:highlight w:val="none"/>
                    </w:rPr>
                    <w:t>2.76</w:t>
                  </w:r>
                </w:p>
              </w:tc>
            </w:tr>
          </w:tbl>
          <w:p>
            <w:pPr>
              <w:adjustRightInd w:val="0"/>
              <w:snapToGrid w:val="0"/>
              <w:spacing w:before="120" w:beforeLines="50" w:line="360" w:lineRule="auto"/>
              <w:ind w:firstLine="422" w:firstLineChars="200"/>
              <w:rPr>
                <w:b/>
                <w:bCs/>
                <w:color w:val="auto"/>
                <w:highlight w:val="none"/>
              </w:rPr>
            </w:pPr>
            <w:r>
              <w:rPr>
                <w:b/>
                <w:bCs/>
                <w:color w:val="auto"/>
                <w:highlight w:val="none"/>
              </w:rPr>
              <w:t>（3）卫生防护距离终值的确定</w:t>
            </w:r>
          </w:p>
          <w:p>
            <w:pPr>
              <w:spacing w:line="360" w:lineRule="auto"/>
              <w:ind w:firstLine="420" w:firstLineChars="200"/>
              <w:rPr>
                <w:bCs/>
                <w:color w:val="auto"/>
                <w:highlight w:val="none"/>
              </w:rPr>
            </w:pPr>
            <w:r>
              <w:rPr>
                <w:color w:val="auto"/>
                <w:highlight w:val="none"/>
              </w:rPr>
              <w:t>根据《大气有害物质无组织排放卫生防护距离推导技术导则》（GB/T39499-2020），如计算初值小于50m时，级差为50m。如计算初值小于50m，卫生防护距离终值取50m，因此项目厂房</w:t>
            </w:r>
            <w:r>
              <w:rPr>
                <w:bCs/>
                <w:color w:val="auto"/>
                <w:highlight w:val="none"/>
              </w:rPr>
              <w:t>卫生防护距离为50米</w:t>
            </w:r>
            <w:r>
              <w:rPr>
                <w:rFonts w:hint="eastAsia"/>
                <w:bCs/>
                <w:color w:val="auto"/>
                <w:highlight w:val="none"/>
              </w:rPr>
              <w:t>。</w:t>
            </w:r>
          </w:p>
          <w:p>
            <w:pPr>
              <w:spacing w:line="360" w:lineRule="auto"/>
              <w:ind w:firstLine="420" w:firstLineChars="200"/>
              <w:rPr>
                <w:bCs/>
                <w:color w:val="auto"/>
                <w:highlight w:val="none"/>
              </w:rPr>
            </w:pPr>
            <w:r>
              <w:rPr>
                <w:color w:val="auto"/>
                <w:highlight w:val="none"/>
              </w:rPr>
              <w:t>根据现场踏勘，本项目生产车间与最近的敏感点</w:t>
            </w:r>
            <w:r>
              <w:rPr>
                <w:rFonts w:hint="eastAsia"/>
                <w:color w:val="auto"/>
                <w:highlight w:val="none"/>
              </w:rPr>
              <w:t>西面</w:t>
            </w:r>
            <w:r>
              <w:rPr>
                <w:color w:val="auto"/>
                <w:highlight w:val="none"/>
              </w:rPr>
              <w:t>的</w:t>
            </w:r>
            <w:r>
              <w:rPr>
                <w:rFonts w:hint="eastAsia"/>
                <w:color w:val="auto"/>
                <w:highlight w:val="none"/>
              </w:rPr>
              <w:t>草莓公寓</w:t>
            </w:r>
            <w:r>
              <w:rPr>
                <w:color w:val="auto"/>
                <w:highlight w:val="none"/>
              </w:rPr>
              <w:t>，与项目车间边界距离约</w:t>
            </w:r>
            <w:r>
              <w:rPr>
                <w:rFonts w:hint="eastAsia"/>
                <w:color w:val="auto"/>
                <w:highlight w:val="none"/>
              </w:rPr>
              <w:t>176</w:t>
            </w:r>
            <w:r>
              <w:rPr>
                <w:color w:val="auto"/>
                <w:highlight w:val="none"/>
              </w:rPr>
              <w:t>米，符合卫生防护距离要求</w:t>
            </w:r>
            <w:r>
              <w:rPr>
                <w:bCs/>
                <w:color w:val="auto"/>
                <w:highlight w:val="none"/>
              </w:rPr>
              <w:t>。本项目卫生防护距离示意图见</w:t>
            </w:r>
            <w:r>
              <w:rPr>
                <w:color w:val="auto"/>
                <w:highlight w:val="none"/>
              </w:rPr>
              <w:t>附图</w:t>
            </w:r>
            <w:r>
              <w:rPr>
                <w:rFonts w:hint="eastAsia"/>
                <w:color w:val="auto"/>
                <w:highlight w:val="none"/>
              </w:rPr>
              <w:t>6</w:t>
            </w:r>
            <w:r>
              <w:rPr>
                <w:bCs/>
                <w:color w:val="auto"/>
                <w:highlight w:val="none"/>
              </w:rPr>
              <w:t>。</w:t>
            </w:r>
          </w:p>
          <w:p>
            <w:pPr>
              <w:adjustRightInd w:val="0"/>
              <w:snapToGrid w:val="0"/>
              <w:spacing w:line="360" w:lineRule="auto"/>
              <w:ind w:firstLine="422" w:firstLineChars="200"/>
              <w:jc w:val="left"/>
              <w:rPr>
                <w:b/>
                <w:bCs/>
                <w:color w:val="auto"/>
                <w:szCs w:val="21"/>
                <w:highlight w:val="none"/>
              </w:rPr>
            </w:pPr>
            <w:r>
              <w:rPr>
                <w:rFonts w:hint="eastAsia"/>
                <w:b/>
                <w:bCs/>
                <w:color w:val="auto"/>
                <w:szCs w:val="21"/>
                <w:highlight w:val="none"/>
              </w:rPr>
              <w:t>二、废水</w:t>
            </w:r>
          </w:p>
          <w:p>
            <w:pPr>
              <w:adjustRightInd w:val="0"/>
              <w:snapToGrid w:val="0"/>
              <w:spacing w:line="360" w:lineRule="auto"/>
              <w:ind w:firstLine="422" w:firstLineChars="200"/>
              <w:rPr>
                <w:b/>
                <w:bCs/>
                <w:color w:val="auto"/>
                <w:szCs w:val="21"/>
                <w:highlight w:val="none"/>
              </w:rPr>
            </w:pPr>
            <w:r>
              <w:rPr>
                <w:rFonts w:hint="eastAsia"/>
                <w:b/>
                <w:bCs/>
                <w:color w:val="auto"/>
                <w:szCs w:val="21"/>
                <w:highlight w:val="none"/>
              </w:rPr>
              <w:t>1.废水源强</w:t>
            </w:r>
          </w:p>
          <w:p>
            <w:pPr>
              <w:pStyle w:val="41"/>
              <w:spacing w:line="360" w:lineRule="auto"/>
              <w:jc w:val="center"/>
              <w:rPr>
                <w:rFonts w:hint="default" w:ascii="Times New Roman" w:cs="Times New Roman"/>
                <w:b/>
                <w:color w:val="auto"/>
                <w:sz w:val="21"/>
                <w:szCs w:val="21"/>
                <w:highlight w:val="none"/>
              </w:rPr>
            </w:pPr>
            <w:r>
              <w:rPr>
                <w:rFonts w:ascii="Times New Roman" w:cs="Times New Roman"/>
                <w:b/>
                <w:color w:val="auto"/>
                <w:sz w:val="21"/>
                <w:szCs w:val="21"/>
                <w:highlight w:val="none"/>
              </w:rPr>
              <w:t>表4-1</w:t>
            </w:r>
            <w:r>
              <w:rPr>
                <w:rFonts w:hint="eastAsia" w:ascii="Times New Roman" w:cs="Times New Roman"/>
                <w:b/>
                <w:color w:val="auto"/>
                <w:sz w:val="21"/>
                <w:szCs w:val="21"/>
                <w:highlight w:val="none"/>
                <w:lang w:val="en-US" w:eastAsia="zh-CN"/>
              </w:rPr>
              <w:t>1</w:t>
            </w:r>
            <w:r>
              <w:rPr>
                <w:rFonts w:ascii="Times New Roman" w:cs="Times New Roman"/>
                <w:b/>
                <w:color w:val="auto"/>
                <w:sz w:val="21"/>
                <w:szCs w:val="21"/>
                <w:highlight w:val="none"/>
              </w:rPr>
              <w:t xml:space="preserve"> 废水污染源强核算结果及相关参数一览表</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8"/>
              <w:gridCol w:w="875"/>
              <w:gridCol w:w="747"/>
              <w:gridCol w:w="899"/>
              <w:gridCol w:w="547"/>
              <w:gridCol w:w="728"/>
              <w:gridCol w:w="608"/>
              <w:gridCol w:w="507"/>
              <w:gridCol w:w="899"/>
              <w:gridCol w:w="518"/>
              <w:gridCol w:w="847"/>
              <w:gridCol w:w="966"/>
              <w:gridCol w:w="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jc w:val="center"/>
              </w:trPr>
              <w:tc>
                <w:tcPr>
                  <w:tcW w:w="0" w:type="auto"/>
                  <w:vMerge w:val="restart"/>
                  <w:vAlign w:val="center"/>
                </w:tcPr>
                <w:p>
                  <w:pPr>
                    <w:pStyle w:val="41"/>
                    <w:snapToGrid w:val="0"/>
                    <w:jc w:val="center"/>
                    <w:rPr>
                      <w:rFonts w:hint="default" w:ascii="Times New Roman" w:cs="Times New Roman"/>
                      <w:b/>
                      <w:bCs/>
                      <w:color w:val="auto"/>
                      <w:sz w:val="21"/>
                      <w:szCs w:val="21"/>
                      <w:highlight w:val="none"/>
                    </w:rPr>
                  </w:pPr>
                  <w:r>
                    <w:rPr>
                      <w:rFonts w:ascii="Times New Roman" w:cs="Times New Roman"/>
                      <w:b/>
                      <w:bCs/>
                      <w:color w:val="auto"/>
                      <w:sz w:val="21"/>
                      <w:szCs w:val="21"/>
                      <w:highlight w:val="none"/>
                    </w:rPr>
                    <w:t>产排污环节</w:t>
                  </w:r>
                </w:p>
              </w:tc>
              <w:tc>
                <w:tcPr>
                  <w:tcW w:w="0" w:type="auto"/>
                  <w:vMerge w:val="restart"/>
                  <w:vAlign w:val="center"/>
                </w:tcPr>
                <w:p>
                  <w:pPr>
                    <w:pStyle w:val="41"/>
                    <w:snapToGrid w:val="0"/>
                    <w:jc w:val="center"/>
                    <w:rPr>
                      <w:rFonts w:hint="default" w:ascii="Times New Roman" w:cs="Times New Roman"/>
                      <w:b/>
                      <w:bCs/>
                      <w:color w:val="auto"/>
                      <w:sz w:val="21"/>
                      <w:szCs w:val="21"/>
                      <w:highlight w:val="none"/>
                    </w:rPr>
                  </w:pPr>
                  <w:r>
                    <w:rPr>
                      <w:rFonts w:ascii="Times New Roman" w:cs="Times New Roman"/>
                      <w:b/>
                      <w:bCs/>
                      <w:color w:val="auto"/>
                      <w:sz w:val="21"/>
                      <w:szCs w:val="21"/>
                      <w:highlight w:val="none"/>
                    </w:rPr>
                    <w:t>污染物种类</w:t>
                  </w:r>
                </w:p>
              </w:tc>
              <w:tc>
                <w:tcPr>
                  <w:tcW w:w="0" w:type="auto"/>
                  <w:gridSpan w:val="2"/>
                  <w:vAlign w:val="center"/>
                </w:tcPr>
                <w:p>
                  <w:pPr>
                    <w:pStyle w:val="41"/>
                    <w:snapToGrid w:val="0"/>
                    <w:jc w:val="center"/>
                    <w:rPr>
                      <w:rFonts w:hint="default" w:ascii="Times New Roman" w:cs="Times New Roman"/>
                      <w:b/>
                      <w:bCs/>
                      <w:color w:val="auto"/>
                      <w:sz w:val="21"/>
                      <w:szCs w:val="21"/>
                      <w:highlight w:val="none"/>
                    </w:rPr>
                  </w:pPr>
                  <w:r>
                    <w:rPr>
                      <w:rFonts w:ascii="Times New Roman" w:cs="Times New Roman"/>
                      <w:b/>
                      <w:bCs/>
                      <w:color w:val="auto"/>
                      <w:sz w:val="21"/>
                      <w:szCs w:val="21"/>
                      <w:highlight w:val="none"/>
                    </w:rPr>
                    <w:t>污染物</w:t>
                  </w:r>
                </w:p>
                <w:p>
                  <w:pPr>
                    <w:pStyle w:val="41"/>
                    <w:snapToGrid w:val="0"/>
                    <w:jc w:val="center"/>
                    <w:rPr>
                      <w:rFonts w:hint="default" w:ascii="Times New Roman" w:cs="Times New Roman"/>
                      <w:b/>
                      <w:bCs/>
                      <w:color w:val="auto"/>
                      <w:sz w:val="21"/>
                      <w:szCs w:val="21"/>
                      <w:highlight w:val="none"/>
                    </w:rPr>
                  </w:pPr>
                  <w:r>
                    <w:rPr>
                      <w:rFonts w:ascii="Times New Roman" w:cs="Times New Roman"/>
                      <w:b/>
                      <w:bCs/>
                      <w:color w:val="auto"/>
                      <w:sz w:val="21"/>
                      <w:szCs w:val="21"/>
                      <w:highlight w:val="none"/>
                    </w:rPr>
                    <w:t>产生情况</w:t>
                  </w:r>
                </w:p>
              </w:tc>
              <w:tc>
                <w:tcPr>
                  <w:tcW w:w="0" w:type="auto"/>
                  <w:vMerge w:val="restart"/>
                  <w:vAlign w:val="center"/>
                </w:tcPr>
                <w:p>
                  <w:pPr>
                    <w:pStyle w:val="41"/>
                    <w:snapToGrid w:val="0"/>
                    <w:jc w:val="center"/>
                    <w:rPr>
                      <w:rFonts w:hint="default" w:ascii="Times New Roman" w:cs="Times New Roman"/>
                      <w:b/>
                      <w:bCs/>
                      <w:color w:val="auto"/>
                      <w:sz w:val="21"/>
                      <w:szCs w:val="21"/>
                      <w:highlight w:val="none"/>
                    </w:rPr>
                  </w:pPr>
                  <w:r>
                    <w:rPr>
                      <w:rFonts w:ascii="Times New Roman" w:cs="Times New Roman"/>
                      <w:b/>
                      <w:bCs/>
                      <w:color w:val="auto"/>
                      <w:sz w:val="21"/>
                      <w:szCs w:val="21"/>
                      <w:highlight w:val="none"/>
                    </w:rPr>
                    <w:t>治理措施</w:t>
                  </w:r>
                </w:p>
                <w:p>
                  <w:pPr>
                    <w:pStyle w:val="41"/>
                    <w:snapToGrid w:val="0"/>
                    <w:jc w:val="center"/>
                    <w:rPr>
                      <w:rFonts w:hint="default" w:ascii="Times New Roman" w:cs="Times New Roman"/>
                      <w:b/>
                      <w:bCs/>
                      <w:color w:val="auto"/>
                      <w:sz w:val="21"/>
                      <w:szCs w:val="21"/>
                      <w:highlight w:val="none"/>
                    </w:rPr>
                  </w:pPr>
                </w:p>
              </w:tc>
              <w:tc>
                <w:tcPr>
                  <w:tcW w:w="0" w:type="auto"/>
                  <w:vMerge w:val="restart"/>
                  <w:vAlign w:val="center"/>
                </w:tcPr>
                <w:p>
                  <w:pPr>
                    <w:pStyle w:val="41"/>
                    <w:snapToGrid w:val="0"/>
                    <w:jc w:val="center"/>
                    <w:rPr>
                      <w:rFonts w:hint="default" w:ascii="Times New Roman" w:cs="Times New Roman"/>
                      <w:b/>
                      <w:bCs/>
                      <w:color w:val="auto"/>
                      <w:sz w:val="21"/>
                      <w:szCs w:val="21"/>
                      <w:highlight w:val="none"/>
                    </w:rPr>
                  </w:pPr>
                  <w:r>
                    <w:rPr>
                      <w:rFonts w:ascii="Times New Roman" w:cs="Times New Roman"/>
                      <w:b/>
                      <w:bCs/>
                      <w:color w:val="auto"/>
                      <w:sz w:val="21"/>
                      <w:szCs w:val="21"/>
                      <w:highlight w:val="none"/>
                    </w:rPr>
                    <w:t>治理效率%</w:t>
                  </w:r>
                </w:p>
              </w:tc>
              <w:tc>
                <w:tcPr>
                  <w:tcW w:w="0" w:type="auto"/>
                  <w:vMerge w:val="restart"/>
                  <w:vAlign w:val="center"/>
                </w:tcPr>
                <w:p>
                  <w:pPr>
                    <w:pStyle w:val="41"/>
                    <w:snapToGrid w:val="0"/>
                    <w:jc w:val="center"/>
                    <w:rPr>
                      <w:rFonts w:hint="default" w:ascii="Times New Roman" w:cs="Times New Roman"/>
                      <w:b/>
                      <w:bCs/>
                      <w:color w:val="auto"/>
                      <w:sz w:val="21"/>
                      <w:szCs w:val="21"/>
                      <w:highlight w:val="none"/>
                    </w:rPr>
                  </w:pPr>
                  <w:r>
                    <w:rPr>
                      <w:rFonts w:ascii="Times New Roman" w:cs="Times New Roman"/>
                      <w:b/>
                      <w:bCs/>
                      <w:color w:val="auto"/>
                      <w:sz w:val="21"/>
                      <w:szCs w:val="21"/>
                      <w:highlight w:val="none"/>
                    </w:rPr>
                    <w:t>是否为可行技术</w:t>
                  </w:r>
                </w:p>
              </w:tc>
              <w:tc>
                <w:tcPr>
                  <w:tcW w:w="0" w:type="auto"/>
                  <w:gridSpan w:val="2"/>
                  <w:vAlign w:val="center"/>
                </w:tcPr>
                <w:p>
                  <w:pPr>
                    <w:pStyle w:val="41"/>
                    <w:snapToGrid w:val="0"/>
                    <w:jc w:val="center"/>
                    <w:rPr>
                      <w:rFonts w:hint="default" w:ascii="Times New Roman" w:cs="Times New Roman"/>
                      <w:b/>
                      <w:bCs/>
                      <w:color w:val="auto"/>
                      <w:sz w:val="21"/>
                      <w:szCs w:val="21"/>
                      <w:highlight w:val="none"/>
                    </w:rPr>
                  </w:pPr>
                  <w:r>
                    <w:rPr>
                      <w:rFonts w:ascii="Times New Roman" w:cs="Times New Roman"/>
                      <w:b/>
                      <w:bCs/>
                      <w:color w:val="auto"/>
                      <w:sz w:val="21"/>
                      <w:szCs w:val="21"/>
                      <w:highlight w:val="none"/>
                    </w:rPr>
                    <w:t>污染物</w:t>
                  </w:r>
                </w:p>
                <w:p>
                  <w:pPr>
                    <w:pStyle w:val="41"/>
                    <w:snapToGrid w:val="0"/>
                    <w:jc w:val="center"/>
                    <w:rPr>
                      <w:rFonts w:hint="default" w:ascii="Times New Roman" w:cs="Times New Roman"/>
                      <w:b/>
                      <w:bCs/>
                      <w:color w:val="auto"/>
                      <w:sz w:val="21"/>
                      <w:szCs w:val="21"/>
                      <w:highlight w:val="none"/>
                    </w:rPr>
                  </w:pPr>
                  <w:r>
                    <w:rPr>
                      <w:rFonts w:ascii="Times New Roman" w:cs="Times New Roman"/>
                      <w:b/>
                      <w:bCs/>
                      <w:color w:val="auto"/>
                      <w:sz w:val="21"/>
                      <w:szCs w:val="21"/>
                      <w:highlight w:val="none"/>
                    </w:rPr>
                    <w:t>排放情况</w:t>
                  </w:r>
                </w:p>
              </w:tc>
              <w:tc>
                <w:tcPr>
                  <w:tcW w:w="0" w:type="auto"/>
                  <w:vMerge w:val="restart"/>
                  <w:vAlign w:val="center"/>
                </w:tcPr>
                <w:p>
                  <w:pPr>
                    <w:pStyle w:val="41"/>
                    <w:snapToGrid w:val="0"/>
                    <w:jc w:val="center"/>
                    <w:rPr>
                      <w:rFonts w:hint="default" w:ascii="Times New Roman" w:cs="Times New Roman"/>
                      <w:b/>
                      <w:bCs/>
                      <w:color w:val="auto"/>
                      <w:sz w:val="21"/>
                      <w:szCs w:val="21"/>
                      <w:highlight w:val="none"/>
                    </w:rPr>
                  </w:pPr>
                  <w:r>
                    <w:rPr>
                      <w:rFonts w:ascii="Times New Roman" w:cs="Times New Roman"/>
                      <w:b/>
                      <w:bCs/>
                      <w:color w:val="auto"/>
                      <w:sz w:val="21"/>
                      <w:szCs w:val="21"/>
                      <w:highlight w:val="none"/>
                    </w:rPr>
                    <w:t>排放方式</w:t>
                  </w:r>
                </w:p>
              </w:tc>
              <w:tc>
                <w:tcPr>
                  <w:tcW w:w="0" w:type="auto"/>
                  <w:vMerge w:val="restart"/>
                  <w:vAlign w:val="center"/>
                </w:tcPr>
                <w:p>
                  <w:pPr>
                    <w:pStyle w:val="41"/>
                    <w:snapToGrid w:val="0"/>
                    <w:jc w:val="center"/>
                    <w:rPr>
                      <w:rFonts w:hint="default" w:ascii="Times New Roman" w:cs="Times New Roman"/>
                      <w:b/>
                      <w:bCs/>
                      <w:color w:val="auto"/>
                      <w:sz w:val="21"/>
                      <w:szCs w:val="21"/>
                      <w:highlight w:val="none"/>
                    </w:rPr>
                  </w:pPr>
                  <w:r>
                    <w:rPr>
                      <w:rFonts w:ascii="Times New Roman" w:cs="Times New Roman"/>
                      <w:b/>
                      <w:bCs/>
                      <w:color w:val="auto"/>
                      <w:sz w:val="21"/>
                      <w:szCs w:val="21"/>
                      <w:highlight w:val="none"/>
                    </w:rPr>
                    <w:t>排放去向</w:t>
                  </w:r>
                </w:p>
              </w:tc>
              <w:tc>
                <w:tcPr>
                  <w:tcW w:w="0" w:type="auto"/>
                  <w:gridSpan w:val="2"/>
                  <w:vAlign w:val="center"/>
                </w:tcPr>
                <w:p>
                  <w:pPr>
                    <w:pStyle w:val="41"/>
                    <w:snapToGrid w:val="0"/>
                    <w:jc w:val="center"/>
                    <w:rPr>
                      <w:rFonts w:hint="default" w:ascii="Times New Roman" w:cs="Times New Roman"/>
                      <w:b/>
                      <w:bCs/>
                      <w:color w:val="auto"/>
                      <w:sz w:val="21"/>
                      <w:szCs w:val="21"/>
                      <w:highlight w:val="none"/>
                    </w:rPr>
                  </w:pPr>
                  <w:r>
                    <w:rPr>
                      <w:rFonts w:ascii="Times New Roman" w:cs="Times New Roman"/>
                      <w:b/>
                      <w:bCs/>
                      <w:color w:val="auto"/>
                      <w:sz w:val="21"/>
                      <w:szCs w:val="21"/>
                      <w:highlight w:val="none"/>
                    </w:rPr>
                    <w:t>博罗县园洲镇第五生活污水处理厂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jc w:val="center"/>
              </w:trPr>
              <w:tc>
                <w:tcPr>
                  <w:tcW w:w="0" w:type="auto"/>
                  <w:vMerge w:val="continue"/>
                  <w:vAlign w:val="center"/>
                </w:tcPr>
                <w:p>
                  <w:pPr>
                    <w:pStyle w:val="41"/>
                    <w:snapToGrid w:val="0"/>
                    <w:jc w:val="center"/>
                    <w:rPr>
                      <w:rFonts w:hint="default" w:ascii="Times New Roman" w:cs="Times New Roman"/>
                      <w:b/>
                      <w:bCs/>
                      <w:color w:val="auto"/>
                      <w:sz w:val="21"/>
                      <w:szCs w:val="21"/>
                      <w:highlight w:val="none"/>
                    </w:rPr>
                  </w:pPr>
                </w:p>
              </w:tc>
              <w:tc>
                <w:tcPr>
                  <w:tcW w:w="0" w:type="auto"/>
                  <w:vMerge w:val="continue"/>
                  <w:vAlign w:val="center"/>
                </w:tcPr>
                <w:p>
                  <w:pPr>
                    <w:pStyle w:val="41"/>
                    <w:snapToGrid w:val="0"/>
                    <w:jc w:val="center"/>
                    <w:rPr>
                      <w:rFonts w:hint="default" w:ascii="Times New Roman" w:cs="Times New Roman"/>
                      <w:b/>
                      <w:bCs/>
                      <w:color w:val="auto"/>
                      <w:sz w:val="21"/>
                      <w:szCs w:val="21"/>
                      <w:highlight w:val="none"/>
                    </w:rPr>
                  </w:pPr>
                </w:p>
              </w:tc>
              <w:tc>
                <w:tcPr>
                  <w:tcW w:w="0" w:type="auto"/>
                  <w:vAlign w:val="center"/>
                </w:tcPr>
                <w:p>
                  <w:pPr>
                    <w:pStyle w:val="41"/>
                    <w:snapToGrid w:val="0"/>
                    <w:jc w:val="center"/>
                    <w:rPr>
                      <w:rFonts w:hint="default" w:ascii="Times New Roman" w:cs="Times New Roman"/>
                      <w:b/>
                      <w:bCs/>
                      <w:color w:val="auto"/>
                      <w:sz w:val="21"/>
                      <w:szCs w:val="21"/>
                      <w:highlight w:val="none"/>
                    </w:rPr>
                  </w:pPr>
                  <w:r>
                    <w:rPr>
                      <w:rFonts w:ascii="Times New Roman" w:cs="Times New Roman"/>
                      <w:b/>
                      <w:bCs/>
                      <w:color w:val="auto"/>
                      <w:sz w:val="21"/>
                      <w:szCs w:val="21"/>
                      <w:highlight w:val="none"/>
                    </w:rPr>
                    <w:t>产生浓度</w:t>
                  </w:r>
                </w:p>
              </w:tc>
              <w:tc>
                <w:tcPr>
                  <w:tcW w:w="0" w:type="auto"/>
                  <w:vAlign w:val="center"/>
                </w:tcPr>
                <w:p>
                  <w:pPr>
                    <w:pStyle w:val="41"/>
                    <w:snapToGrid w:val="0"/>
                    <w:jc w:val="center"/>
                    <w:rPr>
                      <w:rFonts w:hint="default" w:ascii="Times New Roman" w:cs="Times New Roman"/>
                      <w:b/>
                      <w:bCs/>
                      <w:color w:val="auto"/>
                      <w:sz w:val="21"/>
                      <w:szCs w:val="21"/>
                      <w:highlight w:val="none"/>
                    </w:rPr>
                  </w:pPr>
                  <w:r>
                    <w:rPr>
                      <w:rFonts w:ascii="Times New Roman" w:cs="Times New Roman"/>
                      <w:b/>
                      <w:bCs/>
                      <w:color w:val="auto"/>
                      <w:sz w:val="21"/>
                      <w:szCs w:val="21"/>
                      <w:highlight w:val="none"/>
                    </w:rPr>
                    <w:t>产生量</w:t>
                  </w:r>
                </w:p>
              </w:tc>
              <w:tc>
                <w:tcPr>
                  <w:tcW w:w="0" w:type="auto"/>
                  <w:vMerge w:val="continue"/>
                  <w:vAlign w:val="center"/>
                </w:tcPr>
                <w:p>
                  <w:pPr>
                    <w:pStyle w:val="41"/>
                    <w:snapToGrid w:val="0"/>
                    <w:jc w:val="center"/>
                    <w:rPr>
                      <w:rFonts w:hint="default" w:ascii="Times New Roman" w:cs="Times New Roman"/>
                      <w:b/>
                      <w:bCs/>
                      <w:color w:val="auto"/>
                      <w:sz w:val="21"/>
                      <w:szCs w:val="21"/>
                      <w:highlight w:val="none"/>
                    </w:rPr>
                  </w:pPr>
                </w:p>
              </w:tc>
              <w:tc>
                <w:tcPr>
                  <w:tcW w:w="0" w:type="auto"/>
                  <w:vMerge w:val="continue"/>
                  <w:vAlign w:val="center"/>
                </w:tcPr>
                <w:p>
                  <w:pPr>
                    <w:pStyle w:val="41"/>
                    <w:snapToGrid w:val="0"/>
                    <w:jc w:val="center"/>
                    <w:rPr>
                      <w:rFonts w:hint="default" w:ascii="Times New Roman" w:cs="Times New Roman"/>
                      <w:b/>
                      <w:bCs/>
                      <w:color w:val="auto"/>
                      <w:sz w:val="21"/>
                      <w:szCs w:val="21"/>
                      <w:highlight w:val="none"/>
                    </w:rPr>
                  </w:pPr>
                </w:p>
              </w:tc>
              <w:tc>
                <w:tcPr>
                  <w:tcW w:w="0" w:type="auto"/>
                  <w:vMerge w:val="continue"/>
                  <w:vAlign w:val="center"/>
                </w:tcPr>
                <w:p>
                  <w:pPr>
                    <w:pStyle w:val="41"/>
                    <w:snapToGrid w:val="0"/>
                    <w:jc w:val="center"/>
                    <w:rPr>
                      <w:rFonts w:hint="default" w:ascii="Times New Roman" w:cs="Times New Roman"/>
                      <w:b/>
                      <w:bCs/>
                      <w:color w:val="auto"/>
                      <w:sz w:val="21"/>
                      <w:szCs w:val="21"/>
                      <w:highlight w:val="none"/>
                    </w:rPr>
                  </w:pPr>
                </w:p>
              </w:tc>
              <w:tc>
                <w:tcPr>
                  <w:tcW w:w="0" w:type="auto"/>
                  <w:vAlign w:val="center"/>
                </w:tcPr>
                <w:p>
                  <w:pPr>
                    <w:pStyle w:val="41"/>
                    <w:snapToGrid w:val="0"/>
                    <w:jc w:val="center"/>
                    <w:rPr>
                      <w:rFonts w:hint="default" w:ascii="Times New Roman" w:cs="Times New Roman"/>
                      <w:b/>
                      <w:bCs/>
                      <w:color w:val="auto"/>
                      <w:sz w:val="21"/>
                      <w:szCs w:val="21"/>
                      <w:highlight w:val="none"/>
                    </w:rPr>
                  </w:pPr>
                  <w:r>
                    <w:rPr>
                      <w:rFonts w:ascii="Times New Roman" w:cs="Times New Roman"/>
                      <w:b/>
                      <w:bCs/>
                      <w:color w:val="auto"/>
                      <w:sz w:val="21"/>
                      <w:szCs w:val="21"/>
                      <w:highlight w:val="none"/>
                    </w:rPr>
                    <w:t>废水量</w:t>
                  </w:r>
                </w:p>
              </w:tc>
              <w:tc>
                <w:tcPr>
                  <w:tcW w:w="0" w:type="auto"/>
                  <w:vAlign w:val="center"/>
                </w:tcPr>
                <w:p>
                  <w:pPr>
                    <w:pStyle w:val="41"/>
                    <w:snapToGrid w:val="0"/>
                    <w:jc w:val="center"/>
                    <w:rPr>
                      <w:rFonts w:hint="default" w:ascii="Times New Roman" w:cs="Times New Roman"/>
                      <w:b/>
                      <w:bCs/>
                      <w:color w:val="auto"/>
                      <w:sz w:val="21"/>
                      <w:szCs w:val="21"/>
                      <w:highlight w:val="none"/>
                    </w:rPr>
                  </w:pPr>
                  <w:r>
                    <w:rPr>
                      <w:rFonts w:ascii="Times New Roman" w:cs="Times New Roman"/>
                      <w:b/>
                      <w:bCs/>
                      <w:color w:val="auto"/>
                      <w:sz w:val="21"/>
                      <w:szCs w:val="21"/>
                      <w:highlight w:val="none"/>
                    </w:rPr>
                    <w:t>排放量</w:t>
                  </w:r>
                </w:p>
              </w:tc>
              <w:tc>
                <w:tcPr>
                  <w:tcW w:w="0" w:type="auto"/>
                  <w:vMerge w:val="continue"/>
                  <w:vAlign w:val="center"/>
                </w:tcPr>
                <w:p>
                  <w:pPr>
                    <w:pStyle w:val="41"/>
                    <w:snapToGrid w:val="0"/>
                    <w:jc w:val="center"/>
                    <w:rPr>
                      <w:rFonts w:hint="default" w:ascii="Times New Roman" w:cs="Times New Roman"/>
                      <w:b/>
                      <w:bCs/>
                      <w:color w:val="auto"/>
                      <w:sz w:val="21"/>
                      <w:szCs w:val="21"/>
                      <w:highlight w:val="none"/>
                    </w:rPr>
                  </w:pPr>
                </w:p>
              </w:tc>
              <w:tc>
                <w:tcPr>
                  <w:tcW w:w="0" w:type="auto"/>
                  <w:vMerge w:val="continue"/>
                  <w:vAlign w:val="center"/>
                </w:tcPr>
                <w:p>
                  <w:pPr>
                    <w:pStyle w:val="41"/>
                    <w:snapToGrid w:val="0"/>
                    <w:jc w:val="center"/>
                    <w:rPr>
                      <w:rFonts w:hint="default" w:ascii="Times New Roman" w:cs="Times New Roman"/>
                      <w:b/>
                      <w:bCs/>
                      <w:color w:val="auto"/>
                      <w:sz w:val="21"/>
                      <w:szCs w:val="21"/>
                      <w:highlight w:val="none"/>
                    </w:rPr>
                  </w:pPr>
                </w:p>
              </w:tc>
              <w:tc>
                <w:tcPr>
                  <w:tcW w:w="0" w:type="auto"/>
                  <w:vMerge w:val="restart"/>
                  <w:vAlign w:val="center"/>
                </w:tcPr>
                <w:p>
                  <w:pPr>
                    <w:pStyle w:val="41"/>
                    <w:snapToGrid w:val="0"/>
                    <w:jc w:val="center"/>
                    <w:rPr>
                      <w:rFonts w:hint="default" w:ascii="Times New Roman" w:cs="Times New Roman"/>
                      <w:b/>
                      <w:bCs/>
                      <w:color w:val="auto"/>
                      <w:sz w:val="21"/>
                      <w:szCs w:val="21"/>
                      <w:highlight w:val="none"/>
                    </w:rPr>
                  </w:pPr>
                  <w:r>
                    <w:rPr>
                      <w:rFonts w:ascii="Times New Roman" w:cs="Times New Roman"/>
                      <w:b/>
                      <w:bCs/>
                      <w:color w:val="auto"/>
                      <w:sz w:val="21"/>
                      <w:szCs w:val="21"/>
                      <w:highlight w:val="none"/>
                    </w:rPr>
                    <w:t>排放规律</w:t>
                  </w:r>
                </w:p>
              </w:tc>
              <w:tc>
                <w:tcPr>
                  <w:tcW w:w="0" w:type="auto"/>
                  <w:vAlign w:val="center"/>
                </w:tcPr>
                <w:p>
                  <w:pPr>
                    <w:pStyle w:val="41"/>
                    <w:snapToGrid w:val="0"/>
                    <w:jc w:val="center"/>
                    <w:rPr>
                      <w:rFonts w:hint="default" w:ascii="Times New Roman" w:cs="Times New Roman"/>
                      <w:b/>
                      <w:bCs/>
                      <w:color w:val="auto"/>
                      <w:sz w:val="21"/>
                      <w:szCs w:val="21"/>
                      <w:highlight w:val="none"/>
                    </w:rPr>
                  </w:pPr>
                  <w:r>
                    <w:rPr>
                      <w:rFonts w:ascii="Times New Roman" w:cs="Times New Roman"/>
                      <w:b/>
                      <w:bCs/>
                      <w:color w:val="auto"/>
                      <w:sz w:val="21"/>
                      <w:szCs w:val="21"/>
                      <w:highlight w:val="none"/>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0" w:type="auto"/>
                  <w:vMerge w:val="continue"/>
                  <w:vAlign w:val="center"/>
                </w:tcPr>
                <w:p>
                  <w:pPr>
                    <w:pStyle w:val="41"/>
                    <w:snapToGrid w:val="0"/>
                    <w:jc w:val="center"/>
                    <w:rPr>
                      <w:rFonts w:hint="default" w:ascii="Times New Roman" w:cs="Times New Roman"/>
                      <w:b/>
                      <w:bCs/>
                      <w:color w:val="auto"/>
                      <w:sz w:val="21"/>
                      <w:szCs w:val="21"/>
                      <w:highlight w:val="none"/>
                    </w:rPr>
                  </w:pPr>
                </w:p>
              </w:tc>
              <w:tc>
                <w:tcPr>
                  <w:tcW w:w="0" w:type="auto"/>
                  <w:vMerge w:val="continue"/>
                  <w:vAlign w:val="center"/>
                </w:tcPr>
                <w:p>
                  <w:pPr>
                    <w:pStyle w:val="41"/>
                    <w:snapToGrid w:val="0"/>
                    <w:jc w:val="center"/>
                    <w:rPr>
                      <w:rFonts w:hint="default" w:ascii="Times New Roman" w:cs="Times New Roman"/>
                      <w:b/>
                      <w:bCs/>
                      <w:color w:val="auto"/>
                      <w:sz w:val="21"/>
                      <w:szCs w:val="21"/>
                      <w:highlight w:val="none"/>
                    </w:rPr>
                  </w:pPr>
                </w:p>
              </w:tc>
              <w:tc>
                <w:tcPr>
                  <w:tcW w:w="0" w:type="auto"/>
                  <w:vAlign w:val="center"/>
                </w:tcPr>
                <w:p>
                  <w:pPr>
                    <w:pStyle w:val="41"/>
                    <w:snapToGrid w:val="0"/>
                    <w:jc w:val="center"/>
                    <w:rPr>
                      <w:rFonts w:hint="default" w:ascii="Times New Roman" w:cs="Times New Roman"/>
                      <w:b/>
                      <w:bCs/>
                      <w:color w:val="auto"/>
                      <w:sz w:val="21"/>
                      <w:szCs w:val="21"/>
                      <w:highlight w:val="none"/>
                    </w:rPr>
                  </w:pPr>
                  <w:r>
                    <w:rPr>
                      <w:rFonts w:ascii="Times New Roman" w:cs="Times New Roman"/>
                      <w:b/>
                      <w:bCs/>
                      <w:color w:val="auto"/>
                      <w:sz w:val="21"/>
                      <w:szCs w:val="21"/>
                      <w:highlight w:val="none"/>
                    </w:rPr>
                    <w:t>mg/L</w:t>
                  </w:r>
                </w:p>
              </w:tc>
              <w:tc>
                <w:tcPr>
                  <w:tcW w:w="0" w:type="auto"/>
                  <w:vAlign w:val="center"/>
                </w:tcPr>
                <w:p>
                  <w:pPr>
                    <w:pStyle w:val="41"/>
                    <w:snapToGrid w:val="0"/>
                    <w:jc w:val="center"/>
                    <w:rPr>
                      <w:rFonts w:hint="default" w:ascii="Times New Roman" w:cs="Times New Roman"/>
                      <w:b/>
                      <w:bCs/>
                      <w:color w:val="auto"/>
                      <w:sz w:val="21"/>
                      <w:szCs w:val="21"/>
                      <w:highlight w:val="none"/>
                    </w:rPr>
                  </w:pPr>
                  <w:r>
                    <w:rPr>
                      <w:rFonts w:ascii="Times New Roman" w:cs="Times New Roman"/>
                      <w:b/>
                      <w:bCs/>
                      <w:color w:val="auto"/>
                      <w:sz w:val="21"/>
                      <w:szCs w:val="21"/>
                      <w:highlight w:val="none"/>
                    </w:rPr>
                    <w:t>t/a</w:t>
                  </w:r>
                </w:p>
              </w:tc>
              <w:tc>
                <w:tcPr>
                  <w:tcW w:w="0" w:type="auto"/>
                  <w:vMerge w:val="continue"/>
                  <w:vAlign w:val="center"/>
                </w:tcPr>
                <w:p>
                  <w:pPr>
                    <w:pStyle w:val="41"/>
                    <w:snapToGrid w:val="0"/>
                    <w:jc w:val="center"/>
                    <w:rPr>
                      <w:rFonts w:hint="default" w:ascii="Times New Roman" w:cs="Times New Roman"/>
                      <w:b/>
                      <w:bCs/>
                      <w:color w:val="auto"/>
                      <w:sz w:val="21"/>
                      <w:szCs w:val="21"/>
                      <w:highlight w:val="none"/>
                    </w:rPr>
                  </w:pPr>
                </w:p>
              </w:tc>
              <w:tc>
                <w:tcPr>
                  <w:tcW w:w="0" w:type="auto"/>
                  <w:vMerge w:val="continue"/>
                  <w:vAlign w:val="center"/>
                </w:tcPr>
                <w:p>
                  <w:pPr>
                    <w:pStyle w:val="41"/>
                    <w:snapToGrid w:val="0"/>
                    <w:jc w:val="center"/>
                    <w:rPr>
                      <w:rFonts w:hint="default" w:ascii="Times New Roman" w:cs="Times New Roman"/>
                      <w:b/>
                      <w:bCs/>
                      <w:color w:val="auto"/>
                      <w:sz w:val="21"/>
                      <w:szCs w:val="21"/>
                      <w:highlight w:val="none"/>
                    </w:rPr>
                  </w:pPr>
                </w:p>
              </w:tc>
              <w:tc>
                <w:tcPr>
                  <w:tcW w:w="0" w:type="auto"/>
                  <w:vMerge w:val="continue"/>
                  <w:vAlign w:val="center"/>
                </w:tcPr>
                <w:p>
                  <w:pPr>
                    <w:pStyle w:val="41"/>
                    <w:snapToGrid w:val="0"/>
                    <w:jc w:val="center"/>
                    <w:rPr>
                      <w:rFonts w:hint="default" w:ascii="Times New Roman" w:cs="Times New Roman"/>
                      <w:b/>
                      <w:bCs/>
                      <w:color w:val="auto"/>
                      <w:sz w:val="21"/>
                      <w:szCs w:val="21"/>
                      <w:highlight w:val="none"/>
                    </w:rPr>
                  </w:pPr>
                </w:p>
              </w:tc>
              <w:tc>
                <w:tcPr>
                  <w:tcW w:w="0" w:type="auto"/>
                  <w:vAlign w:val="center"/>
                </w:tcPr>
                <w:p>
                  <w:pPr>
                    <w:pStyle w:val="41"/>
                    <w:snapToGrid w:val="0"/>
                    <w:jc w:val="center"/>
                    <w:rPr>
                      <w:rFonts w:hint="default" w:ascii="Times New Roman" w:cs="Times New Roman"/>
                      <w:b/>
                      <w:bCs/>
                      <w:color w:val="auto"/>
                      <w:sz w:val="21"/>
                      <w:szCs w:val="21"/>
                      <w:highlight w:val="none"/>
                    </w:rPr>
                  </w:pPr>
                  <w:r>
                    <w:rPr>
                      <w:rFonts w:ascii="Times New Roman" w:cs="Times New Roman"/>
                      <w:b/>
                      <w:bCs/>
                      <w:color w:val="auto"/>
                      <w:sz w:val="21"/>
                      <w:szCs w:val="21"/>
                      <w:highlight w:val="none"/>
                    </w:rPr>
                    <w:t>t/a</w:t>
                  </w:r>
                </w:p>
              </w:tc>
              <w:tc>
                <w:tcPr>
                  <w:tcW w:w="0" w:type="auto"/>
                  <w:vAlign w:val="center"/>
                </w:tcPr>
                <w:p>
                  <w:pPr>
                    <w:pStyle w:val="41"/>
                    <w:snapToGrid w:val="0"/>
                    <w:jc w:val="center"/>
                    <w:rPr>
                      <w:rFonts w:hint="default" w:ascii="Times New Roman" w:cs="Times New Roman"/>
                      <w:b/>
                      <w:bCs/>
                      <w:color w:val="auto"/>
                      <w:sz w:val="21"/>
                      <w:szCs w:val="21"/>
                      <w:highlight w:val="none"/>
                    </w:rPr>
                  </w:pPr>
                  <w:r>
                    <w:rPr>
                      <w:rFonts w:ascii="Times New Roman" w:cs="Times New Roman"/>
                      <w:b/>
                      <w:bCs/>
                      <w:color w:val="auto"/>
                      <w:sz w:val="21"/>
                      <w:szCs w:val="21"/>
                      <w:highlight w:val="none"/>
                    </w:rPr>
                    <w:t>t/a</w:t>
                  </w:r>
                </w:p>
              </w:tc>
              <w:tc>
                <w:tcPr>
                  <w:tcW w:w="0" w:type="auto"/>
                  <w:vMerge w:val="continue"/>
                  <w:vAlign w:val="center"/>
                </w:tcPr>
                <w:p>
                  <w:pPr>
                    <w:pStyle w:val="41"/>
                    <w:snapToGrid w:val="0"/>
                    <w:jc w:val="center"/>
                    <w:rPr>
                      <w:rFonts w:hint="default" w:ascii="Times New Roman" w:cs="Times New Roman"/>
                      <w:b/>
                      <w:bCs/>
                      <w:color w:val="auto"/>
                      <w:sz w:val="21"/>
                      <w:szCs w:val="21"/>
                      <w:highlight w:val="none"/>
                    </w:rPr>
                  </w:pPr>
                </w:p>
              </w:tc>
              <w:tc>
                <w:tcPr>
                  <w:tcW w:w="0" w:type="auto"/>
                  <w:vMerge w:val="continue"/>
                  <w:vAlign w:val="center"/>
                </w:tcPr>
                <w:p>
                  <w:pPr>
                    <w:pStyle w:val="41"/>
                    <w:snapToGrid w:val="0"/>
                    <w:jc w:val="center"/>
                    <w:rPr>
                      <w:rFonts w:hint="default" w:ascii="Times New Roman" w:cs="Times New Roman"/>
                      <w:b/>
                      <w:bCs/>
                      <w:color w:val="auto"/>
                      <w:sz w:val="21"/>
                      <w:szCs w:val="21"/>
                      <w:highlight w:val="none"/>
                    </w:rPr>
                  </w:pPr>
                </w:p>
              </w:tc>
              <w:tc>
                <w:tcPr>
                  <w:tcW w:w="0" w:type="auto"/>
                  <w:vMerge w:val="continue"/>
                  <w:vAlign w:val="center"/>
                </w:tcPr>
                <w:p>
                  <w:pPr>
                    <w:pStyle w:val="41"/>
                    <w:snapToGrid w:val="0"/>
                    <w:jc w:val="center"/>
                    <w:rPr>
                      <w:rFonts w:hint="default" w:ascii="Times New Roman" w:cs="Times New Roman"/>
                      <w:b/>
                      <w:bCs/>
                      <w:color w:val="auto"/>
                      <w:sz w:val="21"/>
                      <w:szCs w:val="21"/>
                      <w:highlight w:val="none"/>
                    </w:rPr>
                  </w:pPr>
                </w:p>
              </w:tc>
              <w:tc>
                <w:tcPr>
                  <w:tcW w:w="0" w:type="auto"/>
                  <w:vAlign w:val="center"/>
                </w:tcPr>
                <w:p>
                  <w:pPr>
                    <w:pStyle w:val="41"/>
                    <w:snapToGrid w:val="0"/>
                    <w:jc w:val="center"/>
                    <w:rPr>
                      <w:rFonts w:hint="default" w:ascii="Times New Roman" w:cs="Times New Roman"/>
                      <w:b/>
                      <w:bCs/>
                      <w:color w:val="auto"/>
                      <w:sz w:val="21"/>
                      <w:szCs w:val="21"/>
                      <w:highlight w:val="none"/>
                    </w:rPr>
                  </w:pPr>
                  <w:r>
                    <w:rPr>
                      <w:rFonts w:ascii="Times New Roman" w:cs="Times New Roman"/>
                      <w:b/>
                      <w:bCs/>
                      <w:color w:val="auto"/>
                      <w:sz w:val="21"/>
                      <w:szCs w:val="21"/>
                      <w:highlight w:val="none"/>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0" w:type="auto"/>
                  <w:vMerge w:val="restart"/>
                  <w:vAlign w:val="center"/>
                </w:tcPr>
                <w:p>
                  <w:pPr>
                    <w:pStyle w:val="41"/>
                    <w:snapToGrid w:val="0"/>
                    <w:jc w:val="center"/>
                    <w:rPr>
                      <w:rFonts w:hint="default" w:ascii="Times New Roman" w:cs="Times New Roman"/>
                      <w:color w:val="auto"/>
                      <w:sz w:val="21"/>
                      <w:szCs w:val="21"/>
                      <w:highlight w:val="none"/>
                    </w:rPr>
                  </w:pPr>
                  <w:r>
                    <w:rPr>
                      <w:rFonts w:ascii="Times New Roman" w:cs="Times New Roman"/>
                      <w:color w:val="auto"/>
                      <w:sz w:val="21"/>
                      <w:szCs w:val="21"/>
                      <w:highlight w:val="none"/>
                    </w:rPr>
                    <w:t>生活污水</w:t>
                  </w:r>
                </w:p>
              </w:tc>
              <w:tc>
                <w:tcPr>
                  <w:tcW w:w="0" w:type="auto"/>
                  <w:vAlign w:val="center"/>
                </w:tcPr>
                <w:p>
                  <w:pPr>
                    <w:pStyle w:val="41"/>
                    <w:snapToGrid w:val="0"/>
                    <w:jc w:val="center"/>
                    <w:rPr>
                      <w:rFonts w:hint="default" w:ascii="Times New Roman" w:cs="Times New Roman"/>
                      <w:color w:val="auto"/>
                      <w:sz w:val="21"/>
                      <w:szCs w:val="21"/>
                      <w:highlight w:val="none"/>
                    </w:rPr>
                  </w:pPr>
                  <w:r>
                    <w:rPr>
                      <w:rFonts w:ascii="Times New Roman" w:cs="Times New Roman"/>
                      <w:bCs/>
                      <w:color w:val="auto"/>
                      <w:sz w:val="21"/>
                      <w:szCs w:val="21"/>
                      <w:highlight w:val="none"/>
                    </w:rPr>
                    <w:t>COD</w:t>
                  </w:r>
                  <w:r>
                    <w:rPr>
                      <w:rFonts w:ascii="Times New Roman" w:cs="Times New Roman"/>
                      <w:bCs/>
                      <w:color w:val="auto"/>
                      <w:sz w:val="21"/>
                      <w:szCs w:val="21"/>
                      <w:highlight w:val="none"/>
                      <w:vertAlign w:val="subscript"/>
                    </w:rPr>
                    <w:t>Cr</w:t>
                  </w:r>
                </w:p>
              </w:tc>
              <w:tc>
                <w:tcPr>
                  <w:tcW w:w="0" w:type="auto"/>
                  <w:vAlign w:val="center"/>
                </w:tcPr>
                <w:p>
                  <w:pPr>
                    <w:pStyle w:val="41"/>
                    <w:snapToGrid w:val="0"/>
                    <w:jc w:val="center"/>
                    <w:rPr>
                      <w:rFonts w:hint="default" w:ascii="Times New Roman" w:eastAsia="宋体" w:cs="Times New Roman"/>
                      <w:bCs/>
                      <w:color w:val="auto"/>
                      <w:sz w:val="21"/>
                      <w:szCs w:val="21"/>
                      <w:highlight w:val="none"/>
                      <w:lang w:val="en-US" w:eastAsia="zh-CN"/>
                    </w:rPr>
                  </w:pPr>
                  <w:r>
                    <w:rPr>
                      <w:rFonts w:hint="eastAsia" w:ascii="Times New Roman" w:cs="Times New Roman"/>
                      <w:bCs/>
                      <w:color w:val="auto"/>
                      <w:sz w:val="21"/>
                      <w:szCs w:val="21"/>
                      <w:highlight w:val="none"/>
                      <w:lang w:val="en-US" w:eastAsia="zh-CN"/>
                    </w:rPr>
                    <w:t>285</w:t>
                  </w:r>
                </w:p>
              </w:tc>
              <w:tc>
                <w:tcPr>
                  <w:tcW w:w="0" w:type="auto"/>
                  <w:vAlign w:val="center"/>
                </w:tcPr>
                <w:p>
                  <w:pPr>
                    <w:pStyle w:val="41"/>
                    <w:snapToGrid w:val="0"/>
                    <w:jc w:val="center"/>
                    <w:rPr>
                      <w:rFonts w:hint="default" w:ascii="Times New Roman" w:eastAsia="宋体" w:cs="Times New Roman"/>
                      <w:bCs/>
                      <w:color w:val="auto"/>
                      <w:sz w:val="21"/>
                      <w:szCs w:val="21"/>
                      <w:highlight w:val="none"/>
                      <w:lang w:val="en-US" w:eastAsia="zh-CN"/>
                    </w:rPr>
                  </w:pPr>
                  <w:r>
                    <w:rPr>
                      <w:rFonts w:hint="eastAsia" w:ascii="Times New Roman" w:cs="Times New Roman"/>
                      <w:bCs/>
                      <w:color w:val="auto"/>
                      <w:sz w:val="21"/>
                      <w:szCs w:val="21"/>
                      <w:highlight w:val="none"/>
                      <w:lang w:val="en-US" w:eastAsia="zh-CN"/>
                    </w:rPr>
                    <w:t>0.684</w:t>
                  </w:r>
                </w:p>
              </w:tc>
              <w:tc>
                <w:tcPr>
                  <w:tcW w:w="0" w:type="auto"/>
                  <w:vMerge w:val="restart"/>
                  <w:vAlign w:val="center"/>
                </w:tcPr>
                <w:p>
                  <w:pPr>
                    <w:pStyle w:val="41"/>
                    <w:snapToGrid w:val="0"/>
                    <w:jc w:val="center"/>
                    <w:rPr>
                      <w:rFonts w:hint="default" w:ascii="Times New Roman" w:cs="Times New Roman"/>
                      <w:bCs/>
                      <w:color w:val="auto"/>
                      <w:sz w:val="21"/>
                      <w:szCs w:val="21"/>
                      <w:highlight w:val="none"/>
                    </w:rPr>
                  </w:pPr>
                  <w:r>
                    <w:rPr>
                      <w:rFonts w:ascii="Times New Roman" w:cs="Times New Roman"/>
                      <w:bCs/>
                      <w:color w:val="auto"/>
                      <w:sz w:val="21"/>
                      <w:szCs w:val="21"/>
                      <w:highlight w:val="none"/>
                    </w:rPr>
                    <w:t>三级化粪池</w:t>
                  </w:r>
                </w:p>
              </w:tc>
              <w:tc>
                <w:tcPr>
                  <w:tcW w:w="0" w:type="auto"/>
                  <w:vMerge w:val="restart"/>
                  <w:vAlign w:val="center"/>
                </w:tcPr>
                <w:p>
                  <w:pPr>
                    <w:pStyle w:val="41"/>
                    <w:snapToGrid w:val="0"/>
                    <w:jc w:val="center"/>
                    <w:rPr>
                      <w:rFonts w:hint="default" w:ascii="Times New Roman" w:cs="Times New Roman"/>
                      <w:bCs/>
                      <w:color w:val="auto"/>
                      <w:sz w:val="21"/>
                      <w:szCs w:val="21"/>
                      <w:highlight w:val="none"/>
                    </w:rPr>
                  </w:pPr>
                  <w:r>
                    <w:rPr>
                      <w:rFonts w:ascii="Times New Roman" w:cs="Times New Roman"/>
                      <w:bCs/>
                      <w:color w:val="auto"/>
                      <w:sz w:val="21"/>
                      <w:szCs w:val="21"/>
                      <w:highlight w:val="none"/>
                    </w:rPr>
                    <w:t>/</w:t>
                  </w:r>
                </w:p>
              </w:tc>
              <w:tc>
                <w:tcPr>
                  <w:tcW w:w="0" w:type="auto"/>
                  <w:vMerge w:val="restart"/>
                  <w:vAlign w:val="center"/>
                </w:tcPr>
                <w:p>
                  <w:pPr>
                    <w:pStyle w:val="41"/>
                    <w:snapToGrid w:val="0"/>
                    <w:jc w:val="center"/>
                    <w:rPr>
                      <w:rFonts w:hint="default" w:ascii="Times New Roman" w:cs="Times New Roman"/>
                      <w:bCs/>
                      <w:color w:val="auto"/>
                      <w:sz w:val="21"/>
                      <w:szCs w:val="21"/>
                      <w:highlight w:val="none"/>
                    </w:rPr>
                  </w:pPr>
                  <w:r>
                    <w:rPr>
                      <w:rFonts w:ascii="Times New Roman" w:cs="Times New Roman"/>
                      <w:bCs/>
                      <w:color w:val="auto"/>
                      <w:sz w:val="21"/>
                      <w:szCs w:val="21"/>
                      <w:highlight w:val="none"/>
                    </w:rPr>
                    <w:t>是</w:t>
                  </w:r>
                </w:p>
              </w:tc>
              <w:tc>
                <w:tcPr>
                  <w:tcW w:w="0" w:type="auto"/>
                  <w:vMerge w:val="restart"/>
                  <w:vAlign w:val="center"/>
                </w:tcPr>
                <w:p>
                  <w:pPr>
                    <w:pStyle w:val="41"/>
                    <w:snapToGrid w:val="0"/>
                    <w:jc w:val="center"/>
                    <w:rPr>
                      <w:rFonts w:hint="default" w:ascii="Times New Roman" w:cs="Times New Roman"/>
                      <w:bCs/>
                      <w:color w:val="auto"/>
                      <w:sz w:val="21"/>
                      <w:szCs w:val="21"/>
                      <w:highlight w:val="none"/>
                    </w:rPr>
                  </w:pPr>
                  <w:r>
                    <w:rPr>
                      <w:rFonts w:ascii="Times New Roman" w:cs="Times New Roman"/>
                      <w:bCs/>
                      <w:color w:val="auto"/>
                      <w:sz w:val="21"/>
                      <w:szCs w:val="21"/>
                      <w:highlight w:val="none"/>
                    </w:rPr>
                    <w:t>80</w:t>
                  </w:r>
                </w:p>
              </w:tc>
              <w:tc>
                <w:tcPr>
                  <w:tcW w:w="0" w:type="auto"/>
                  <w:vAlign w:val="center"/>
                </w:tcPr>
                <w:p>
                  <w:pPr>
                    <w:adjustRightInd w:val="0"/>
                    <w:snapToGrid w:val="0"/>
                    <w:jc w:val="center"/>
                    <w:rPr>
                      <w:rFonts w:hint="default" w:eastAsia="宋体"/>
                      <w:bCs/>
                      <w:color w:val="auto"/>
                      <w:sz w:val="21"/>
                      <w:szCs w:val="21"/>
                      <w:highlight w:val="none"/>
                      <w:lang w:val="en-US" w:eastAsia="zh-CN"/>
                    </w:rPr>
                  </w:pPr>
                  <w:r>
                    <w:rPr>
                      <w:rFonts w:hint="eastAsia"/>
                      <w:bCs/>
                      <w:color w:val="auto"/>
                      <w:sz w:val="21"/>
                      <w:szCs w:val="21"/>
                      <w:highlight w:val="none"/>
                      <w:lang w:val="en-US" w:eastAsia="zh-CN"/>
                    </w:rPr>
                    <w:t>0.096</w:t>
                  </w:r>
                </w:p>
              </w:tc>
              <w:tc>
                <w:tcPr>
                  <w:tcW w:w="0" w:type="auto"/>
                  <w:vMerge w:val="restart"/>
                  <w:vAlign w:val="center"/>
                </w:tcPr>
                <w:p>
                  <w:pPr>
                    <w:pStyle w:val="41"/>
                    <w:snapToGrid w:val="0"/>
                    <w:jc w:val="center"/>
                    <w:rPr>
                      <w:rFonts w:hint="default" w:ascii="Times New Roman" w:cs="Times New Roman"/>
                      <w:bCs/>
                      <w:color w:val="auto"/>
                      <w:sz w:val="21"/>
                      <w:szCs w:val="21"/>
                      <w:highlight w:val="none"/>
                    </w:rPr>
                  </w:pPr>
                  <w:r>
                    <w:rPr>
                      <w:rFonts w:ascii="Times New Roman" w:cs="Times New Roman"/>
                      <w:bCs/>
                      <w:color w:val="auto"/>
                      <w:sz w:val="21"/>
                      <w:szCs w:val="21"/>
                      <w:highlight w:val="none"/>
                    </w:rPr>
                    <w:t>间接排放</w:t>
                  </w:r>
                </w:p>
              </w:tc>
              <w:tc>
                <w:tcPr>
                  <w:tcW w:w="0" w:type="auto"/>
                  <w:vMerge w:val="restart"/>
                  <w:vAlign w:val="center"/>
                </w:tcPr>
                <w:p>
                  <w:pPr>
                    <w:pStyle w:val="41"/>
                    <w:snapToGrid w:val="0"/>
                    <w:jc w:val="center"/>
                    <w:rPr>
                      <w:rFonts w:hint="default" w:ascii="Times New Roman" w:cs="Times New Roman"/>
                      <w:bCs/>
                      <w:color w:val="auto"/>
                      <w:sz w:val="21"/>
                      <w:szCs w:val="21"/>
                      <w:highlight w:val="none"/>
                    </w:rPr>
                  </w:pPr>
                  <w:r>
                    <w:rPr>
                      <w:rFonts w:ascii="Times New Roman" w:cs="Times New Roman"/>
                      <w:bCs/>
                      <w:color w:val="auto"/>
                      <w:sz w:val="21"/>
                      <w:szCs w:val="21"/>
                      <w:highlight w:val="none"/>
                    </w:rPr>
                    <w:t>博罗县园洲镇第五生活污水处理厂</w:t>
                  </w:r>
                </w:p>
              </w:tc>
              <w:tc>
                <w:tcPr>
                  <w:tcW w:w="0" w:type="auto"/>
                  <w:vMerge w:val="restart"/>
                  <w:vAlign w:val="center"/>
                </w:tcPr>
                <w:p>
                  <w:pPr>
                    <w:pStyle w:val="41"/>
                    <w:snapToGrid w:val="0"/>
                    <w:jc w:val="center"/>
                    <w:rPr>
                      <w:rFonts w:hint="default" w:ascii="Times New Roman" w:cs="Times New Roman"/>
                      <w:bCs/>
                      <w:color w:val="auto"/>
                      <w:sz w:val="21"/>
                      <w:szCs w:val="21"/>
                      <w:highlight w:val="none"/>
                    </w:rPr>
                  </w:pPr>
                  <w:r>
                    <w:rPr>
                      <w:rFonts w:ascii="Times New Roman" w:cs="Times New Roman"/>
                      <w:bCs/>
                      <w:color w:val="auto"/>
                      <w:sz w:val="21"/>
                      <w:szCs w:val="21"/>
                      <w:highlight w:val="none"/>
                    </w:rPr>
                    <w:t>间断排放，排放期间流量稳定</w:t>
                  </w:r>
                </w:p>
              </w:tc>
              <w:tc>
                <w:tcPr>
                  <w:tcW w:w="0" w:type="auto"/>
                  <w:vAlign w:val="center"/>
                </w:tcPr>
                <w:p>
                  <w:pPr>
                    <w:pStyle w:val="41"/>
                    <w:snapToGrid w:val="0"/>
                    <w:jc w:val="center"/>
                    <w:rPr>
                      <w:rFonts w:hint="default" w:ascii="Times New Roman" w:cs="Times New Roman"/>
                      <w:bCs/>
                      <w:color w:val="auto"/>
                      <w:sz w:val="21"/>
                      <w:szCs w:val="21"/>
                      <w:highlight w:val="none"/>
                    </w:rPr>
                  </w:pPr>
                  <w:r>
                    <w:rPr>
                      <w:rFonts w:ascii="Times New Roman" w:cs="Times New Roman"/>
                      <w:bCs/>
                      <w:color w:val="auto"/>
                      <w:sz w:val="21"/>
                      <w:szCs w:val="21"/>
                      <w:highlight w:val="none"/>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0" w:type="auto"/>
                  <w:vMerge w:val="continue"/>
                  <w:vAlign w:val="center"/>
                </w:tcPr>
                <w:p>
                  <w:pPr>
                    <w:pStyle w:val="41"/>
                    <w:snapToGrid w:val="0"/>
                    <w:jc w:val="center"/>
                    <w:rPr>
                      <w:rFonts w:hint="default" w:ascii="Times New Roman" w:cs="Times New Roman"/>
                      <w:color w:val="auto"/>
                      <w:sz w:val="21"/>
                      <w:szCs w:val="21"/>
                      <w:highlight w:val="none"/>
                    </w:rPr>
                  </w:pPr>
                </w:p>
              </w:tc>
              <w:tc>
                <w:tcPr>
                  <w:tcW w:w="0" w:type="auto"/>
                  <w:vAlign w:val="center"/>
                </w:tcPr>
                <w:p>
                  <w:pPr>
                    <w:pStyle w:val="41"/>
                    <w:snapToGrid w:val="0"/>
                    <w:jc w:val="center"/>
                    <w:rPr>
                      <w:rFonts w:hint="default" w:ascii="Times New Roman" w:cs="Times New Roman"/>
                      <w:color w:val="auto"/>
                      <w:sz w:val="21"/>
                      <w:szCs w:val="21"/>
                      <w:highlight w:val="none"/>
                    </w:rPr>
                  </w:pPr>
                  <w:r>
                    <w:rPr>
                      <w:rFonts w:ascii="Times New Roman" w:cs="Times New Roman"/>
                      <w:bCs/>
                      <w:color w:val="auto"/>
                      <w:sz w:val="21"/>
                      <w:szCs w:val="21"/>
                      <w:highlight w:val="none"/>
                    </w:rPr>
                    <w:t>BOD</w:t>
                  </w:r>
                  <w:r>
                    <w:rPr>
                      <w:rFonts w:ascii="Times New Roman" w:cs="Times New Roman"/>
                      <w:bCs/>
                      <w:color w:val="auto"/>
                      <w:sz w:val="21"/>
                      <w:szCs w:val="21"/>
                      <w:highlight w:val="none"/>
                      <w:vertAlign w:val="subscript"/>
                    </w:rPr>
                    <w:t>5</w:t>
                  </w:r>
                </w:p>
              </w:tc>
              <w:tc>
                <w:tcPr>
                  <w:tcW w:w="0" w:type="auto"/>
                  <w:vAlign w:val="center"/>
                </w:tcPr>
                <w:p>
                  <w:pPr>
                    <w:pStyle w:val="41"/>
                    <w:snapToGrid w:val="0"/>
                    <w:jc w:val="center"/>
                    <w:rPr>
                      <w:rFonts w:hint="default" w:ascii="Times New Roman" w:eastAsia="宋体" w:cs="Times New Roman"/>
                      <w:bCs/>
                      <w:color w:val="auto"/>
                      <w:sz w:val="21"/>
                      <w:szCs w:val="21"/>
                      <w:highlight w:val="none"/>
                      <w:lang w:val="en-US" w:eastAsia="zh-CN"/>
                    </w:rPr>
                  </w:pPr>
                  <w:r>
                    <w:rPr>
                      <w:rFonts w:hint="eastAsia" w:ascii="Times New Roman" w:cs="Times New Roman"/>
                      <w:bCs/>
                      <w:color w:val="auto"/>
                      <w:sz w:val="21"/>
                      <w:szCs w:val="21"/>
                      <w:highlight w:val="none"/>
                      <w:lang w:val="en-US" w:eastAsia="zh-CN"/>
                    </w:rPr>
                    <w:t>160</w:t>
                  </w:r>
                </w:p>
              </w:tc>
              <w:tc>
                <w:tcPr>
                  <w:tcW w:w="0" w:type="auto"/>
                  <w:vAlign w:val="center"/>
                </w:tcPr>
                <w:p>
                  <w:pPr>
                    <w:pStyle w:val="41"/>
                    <w:snapToGrid w:val="0"/>
                    <w:jc w:val="center"/>
                    <w:rPr>
                      <w:rFonts w:hint="default" w:ascii="Times New Roman" w:eastAsia="宋体" w:cs="Times New Roman"/>
                      <w:bCs/>
                      <w:color w:val="auto"/>
                      <w:sz w:val="21"/>
                      <w:szCs w:val="21"/>
                      <w:highlight w:val="none"/>
                      <w:lang w:val="en-US" w:eastAsia="zh-CN"/>
                    </w:rPr>
                  </w:pPr>
                  <w:r>
                    <w:rPr>
                      <w:rFonts w:hint="eastAsia" w:ascii="Times New Roman" w:cs="Times New Roman"/>
                      <w:bCs/>
                      <w:color w:val="auto"/>
                      <w:sz w:val="21"/>
                      <w:szCs w:val="21"/>
                      <w:highlight w:val="none"/>
                      <w:lang w:val="en-US" w:eastAsia="zh-CN"/>
                    </w:rPr>
                    <w:t>0.384</w:t>
                  </w:r>
                </w:p>
              </w:tc>
              <w:tc>
                <w:tcPr>
                  <w:tcW w:w="0" w:type="auto"/>
                  <w:vMerge w:val="continue"/>
                  <w:vAlign w:val="center"/>
                </w:tcPr>
                <w:p>
                  <w:pPr>
                    <w:pStyle w:val="41"/>
                    <w:snapToGrid w:val="0"/>
                    <w:jc w:val="center"/>
                    <w:rPr>
                      <w:rFonts w:hint="default" w:ascii="Times New Roman" w:cs="Times New Roman"/>
                      <w:bCs/>
                      <w:color w:val="auto"/>
                      <w:sz w:val="21"/>
                      <w:szCs w:val="21"/>
                      <w:highlight w:val="none"/>
                    </w:rPr>
                  </w:pPr>
                </w:p>
              </w:tc>
              <w:tc>
                <w:tcPr>
                  <w:tcW w:w="0" w:type="auto"/>
                  <w:vMerge w:val="continue"/>
                  <w:vAlign w:val="center"/>
                </w:tcPr>
                <w:p>
                  <w:pPr>
                    <w:pStyle w:val="41"/>
                    <w:snapToGrid w:val="0"/>
                    <w:jc w:val="center"/>
                    <w:rPr>
                      <w:rFonts w:hint="default" w:ascii="Times New Roman" w:cs="Times New Roman"/>
                      <w:bCs/>
                      <w:color w:val="auto"/>
                      <w:sz w:val="21"/>
                      <w:szCs w:val="21"/>
                      <w:highlight w:val="none"/>
                    </w:rPr>
                  </w:pPr>
                </w:p>
              </w:tc>
              <w:tc>
                <w:tcPr>
                  <w:tcW w:w="0" w:type="auto"/>
                  <w:vMerge w:val="continue"/>
                  <w:vAlign w:val="center"/>
                </w:tcPr>
                <w:p>
                  <w:pPr>
                    <w:pStyle w:val="41"/>
                    <w:snapToGrid w:val="0"/>
                    <w:jc w:val="center"/>
                    <w:rPr>
                      <w:rFonts w:hint="default" w:ascii="Times New Roman" w:cs="Times New Roman"/>
                      <w:bCs/>
                      <w:color w:val="auto"/>
                      <w:sz w:val="21"/>
                      <w:szCs w:val="21"/>
                      <w:highlight w:val="none"/>
                    </w:rPr>
                  </w:pPr>
                </w:p>
              </w:tc>
              <w:tc>
                <w:tcPr>
                  <w:tcW w:w="0" w:type="auto"/>
                  <w:vMerge w:val="continue"/>
                  <w:vAlign w:val="center"/>
                </w:tcPr>
                <w:p>
                  <w:pPr>
                    <w:pStyle w:val="41"/>
                    <w:snapToGrid w:val="0"/>
                    <w:jc w:val="center"/>
                    <w:rPr>
                      <w:rFonts w:hint="default" w:ascii="Times New Roman" w:cs="Times New Roman"/>
                      <w:bCs/>
                      <w:color w:val="auto"/>
                      <w:sz w:val="21"/>
                      <w:szCs w:val="21"/>
                      <w:highlight w:val="none"/>
                    </w:rPr>
                  </w:pPr>
                </w:p>
              </w:tc>
              <w:tc>
                <w:tcPr>
                  <w:tcW w:w="0" w:type="auto"/>
                  <w:vAlign w:val="center"/>
                </w:tcPr>
                <w:p>
                  <w:pPr>
                    <w:adjustRightInd w:val="0"/>
                    <w:snapToGrid w:val="0"/>
                    <w:jc w:val="center"/>
                    <w:rPr>
                      <w:rFonts w:hint="default" w:eastAsia="宋体"/>
                      <w:bCs/>
                      <w:color w:val="auto"/>
                      <w:sz w:val="21"/>
                      <w:szCs w:val="21"/>
                      <w:highlight w:val="none"/>
                      <w:lang w:val="en-US" w:eastAsia="zh-CN"/>
                    </w:rPr>
                  </w:pPr>
                  <w:r>
                    <w:rPr>
                      <w:rFonts w:hint="eastAsia"/>
                      <w:bCs/>
                      <w:color w:val="auto"/>
                      <w:sz w:val="21"/>
                      <w:szCs w:val="21"/>
                      <w:highlight w:val="none"/>
                      <w:lang w:val="en-US" w:eastAsia="zh-CN"/>
                    </w:rPr>
                    <w:t>0.024</w:t>
                  </w:r>
                </w:p>
              </w:tc>
              <w:tc>
                <w:tcPr>
                  <w:tcW w:w="0" w:type="auto"/>
                  <w:vMerge w:val="continue"/>
                  <w:vAlign w:val="center"/>
                </w:tcPr>
                <w:p>
                  <w:pPr>
                    <w:pStyle w:val="41"/>
                    <w:snapToGrid w:val="0"/>
                    <w:jc w:val="center"/>
                    <w:rPr>
                      <w:rFonts w:hint="default" w:ascii="Times New Roman" w:cs="Times New Roman"/>
                      <w:bCs/>
                      <w:color w:val="auto"/>
                      <w:sz w:val="21"/>
                      <w:szCs w:val="21"/>
                      <w:highlight w:val="none"/>
                    </w:rPr>
                  </w:pPr>
                </w:p>
              </w:tc>
              <w:tc>
                <w:tcPr>
                  <w:tcW w:w="0" w:type="auto"/>
                  <w:vMerge w:val="continue"/>
                  <w:vAlign w:val="center"/>
                </w:tcPr>
                <w:p>
                  <w:pPr>
                    <w:pStyle w:val="41"/>
                    <w:snapToGrid w:val="0"/>
                    <w:jc w:val="center"/>
                    <w:rPr>
                      <w:rFonts w:hint="default" w:ascii="Times New Roman" w:cs="Times New Roman"/>
                      <w:bCs/>
                      <w:color w:val="auto"/>
                      <w:sz w:val="21"/>
                      <w:szCs w:val="21"/>
                      <w:highlight w:val="none"/>
                    </w:rPr>
                  </w:pPr>
                </w:p>
              </w:tc>
              <w:tc>
                <w:tcPr>
                  <w:tcW w:w="0" w:type="auto"/>
                  <w:vMerge w:val="continue"/>
                  <w:vAlign w:val="center"/>
                </w:tcPr>
                <w:p>
                  <w:pPr>
                    <w:pStyle w:val="41"/>
                    <w:snapToGrid w:val="0"/>
                    <w:jc w:val="center"/>
                    <w:rPr>
                      <w:rFonts w:hint="default" w:ascii="Times New Roman" w:cs="Times New Roman"/>
                      <w:bCs/>
                      <w:color w:val="auto"/>
                      <w:sz w:val="21"/>
                      <w:szCs w:val="21"/>
                      <w:highlight w:val="none"/>
                    </w:rPr>
                  </w:pPr>
                </w:p>
              </w:tc>
              <w:tc>
                <w:tcPr>
                  <w:tcW w:w="0" w:type="auto"/>
                  <w:vAlign w:val="center"/>
                </w:tcPr>
                <w:p>
                  <w:pPr>
                    <w:pStyle w:val="41"/>
                    <w:snapToGrid w:val="0"/>
                    <w:jc w:val="center"/>
                    <w:rPr>
                      <w:rFonts w:hint="default" w:ascii="Times New Roman" w:cs="Times New Roman"/>
                      <w:bCs/>
                      <w:color w:val="auto"/>
                      <w:sz w:val="21"/>
                      <w:szCs w:val="21"/>
                      <w:highlight w:val="none"/>
                    </w:rPr>
                  </w:pPr>
                  <w:r>
                    <w:rPr>
                      <w:rFonts w:ascii="Times New Roman" w:cs="Times New Roman"/>
                      <w:bCs/>
                      <w:color w:val="auto"/>
                      <w:sz w:val="21"/>
                      <w:szCs w:val="21"/>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0" w:type="auto"/>
                  <w:vMerge w:val="continue"/>
                  <w:vAlign w:val="center"/>
                </w:tcPr>
                <w:p>
                  <w:pPr>
                    <w:pStyle w:val="41"/>
                    <w:snapToGrid w:val="0"/>
                    <w:jc w:val="center"/>
                    <w:rPr>
                      <w:rFonts w:hint="default" w:ascii="Times New Roman" w:cs="Times New Roman"/>
                      <w:color w:val="auto"/>
                      <w:sz w:val="21"/>
                      <w:szCs w:val="21"/>
                      <w:highlight w:val="none"/>
                    </w:rPr>
                  </w:pPr>
                </w:p>
              </w:tc>
              <w:tc>
                <w:tcPr>
                  <w:tcW w:w="0" w:type="auto"/>
                  <w:vAlign w:val="center"/>
                </w:tcPr>
                <w:p>
                  <w:pPr>
                    <w:pStyle w:val="41"/>
                    <w:snapToGrid w:val="0"/>
                    <w:jc w:val="center"/>
                    <w:rPr>
                      <w:rFonts w:hint="default" w:ascii="Times New Roman" w:cs="Times New Roman"/>
                      <w:color w:val="auto"/>
                      <w:sz w:val="21"/>
                      <w:szCs w:val="21"/>
                      <w:highlight w:val="none"/>
                    </w:rPr>
                  </w:pPr>
                  <w:r>
                    <w:rPr>
                      <w:rFonts w:ascii="Times New Roman" w:cs="Times New Roman"/>
                      <w:bCs/>
                      <w:color w:val="auto"/>
                      <w:sz w:val="21"/>
                      <w:szCs w:val="21"/>
                      <w:highlight w:val="none"/>
                    </w:rPr>
                    <w:t>SS</w:t>
                  </w:r>
                </w:p>
              </w:tc>
              <w:tc>
                <w:tcPr>
                  <w:tcW w:w="0" w:type="auto"/>
                  <w:vAlign w:val="center"/>
                </w:tcPr>
                <w:p>
                  <w:pPr>
                    <w:pStyle w:val="41"/>
                    <w:snapToGrid w:val="0"/>
                    <w:jc w:val="center"/>
                    <w:rPr>
                      <w:rFonts w:hint="default" w:ascii="Times New Roman" w:eastAsia="宋体" w:cs="Times New Roman"/>
                      <w:bCs/>
                      <w:color w:val="auto"/>
                      <w:sz w:val="21"/>
                      <w:szCs w:val="21"/>
                      <w:highlight w:val="none"/>
                      <w:lang w:val="en-US" w:eastAsia="zh-CN"/>
                    </w:rPr>
                  </w:pPr>
                  <w:r>
                    <w:rPr>
                      <w:rFonts w:hint="eastAsia" w:ascii="Times New Roman" w:cs="Times New Roman"/>
                      <w:bCs/>
                      <w:color w:val="auto"/>
                      <w:sz w:val="21"/>
                      <w:szCs w:val="21"/>
                      <w:highlight w:val="none"/>
                      <w:lang w:val="en-US" w:eastAsia="zh-CN"/>
                    </w:rPr>
                    <w:t>120</w:t>
                  </w:r>
                </w:p>
              </w:tc>
              <w:tc>
                <w:tcPr>
                  <w:tcW w:w="0" w:type="auto"/>
                  <w:vAlign w:val="center"/>
                </w:tcPr>
                <w:p>
                  <w:pPr>
                    <w:pStyle w:val="41"/>
                    <w:snapToGrid w:val="0"/>
                    <w:jc w:val="center"/>
                    <w:rPr>
                      <w:rFonts w:hint="default" w:ascii="Times New Roman" w:eastAsia="宋体" w:cs="Times New Roman"/>
                      <w:bCs/>
                      <w:color w:val="auto"/>
                      <w:sz w:val="21"/>
                      <w:szCs w:val="21"/>
                      <w:highlight w:val="none"/>
                      <w:lang w:val="en-US" w:eastAsia="zh-CN"/>
                    </w:rPr>
                  </w:pPr>
                  <w:r>
                    <w:rPr>
                      <w:rFonts w:hint="eastAsia" w:ascii="Times New Roman" w:cs="Times New Roman"/>
                      <w:bCs/>
                      <w:color w:val="auto"/>
                      <w:sz w:val="21"/>
                      <w:szCs w:val="21"/>
                      <w:highlight w:val="none"/>
                      <w:lang w:val="en-US" w:eastAsia="zh-CN"/>
                    </w:rPr>
                    <w:t>0.288</w:t>
                  </w:r>
                </w:p>
              </w:tc>
              <w:tc>
                <w:tcPr>
                  <w:tcW w:w="0" w:type="auto"/>
                  <w:vMerge w:val="continue"/>
                  <w:vAlign w:val="center"/>
                </w:tcPr>
                <w:p>
                  <w:pPr>
                    <w:pStyle w:val="41"/>
                    <w:snapToGrid w:val="0"/>
                    <w:jc w:val="center"/>
                    <w:rPr>
                      <w:rFonts w:hint="default" w:ascii="Times New Roman" w:cs="Times New Roman"/>
                      <w:bCs/>
                      <w:color w:val="auto"/>
                      <w:sz w:val="21"/>
                      <w:szCs w:val="21"/>
                      <w:highlight w:val="none"/>
                    </w:rPr>
                  </w:pPr>
                </w:p>
              </w:tc>
              <w:tc>
                <w:tcPr>
                  <w:tcW w:w="0" w:type="auto"/>
                  <w:vMerge w:val="continue"/>
                  <w:vAlign w:val="center"/>
                </w:tcPr>
                <w:p>
                  <w:pPr>
                    <w:pStyle w:val="41"/>
                    <w:snapToGrid w:val="0"/>
                    <w:jc w:val="center"/>
                    <w:rPr>
                      <w:rFonts w:hint="default" w:ascii="Times New Roman" w:cs="Times New Roman"/>
                      <w:bCs/>
                      <w:color w:val="auto"/>
                      <w:sz w:val="21"/>
                      <w:szCs w:val="21"/>
                      <w:highlight w:val="none"/>
                    </w:rPr>
                  </w:pPr>
                </w:p>
              </w:tc>
              <w:tc>
                <w:tcPr>
                  <w:tcW w:w="0" w:type="auto"/>
                  <w:vMerge w:val="continue"/>
                  <w:vAlign w:val="center"/>
                </w:tcPr>
                <w:p>
                  <w:pPr>
                    <w:pStyle w:val="41"/>
                    <w:snapToGrid w:val="0"/>
                    <w:jc w:val="center"/>
                    <w:rPr>
                      <w:rFonts w:hint="default" w:ascii="Times New Roman" w:cs="Times New Roman"/>
                      <w:bCs/>
                      <w:color w:val="auto"/>
                      <w:sz w:val="21"/>
                      <w:szCs w:val="21"/>
                      <w:highlight w:val="none"/>
                    </w:rPr>
                  </w:pPr>
                </w:p>
              </w:tc>
              <w:tc>
                <w:tcPr>
                  <w:tcW w:w="0" w:type="auto"/>
                  <w:vMerge w:val="continue"/>
                  <w:vAlign w:val="center"/>
                </w:tcPr>
                <w:p>
                  <w:pPr>
                    <w:pStyle w:val="41"/>
                    <w:snapToGrid w:val="0"/>
                    <w:jc w:val="center"/>
                    <w:rPr>
                      <w:rFonts w:hint="default" w:ascii="Times New Roman" w:cs="Times New Roman"/>
                      <w:bCs/>
                      <w:color w:val="auto"/>
                      <w:sz w:val="21"/>
                      <w:szCs w:val="21"/>
                      <w:highlight w:val="none"/>
                    </w:rPr>
                  </w:pPr>
                </w:p>
              </w:tc>
              <w:tc>
                <w:tcPr>
                  <w:tcW w:w="0" w:type="auto"/>
                  <w:vAlign w:val="center"/>
                </w:tcPr>
                <w:p>
                  <w:pPr>
                    <w:adjustRightInd w:val="0"/>
                    <w:snapToGrid w:val="0"/>
                    <w:jc w:val="center"/>
                    <w:rPr>
                      <w:rFonts w:hint="default" w:eastAsia="宋体"/>
                      <w:bCs/>
                      <w:color w:val="auto"/>
                      <w:sz w:val="21"/>
                      <w:szCs w:val="21"/>
                      <w:highlight w:val="none"/>
                      <w:lang w:val="en-US" w:eastAsia="zh-CN"/>
                    </w:rPr>
                  </w:pPr>
                  <w:r>
                    <w:rPr>
                      <w:rFonts w:hint="eastAsia"/>
                      <w:bCs/>
                      <w:color w:val="auto"/>
                      <w:sz w:val="21"/>
                      <w:szCs w:val="21"/>
                      <w:highlight w:val="none"/>
                      <w:lang w:val="en-US" w:eastAsia="zh-CN"/>
                    </w:rPr>
                    <w:t>0.024</w:t>
                  </w:r>
                </w:p>
              </w:tc>
              <w:tc>
                <w:tcPr>
                  <w:tcW w:w="0" w:type="auto"/>
                  <w:vMerge w:val="continue"/>
                  <w:vAlign w:val="center"/>
                </w:tcPr>
                <w:p>
                  <w:pPr>
                    <w:pStyle w:val="41"/>
                    <w:snapToGrid w:val="0"/>
                    <w:jc w:val="center"/>
                    <w:rPr>
                      <w:rFonts w:hint="default" w:ascii="Times New Roman" w:cs="Times New Roman"/>
                      <w:bCs/>
                      <w:color w:val="auto"/>
                      <w:sz w:val="21"/>
                      <w:szCs w:val="21"/>
                      <w:highlight w:val="none"/>
                    </w:rPr>
                  </w:pPr>
                </w:p>
              </w:tc>
              <w:tc>
                <w:tcPr>
                  <w:tcW w:w="0" w:type="auto"/>
                  <w:vMerge w:val="continue"/>
                  <w:vAlign w:val="center"/>
                </w:tcPr>
                <w:p>
                  <w:pPr>
                    <w:pStyle w:val="41"/>
                    <w:snapToGrid w:val="0"/>
                    <w:jc w:val="center"/>
                    <w:rPr>
                      <w:rFonts w:hint="default" w:ascii="Times New Roman" w:cs="Times New Roman"/>
                      <w:bCs/>
                      <w:color w:val="auto"/>
                      <w:sz w:val="21"/>
                      <w:szCs w:val="21"/>
                      <w:highlight w:val="none"/>
                    </w:rPr>
                  </w:pPr>
                </w:p>
              </w:tc>
              <w:tc>
                <w:tcPr>
                  <w:tcW w:w="0" w:type="auto"/>
                  <w:vMerge w:val="continue"/>
                  <w:vAlign w:val="center"/>
                </w:tcPr>
                <w:p>
                  <w:pPr>
                    <w:pStyle w:val="41"/>
                    <w:snapToGrid w:val="0"/>
                    <w:jc w:val="center"/>
                    <w:rPr>
                      <w:rFonts w:hint="default" w:ascii="Times New Roman" w:cs="Times New Roman"/>
                      <w:bCs/>
                      <w:color w:val="auto"/>
                      <w:sz w:val="21"/>
                      <w:szCs w:val="21"/>
                      <w:highlight w:val="none"/>
                    </w:rPr>
                  </w:pPr>
                </w:p>
              </w:tc>
              <w:tc>
                <w:tcPr>
                  <w:tcW w:w="0" w:type="auto"/>
                  <w:vAlign w:val="center"/>
                </w:tcPr>
                <w:p>
                  <w:pPr>
                    <w:pStyle w:val="41"/>
                    <w:snapToGrid w:val="0"/>
                    <w:jc w:val="center"/>
                    <w:rPr>
                      <w:rFonts w:hint="default" w:ascii="Times New Roman" w:cs="Times New Roman"/>
                      <w:bCs/>
                      <w:color w:val="auto"/>
                      <w:sz w:val="21"/>
                      <w:szCs w:val="21"/>
                      <w:highlight w:val="none"/>
                    </w:rPr>
                  </w:pPr>
                  <w:r>
                    <w:rPr>
                      <w:rFonts w:ascii="Times New Roman" w:cs="Times New Roman"/>
                      <w:bCs/>
                      <w:color w:val="auto"/>
                      <w:sz w:val="21"/>
                      <w:szCs w:val="21"/>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0" w:type="auto"/>
                  <w:vMerge w:val="continue"/>
                  <w:vAlign w:val="center"/>
                </w:tcPr>
                <w:p>
                  <w:pPr>
                    <w:pStyle w:val="41"/>
                    <w:snapToGrid w:val="0"/>
                    <w:jc w:val="center"/>
                    <w:rPr>
                      <w:rFonts w:hint="default" w:ascii="Times New Roman" w:cs="Times New Roman"/>
                      <w:color w:val="auto"/>
                      <w:sz w:val="21"/>
                      <w:szCs w:val="21"/>
                      <w:highlight w:val="none"/>
                    </w:rPr>
                  </w:pPr>
                </w:p>
              </w:tc>
              <w:tc>
                <w:tcPr>
                  <w:tcW w:w="0" w:type="auto"/>
                  <w:vAlign w:val="center"/>
                </w:tcPr>
                <w:p>
                  <w:pPr>
                    <w:pStyle w:val="41"/>
                    <w:snapToGrid w:val="0"/>
                    <w:jc w:val="center"/>
                    <w:rPr>
                      <w:rFonts w:hint="default" w:ascii="Times New Roman" w:cs="Times New Roman"/>
                      <w:color w:val="auto"/>
                      <w:sz w:val="21"/>
                      <w:szCs w:val="21"/>
                      <w:highlight w:val="none"/>
                    </w:rPr>
                  </w:pPr>
                  <w:r>
                    <w:rPr>
                      <w:rFonts w:ascii="Times New Roman" w:cs="Times New Roman"/>
                      <w:bCs/>
                      <w:color w:val="auto"/>
                      <w:sz w:val="21"/>
                      <w:szCs w:val="21"/>
                      <w:highlight w:val="none"/>
                    </w:rPr>
                    <w:t>NH</w:t>
                  </w:r>
                  <w:r>
                    <w:rPr>
                      <w:rFonts w:ascii="Times New Roman" w:cs="Times New Roman"/>
                      <w:bCs/>
                      <w:color w:val="auto"/>
                      <w:sz w:val="21"/>
                      <w:szCs w:val="21"/>
                      <w:highlight w:val="none"/>
                      <w:vertAlign w:val="subscript"/>
                    </w:rPr>
                    <w:t>3</w:t>
                  </w:r>
                  <w:r>
                    <w:rPr>
                      <w:rFonts w:ascii="Times New Roman" w:cs="Times New Roman"/>
                      <w:bCs/>
                      <w:color w:val="auto"/>
                      <w:sz w:val="21"/>
                      <w:szCs w:val="21"/>
                      <w:highlight w:val="none"/>
                    </w:rPr>
                    <w:t>-N</w:t>
                  </w:r>
                </w:p>
              </w:tc>
              <w:tc>
                <w:tcPr>
                  <w:tcW w:w="0" w:type="auto"/>
                  <w:vAlign w:val="center"/>
                </w:tcPr>
                <w:p>
                  <w:pPr>
                    <w:pStyle w:val="41"/>
                    <w:snapToGrid w:val="0"/>
                    <w:jc w:val="center"/>
                    <w:rPr>
                      <w:rFonts w:hint="default" w:ascii="Times New Roman" w:eastAsia="宋体" w:cs="Times New Roman"/>
                      <w:bCs/>
                      <w:color w:val="auto"/>
                      <w:sz w:val="21"/>
                      <w:szCs w:val="21"/>
                      <w:highlight w:val="none"/>
                      <w:lang w:val="en-US" w:eastAsia="zh-CN"/>
                    </w:rPr>
                  </w:pPr>
                  <w:r>
                    <w:rPr>
                      <w:rFonts w:hint="eastAsia" w:ascii="Times New Roman" w:cs="Times New Roman"/>
                      <w:bCs/>
                      <w:color w:val="auto"/>
                      <w:sz w:val="21"/>
                      <w:szCs w:val="21"/>
                      <w:highlight w:val="none"/>
                      <w:lang w:val="en-US" w:eastAsia="zh-CN"/>
                    </w:rPr>
                    <w:t>28.3</w:t>
                  </w:r>
                </w:p>
              </w:tc>
              <w:tc>
                <w:tcPr>
                  <w:tcW w:w="0" w:type="auto"/>
                  <w:vAlign w:val="center"/>
                </w:tcPr>
                <w:p>
                  <w:pPr>
                    <w:pStyle w:val="41"/>
                    <w:snapToGrid w:val="0"/>
                    <w:jc w:val="center"/>
                    <w:rPr>
                      <w:rFonts w:hint="default" w:ascii="Times New Roman" w:eastAsia="宋体" w:cs="Times New Roman"/>
                      <w:bCs/>
                      <w:color w:val="auto"/>
                      <w:sz w:val="21"/>
                      <w:szCs w:val="21"/>
                      <w:highlight w:val="none"/>
                      <w:lang w:val="en-US" w:eastAsia="zh-CN"/>
                    </w:rPr>
                  </w:pPr>
                  <w:r>
                    <w:rPr>
                      <w:rFonts w:hint="eastAsia" w:ascii="Times New Roman" w:cs="Times New Roman"/>
                      <w:bCs/>
                      <w:color w:val="auto"/>
                      <w:sz w:val="21"/>
                      <w:szCs w:val="21"/>
                      <w:highlight w:val="none"/>
                      <w:lang w:val="en-US" w:eastAsia="zh-CN"/>
                    </w:rPr>
                    <w:t>0.0679</w:t>
                  </w:r>
                </w:p>
              </w:tc>
              <w:tc>
                <w:tcPr>
                  <w:tcW w:w="0" w:type="auto"/>
                  <w:vMerge w:val="continue"/>
                  <w:vAlign w:val="center"/>
                </w:tcPr>
                <w:p>
                  <w:pPr>
                    <w:pStyle w:val="41"/>
                    <w:snapToGrid w:val="0"/>
                    <w:jc w:val="center"/>
                    <w:rPr>
                      <w:rFonts w:hint="default" w:ascii="Times New Roman" w:cs="Times New Roman"/>
                      <w:bCs/>
                      <w:color w:val="auto"/>
                      <w:sz w:val="21"/>
                      <w:szCs w:val="21"/>
                      <w:highlight w:val="none"/>
                    </w:rPr>
                  </w:pPr>
                </w:p>
              </w:tc>
              <w:tc>
                <w:tcPr>
                  <w:tcW w:w="0" w:type="auto"/>
                  <w:vMerge w:val="continue"/>
                  <w:vAlign w:val="center"/>
                </w:tcPr>
                <w:p>
                  <w:pPr>
                    <w:pStyle w:val="41"/>
                    <w:snapToGrid w:val="0"/>
                    <w:jc w:val="center"/>
                    <w:rPr>
                      <w:rFonts w:hint="default" w:ascii="Times New Roman" w:cs="Times New Roman"/>
                      <w:bCs/>
                      <w:color w:val="auto"/>
                      <w:sz w:val="21"/>
                      <w:szCs w:val="21"/>
                      <w:highlight w:val="none"/>
                    </w:rPr>
                  </w:pPr>
                </w:p>
              </w:tc>
              <w:tc>
                <w:tcPr>
                  <w:tcW w:w="0" w:type="auto"/>
                  <w:vMerge w:val="continue"/>
                  <w:vAlign w:val="center"/>
                </w:tcPr>
                <w:p>
                  <w:pPr>
                    <w:pStyle w:val="41"/>
                    <w:snapToGrid w:val="0"/>
                    <w:jc w:val="center"/>
                    <w:rPr>
                      <w:rFonts w:hint="default" w:ascii="Times New Roman" w:cs="Times New Roman"/>
                      <w:bCs/>
                      <w:color w:val="auto"/>
                      <w:sz w:val="21"/>
                      <w:szCs w:val="21"/>
                      <w:highlight w:val="none"/>
                    </w:rPr>
                  </w:pPr>
                </w:p>
              </w:tc>
              <w:tc>
                <w:tcPr>
                  <w:tcW w:w="0" w:type="auto"/>
                  <w:vMerge w:val="continue"/>
                  <w:vAlign w:val="center"/>
                </w:tcPr>
                <w:p>
                  <w:pPr>
                    <w:pStyle w:val="41"/>
                    <w:snapToGrid w:val="0"/>
                    <w:jc w:val="center"/>
                    <w:rPr>
                      <w:rFonts w:hint="default" w:ascii="Times New Roman" w:cs="Times New Roman"/>
                      <w:bCs/>
                      <w:color w:val="auto"/>
                      <w:sz w:val="21"/>
                      <w:szCs w:val="21"/>
                      <w:highlight w:val="none"/>
                    </w:rPr>
                  </w:pPr>
                </w:p>
              </w:tc>
              <w:tc>
                <w:tcPr>
                  <w:tcW w:w="0" w:type="auto"/>
                  <w:vAlign w:val="center"/>
                </w:tcPr>
                <w:p>
                  <w:pPr>
                    <w:adjustRightInd w:val="0"/>
                    <w:snapToGrid w:val="0"/>
                    <w:jc w:val="center"/>
                    <w:rPr>
                      <w:rFonts w:hint="default" w:eastAsia="宋体"/>
                      <w:bCs/>
                      <w:color w:val="auto"/>
                      <w:sz w:val="21"/>
                      <w:szCs w:val="21"/>
                      <w:highlight w:val="none"/>
                      <w:lang w:val="en-US" w:eastAsia="zh-CN"/>
                    </w:rPr>
                  </w:pPr>
                  <w:r>
                    <w:rPr>
                      <w:rFonts w:hint="eastAsia"/>
                      <w:bCs/>
                      <w:color w:val="auto"/>
                      <w:sz w:val="21"/>
                      <w:szCs w:val="21"/>
                      <w:highlight w:val="none"/>
                      <w:lang w:val="en-US" w:eastAsia="zh-CN"/>
                    </w:rPr>
                    <w:t>0.0048</w:t>
                  </w:r>
                </w:p>
              </w:tc>
              <w:tc>
                <w:tcPr>
                  <w:tcW w:w="0" w:type="auto"/>
                  <w:vMerge w:val="continue"/>
                  <w:vAlign w:val="center"/>
                </w:tcPr>
                <w:p>
                  <w:pPr>
                    <w:pStyle w:val="41"/>
                    <w:snapToGrid w:val="0"/>
                    <w:jc w:val="center"/>
                    <w:rPr>
                      <w:rFonts w:hint="default" w:ascii="Times New Roman" w:cs="Times New Roman"/>
                      <w:bCs/>
                      <w:color w:val="auto"/>
                      <w:sz w:val="21"/>
                      <w:szCs w:val="21"/>
                      <w:highlight w:val="none"/>
                    </w:rPr>
                  </w:pPr>
                </w:p>
              </w:tc>
              <w:tc>
                <w:tcPr>
                  <w:tcW w:w="0" w:type="auto"/>
                  <w:vMerge w:val="continue"/>
                  <w:vAlign w:val="center"/>
                </w:tcPr>
                <w:p>
                  <w:pPr>
                    <w:pStyle w:val="41"/>
                    <w:snapToGrid w:val="0"/>
                    <w:jc w:val="center"/>
                    <w:rPr>
                      <w:rFonts w:hint="default" w:ascii="Times New Roman" w:cs="Times New Roman"/>
                      <w:bCs/>
                      <w:color w:val="auto"/>
                      <w:sz w:val="21"/>
                      <w:szCs w:val="21"/>
                      <w:highlight w:val="none"/>
                    </w:rPr>
                  </w:pPr>
                </w:p>
              </w:tc>
              <w:tc>
                <w:tcPr>
                  <w:tcW w:w="0" w:type="auto"/>
                  <w:vMerge w:val="continue"/>
                  <w:vAlign w:val="center"/>
                </w:tcPr>
                <w:p>
                  <w:pPr>
                    <w:pStyle w:val="41"/>
                    <w:snapToGrid w:val="0"/>
                    <w:jc w:val="center"/>
                    <w:rPr>
                      <w:rFonts w:hint="default" w:ascii="Times New Roman" w:cs="Times New Roman"/>
                      <w:bCs/>
                      <w:color w:val="auto"/>
                      <w:sz w:val="21"/>
                      <w:szCs w:val="21"/>
                      <w:highlight w:val="none"/>
                    </w:rPr>
                  </w:pPr>
                </w:p>
              </w:tc>
              <w:tc>
                <w:tcPr>
                  <w:tcW w:w="0" w:type="auto"/>
                  <w:vAlign w:val="center"/>
                </w:tcPr>
                <w:p>
                  <w:pPr>
                    <w:pStyle w:val="41"/>
                    <w:snapToGrid w:val="0"/>
                    <w:jc w:val="center"/>
                    <w:rPr>
                      <w:rFonts w:hint="default" w:ascii="Times New Roman" w:cs="Times New Roman"/>
                      <w:bCs/>
                      <w:color w:val="auto"/>
                      <w:sz w:val="21"/>
                      <w:szCs w:val="21"/>
                      <w:highlight w:val="none"/>
                    </w:rPr>
                  </w:pPr>
                  <w:r>
                    <w:rPr>
                      <w:rFonts w:ascii="Times New Roman" w:cs="Times New Roman"/>
                      <w:bCs/>
                      <w:color w:val="auto"/>
                      <w:sz w:val="21"/>
                      <w:szCs w:val="21"/>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vMerge w:val="continue"/>
                  <w:vAlign w:val="center"/>
                </w:tcPr>
                <w:p>
                  <w:pPr>
                    <w:pStyle w:val="41"/>
                    <w:snapToGrid w:val="0"/>
                    <w:jc w:val="center"/>
                    <w:rPr>
                      <w:rFonts w:hint="default" w:ascii="Times New Roman" w:cs="Times New Roman"/>
                      <w:color w:val="auto"/>
                      <w:sz w:val="21"/>
                      <w:szCs w:val="21"/>
                      <w:highlight w:val="none"/>
                    </w:rPr>
                  </w:pPr>
                </w:p>
              </w:tc>
              <w:tc>
                <w:tcPr>
                  <w:tcW w:w="0" w:type="auto"/>
                  <w:vAlign w:val="center"/>
                </w:tcPr>
                <w:p>
                  <w:pPr>
                    <w:pStyle w:val="41"/>
                    <w:snapToGrid w:val="0"/>
                    <w:jc w:val="center"/>
                    <w:rPr>
                      <w:rFonts w:hint="default" w:ascii="Times New Roman" w:cs="Times New Roman"/>
                      <w:color w:val="auto"/>
                      <w:sz w:val="21"/>
                      <w:szCs w:val="21"/>
                      <w:highlight w:val="none"/>
                    </w:rPr>
                  </w:pPr>
                  <w:r>
                    <w:rPr>
                      <w:rFonts w:ascii="Times New Roman" w:cs="Times New Roman"/>
                      <w:color w:val="auto"/>
                      <w:sz w:val="21"/>
                      <w:szCs w:val="21"/>
                      <w:highlight w:val="none"/>
                    </w:rPr>
                    <w:t>总氮</w:t>
                  </w:r>
                </w:p>
              </w:tc>
              <w:tc>
                <w:tcPr>
                  <w:tcW w:w="0" w:type="auto"/>
                  <w:vAlign w:val="center"/>
                </w:tcPr>
                <w:p>
                  <w:pPr>
                    <w:pStyle w:val="41"/>
                    <w:snapToGrid w:val="0"/>
                    <w:jc w:val="center"/>
                    <w:rPr>
                      <w:rFonts w:hint="default" w:ascii="Times New Roman" w:eastAsia="宋体" w:cs="Times New Roman"/>
                      <w:bCs/>
                      <w:color w:val="auto"/>
                      <w:sz w:val="21"/>
                      <w:szCs w:val="21"/>
                      <w:highlight w:val="none"/>
                      <w:lang w:val="en-US" w:eastAsia="zh-CN"/>
                    </w:rPr>
                  </w:pPr>
                  <w:r>
                    <w:rPr>
                      <w:rFonts w:hint="eastAsia" w:ascii="Times New Roman" w:cs="Times New Roman"/>
                      <w:bCs/>
                      <w:color w:val="auto"/>
                      <w:sz w:val="21"/>
                      <w:szCs w:val="21"/>
                      <w:highlight w:val="none"/>
                      <w:lang w:val="en-US" w:eastAsia="zh-CN"/>
                    </w:rPr>
                    <w:t>39.4</w:t>
                  </w:r>
                </w:p>
              </w:tc>
              <w:tc>
                <w:tcPr>
                  <w:tcW w:w="0" w:type="auto"/>
                  <w:vAlign w:val="center"/>
                </w:tcPr>
                <w:p>
                  <w:pPr>
                    <w:pStyle w:val="41"/>
                    <w:snapToGrid w:val="0"/>
                    <w:jc w:val="center"/>
                    <w:rPr>
                      <w:rFonts w:hint="default" w:ascii="Times New Roman" w:eastAsia="宋体" w:cs="Times New Roman"/>
                      <w:bCs/>
                      <w:color w:val="auto"/>
                      <w:sz w:val="21"/>
                      <w:szCs w:val="21"/>
                      <w:highlight w:val="none"/>
                      <w:lang w:val="en-US" w:eastAsia="zh-CN"/>
                    </w:rPr>
                  </w:pPr>
                  <w:r>
                    <w:rPr>
                      <w:rFonts w:hint="eastAsia" w:ascii="Times New Roman" w:cs="Times New Roman"/>
                      <w:bCs/>
                      <w:color w:val="auto"/>
                      <w:sz w:val="21"/>
                      <w:szCs w:val="21"/>
                      <w:highlight w:val="none"/>
                      <w:lang w:val="en-US" w:eastAsia="zh-CN"/>
                    </w:rPr>
                    <w:t>0.0946</w:t>
                  </w:r>
                </w:p>
              </w:tc>
              <w:tc>
                <w:tcPr>
                  <w:tcW w:w="0" w:type="auto"/>
                  <w:vMerge w:val="continue"/>
                  <w:vAlign w:val="center"/>
                </w:tcPr>
                <w:p>
                  <w:pPr>
                    <w:pStyle w:val="41"/>
                    <w:snapToGrid w:val="0"/>
                    <w:jc w:val="center"/>
                    <w:rPr>
                      <w:rFonts w:hint="default" w:ascii="Times New Roman" w:cs="Times New Roman"/>
                      <w:bCs/>
                      <w:color w:val="auto"/>
                      <w:sz w:val="21"/>
                      <w:szCs w:val="21"/>
                      <w:highlight w:val="none"/>
                    </w:rPr>
                  </w:pPr>
                </w:p>
              </w:tc>
              <w:tc>
                <w:tcPr>
                  <w:tcW w:w="0" w:type="auto"/>
                  <w:vMerge w:val="continue"/>
                  <w:vAlign w:val="center"/>
                </w:tcPr>
                <w:p>
                  <w:pPr>
                    <w:pStyle w:val="41"/>
                    <w:snapToGrid w:val="0"/>
                    <w:jc w:val="center"/>
                    <w:rPr>
                      <w:rFonts w:hint="default" w:ascii="Times New Roman" w:cs="Times New Roman"/>
                      <w:bCs/>
                      <w:color w:val="auto"/>
                      <w:sz w:val="21"/>
                      <w:szCs w:val="21"/>
                      <w:highlight w:val="none"/>
                    </w:rPr>
                  </w:pPr>
                </w:p>
              </w:tc>
              <w:tc>
                <w:tcPr>
                  <w:tcW w:w="0" w:type="auto"/>
                  <w:vMerge w:val="continue"/>
                  <w:vAlign w:val="center"/>
                </w:tcPr>
                <w:p>
                  <w:pPr>
                    <w:pStyle w:val="41"/>
                    <w:snapToGrid w:val="0"/>
                    <w:jc w:val="center"/>
                    <w:rPr>
                      <w:rFonts w:hint="default" w:ascii="Times New Roman" w:cs="Times New Roman"/>
                      <w:bCs/>
                      <w:color w:val="auto"/>
                      <w:sz w:val="21"/>
                      <w:szCs w:val="21"/>
                      <w:highlight w:val="none"/>
                    </w:rPr>
                  </w:pPr>
                </w:p>
              </w:tc>
              <w:tc>
                <w:tcPr>
                  <w:tcW w:w="0" w:type="auto"/>
                  <w:vMerge w:val="continue"/>
                  <w:vAlign w:val="center"/>
                </w:tcPr>
                <w:p>
                  <w:pPr>
                    <w:pStyle w:val="41"/>
                    <w:snapToGrid w:val="0"/>
                    <w:jc w:val="center"/>
                    <w:rPr>
                      <w:rFonts w:hint="default" w:ascii="Times New Roman" w:cs="Times New Roman"/>
                      <w:bCs/>
                      <w:color w:val="auto"/>
                      <w:sz w:val="21"/>
                      <w:szCs w:val="21"/>
                      <w:highlight w:val="none"/>
                    </w:rPr>
                  </w:pPr>
                </w:p>
              </w:tc>
              <w:tc>
                <w:tcPr>
                  <w:tcW w:w="0" w:type="auto"/>
                  <w:vAlign w:val="center"/>
                </w:tcPr>
                <w:p>
                  <w:pPr>
                    <w:adjustRightInd w:val="0"/>
                    <w:snapToGrid w:val="0"/>
                    <w:jc w:val="center"/>
                    <w:rPr>
                      <w:rFonts w:hint="default" w:eastAsia="宋体"/>
                      <w:bCs/>
                      <w:color w:val="auto"/>
                      <w:sz w:val="21"/>
                      <w:szCs w:val="21"/>
                      <w:highlight w:val="none"/>
                      <w:lang w:val="en-US" w:eastAsia="zh-CN"/>
                    </w:rPr>
                  </w:pPr>
                  <w:r>
                    <w:rPr>
                      <w:rFonts w:hint="eastAsia"/>
                      <w:bCs/>
                      <w:color w:val="auto"/>
                      <w:sz w:val="21"/>
                      <w:szCs w:val="21"/>
                      <w:highlight w:val="none"/>
                      <w:lang w:val="en-US" w:eastAsia="zh-CN"/>
                    </w:rPr>
                    <w:t>0.0048</w:t>
                  </w:r>
                </w:p>
              </w:tc>
              <w:tc>
                <w:tcPr>
                  <w:tcW w:w="0" w:type="auto"/>
                  <w:vMerge w:val="continue"/>
                  <w:vAlign w:val="center"/>
                </w:tcPr>
                <w:p>
                  <w:pPr>
                    <w:pStyle w:val="41"/>
                    <w:snapToGrid w:val="0"/>
                    <w:jc w:val="center"/>
                    <w:rPr>
                      <w:rFonts w:hint="default" w:ascii="Times New Roman" w:cs="Times New Roman"/>
                      <w:bCs/>
                      <w:color w:val="auto"/>
                      <w:sz w:val="21"/>
                      <w:szCs w:val="21"/>
                      <w:highlight w:val="none"/>
                    </w:rPr>
                  </w:pPr>
                </w:p>
              </w:tc>
              <w:tc>
                <w:tcPr>
                  <w:tcW w:w="0" w:type="auto"/>
                  <w:vMerge w:val="continue"/>
                  <w:vAlign w:val="center"/>
                </w:tcPr>
                <w:p>
                  <w:pPr>
                    <w:pStyle w:val="41"/>
                    <w:snapToGrid w:val="0"/>
                    <w:jc w:val="center"/>
                    <w:rPr>
                      <w:rFonts w:hint="default" w:ascii="Times New Roman" w:cs="Times New Roman"/>
                      <w:bCs/>
                      <w:color w:val="auto"/>
                      <w:sz w:val="21"/>
                      <w:szCs w:val="21"/>
                      <w:highlight w:val="none"/>
                    </w:rPr>
                  </w:pPr>
                </w:p>
              </w:tc>
              <w:tc>
                <w:tcPr>
                  <w:tcW w:w="0" w:type="auto"/>
                  <w:vMerge w:val="continue"/>
                  <w:vAlign w:val="center"/>
                </w:tcPr>
                <w:p>
                  <w:pPr>
                    <w:pStyle w:val="41"/>
                    <w:snapToGrid w:val="0"/>
                    <w:jc w:val="center"/>
                    <w:rPr>
                      <w:rFonts w:hint="default" w:ascii="Times New Roman" w:cs="Times New Roman"/>
                      <w:bCs/>
                      <w:color w:val="auto"/>
                      <w:sz w:val="21"/>
                      <w:szCs w:val="21"/>
                      <w:highlight w:val="none"/>
                    </w:rPr>
                  </w:pPr>
                </w:p>
              </w:tc>
              <w:tc>
                <w:tcPr>
                  <w:tcW w:w="0" w:type="auto"/>
                  <w:vAlign w:val="center"/>
                </w:tcPr>
                <w:p>
                  <w:pPr>
                    <w:pStyle w:val="41"/>
                    <w:snapToGrid w:val="0"/>
                    <w:jc w:val="center"/>
                    <w:rPr>
                      <w:rFonts w:hint="default" w:ascii="Times New Roman" w:cs="Times New Roman"/>
                      <w:bCs/>
                      <w:color w:val="auto"/>
                      <w:sz w:val="21"/>
                      <w:szCs w:val="21"/>
                      <w:highlight w:val="none"/>
                    </w:rPr>
                  </w:pPr>
                  <w:r>
                    <w:rPr>
                      <w:rFonts w:ascii="Times New Roman" w:cs="Times New Roman"/>
                      <w:bCs/>
                      <w:color w:val="auto"/>
                      <w:sz w:val="21"/>
                      <w:szCs w:val="21"/>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vMerge w:val="continue"/>
                  <w:vAlign w:val="center"/>
                </w:tcPr>
                <w:p>
                  <w:pPr>
                    <w:pStyle w:val="41"/>
                    <w:snapToGrid w:val="0"/>
                    <w:jc w:val="center"/>
                    <w:rPr>
                      <w:rFonts w:hint="default" w:ascii="Times New Roman" w:cs="Times New Roman"/>
                      <w:color w:val="auto"/>
                      <w:sz w:val="21"/>
                      <w:szCs w:val="21"/>
                      <w:highlight w:val="none"/>
                    </w:rPr>
                  </w:pPr>
                </w:p>
              </w:tc>
              <w:tc>
                <w:tcPr>
                  <w:tcW w:w="0" w:type="auto"/>
                  <w:vAlign w:val="center"/>
                </w:tcPr>
                <w:p>
                  <w:pPr>
                    <w:pStyle w:val="41"/>
                    <w:snapToGrid w:val="0"/>
                    <w:jc w:val="center"/>
                    <w:rPr>
                      <w:rFonts w:hint="default" w:ascii="Times New Roman" w:cs="Times New Roman"/>
                      <w:color w:val="auto"/>
                      <w:sz w:val="21"/>
                      <w:szCs w:val="21"/>
                      <w:highlight w:val="none"/>
                    </w:rPr>
                  </w:pPr>
                  <w:r>
                    <w:rPr>
                      <w:rFonts w:ascii="Times New Roman" w:cs="Times New Roman"/>
                      <w:color w:val="auto"/>
                      <w:sz w:val="21"/>
                      <w:szCs w:val="21"/>
                      <w:highlight w:val="none"/>
                    </w:rPr>
                    <w:t>总磷</w:t>
                  </w:r>
                </w:p>
              </w:tc>
              <w:tc>
                <w:tcPr>
                  <w:tcW w:w="0" w:type="auto"/>
                  <w:vAlign w:val="center"/>
                </w:tcPr>
                <w:p>
                  <w:pPr>
                    <w:pStyle w:val="41"/>
                    <w:snapToGrid w:val="0"/>
                    <w:jc w:val="center"/>
                    <w:rPr>
                      <w:rFonts w:hint="default" w:ascii="Times New Roman" w:eastAsia="宋体" w:cs="Times New Roman"/>
                      <w:bCs/>
                      <w:color w:val="auto"/>
                      <w:sz w:val="21"/>
                      <w:szCs w:val="21"/>
                      <w:highlight w:val="none"/>
                      <w:lang w:val="en-US" w:eastAsia="zh-CN"/>
                    </w:rPr>
                  </w:pPr>
                  <w:r>
                    <w:rPr>
                      <w:rFonts w:hint="eastAsia" w:ascii="Times New Roman" w:cs="Times New Roman"/>
                      <w:bCs/>
                      <w:color w:val="auto"/>
                      <w:sz w:val="21"/>
                      <w:szCs w:val="21"/>
                      <w:highlight w:val="none"/>
                      <w:lang w:val="en-US" w:eastAsia="zh-CN"/>
                    </w:rPr>
                    <w:t>4.1</w:t>
                  </w:r>
                </w:p>
              </w:tc>
              <w:tc>
                <w:tcPr>
                  <w:tcW w:w="0" w:type="auto"/>
                  <w:vAlign w:val="center"/>
                </w:tcPr>
                <w:p>
                  <w:pPr>
                    <w:pStyle w:val="41"/>
                    <w:snapToGrid w:val="0"/>
                    <w:jc w:val="center"/>
                    <w:rPr>
                      <w:rFonts w:hint="default" w:ascii="Times New Roman" w:eastAsia="宋体" w:cs="Times New Roman"/>
                      <w:bCs/>
                      <w:color w:val="auto"/>
                      <w:sz w:val="21"/>
                      <w:szCs w:val="21"/>
                      <w:highlight w:val="none"/>
                      <w:lang w:val="en-US" w:eastAsia="zh-CN"/>
                    </w:rPr>
                  </w:pPr>
                  <w:r>
                    <w:rPr>
                      <w:rFonts w:hint="eastAsia" w:ascii="Times New Roman" w:cs="Times New Roman"/>
                      <w:bCs/>
                      <w:color w:val="auto"/>
                      <w:sz w:val="21"/>
                      <w:szCs w:val="21"/>
                      <w:highlight w:val="none"/>
                      <w:lang w:val="en-US" w:eastAsia="zh-CN"/>
                    </w:rPr>
                    <w:t>0.00984</w:t>
                  </w:r>
                </w:p>
              </w:tc>
              <w:tc>
                <w:tcPr>
                  <w:tcW w:w="0" w:type="auto"/>
                  <w:vMerge w:val="continue"/>
                  <w:vAlign w:val="center"/>
                </w:tcPr>
                <w:p>
                  <w:pPr>
                    <w:pStyle w:val="41"/>
                    <w:snapToGrid w:val="0"/>
                    <w:jc w:val="center"/>
                    <w:rPr>
                      <w:rFonts w:hint="default" w:ascii="Times New Roman" w:cs="Times New Roman"/>
                      <w:bCs/>
                      <w:color w:val="auto"/>
                      <w:sz w:val="21"/>
                      <w:szCs w:val="21"/>
                      <w:highlight w:val="none"/>
                    </w:rPr>
                  </w:pPr>
                </w:p>
              </w:tc>
              <w:tc>
                <w:tcPr>
                  <w:tcW w:w="0" w:type="auto"/>
                  <w:vMerge w:val="continue"/>
                  <w:vAlign w:val="center"/>
                </w:tcPr>
                <w:p>
                  <w:pPr>
                    <w:pStyle w:val="41"/>
                    <w:snapToGrid w:val="0"/>
                    <w:jc w:val="center"/>
                    <w:rPr>
                      <w:rFonts w:hint="default" w:ascii="Times New Roman" w:cs="Times New Roman"/>
                      <w:bCs/>
                      <w:color w:val="auto"/>
                      <w:sz w:val="21"/>
                      <w:szCs w:val="21"/>
                      <w:highlight w:val="none"/>
                    </w:rPr>
                  </w:pPr>
                </w:p>
              </w:tc>
              <w:tc>
                <w:tcPr>
                  <w:tcW w:w="0" w:type="auto"/>
                  <w:vMerge w:val="continue"/>
                  <w:vAlign w:val="center"/>
                </w:tcPr>
                <w:p>
                  <w:pPr>
                    <w:pStyle w:val="41"/>
                    <w:snapToGrid w:val="0"/>
                    <w:jc w:val="center"/>
                    <w:rPr>
                      <w:rFonts w:hint="default" w:ascii="Times New Roman" w:cs="Times New Roman"/>
                      <w:bCs/>
                      <w:color w:val="auto"/>
                      <w:sz w:val="21"/>
                      <w:szCs w:val="21"/>
                      <w:highlight w:val="none"/>
                    </w:rPr>
                  </w:pPr>
                </w:p>
              </w:tc>
              <w:tc>
                <w:tcPr>
                  <w:tcW w:w="0" w:type="auto"/>
                  <w:vMerge w:val="continue"/>
                  <w:vAlign w:val="center"/>
                </w:tcPr>
                <w:p>
                  <w:pPr>
                    <w:pStyle w:val="41"/>
                    <w:snapToGrid w:val="0"/>
                    <w:jc w:val="center"/>
                    <w:rPr>
                      <w:rFonts w:hint="default" w:ascii="Times New Roman" w:cs="Times New Roman"/>
                      <w:bCs/>
                      <w:color w:val="auto"/>
                      <w:sz w:val="21"/>
                      <w:szCs w:val="21"/>
                      <w:highlight w:val="none"/>
                    </w:rPr>
                  </w:pPr>
                </w:p>
              </w:tc>
              <w:tc>
                <w:tcPr>
                  <w:tcW w:w="0" w:type="auto"/>
                  <w:vAlign w:val="center"/>
                </w:tcPr>
                <w:p>
                  <w:pPr>
                    <w:adjustRightInd w:val="0"/>
                    <w:snapToGrid w:val="0"/>
                    <w:jc w:val="center"/>
                    <w:rPr>
                      <w:rFonts w:hint="default" w:eastAsia="宋体"/>
                      <w:bCs/>
                      <w:color w:val="auto"/>
                      <w:sz w:val="21"/>
                      <w:szCs w:val="21"/>
                      <w:highlight w:val="none"/>
                      <w:lang w:val="en-US" w:eastAsia="zh-CN"/>
                    </w:rPr>
                  </w:pPr>
                  <w:r>
                    <w:rPr>
                      <w:rFonts w:hint="eastAsia"/>
                      <w:bCs/>
                      <w:color w:val="auto"/>
                      <w:sz w:val="21"/>
                      <w:szCs w:val="21"/>
                      <w:highlight w:val="none"/>
                      <w:lang w:val="en-US" w:eastAsia="zh-CN"/>
                    </w:rPr>
                    <w:t>0.00096</w:t>
                  </w:r>
                </w:p>
              </w:tc>
              <w:tc>
                <w:tcPr>
                  <w:tcW w:w="0" w:type="auto"/>
                  <w:vMerge w:val="continue"/>
                  <w:vAlign w:val="center"/>
                </w:tcPr>
                <w:p>
                  <w:pPr>
                    <w:pStyle w:val="41"/>
                    <w:snapToGrid w:val="0"/>
                    <w:jc w:val="center"/>
                    <w:rPr>
                      <w:rFonts w:hint="default" w:ascii="Times New Roman" w:cs="Times New Roman"/>
                      <w:bCs/>
                      <w:color w:val="auto"/>
                      <w:sz w:val="21"/>
                      <w:szCs w:val="21"/>
                      <w:highlight w:val="none"/>
                    </w:rPr>
                  </w:pPr>
                </w:p>
              </w:tc>
              <w:tc>
                <w:tcPr>
                  <w:tcW w:w="0" w:type="auto"/>
                  <w:vMerge w:val="continue"/>
                  <w:vAlign w:val="center"/>
                </w:tcPr>
                <w:p>
                  <w:pPr>
                    <w:pStyle w:val="41"/>
                    <w:snapToGrid w:val="0"/>
                    <w:jc w:val="center"/>
                    <w:rPr>
                      <w:rFonts w:hint="default" w:ascii="Times New Roman" w:cs="Times New Roman"/>
                      <w:bCs/>
                      <w:color w:val="auto"/>
                      <w:sz w:val="21"/>
                      <w:szCs w:val="21"/>
                      <w:highlight w:val="none"/>
                    </w:rPr>
                  </w:pPr>
                </w:p>
              </w:tc>
              <w:tc>
                <w:tcPr>
                  <w:tcW w:w="0" w:type="auto"/>
                  <w:vMerge w:val="continue"/>
                  <w:vAlign w:val="center"/>
                </w:tcPr>
                <w:p>
                  <w:pPr>
                    <w:pStyle w:val="41"/>
                    <w:snapToGrid w:val="0"/>
                    <w:jc w:val="center"/>
                    <w:rPr>
                      <w:rFonts w:hint="default" w:ascii="Times New Roman" w:cs="Times New Roman"/>
                      <w:bCs/>
                      <w:color w:val="auto"/>
                      <w:sz w:val="21"/>
                      <w:szCs w:val="21"/>
                      <w:highlight w:val="none"/>
                    </w:rPr>
                  </w:pPr>
                </w:p>
              </w:tc>
              <w:tc>
                <w:tcPr>
                  <w:tcW w:w="0" w:type="auto"/>
                  <w:vAlign w:val="center"/>
                </w:tcPr>
                <w:p>
                  <w:pPr>
                    <w:pStyle w:val="41"/>
                    <w:snapToGrid w:val="0"/>
                    <w:jc w:val="center"/>
                    <w:rPr>
                      <w:rFonts w:hint="default" w:ascii="Times New Roman" w:cs="Times New Roman"/>
                      <w:bCs/>
                      <w:color w:val="auto"/>
                      <w:sz w:val="21"/>
                      <w:szCs w:val="21"/>
                      <w:highlight w:val="none"/>
                    </w:rPr>
                  </w:pPr>
                  <w:r>
                    <w:rPr>
                      <w:rFonts w:ascii="Times New Roman" w:cs="Times New Roman"/>
                      <w:bCs/>
                      <w:color w:val="auto"/>
                      <w:sz w:val="21"/>
                      <w:szCs w:val="21"/>
                      <w:highlight w:val="none"/>
                    </w:rPr>
                    <w:t>0.4</w:t>
                  </w:r>
                </w:p>
              </w:tc>
            </w:tr>
          </w:tbl>
          <w:p>
            <w:pPr>
              <w:adjustRightInd w:val="0"/>
              <w:snapToGrid w:val="0"/>
              <w:spacing w:before="120" w:beforeLines="50" w:line="360" w:lineRule="auto"/>
              <w:ind w:firstLine="420" w:firstLineChars="200"/>
              <w:rPr>
                <w:bCs/>
                <w:color w:val="auto"/>
                <w:szCs w:val="21"/>
                <w:highlight w:val="none"/>
              </w:rPr>
            </w:pPr>
            <w:r>
              <w:rPr>
                <w:rFonts w:hint="eastAsia"/>
                <w:bCs/>
                <w:color w:val="auto"/>
                <w:szCs w:val="21"/>
                <w:highlight w:val="none"/>
              </w:rPr>
              <w:t>项目不产生生产废水，外排废水主要为员工生活污水。</w:t>
            </w:r>
          </w:p>
          <w:p>
            <w:pPr>
              <w:adjustRightInd w:val="0"/>
              <w:snapToGrid w:val="0"/>
              <w:spacing w:line="348" w:lineRule="auto"/>
              <w:ind w:firstLine="420" w:firstLineChars="200"/>
              <w:rPr>
                <w:rFonts w:hint="eastAsia" w:eastAsia="宋体"/>
                <w:color w:val="auto"/>
                <w:szCs w:val="21"/>
                <w:highlight w:val="none"/>
                <w:lang w:val="en-US" w:eastAsia="zh-CN"/>
              </w:rPr>
            </w:pPr>
            <w:r>
              <w:rPr>
                <w:bCs/>
                <w:color w:val="auto"/>
                <w:kern w:val="10"/>
                <w:szCs w:val="21"/>
                <w:highlight w:val="none"/>
              </w:rPr>
              <w:t>项目</w:t>
            </w:r>
            <w:r>
              <w:rPr>
                <w:color w:val="auto"/>
                <w:szCs w:val="21"/>
                <w:highlight w:val="none"/>
              </w:rPr>
              <w:t>员工人数</w:t>
            </w:r>
            <w:r>
              <w:rPr>
                <w:rFonts w:hint="eastAsia"/>
                <w:color w:val="auto"/>
                <w:szCs w:val="21"/>
                <w:highlight w:val="none"/>
              </w:rPr>
              <w:t>10</w:t>
            </w:r>
            <w:r>
              <w:rPr>
                <w:color w:val="auto"/>
                <w:szCs w:val="21"/>
                <w:highlight w:val="none"/>
              </w:rPr>
              <w:t>人，</w:t>
            </w:r>
            <w:r>
              <w:rPr>
                <w:rFonts w:hint="eastAsia"/>
                <w:color w:val="auto"/>
                <w:szCs w:val="21"/>
                <w:highlight w:val="none"/>
              </w:rPr>
              <w:t>不在厂内</w:t>
            </w:r>
            <w:r>
              <w:rPr>
                <w:color w:val="auto"/>
                <w:szCs w:val="21"/>
                <w:highlight w:val="none"/>
              </w:rPr>
              <w:t>食宿</w:t>
            </w:r>
            <w:r>
              <w:rPr>
                <w:bCs/>
                <w:color w:val="auto"/>
                <w:kern w:val="10"/>
                <w:szCs w:val="21"/>
                <w:highlight w:val="none"/>
              </w:rPr>
              <w:t>，员工工作期间会产生一定量生活污水，主要污染物为COD</w:t>
            </w:r>
            <w:r>
              <w:rPr>
                <w:bCs/>
                <w:color w:val="auto"/>
                <w:kern w:val="10"/>
                <w:szCs w:val="21"/>
                <w:highlight w:val="none"/>
                <w:vertAlign w:val="subscript"/>
              </w:rPr>
              <w:t>Cr</w:t>
            </w:r>
            <w:r>
              <w:rPr>
                <w:bCs/>
                <w:color w:val="auto"/>
                <w:kern w:val="10"/>
                <w:szCs w:val="21"/>
                <w:highlight w:val="none"/>
              </w:rPr>
              <w:t>、BOD</w:t>
            </w:r>
            <w:r>
              <w:rPr>
                <w:bCs/>
                <w:color w:val="auto"/>
                <w:kern w:val="10"/>
                <w:szCs w:val="21"/>
                <w:highlight w:val="none"/>
                <w:vertAlign w:val="subscript"/>
              </w:rPr>
              <w:t>5</w:t>
            </w:r>
            <w:r>
              <w:rPr>
                <w:bCs/>
                <w:color w:val="auto"/>
                <w:kern w:val="10"/>
                <w:szCs w:val="21"/>
                <w:highlight w:val="none"/>
              </w:rPr>
              <w:t>、SS、NH</w:t>
            </w:r>
            <w:r>
              <w:rPr>
                <w:bCs/>
                <w:color w:val="auto"/>
                <w:kern w:val="10"/>
                <w:szCs w:val="21"/>
                <w:highlight w:val="none"/>
                <w:vertAlign w:val="subscript"/>
              </w:rPr>
              <w:t>3</w:t>
            </w:r>
            <w:r>
              <w:rPr>
                <w:bCs/>
                <w:color w:val="auto"/>
                <w:kern w:val="10"/>
                <w:szCs w:val="21"/>
                <w:highlight w:val="none"/>
              </w:rPr>
              <w:t>-N</w:t>
            </w:r>
            <w:r>
              <w:rPr>
                <w:rFonts w:hint="eastAsia"/>
                <w:bCs/>
                <w:color w:val="auto"/>
                <w:kern w:val="10"/>
                <w:szCs w:val="21"/>
                <w:highlight w:val="none"/>
              </w:rPr>
              <w:t>、总氮、总磷</w:t>
            </w:r>
            <w:r>
              <w:rPr>
                <w:bCs/>
                <w:color w:val="auto"/>
                <w:kern w:val="10"/>
                <w:szCs w:val="21"/>
                <w:highlight w:val="none"/>
              </w:rPr>
              <w:t>等</w:t>
            </w:r>
            <w:r>
              <w:rPr>
                <w:rFonts w:hint="eastAsia"/>
                <w:bCs/>
                <w:color w:val="auto"/>
                <w:kern w:val="10"/>
                <w:szCs w:val="21"/>
                <w:highlight w:val="none"/>
              </w:rPr>
              <w:t>，</w:t>
            </w:r>
            <w:r>
              <w:rPr>
                <w:bCs/>
                <w:color w:val="auto"/>
                <w:kern w:val="10"/>
                <w:szCs w:val="21"/>
                <w:highlight w:val="none"/>
              </w:rPr>
              <w:t>年工作300天。</w:t>
            </w:r>
            <w:r>
              <w:rPr>
                <w:color w:val="auto"/>
                <w:szCs w:val="21"/>
                <w:highlight w:val="none"/>
              </w:rPr>
              <w:t>参照广东省</w:t>
            </w:r>
            <w:r>
              <w:rPr>
                <w:rFonts w:hint="eastAsia"/>
                <w:color w:val="auto"/>
                <w:szCs w:val="21"/>
                <w:highlight w:val="none"/>
              </w:rPr>
              <w:t>地方标准</w:t>
            </w:r>
            <w:r>
              <w:rPr>
                <w:color w:val="auto"/>
                <w:szCs w:val="21"/>
                <w:highlight w:val="none"/>
              </w:rPr>
              <w:t>《用水定额</w:t>
            </w:r>
            <w:r>
              <w:rPr>
                <w:rFonts w:hint="eastAsia"/>
                <w:color w:val="auto"/>
                <w:szCs w:val="21"/>
                <w:highlight w:val="none"/>
              </w:rPr>
              <w:t xml:space="preserve"> 第3部分：生活用水</w:t>
            </w:r>
            <w:r>
              <w:rPr>
                <w:color w:val="auto"/>
                <w:szCs w:val="21"/>
                <w:highlight w:val="none"/>
              </w:rPr>
              <w:t>》（DB44/T1461</w:t>
            </w:r>
            <w:r>
              <w:rPr>
                <w:rFonts w:hint="eastAsia"/>
                <w:color w:val="auto"/>
                <w:szCs w:val="21"/>
                <w:highlight w:val="none"/>
              </w:rPr>
              <w:t>.3</w:t>
            </w:r>
            <w:r>
              <w:rPr>
                <w:color w:val="auto"/>
                <w:szCs w:val="21"/>
                <w:highlight w:val="none"/>
              </w:rPr>
              <w:t>-20</w:t>
            </w:r>
            <w:r>
              <w:rPr>
                <w:rFonts w:hint="eastAsia"/>
                <w:color w:val="auto"/>
                <w:szCs w:val="21"/>
                <w:highlight w:val="none"/>
              </w:rPr>
              <w:t>21</w:t>
            </w:r>
            <w:r>
              <w:rPr>
                <w:color w:val="auto"/>
                <w:szCs w:val="21"/>
                <w:highlight w:val="none"/>
              </w:rPr>
              <w:t>）</w:t>
            </w:r>
            <w:r>
              <w:rPr>
                <w:rFonts w:hint="eastAsia"/>
                <w:color w:val="auto"/>
                <w:szCs w:val="21"/>
                <w:highlight w:val="none"/>
              </w:rPr>
              <w:t>--“办公楼”--“无食堂和浴室”--“先进</w:t>
            </w:r>
            <w:r>
              <w:rPr>
                <w:color w:val="auto"/>
                <w:szCs w:val="21"/>
                <w:highlight w:val="none"/>
              </w:rPr>
              <w:t>值</w:t>
            </w:r>
            <w:r>
              <w:rPr>
                <w:rFonts w:hint="eastAsia"/>
                <w:color w:val="auto"/>
                <w:szCs w:val="21"/>
                <w:highlight w:val="none"/>
              </w:rPr>
              <w:t>”，项</w:t>
            </w:r>
            <w:r>
              <w:rPr>
                <w:color w:val="auto"/>
                <w:szCs w:val="21"/>
                <w:highlight w:val="none"/>
              </w:rPr>
              <w:t>目用水定额</w:t>
            </w:r>
            <w:r>
              <w:rPr>
                <w:rFonts w:hint="eastAsia"/>
                <w:color w:val="auto"/>
                <w:szCs w:val="21"/>
                <w:highlight w:val="none"/>
              </w:rPr>
              <w:t>取</w:t>
            </w:r>
            <w:r>
              <w:rPr>
                <w:color w:val="auto"/>
                <w:szCs w:val="21"/>
                <w:highlight w:val="none"/>
              </w:rPr>
              <w:t>10</w:t>
            </w:r>
            <w:r>
              <w:rPr>
                <w:rFonts w:hint="eastAsia"/>
                <w:color w:val="auto"/>
                <w:szCs w:val="21"/>
                <w:highlight w:val="none"/>
              </w:rPr>
              <w:t>m</w:t>
            </w:r>
            <w:r>
              <w:rPr>
                <w:rFonts w:hint="eastAsia"/>
                <w:color w:val="auto"/>
                <w:szCs w:val="21"/>
                <w:highlight w:val="none"/>
                <w:vertAlign w:val="superscript"/>
              </w:rPr>
              <w:t>3</w:t>
            </w:r>
            <w:r>
              <w:rPr>
                <w:rFonts w:hint="eastAsia"/>
                <w:color w:val="auto"/>
                <w:szCs w:val="21"/>
                <w:highlight w:val="none"/>
              </w:rPr>
              <w:t>/人•年计</w:t>
            </w:r>
            <w:r>
              <w:rPr>
                <w:color w:val="auto"/>
                <w:szCs w:val="21"/>
                <w:highlight w:val="none"/>
              </w:rPr>
              <w:t>，则项目年用生活用水量为</w:t>
            </w:r>
            <w:r>
              <w:rPr>
                <w:rFonts w:hint="eastAsia"/>
                <w:color w:val="auto"/>
                <w:szCs w:val="21"/>
                <w:highlight w:val="none"/>
              </w:rPr>
              <w:t>1</w:t>
            </w:r>
            <w:r>
              <w:rPr>
                <w:color w:val="auto"/>
                <w:szCs w:val="21"/>
                <w:highlight w:val="none"/>
              </w:rPr>
              <w:t>00m</w:t>
            </w:r>
            <w:r>
              <w:rPr>
                <w:color w:val="auto"/>
                <w:szCs w:val="21"/>
                <w:highlight w:val="none"/>
                <w:vertAlign w:val="superscript"/>
              </w:rPr>
              <w:t>3</w:t>
            </w:r>
            <w:r>
              <w:rPr>
                <w:color w:val="auto"/>
                <w:szCs w:val="21"/>
                <w:highlight w:val="none"/>
              </w:rPr>
              <w:t>/a，</w:t>
            </w:r>
            <w:r>
              <w:rPr>
                <w:rFonts w:hint="eastAsia"/>
                <w:color w:val="auto"/>
                <w:szCs w:val="21"/>
                <w:highlight w:val="none"/>
              </w:rPr>
              <w:t>0.33</w:t>
            </w:r>
            <w:r>
              <w:rPr>
                <w:color w:val="auto"/>
                <w:szCs w:val="21"/>
                <w:highlight w:val="none"/>
              </w:rPr>
              <w:t>m</w:t>
            </w:r>
            <w:r>
              <w:rPr>
                <w:color w:val="auto"/>
                <w:szCs w:val="21"/>
                <w:highlight w:val="none"/>
                <w:vertAlign w:val="superscript"/>
              </w:rPr>
              <w:t>3</w:t>
            </w:r>
            <w:r>
              <w:rPr>
                <w:color w:val="auto"/>
                <w:szCs w:val="21"/>
                <w:highlight w:val="none"/>
              </w:rPr>
              <w:t>/d（以300天计算）。</w:t>
            </w:r>
            <w:r>
              <w:rPr>
                <w:bCs/>
                <w:color w:val="auto"/>
                <w:kern w:val="10"/>
                <w:szCs w:val="21"/>
                <w:highlight w:val="none"/>
              </w:rPr>
              <w:t>生活污水排放系数取0.</w:t>
            </w:r>
            <w:r>
              <w:rPr>
                <w:rFonts w:hint="eastAsia"/>
                <w:bCs/>
                <w:color w:val="auto"/>
                <w:kern w:val="10"/>
                <w:szCs w:val="21"/>
                <w:highlight w:val="none"/>
              </w:rPr>
              <w:t>8</w:t>
            </w:r>
            <w:r>
              <w:rPr>
                <w:bCs/>
                <w:color w:val="auto"/>
                <w:kern w:val="10"/>
                <w:szCs w:val="21"/>
                <w:highlight w:val="none"/>
              </w:rPr>
              <w:t>，项目年生活污水总量为</w:t>
            </w:r>
            <w:r>
              <w:rPr>
                <w:rFonts w:hint="eastAsia"/>
                <w:bCs/>
                <w:color w:val="auto"/>
                <w:kern w:val="10"/>
                <w:szCs w:val="21"/>
                <w:highlight w:val="none"/>
              </w:rPr>
              <w:t>0.333</w:t>
            </w:r>
            <w:r>
              <w:rPr>
                <w:bCs/>
                <w:color w:val="auto"/>
                <w:kern w:val="10"/>
                <w:szCs w:val="21"/>
                <w:highlight w:val="none"/>
              </w:rPr>
              <w:t>m</w:t>
            </w:r>
            <w:r>
              <w:rPr>
                <w:bCs/>
                <w:color w:val="auto"/>
                <w:kern w:val="10"/>
                <w:szCs w:val="21"/>
                <w:highlight w:val="none"/>
                <w:vertAlign w:val="superscript"/>
              </w:rPr>
              <w:t>3</w:t>
            </w:r>
            <w:r>
              <w:rPr>
                <w:color w:val="auto"/>
                <w:szCs w:val="21"/>
                <w:highlight w:val="none"/>
              </w:rPr>
              <w:t>/d，</w:t>
            </w:r>
            <w:r>
              <w:rPr>
                <w:rFonts w:hint="eastAsia"/>
                <w:color w:val="auto"/>
                <w:szCs w:val="21"/>
                <w:highlight w:val="none"/>
              </w:rPr>
              <w:t>80</w:t>
            </w:r>
            <w:r>
              <w:rPr>
                <w:bCs/>
                <w:color w:val="auto"/>
                <w:kern w:val="10"/>
                <w:szCs w:val="21"/>
                <w:highlight w:val="none"/>
              </w:rPr>
              <w:t>m</w:t>
            </w:r>
            <w:r>
              <w:rPr>
                <w:bCs/>
                <w:color w:val="auto"/>
                <w:kern w:val="10"/>
                <w:szCs w:val="21"/>
                <w:highlight w:val="none"/>
                <w:vertAlign w:val="superscript"/>
              </w:rPr>
              <w:t>3</w:t>
            </w:r>
            <w:r>
              <w:rPr>
                <w:bCs/>
                <w:color w:val="auto"/>
                <w:kern w:val="10"/>
                <w:szCs w:val="21"/>
                <w:highlight w:val="none"/>
              </w:rPr>
              <w:t>/a（年工作300天）</w:t>
            </w:r>
            <w:r>
              <w:rPr>
                <w:color w:val="auto"/>
                <w:szCs w:val="21"/>
                <w:highlight w:val="none"/>
              </w:rPr>
              <w:t>。</w:t>
            </w:r>
            <w:r>
              <w:rPr>
                <w:rFonts w:hint="eastAsia"/>
                <w:color w:val="auto"/>
                <w:szCs w:val="21"/>
                <w:highlight w:val="none"/>
              </w:rPr>
              <w:t>参照《排放源统计调查产排污核算方法和系数手册》中生活污染源产排污系数手册表 1-1 城镇生活源水污染物产生系数中的第五区各污染物产排污系数平均值（广东属于第五区），则生活污水CODcr产生浓度为285mg/L、BOD</w:t>
            </w:r>
            <w:r>
              <w:rPr>
                <w:rFonts w:hint="eastAsia"/>
                <w:color w:val="auto"/>
                <w:szCs w:val="21"/>
                <w:highlight w:val="none"/>
                <w:vertAlign w:val="subscript"/>
              </w:rPr>
              <w:t>5</w:t>
            </w:r>
            <w:r>
              <w:rPr>
                <w:rFonts w:hint="eastAsia"/>
                <w:color w:val="auto"/>
                <w:szCs w:val="21"/>
                <w:highlight w:val="none"/>
              </w:rPr>
              <w:t>160mg/L、SS150mg/L、NH</w:t>
            </w:r>
            <w:r>
              <w:rPr>
                <w:rFonts w:hint="eastAsia"/>
                <w:color w:val="auto"/>
                <w:szCs w:val="21"/>
                <w:highlight w:val="none"/>
                <w:vertAlign w:val="subscript"/>
              </w:rPr>
              <w:t>3</w:t>
            </w:r>
            <w:r>
              <w:rPr>
                <w:rFonts w:hint="eastAsia"/>
                <w:color w:val="auto"/>
                <w:szCs w:val="21"/>
                <w:highlight w:val="none"/>
              </w:rPr>
              <w:t>-N28.3mg/L、TP4.10mg/L</w:t>
            </w:r>
            <w:r>
              <w:rPr>
                <w:rFonts w:hint="eastAsia"/>
                <w:color w:val="auto"/>
                <w:szCs w:val="21"/>
                <w:highlight w:val="none"/>
                <w:lang w:eastAsia="zh-CN"/>
              </w:rPr>
              <w:t>、</w:t>
            </w:r>
            <w:r>
              <w:rPr>
                <w:rFonts w:hint="eastAsia"/>
                <w:color w:val="auto"/>
                <w:szCs w:val="21"/>
                <w:highlight w:val="none"/>
                <w:lang w:val="en-US" w:eastAsia="zh-CN"/>
              </w:rPr>
              <w:t>TN39.4mg/L</w:t>
            </w:r>
            <w:r>
              <w:rPr>
                <w:rFonts w:hint="eastAsia"/>
                <w:color w:val="auto"/>
                <w:szCs w:val="21"/>
                <w:highlight w:val="none"/>
                <w:lang w:eastAsia="zh-CN"/>
              </w:rPr>
              <w:t>。</w:t>
            </w:r>
          </w:p>
          <w:p>
            <w:pPr>
              <w:adjustRightInd w:val="0"/>
              <w:snapToGrid w:val="0"/>
              <w:spacing w:line="348" w:lineRule="auto"/>
              <w:ind w:firstLine="420" w:firstLineChars="200"/>
              <w:rPr>
                <w:color w:val="auto"/>
                <w:highlight w:val="none"/>
              </w:rPr>
            </w:pPr>
            <w:r>
              <w:rPr>
                <w:color w:val="auto"/>
                <w:szCs w:val="21"/>
                <w:highlight w:val="none"/>
              </w:rPr>
              <w:t>项目生活污水经三级化粪池预处理达到广东省地方标准《水污染物排放限值》(DB44/26-2001)第二时段三级标准后经市政管网汇入</w:t>
            </w:r>
            <w:r>
              <w:rPr>
                <w:rFonts w:hint="eastAsia"/>
                <w:color w:val="auto"/>
                <w:szCs w:val="21"/>
                <w:highlight w:val="none"/>
              </w:rPr>
              <w:t>博罗县园洲镇第五生活污水处理厂</w:t>
            </w:r>
            <w:r>
              <w:rPr>
                <w:color w:val="auto"/>
                <w:szCs w:val="21"/>
                <w:highlight w:val="none"/>
              </w:rPr>
              <w:t>进一步处理</w:t>
            </w:r>
            <w:r>
              <w:rPr>
                <w:rFonts w:hint="eastAsia"/>
                <w:color w:val="auto"/>
                <w:szCs w:val="21"/>
                <w:highlight w:val="none"/>
              </w:rPr>
              <w:t>达标排放。博罗县园洲镇第五生活污水处理厂</w:t>
            </w:r>
            <w:r>
              <w:rPr>
                <w:color w:val="auto"/>
                <w:szCs w:val="21"/>
                <w:highlight w:val="none"/>
              </w:rPr>
              <w:t>尾水排放执行</w:t>
            </w:r>
            <w:r>
              <w:rPr>
                <w:rFonts w:hint="eastAsia"/>
                <w:color w:val="auto"/>
                <w:szCs w:val="21"/>
                <w:highlight w:val="none"/>
              </w:rPr>
              <w:t>《城镇污水处理厂污染物排放标准》（</w:t>
            </w:r>
            <w:r>
              <w:rPr>
                <w:color w:val="auto"/>
                <w:szCs w:val="21"/>
                <w:highlight w:val="none"/>
              </w:rPr>
              <w:t>GB18918-2002</w:t>
            </w:r>
            <w:r>
              <w:rPr>
                <w:rFonts w:hint="eastAsia"/>
                <w:color w:val="auto"/>
                <w:szCs w:val="21"/>
                <w:highlight w:val="none"/>
              </w:rPr>
              <w:t>）一级</w:t>
            </w:r>
            <w:r>
              <w:rPr>
                <w:color w:val="auto"/>
                <w:szCs w:val="21"/>
                <w:highlight w:val="none"/>
              </w:rPr>
              <w:t>A</w:t>
            </w:r>
            <w:r>
              <w:rPr>
                <w:rFonts w:hint="eastAsia"/>
                <w:color w:val="auto"/>
                <w:szCs w:val="21"/>
                <w:highlight w:val="none"/>
              </w:rPr>
              <w:t>标准及广东省《水污染物排放限值》（</w:t>
            </w:r>
            <w:r>
              <w:rPr>
                <w:color w:val="auto"/>
                <w:szCs w:val="21"/>
                <w:highlight w:val="none"/>
              </w:rPr>
              <w:t>DB44/26-2001</w:t>
            </w:r>
            <w:r>
              <w:rPr>
                <w:rFonts w:hint="eastAsia"/>
                <w:color w:val="auto"/>
                <w:szCs w:val="21"/>
                <w:highlight w:val="none"/>
              </w:rPr>
              <w:t>）第二时段一级标准中的较严者，其中氨氮、总磷指标优于《地表水环境质量标准》（</w:t>
            </w:r>
            <w:r>
              <w:rPr>
                <w:color w:val="auto"/>
                <w:szCs w:val="21"/>
                <w:highlight w:val="none"/>
              </w:rPr>
              <w:t>GB3838-2002</w:t>
            </w:r>
            <w:r>
              <w:rPr>
                <w:rFonts w:hint="eastAsia"/>
                <w:color w:val="auto"/>
                <w:szCs w:val="21"/>
                <w:highlight w:val="none"/>
              </w:rPr>
              <w:t>）</w:t>
            </w:r>
            <w:r>
              <w:rPr>
                <w:color w:val="auto"/>
                <w:szCs w:val="21"/>
                <w:highlight w:val="none"/>
              </w:rPr>
              <w:t>V</w:t>
            </w:r>
            <w:r>
              <w:rPr>
                <w:rFonts w:hint="eastAsia"/>
                <w:color w:val="auto"/>
                <w:szCs w:val="21"/>
                <w:highlight w:val="none"/>
              </w:rPr>
              <w:t>类标准。</w:t>
            </w:r>
          </w:p>
          <w:p>
            <w:pPr>
              <w:adjustRightInd w:val="0"/>
              <w:snapToGrid w:val="0"/>
              <w:spacing w:line="360" w:lineRule="auto"/>
              <w:ind w:firstLine="420" w:firstLineChars="200"/>
              <w:rPr>
                <w:bCs/>
                <w:color w:val="auto"/>
                <w:szCs w:val="21"/>
                <w:highlight w:val="none"/>
              </w:rPr>
            </w:pPr>
            <w:r>
              <w:rPr>
                <w:bCs/>
                <w:color w:val="auto"/>
                <w:szCs w:val="21"/>
                <w:highlight w:val="none"/>
              </w:rPr>
              <w:t>项目生活污水水质及污染物排放情况见下表。</w:t>
            </w:r>
          </w:p>
          <w:p>
            <w:pPr>
              <w:adjustRightInd w:val="0"/>
              <w:snapToGrid w:val="0"/>
              <w:spacing w:line="360" w:lineRule="auto"/>
              <w:ind w:left="-42" w:leftChars="-20"/>
              <w:jc w:val="center"/>
              <w:rPr>
                <w:b/>
                <w:color w:val="auto"/>
                <w:szCs w:val="21"/>
                <w:highlight w:val="none"/>
              </w:rPr>
            </w:pPr>
            <w:r>
              <w:rPr>
                <w:b/>
                <w:color w:val="auto"/>
                <w:szCs w:val="21"/>
                <w:highlight w:val="none"/>
              </w:rPr>
              <w:t>表</w:t>
            </w:r>
            <w:r>
              <w:rPr>
                <w:rFonts w:hint="eastAsia"/>
                <w:b/>
                <w:color w:val="auto"/>
                <w:szCs w:val="21"/>
                <w:highlight w:val="none"/>
              </w:rPr>
              <w:t>4-1</w:t>
            </w:r>
            <w:r>
              <w:rPr>
                <w:rFonts w:hint="eastAsia"/>
                <w:b/>
                <w:color w:val="auto"/>
                <w:szCs w:val="21"/>
                <w:highlight w:val="none"/>
                <w:lang w:val="en-US" w:eastAsia="zh-CN"/>
              </w:rPr>
              <w:t>2</w:t>
            </w:r>
            <w:r>
              <w:rPr>
                <w:b/>
                <w:color w:val="auto"/>
                <w:szCs w:val="21"/>
                <w:highlight w:val="none"/>
              </w:rPr>
              <w:t xml:space="preserve"> 项目生活污水水质及污染物排放情况</w:t>
            </w:r>
          </w:p>
          <w:tbl>
            <w:tblPr>
              <w:tblStyle w:val="35"/>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0"/>
              <w:gridCol w:w="2011"/>
              <w:gridCol w:w="930"/>
              <w:gridCol w:w="930"/>
              <w:gridCol w:w="930"/>
              <w:gridCol w:w="947"/>
              <w:gridCol w:w="1125"/>
              <w:gridCol w:w="1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8" w:hRule="atLeast"/>
                <w:jc w:val="center"/>
              </w:trPr>
              <w:tc>
                <w:tcPr>
                  <w:tcW w:w="1824" w:type="pct"/>
                  <w:gridSpan w:val="2"/>
                  <w:vAlign w:val="center"/>
                </w:tcPr>
                <w:p>
                  <w:pPr>
                    <w:jc w:val="center"/>
                    <w:rPr>
                      <w:b/>
                      <w:bCs/>
                      <w:color w:val="auto"/>
                      <w:szCs w:val="21"/>
                      <w:highlight w:val="none"/>
                      <w:lang w:eastAsia="en-US"/>
                    </w:rPr>
                  </w:pPr>
                  <w:r>
                    <w:rPr>
                      <w:b/>
                      <w:bCs/>
                      <w:color w:val="auto"/>
                      <w:szCs w:val="21"/>
                      <w:highlight w:val="none"/>
                    </w:rPr>
                    <w:t>污染物</w:t>
                  </w:r>
                </w:p>
              </w:tc>
              <w:tc>
                <w:tcPr>
                  <w:tcW w:w="493" w:type="pct"/>
                  <w:vAlign w:val="center"/>
                </w:tcPr>
                <w:p>
                  <w:pPr>
                    <w:jc w:val="center"/>
                    <w:rPr>
                      <w:b/>
                      <w:bCs/>
                      <w:color w:val="auto"/>
                      <w:szCs w:val="21"/>
                      <w:highlight w:val="none"/>
                      <w:lang w:eastAsia="en-US"/>
                    </w:rPr>
                  </w:pPr>
                  <w:r>
                    <w:rPr>
                      <w:b/>
                      <w:bCs/>
                      <w:color w:val="auto"/>
                      <w:szCs w:val="21"/>
                      <w:highlight w:val="none"/>
                    </w:rPr>
                    <w:t>COD</w:t>
                  </w:r>
                  <w:r>
                    <w:rPr>
                      <w:b/>
                      <w:bCs/>
                      <w:color w:val="auto"/>
                      <w:szCs w:val="21"/>
                      <w:highlight w:val="none"/>
                      <w:vertAlign w:val="subscript"/>
                    </w:rPr>
                    <w:t>Cr</w:t>
                  </w:r>
                </w:p>
              </w:tc>
              <w:tc>
                <w:tcPr>
                  <w:tcW w:w="493" w:type="pct"/>
                  <w:vAlign w:val="center"/>
                </w:tcPr>
                <w:p>
                  <w:pPr>
                    <w:jc w:val="center"/>
                    <w:rPr>
                      <w:b/>
                      <w:bCs/>
                      <w:color w:val="auto"/>
                      <w:szCs w:val="21"/>
                      <w:highlight w:val="none"/>
                      <w:lang w:eastAsia="en-US"/>
                    </w:rPr>
                  </w:pPr>
                  <w:r>
                    <w:rPr>
                      <w:b/>
                      <w:bCs/>
                      <w:color w:val="auto"/>
                      <w:szCs w:val="21"/>
                      <w:highlight w:val="none"/>
                    </w:rPr>
                    <w:t>BOD</w:t>
                  </w:r>
                  <w:r>
                    <w:rPr>
                      <w:b/>
                      <w:bCs/>
                      <w:color w:val="auto"/>
                      <w:szCs w:val="21"/>
                      <w:highlight w:val="none"/>
                      <w:vertAlign w:val="subscript"/>
                    </w:rPr>
                    <w:t>5</w:t>
                  </w:r>
                </w:p>
              </w:tc>
              <w:tc>
                <w:tcPr>
                  <w:tcW w:w="493" w:type="pct"/>
                  <w:vAlign w:val="center"/>
                </w:tcPr>
                <w:p>
                  <w:pPr>
                    <w:jc w:val="center"/>
                    <w:rPr>
                      <w:b/>
                      <w:bCs/>
                      <w:color w:val="auto"/>
                      <w:szCs w:val="21"/>
                      <w:highlight w:val="none"/>
                      <w:lang w:eastAsia="en-US"/>
                    </w:rPr>
                  </w:pPr>
                  <w:r>
                    <w:rPr>
                      <w:b/>
                      <w:bCs/>
                      <w:color w:val="auto"/>
                      <w:szCs w:val="21"/>
                      <w:highlight w:val="none"/>
                    </w:rPr>
                    <w:t>NH</w:t>
                  </w:r>
                  <w:r>
                    <w:rPr>
                      <w:b/>
                      <w:bCs/>
                      <w:color w:val="auto"/>
                      <w:szCs w:val="21"/>
                      <w:highlight w:val="none"/>
                      <w:vertAlign w:val="subscript"/>
                    </w:rPr>
                    <w:t>3</w:t>
                  </w:r>
                  <w:r>
                    <w:rPr>
                      <w:b/>
                      <w:bCs/>
                      <w:color w:val="auto"/>
                      <w:szCs w:val="21"/>
                      <w:highlight w:val="none"/>
                    </w:rPr>
                    <w:t>-N</w:t>
                  </w:r>
                </w:p>
              </w:tc>
              <w:tc>
                <w:tcPr>
                  <w:tcW w:w="502" w:type="pct"/>
                  <w:vAlign w:val="center"/>
                </w:tcPr>
                <w:p>
                  <w:pPr>
                    <w:jc w:val="center"/>
                    <w:rPr>
                      <w:b/>
                      <w:bCs/>
                      <w:color w:val="auto"/>
                      <w:szCs w:val="21"/>
                      <w:highlight w:val="none"/>
                    </w:rPr>
                  </w:pPr>
                  <w:r>
                    <w:rPr>
                      <w:b/>
                      <w:bCs/>
                      <w:color w:val="auto"/>
                      <w:szCs w:val="21"/>
                      <w:highlight w:val="none"/>
                    </w:rPr>
                    <w:t>SS</w:t>
                  </w:r>
                </w:p>
              </w:tc>
              <w:tc>
                <w:tcPr>
                  <w:tcW w:w="596" w:type="pct"/>
                  <w:vAlign w:val="center"/>
                </w:tcPr>
                <w:p>
                  <w:pPr>
                    <w:jc w:val="center"/>
                    <w:rPr>
                      <w:b/>
                      <w:bCs/>
                      <w:color w:val="auto"/>
                      <w:szCs w:val="21"/>
                      <w:highlight w:val="none"/>
                    </w:rPr>
                  </w:pPr>
                  <w:r>
                    <w:rPr>
                      <w:rFonts w:hint="eastAsia"/>
                      <w:b/>
                      <w:bCs/>
                      <w:color w:val="auto"/>
                      <w:szCs w:val="21"/>
                      <w:highlight w:val="none"/>
                    </w:rPr>
                    <w:t>总氮</w:t>
                  </w:r>
                </w:p>
              </w:tc>
              <w:tc>
                <w:tcPr>
                  <w:tcW w:w="596" w:type="pct"/>
                  <w:vAlign w:val="center"/>
                </w:tcPr>
                <w:p>
                  <w:pPr>
                    <w:jc w:val="center"/>
                    <w:rPr>
                      <w:b/>
                      <w:bCs/>
                      <w:color w:val="auto"/>
                      <w:szCs w:val="21"/>
                      <w:highlight w:val="none"/>
                    </w:rPr>
                  </w:pPr>
                  <w:r>
                    <w:rPr>
                      <w:rFonts w:hint="eastAsia"/>
                      <w:b/>
                      <w:bCs/>
                      <w:color w:val="auto"/>
                      <w:szCs w:val="21"/>
                      <w:highlight w:val="none"/>
                    </w:rPr>
                    <w:t>总磷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8" w:hRule="atLeast"/>
                <w:jc w:val="center"/>
              </w:trPr>
              <w:tc>
                <w:tcPr>
                  <w:tcW w:w="758" w:type="pct"/>
                  <w:vMerge w:val="restart"/>
                  <w:vAlign w:val="center"/>
                </w:tcPr>
                <w:p>
                  <w:pPr>
                    <w:jc w:val="center"/>
                    <w:rPr>
                      <w:color w:val="auto"/>
                      <w:szCs w:val="21"/>
                      <w:highlight w:val="none"/>
                      <w:lang w:eastAsia="en-US"/>
                    </w:rPr>
                  </w:pPr>
                  <w:r>
                    <w:rPr>
                      <w:color w:val="auto"/>
                      <w:szCs w:val="21"/>
                      <w:highlight w:val="none"/>
                    </w:rPr>
                    <w:t>生活污水</w:t>
                  </w:r>
                </w:p>
                <w:p>
                  <w:pPr>
                    <w:jc w:val="center"/>
                    <w:rPr>
                      <w:color w:val="auto"/>
                      <w:szCs w:val="21"/>
                      <w:highlight w:val="none"/>
                      <w:lang w:eastAsia="en-US"/>
                    </w:rPr>
                  </w:pPr>
                  <w:r>
                    <w:rPr>
                      <w:color w:val="auto"/>
                      <w:szCs w:val="21"/>
                      <w:highlight w:val="none"/>
                    </w:rPr>
                    <w:t>（</w:t>
                  </w:r>
                  <w:r>
                    <w:rPr>
                      <w:rFonts w:hint="eastAsia"/>
                      <w:color w:val="auto"/>
                      <w:szCs w:val="21"/>
                      <w:highlight w:val="none"/>
                    </w:rPr>
                    <w:t>2</w:t>
                  </w:r>
                  <w:r>
                    <w:rPr>
                      <w:rFonts w:hint="eastAsia"/>
                      <w:color w:val="auto"/>
                      <w:szCs w:val="21"/>
                      <w:highlight w:val="none"/>
                      <w:lang w:val="en-US" w:eastAsia="zh-CN"/>
                    </w:rPr>
                    <w:t>400</w:t>
                  </w:r>
                  <w:r>
                    <w:rPr>
                      <w:color w:val="auto"/>
                      <w:szCs w:val="21"/>
                      <w:highlight w:val="none"/>
                    </w:rPr>
                    <w:t>t/a）</w:t>
                  </w:r>
                </w:p>
              </w:tc>
              <w:tc>
                <w:tcPr>
                  <w:tcW w:w="1065" w:type="pct"/>
                  <w:vAlign w:val="center"/>
                </w:tcPr>
                <w:p>
                  <w:pPr>
                    <w:jc w:val="center"/>
                    <w:rPr>
                      <w:color w:val="auto"/>
                      <w:szCs w:val="21"/>
                      <w:highlight w:val="none"/>
                      <w:lang w:eastAsia="en-US"/>
                    </w:rPr>
                  </w:pPr>
                  <w:r>
                    <w:rPr>
                      <w:color w:val="auto"/>
                      <w:szCs w:val="21"/>
                      <w:highlight w:val="none"/>
                    </w:rPr>
                    <w:t>产生浓度mg/L</w:t>
                  </w:r>
                </w:p>
              </w:tc>
              <w:tc>
                <w:tcPr>
                  <w:tcW w:w="493" w:type="pct"/>
                  <w:vAlign w:val="center"/>
                </w:tcPr>
                <w:p>
                  <w:pPr>
                    <w:widowControl/>
                    <w:jc w:val="center"/>
                    <w:textAlignment w:val="center"/>
                    <w:rPr>
                      <w:rFonts w:hint="eastAsia" w:eastAsia="宋体"/>
                      <w:color w:val="auto"/>
                      <w:szCs w:val="21"/>
                      <w:highlight w:val="none"/>
                      <w:lang w:val="en-US" w:eastAsia="zh-CN"/>
                    </w:rPr>
                  </w:pPr>
                  <w:r>
                    <w:rPr>
                      <w:color w:val="auto"/>
                      <w:kern w:val="0"/>
                      <w:szCs w:val="21"/>
                      <w:highlight w:val="none"/>
                      <w:lang w:bidi="ar"/>
                    </w:rPr>
                    <w:t>28</w:t>
                  </w:r>
                  <w:r>
                    <w:rPr>
                      <w:rFonts w:hint="eastAsia"/>
                      <w:color w:val="auto"/>
                      <w:kern w:val="0"/>
                      <w:szCs w:val="21"/>
                      <w:highlight w:val="none"/>
                      <w:lang w:val="en-US" w:eastAsia="zh-CN" w:bidi="ar"/>
                    </w:rPr>
                    <w:t>5</w:t>
                  </w:r>
                </w:p>
              </w:tc>
              <w:tc>
                <w:tcPr>
                  <w:tcW w:w="493" w:type="pct"/>
                  <w:vAlign w:val="center"/>
                </w:tcPr>
                <w:p>
                  <w:pPr>
                    <w:widowControl/>
                    <w:jc w:val="center"/>
                    <w:textAlignment w:val="center"/>
                    <w:rPr>
                      <w:color w:val="auto"/>
                      <w:szCs w:val="21"/>
                      <w:highlight w:val="none"/>
                      <w:lang w:eastAsia="en-US"/>
                    </w:rPr>
                  </w:pPr>
                  <w:r>
                    <w:rPr>
                      <w:color w:val="auto"/>
                      <w:kern w:val="0"/>
                      <w:szCs w:val="21"/>
                      <w:highlight w:val="none"/>
                      <w:lang w:bidi="ar"/>
                    </w:rPr>
                    <w:t>160</w:t>
                  </w:r>
                </w:p>
              </w:tc>
              <w:tc>
                <w:tcPr>
                  <w:tcW w:w="493" w:type="pct"/>
                  <w:vAlign w:val="center"/>
                </w:tcPr>
                <w:p>
                  <w:pPr>
                    <w:widowControl/>
                    <w:jc w:val="center"/>
                    <w:textAlignment w:val="center"/>
                    <w:rPr>
                      <w:rFonts w:hint="default" w:eastAsia="宋体"/>
                      <w:color w:val="auto"/>
                      <w:szCs w:val="21"/>
                      <w:highlight w:val="none"/>
                      <w:lang w:val="en-US" w:eastAsia="zh-CN"/>
                    </w:rPr>
                  </w:pPr>
                  <w:r>
                    <w:rPr>
                      <w:rFonts w:hint="eastAsia"/>
                      <w:color w:val="auto"/>
                      <w:szCs w:val="21"/>
                      <w:highlight w:val="none"/>
                      <w:lang w:val="en-US" w:eastAsia="zh-CN"/>
                    </w:rPr>
                    <w:t>28.3</w:t>
                  </w:r>
                </w:p>
              </w:tc>
              <w:tc>
                <w:tcPr>
                  <w:tcW w:w="502" w:type="pct"/>
                  <w:vAlign w:val="center"/>
                </w:tcPr>
                <w:p>
                  <w:pPr>
                    <w:widowControl/>
                    <w:jc w:val="center"/>
                    <w:textAlignment w:val="center"/>
                    <w:rPr>
                      <w:color w:val="auto"/>
                      <w:szCs w:val="21"/>
                      <w:highlight w:val="none"/>
                    </w:rPr>
                  </w:pPr>
                  <w:r>
                    <w:rPr>
                      <w:color w:val="auto"/>
                      <w:kern w:val="0"/>
                      <w:szCs w:val="21"/>
                      <w:highlight w:val="none"/>
                      <w:lang w:bidi="ar"/>
                    </w:rPr>
                    <w:t>120</w:t>
                  </w:r>
                </w:p>
              </w:tc>
              <w:tc>
                <w:tcPr>
                  <w:tcW w:w="596" w:type="pct"/>
                  <w:vAlign w:val="center"/>
                </w:tcPr>
                <w:p>
                  <w:pPr>
                    <w:widowControl/>
                    <w:jc w:val="center"/>
                    <w:textAlignment w:val="center"/>
                    <w:rPr>
                      <w:rFonts w:hint="default" w:eastAsia="宋体"/>
                      <w:color w:val="auto"/>
                      <w:kern w:val="0"/>
                      <w:szCs w:val="21"/>
                      <w:highlight w:val="none"/>
                      <w:lang w:val="en-US" w:eastAsia="zh-CN" w:bidi="ar"/>
                    </w:rPr>
                  </w:pPr>
                  <w:r>
                    <w:rPr>
                      <w:rFonts w:hint="eastAsia"/>
                      <w:color w:val="auto"/>
                      <w:kern w:val="0"/>
                      <w:szCs w:val="21"/>
                      <w:highlight w:val="none"/>
                      <w:lang w:bidi="ar"/>
                    </w:rPr>
                    <w:t>3</w:t>
                  </w:r>
                  <w:r>
                    <w:rPr>
                      <w:rFonts w:hint="eastAsia"/>
                      <w:color w:val="auto"/>
                      <w:kern w:val="0"/>
                      <w:szCs w:val="21"/>
                      <w:highlight w:val="none"/>
                      <w:lang w:val="en-US" w:eastAsia="zh-CN" w:bidi="ar"/>
                    </w:rPr>
                    <w:t>9.4</w:t>
                  </w:r>
                </w:p>
              </w:tc>
              <w:tc>
                <w:tcPr>
                  <w:tcW w:w="596" w:type="pct"/>
                  <w:vAlign w:val="center"/>
                </w:tcPr>
                <w:p>
                  <w:pPr>
                    <w:widowControl/>
                    <w:jc w:val="center"/>
                    <w:textAlignment w:val="center"/>
                    <w:rPr>
                      <w:rFonts w:hint="default" w:eastAsia="宋体"/>
                      <w:color w:val="auto"/>
                      <w:szCs w:val="21"/>
                      <w:highlight w:val="none"/>
                      <w:lang w:val="en-US" w:eastAsia="zh-CN"/>
                    </w:rPr>
                  </w:pPr>
                  <w:r>
                    <w:rPr>
                      <w:rFonts w:hint="eastAsia"/>
                      <w:color w:val="auto"/>
                      <w:szCs w:val="21"/>
                      <w:highlight w:val="none"/>
                      <w:lang w:val="en-US" w:eastAsia="zh-CN"/>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5" w:hRule="atLeast"/>
                <w:jc w:val="center"/>
              </w:trPr>
              <w:tc>
                <w:tcPr>
                  <w:tcW w:w="758" w:type="pct"/>
                  <w:vMerge w:val="continue"/>
                  <w:vAlign w:val="center"/>
                </w:tcPr>
                <w:p>
                  <w:pPr>
                    <w:jc w:val="center"/>
                    <w:rPr>
                      <w:color w:val="auto"/>
                      <w:szCs w:val="21"/>
                      <w:highlight w:val="none"/>
                      <w:lang w:eastAsia="en-US"/>
                    </w:rPr>
                  </w:pPr>
                </w:p>
              </w:tc>
              <w:tc>
                <w:tcPr>
                  <w:tcW w:w="1065" w:type="pct"/>
                  <w:vAlign w:val="center"/>
                </w:tcPr>
                <w:p>
                  <w:pPr>
                    <w:jc w:val="center"/>
                    <w:rPr>
                      <w:color w:val="auto"/>
                      <w:szCs w:val="21"/>
                      <w:highlight w:val="none"/>
                      <w:lang w:eastAsia="en-US"/>
                    </w:rPr>
                  </w:pPr>
                  <w:r>
                    <w:rPr>
                      <w:color w:val="auto"/>
                      <w:szCs w:val="21"/>
                      <w:highlight w:val="none"/>
                    </w:rPr>
                    <w:t>产生量t/a</w:t>
                  </w:r>
                </w:p>
              </w:tc>
              <w:tc>
                <w:tcPr>
                  <w:tcW w:w="493" w:type="pct"/>
                  <w:vAlign w:val="center"/>
                </w:tcPr>
                <w:p>
                  <w:pPr>
                    <w:widowControl/>
                    <w:jc w:val="center"/>
                    <w:textAlignment w:val="center"/>
                    <w:rPr>
                      <w:rFonts w:hint="default" w:eastAsia="宋体"/>
                      <w:color w:val="auto"/>
                      <w:szCs w:val="21"/>
                      <w:highlight w:val="none"/>
                      <w:lang w:val="en-US" w:eastAsia="zh-CN"/>
                    </w:rPr>
                  </w:pPr>
                  <w:r>
                    <w:rPr>
                      <w:rFonts w:hint="eastAsia"/>
                      <w:color w:val="auto"/>
                      <w:szCs w:val="21"/>
                      <w:highlight w:val="none"/>
                      <w:lang w:val="en-US" w:eastAsia="zh-CN"/>
                    </w:rPr>
                    <w:t>0.684</w:t>
                  </w:r>
                </w:p>
              </w:tc>
              <w:tc>
                <w:tcPr>
                  <w:tcW w:w="493" w:type="pct"/>
                  <w:vAlign w:val="center"/>
                </w:tcPr>
                <w:p>
                  <w:pPr>
                    <w:widowControl/>
                    <w:jc w:val="center"/>
                    <w:textAlignment w:val="center"/>
                    <w:rPr>
                      <w:rFonts w:hint="default" w:eastAsia="宋体"/>
                      <w:color w:val="auto"/>
                      <w:szCs w:val="21"/>
                      <w:highlight w:val="none"/>
                      <w:lang w:val="en-US" w:eastAsia="zh-CN"/>
                    </w:rPr>
                  </w:pPr>
                  <w:r>
                    <w:rPr>
                      <w:rFonts w:hint="eastAsia"/>
                      <w:color w:val="auto"/>
                      <w:szCs w:val="21"/>
                      <w:highlight w:val="none"/>
                      <w:lang w:val="en-US" w:eastAsia="zh-CN"/>
                    </w:rPr>
                    <w:t>0.384</w:t>
                  </w:r>
                </w:p>
              </w:tc>
              <w:tc>
                <w:tcPr>
                  <w:tcW w:w="493" w:type="pct"/>
                  <w:vAlign w:val="center"/>
                </w:tcPr>
                <w:p>
                  <w:pPr>
                    <w:widowControl/>
                    <w:jc w:val="center"/>
                    <w:textAlignment w:val="center"/>
                    <w:rPr>
                      <w:rFonts w:hint="default" w:eastAsia="宋体"/>
                      <w:color w:val="auto"/>
                      <w:szCs w:val="21"/>
                      <w:highlight w:val="none"/>
                      <w:lang w:val="en-US" w:eastAsia="zh-CN"/>
                    </w:rPr>
                  </w:pPr>
                  <w:r>
                    <w:rPr>
                      <w:rFonts w:hint="eastAsia"/>
                      <w:color w:val="auto"/>
                      <w:szCs w:val="21"/>
                      <w:highlight w:val="none"/>
                      <w:lang w:val="en-US" w:eastAsia="zh-CN"/>
                    </w:rPr>
                    <w:t>0.0679</w:t>
                  </w:r>
                </w:p>
              </w:tc>
              <w:tc>
                <w:tcPr>
                  <w:tcW w:w="502" w:type="pct"/>
                  <w:vAlign w:val="center"/>
                </w:tcPr>
                <w:p>
                  <w:pPr>
                    <w:widowControl/>
                    <w:jc w:val="center"/>
                    <w:textAlignment w:val="center"/>
                    <w:rPr>
                      <w:rFonts w:hint="default" w:eastAsia="宋体"/>
                      <w:color w:val="auto"/>
                      <w:szCs w:val="21"/>
                      <w:highlight w:val="none"/>
                      <w:lang w:val="en-US" w:eastAsia="zh-CN"/>
                    </w:rPr>
                  </w:pPr>
                  <w:r>
                    <w:rPr>
                      <w:rFonts w:hint="eastAsia"/>
                      <w:color w:val="auto"/>
                      <w:szCs w:val="21"/>
                      <w:highlight w:val="none"/>
                      <w:lang w:val="en-US" w:eastAsia="zh-CN"/>
                    </w:rPr>
                    <w:t>0.288</w:t>
                  </w:r>
                </w:p>
              </w:tc>
              <w:tc>
                <w:tcPr>
                  <w:tcW w:w="596" w:type="pct"/>
                  <w:vAlign w:val="center"/>
                </w:tcPr>
                <w:p>
                  <w:pPr>
                    <w:widowControl/>
                    <w:jc w:val="center"/>
                    <w:textAlignment w:val="center"/>
                    <w:rPr>
                      <w:rFonts w:hint="default" w:eastAsia="宋体"/>
                      <w:color w:val="auto"/>
                      <w:szCs w:val="21"/>
                      <w:highlight w:val="none"/>
                      <w:lang w:val="en-US" w:eastAsia="zh-CN"/>
                    </w:rPr>
                  </w:pPr>
                  <w:r>
                    <w:rPr>
                      <w:rFonts w:hint="eastAsia"/>
                      <w:color w:val="auto"/>
                      <w:szCs w:val="21"/>
                      <w:highlight w:val="none"/>
                      <w:lang w:val="en-US" w:eastAsia="zh-CN"/>
                    </w:rPr>
                    <w:t>0.0946</w:t>
                  </w:r>
                </w:p>
              </w:tc>
              <w:tc>
                <w:tcPr>
                  <w:tcW w:w="596" w:type="pct"/>
                  <w:vAlign w:val="center"/>
                </w:tcPr>
                <w:p>
                  <w:pPr>
                    <w:widowControl/>
                    <w:jc w:val="center"/>
                    <w:textAlignment w:val="center"/>
                    <w:rPr>
                      <w:rFonts w:hint="default" w:eastAsia="宋体"/>
                      <w:color w:val="auto"/>
                      <w:szCs w:val="21"/>
                      <w:highlight w:val="none"/>
                      <w:lang w:val="en-US" w:eastAsia="zh-CN"/>
                    </w:rPr>
                  </w:pPr>
                  <w:r>
                    <w:rPr>
                      <w:rFonts w:hint="eastAsia"/>
                      <w:color w:val="auto"/>
                      <w:szCs w:val="21"/>
                      <w:highlight w:val="none"/>
                      <w:lang w:val="en-US" w:eastAsia="zh-CN"/>
                    </w:rPr>
                    <w:t>0.00984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8" w:hRule="atLeast"/>
                <w:jc w:val="center"/>
              </w:trPr>
              <w:tc>
                <w:tcPr>
                  <w:tcW w:w="758" w:type="pct"/>
                  <w:vMerge w:val="continue"/>
                  <w:vAlign w:val="center"/>
                </w:tcPr>
                <w:p>
                  <w:pPr>
                    <w:jc w:val="center"/>
                    <w:rPr>
                      <w:color w:val="auto"/>
                      <w:szCs w:val="21"/>
                      <w:highlight w:val="none"/>
                      <w:lang w:eastAsia="en-US"/>
                    </w:rPr>
                  </w:pPr>
                </w:p>
              </w:tc>
              <w:tc>
                <w:tcPr>
                  <w:tcW w:w="1065" w:type="pct"/>
                  <w:vAlign w:val="center"/>
                </w:tcPr>
                <w:p>
                  <w:pPr>
                    <w:jc w:val="center"/>
                    <w:rPr>
                      <w:color w:val="auto"/>
                      <w:szCs w:val="21"/>
                      <w:highlight w:val="none"/>
                      <w:lang w:eastAsia="en-US"/>
                    </w:rPr>
                  </w:pPr>
                  <w:r>
                    <w:rPr>
                      <w:color w:val="auto"/>
                      <w:szCs w:val="21"/>
                      <w:highlight w:val="none"/>
                    </w:rPr>
                    <w:t>排放浓度mg/L</w:t>
                  </w:r>
                </w:p>
              </w:tc>
              <w:tc>
                <w:tcPr>
                  <w:tcW w:w="493" w:type="pct"/>
                  <w:vAlign w:val="center"/>
                </w:tcPr>
                <w:p>
                  <w:pPr>
                    <w:widowControl/>
                    <w:jc w:val="center"/>
                    <w:textAlignment w:val="center"/>
                    <w:rPr>
                      <w:color w:val="auto"/>
                      <w:szCs w:val="21"/>
                      <w:highlight w:val="none"/>
                    </w:rPr>
                  </w:pPr>
                  <w:r>
                    <w:rPr>
                      <w:color w:val="auto"/>
                      <w:szCs w:val="21"/>
                      <w:highlight w:val="none"/>
                    </w:rPr>
                    <w:t>40</w:t>
                  </w:r>
                </w:p>
              </w:tc>
              <w:tc>
                <w:tcPr>
                  <w:tcW w:w="493" w:type="pct"/>
                  <w:vAlign w:val="center"/>
                </w:tcPr>
                <w:p>
                  <w:pPr>
                    <w:widowControl/>
                    <w:jc w:val="center"/>
                    <w:textAlignment w:val="center"/>
                    <w:rPr>
                      <w:color w:val="auto"/>
                      <w:szCs w:val="21"/>
                      <w:highlight w:val="none"/>
                    </w:rPr>
                  </w:pPr>
                  <w:r>
                    <w:rPr>
                      <w:color w:val="auto"/>
                      <w:szCs w:val="21"/>
                      <w:highlight w:val="none"/>
                    </w:rPr>
                    <w:t>10</w:t>
                  </w:r>
                </w:p>
              </w:tc>
              <w:tc>
                <w:tcPr>
                  <w:tcW w:w="493" w:type="pct"/>
                  <w:vAlign w:val="center"/>
                </w:tcPr>
                <w:p>
                  <w:pPr>
                    <w:widowControl/>
                    <w:jc w:val="center"/>
                    <w:textAlignment w:val="center"/>
                    <w:rPr>
                      <w:color w:val="auto"/>
                      <w:szCs w:val="21"/>
                      <w:highlight w:val="none"/>
                    </w:rPr>
                  </w:pPr>
                  <w:r>
                    <w:rPr>
                      <w:color w:val="auto"/>
                      <w:szCs w:val="21"/>
                      <w:highlight w:val="none"/>
                    </w:rPr>
                    <w:t>2</w:t>
                  </w:r>
                </w:p>
              </w:tc>
              <w:tc>
                <w:tcPr>
                  <w:tcW w:w="502" w:type="pct"/>
                  <w:vAlign w:val="center"/>
                </w:tcPr>
                <w:p>
                  <w:pPr>
                    <w:widowControl/>
                    <w:jc w:val="center"/>
                    <w:textAlignment w:val="center"/>
                    <w:rPr>
                      <w:color w:val="auto"/>
                      <w:szCs w:val="21"/>
                      <w:highlight w:val="none"/>
                    </w:rPr>
                  </w:pPr>
                  <w:r>
                    <w:rPr>
                      <w:color w:val="auto"/>
                      <w:szCs w:val="21"/>
                      <w:highlight w:val="none"/>
                    </w:rPr>
                    <w:t>10</w:t>
                  </w:r>
                </w:p>
              </w:tc>
              <w:tc>
                <w:tcPr>
                  <w:tcW w:w="596" w:type="pct"/>
                  <w:vAlign w:val="center"/>
                </w:tcPr>
                <w:p>
                  <w:pPr>
                    <w:widowControl/>
                    <w:jc w:val="center"/>
                    <w:textAlignment w:val="center"/>
                    <w:rPr>
                      <w:color w:val="auto"/>
                      <w:szCs w:val="21"/>
                      <w:highlight w:val="none"/>
                    </w:rPr>
                  </w:pPr>
                  <w:r>
                    <w:rPr>
                      <w:rFonts w:hint="eastAsia"/>
                      <w:color w:val="auto"/>
                      <w:szCs w:val="21"/>
                      <w:highlight w:val="none"/>
                    </w:rPr>
                    <w:t>2</w:t>
                  </w:r>
                </w:p>
              </w:tc>
              <w:tc>
                <w:tcPr>
                  <w:tcW w:w="596" w:type="pct"/>
                  <w:vAlign w:val="center"/>
                </w:tcPr>
                <w:p>
                  <w:pPr>
                    <w:widowControl/>
                    <w:jc w:val="center"/>
                    <w:textAlignment w:val="center"/>
                    <w:rPr>
                      <w:color w:val="auto"/>
                      <w:szCs w:val="21"/>
                      <w:highlight w:val="none"/>
                    </w:rPr>
                  </w:pPr>
                  <w:r>
                    <w:rPr>
                      <w:rFonts w:hint="eastAsia"/>
                      <w:color w:val="auto"/>
                      <w:szCs w:val="21"/>
                      <w:highlight w:val="none"/>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8" w:hRule="atLeast"/>
                <w:jc w:val="center"/>
              </w:trPr>
              <w:tc>
                <w:tcPr>
                  <w:tcW w:w="758" w:type="pct"/>
                  <w:vMerge w:val="continue"/>
                  <w:vAlign w:val="center"/>
                </w:tcPr>
                <w:p>
                  <w:pPr>
                    <w:jc w:val="center"/>
                    <w:rPr>
                      <w:color w:val="auto"/>
                      <w:szCs w:val="21"/>
                      <w:highlight w:val="none"/>
                      <w:lang w:eastAsia="en-US"/>
                    </w:rPr>
                  </w:pPr>
                </w:p>
              </w:tc>
              <w:tc>
                <w:tcPr>
                  <w:tcW w:w="1065" w:type="pct"/>
                  <w:vAlign w:val="center"/>
                </w:tcPr>
                <w:p>
                  <w:pPr>
                    <w:jc w:val="center"/>
                    <w:rPr>
                      <w:color w:val="auto"/>
                      <w:szCs w:val="21"/>
                      <w:highlight w:val="none"/>
                      <w:lang w:eastAsia="en-US"/>
                    </w:rPr>
                  </w:pPr>
                  <w:r>
                    <w:rPr>
                      <w:color w:val="auto"/>
                      <w:szCs w:val="21"/>
                      <w:highlight w:val="none"/>
                    </w:rPr>
                    <w:t>排放量t/a</w:t>
                  </w:r>
                </w:p>
              </w:tc>
              <w:tc>
                <w:tcPr>
                  <w:tcW w:w="493" w:type="pct"/>
                  <w:vAlign w:val="center"/>
                </w:tcPr>
                <w:p>
                  <w:pPr>
                    <w:widowControl/>
                    <w:jc w:val="center"/>
                    <w:textAlignment w:val="center"/>
                    <w:rPr>
                      <w:rFonts w:hint="default" w:eastAsia="宋体"/>
                      <w:color w:val="auto"/>
                      <w:szCs w:val="21"/>
                      <w:highlight w:val="none"/>
                      <w:lang w:val="en-US" w:eastAsia="zh-CN"/>
                    </w:rPr>
                  </w:pPr>
                  <w:r>
                    <w:rPr>
                      <w:rFonts w:hint="eastAsia"/>
                      <w:color w:val="auto"/>
                      <w:szCs w:val="21"/>
                      <w:highlight w:val="none"/>
                      <w:lang w:val="en-US" w:eastAsia="zh-CN"/>
                    </w:rPr>
                    <w:t>0.096</w:t>
                  </w:r>
                </w:p>
              </w:tc>
              <w:tc>
                <w:tcPr>
                  <w:tcW w:w="493" w:type="pct"/>
                  <w:vAlign w:val="center"/>
                </w:tcPr>
                <w:p>
                  <w:pPr>
                    <w:widowControl/>
                    <w:jc w:val="center"/>
                    <w:textAlignment w:val="center"/>
                    <w:rPr>
                      <w:rFonts w:hint="default" w:eastAsia="宋体"/>
                      <w:color w:val="auto"/>
                      <w:szCs w:val="21"/>
                      <w:highlight w:val="none"/>
                      <w:lang w:val="en-US" w:eastAsia="zh-CN"/>
                    </w:rPr>
                  </w:pPr>
                  <w:r>
                    <w:rPr>
                      <w:rFonts w:hint="eastAsia"/>
                      <w:color w:val="auto"/>
                      <w:szCs w:val="21"/>
                      <w:highlight w:val="none"/>
                      <w:lang w:val="en-US" w:eastAsia="zh-CN"/>
                    </w:rPr>
                    <w:t>0.024</w:t>
                  </w:r>
                </w:p>
              </w:tc>
              <w:tc>
                <w:tcPr>
                  <w:tcW w:w="493" w:type="pct"/>
                  <w:vAlign w:val="center"/>
                </w:tcPr>
                <w:p>
                  <w:pPr>
                    <w:widowControl/>
                    <w:jc w:val="center"/>
                    <w:textAlignment w:val="center"/>
                    <w:rPr>
                      <w:rFonts w:hint="default" w:eastAsia="宋体"/>
                      <w:color w:val="auto"/>
                      <w:szCs w:val="21"/>
                      <w:highlight w:val="none"/>
                      <w:lang w:val="en-US" w:eastAsia="zh-CN"/>
                    </w:rPr>
                  </w:pPr>
                  <w:r>
                    <w:rPr>
                      <w:rFonts w:hint="eastAsia"/>
                      <w:color w:val="auto"/>
                      <w:szCs w:val="21"/>
                      <w:highlight w:val="none"/>
                      <w:lang w:val="en-US" w:eastAsia="zh-CN"/>
                    </w:rPr>
                    <w:t>0.0048</w:t>
                  </w:r>
                </w:p>
              </w:tc>
              <w:tc>
                <w:tcPr>
                  <w:tcW w:w="502" w:type="pct"/>
                  <w:vAlign w:val="center"/>
                </w:tcPr>
                <w:p>
                  <w:pPr>
                    <w:widowControl/>
                    <w:jc w:val="center"/>
                    <w:textAlignment w:val="center"/>
                    <w:rPr>
                      <w:rFonts w:hint="default" w:eastAsia="宋体"/>
                      <w:color w:val="auto"/>
                      <w:szCs w:val="21"/>
                      <w:highlight w:val="none"/>
                      <w:lang w:val="en-US" w:eastAsia="zh-CN"/>
                    </w:rPr>
                  </w:pPr>
                  <w:r>
                    <w:rPr>
                      <w:rFonts w:hint="eastAsia"/>
                      <w:color w:val="auto"/>
                      <w:szCs w:val="21"/>
                      <w:highlight w:val="none"/>
                      <w:lang w:val="en-US" w:eastAsia="zh-CN"/>
                    </w:rPr>
                    <w:t>0.024</w:t>
                  </w:r>
                </w:p>
              </w:tc>
              <w:tc>
                <w:tcPr>
                  <w:tcW w:w="596" w:type="pct"/>
                  <w:vAlign w:val="center"/>
                </w:tcPr>
                <w:p>
                  <w:pPr>
                    <w:widowControl/>
                    <w:jc w:val="center"/>
                    <w:textAlignment w:val="center"/>
                    <w:rPr>
                      <w:rFonts w:hint="default" w:eastAsia="宋体"/>
                      <w:color w:val="auto"/>
                      <w:szCs w:val="21"/>
                      <w:highlight w:val="none"/>
                      <w:lang w:val="en-US" w:eastAsia="zh-CN"/>
                    </w:rPr>
                  </w:pPr>
                  <w:r>
                    <w:rPr>
                      <w:rFonts w:hint="eastAsia"/>
                      <w:color w:val="auto"/>
                      <w:szCs w:val="21"/>
                      <w:highlight w:val="none"/>
                      <w:lang w:val="en-US" w:eastAsia="zh-CN"/>
                    </w:rPr>
                    <w:t>0.0048</w:t>
                  </w:r>
                </w:p>
              </w:tc>
              <w:tc>
                <w:tcPr>
                  <w:tcW w:w="596" w:type="pct"/>
                  <w:vAlign w:val="center"/>
                </w:tcPr>
                <w:p>
                  <w:pPr>
                    <w:widowControl/>
                    <w:jc w:val="center"/>
                    <w:textAlignment w:val="center"/>
                    <w:rPr>
                      <w:rFonts w:hint="default" w:eastAsia="宋体"/>
                      <w:color w:val="auto"/>
                      <w:szCs w:val="21"/>
                      <w:highlight w:val="none"/>
                      <w:lang w:val="en-US" w:eastAsia="zh-CN"/>
                    </w:rPr>
                  </w:pPr>
                  <w:r>
                    <w:rPr>
                      <w:rFonts w:hint="eastAsia"/>
                      <w:color w:val="auto"/>
                      <w:szCs w:val="21"/>
                      <w:highlight w:val="none"/>
                      <w:lang w:val="en-US" w:eastAsia="zh-CN"/>
                    </w:rPr>
                    <w:t>0.00096</w:t>
                  </w:r>
                </w:p>
              </w:tc>
            </w:tr>
          </w:tbl>
          <w:p>
            <w:pPr>
              <w:adjustRightInd w:val="0"/>
              <w:snapToGrid w:val="0"/>
              <w:spacing w:before="120" w:beforeLines="50" w:line="360" w:lineRule="auto"/>
              <w:ind w:firstLine="422" w:firstLineChars="200"/>
              <w:rPr>
                <w:b/>
                <w:color w:val="auto"/>
                <w:szCs w:val="21"/>
                <w:highlight w:val="none"/>
              </w:rPr>
            </w:pPr>
            <w:r>
              <w:rPr>
                <w:rFonts w:hint="eastAsia"/>
                <w:b/>
                <w:color w:val="auto"/>
                <w:szCs w:val="21"/>
                <w:highlight w:val="none"/>
              </w:rPr>
              <w:t>2.排放口设置情况</w:t>
            </w:r>
          </w:p>
          <w:p>
            <w:pPr>
              <w:adjustRightInd w:val="0"/>
              <w:snapToGrid w:val="0"/>
              <w:spacing w:line="360" w:lineRule="auto"/>
              <w:ind w:left="-42" w:leftChars="-20"/>
              <w:jc w:val="center"/>
              <w:rPr>
                <w:b/>
                <w:color w:val="auto"/>
                <w:szCs w:val="21"/>
                <w:highlight w:val="none"/>
              </w:rPr>
            </w:pPr>
            <w:r>
              <w:rPr>
                <w:rFonts w:hint="eastAsia"/>
                <w:b/>
                <w:color w:val="auto"/>
                <w:szCs w:val="21"/>
                <w:highlight w:val="none"/>
              </w:rPr>
              <w:t>表4-1</w:t>
            </w:r>
            <w:r>
              <w:rPr>
                <w:rFonts w:hint="eastAsia"/>
                <w:b/>
                <w:color w:val="auto"/>
                <w:szCs w:val="21"/>
                <w:highlight w:val="none"/>
                <w:lang w:val="en-US" w:eastAsia="zh-CN"/>
              </w:rPr>
              <w:t>3</w:t>
            </w:r>
            <w:r>
              <w:rPr>
                <w:rFonts w:hint="eastAsia"/>
                <w:b/>
                <w:color w:val="auto"/>
                <w:szCs w:val="21"/>
                <w:highlight w:val="none"/>
              </w:rPr>
              <w:t xml:space="preserve"> </w:t>
            </w:r>
            <w:r>
              <w:rPr>
                <w:b/>
                <w:color w:val="auto"/>
                <w:szCs w:val="21"/>
                <w:highlight w:val="none"/>
              </w:rPr>
              <w:t>废水类别、污染物及污染治理设施信息表</w:t>
            </w:r>
          </w:p>
          <w:tbl>
            <w:tblPr>
              <w:tblStyle w:val="3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8"/>
              <w:gridCol w:w="1267"/>
              <w:gridCol w:w="747"/>
              <w:gridCol w:w="1350"/>
              <w:gridCol w:w="1000"/>
              <w:gridCol w:w="772"/>
              <w:gridCol w:w="1074"/>
              <w:gridCol w:w="1029"/>
              <w:gridCol w:w="819"/>
              <w:gridCol w:w="6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0" w:type="pct"/>
                  <w:vMerge w:val="restart"/>
                  <w:vAlign w:val="center"/>
                </w:tcPr>
                <w:p>
                  <w:pPr>
                    <w:pStyle w:val="41"/>
                    <w:snapToGrid w:val="0"/>
                    <w:jc w:val="center"/>
                    <w:rPr>
                      <w:rFonts w:hint="default" w:ascii="Times New Roman" w:cs="Times New Roman"/>
                      <w:b/>
                      <w:color w:val="auto"/>
                      <w:sz w:val="21"/>
                      <w:szCs w:val="21"/>
                      <w:highlight w:val="none"/>
                    </w:rPr>
                  </w:pPr>
                  <w:r>
                    <w:rPr>
                      <w:rFonts w:ascii="Times New Roman" w:cs="Times New Roman"/>
                      <w:b/>
                      <w:color w:val="auto"/>
                      <w:sz w:val="21"/>
                      <w:szCs w:val="21"/>
                      <w:highlight w:val="none"/>
                    </w:rPr>
                    <w:t>废水类别</w:t>
                  </w:r>
                </w:p>
              </w:tc>
              <w:tc>
                <w:tcPr>
                  <w:tcW w:w="671" w:type="pct"/>
                  <w:vMerge w:val="restart"/>
                  <w:vAlign w:val="center"/>
                </w:tcPr>
                <w:p>
                  <w:pPr>
                    <w:pStyle w:val="41"/>
                    <w:snapToGrid w:val="0"/>
                    <w:jc w:val="center"/>
                    <w:rPr>
                      <w:rFonts w:hint="default" w:ascii="Times New Roman" w:cs="Times New Roman"/>
                      <w:b/>
                      <w:color w:val="auto"/>
                      <w:sz w:val="21"/>
                      <w:szCs w:val="21"/>
                      <w:highlight w:val="none"/>
                    </w:rPr>
                  </w:pPr>
                  <w:r>
                    <w:rPr>
                      <w:rFonts w:ascii="Times New Roman" w:cs="Times New Roman"/>
                      <w:b/>
                      <w:color w:val="auto"/>
                      <w:sz w:val="21"/>
                      <w:szCs w:val="21"/>
                      <w:highlight w:val="none"/>
                    </w:rPr>
                    <w:t>污染物种类</w:t>
                  </w:r>
                </w:p>
              </w:tc>
              <w:tc>
                <w:tcPr>
                  <w:tcW w:w="396" w:type="pct"/>
                  <w:vMerge w:val="restart"/>
                  <w:vAlign w:val="center"/>
                </w:tcPr>
                <w:p>
                  <w:pPr>
                    <w:pStyle w:val="41"/>
                    <w:snapToGrid w:val="0"/>
                    <w:jc w:val="center"/>
                    <w:rPr>
                      <w:rFonts w:hint="default" w:ascii="Times New Roman" w:cs="Times New Roman"/>
                      <w:b/>
                      <w:color w:val="auto"/>
                      <w:sz w:val="21"/>
                      <w:szCs w:val="21"/>
                      <w:highlight w:val="none"/>
                    </w:rPr>
                  </w:pPr>
                  <w:r>
                    <w:rPr>
                      <w:rFonts w:ascii="Times New Roman" w:cs="Times New Roman"/>
                      <w:b/>
                      <w:color w:val="auto"/>
                      <w:sz w:val="21"/>
                      <w:szCs w:val="21"/>
                      <w:highlight w:val="none"/>
                    </w:rPr>
                    <w:t>排放去向</w:t>
                  </w:r>
                </w:p>
              </w:tc>
              <w:tc>
                <w:tcPr>
                  <w:tcW w:w="715" w:type="pct"/>
                  <w:vMerge w:val="restart"/>
                  <w:vAlign w:val="center"/>
                </w:tcPr>
                <w:p>
                  <w:pPr>
                    <w:pStyle w:val="41"/>
                    <w:snapToGrid w:val="0"/>
                    <w:jc w:val="center"/>
                    <w:rPr>
                      <w:rFonts w:hint="default" w:ascii="Times New Roman" w:cs="Times New Roman"/>
                      <w:b/>
                      <w:color w:val="auto"/>
                      <w:sz w:val="21"/>
                      <w:szCs w:val="21"/>
                      <w:highlight w:val="none"/>
                    </w:rPr>
                  </w:pPr>
                  <w:r>
                    <w:rPr>
                      <w:rFonts w:ascii="Times New Roman" w:cs="Times New Roman"/>
                      <w:b/>
                      <w:color w:val="auto"/>
                      <w:sz w:val="21"/>
                      <w:szCs w:val="21"/>
                      <w:highlight w:val="none"/>
                    </w:rPr>
                    <w:t>排放规律</w:t>
                  </w:r>
                </w:p>
              </w:tc>
              <w:tc>
                <w:tcPr>
                  <w:tcW w:w="1508" w:type="pct"/>
                  <w:gridSpan w:val="3"/>
                  <w:vAlign w:val="center"/>
                </w:tcPr>
                <w:p>
                  <w:pPr>
                    <w:pStyle w:val="41"/>
                    <w:snapToGrid w:val="0"/>
                    <w:jc w:val="center"/>
                    <w:rPr>
                      <w:rFonts w:hint="default" w:ascii="Times New Roman" w:cs="Times New Roman"/>
                      <w:b/>
                      <w:color w:val="auto"/>
                      <w:sz w:val="21"/>
                      <w:szCs w:val="21"/>
                      <w:highlight w:val="none"/>
                    </w:rPr>
                  </w:pPr>
                  <w:r>
                    <w:rPr>
                      <w:rFonts w:ascii="Times New Roman" w:cs="Times New Roman"/>
                      <w:b/>
                      <w:color w:val="auto"/>
                      <w:sz w:val="21"/>
                      <w:szCs w:val="21"/>
                      <w:highlight w:val="none"/>
                    </w:rPr>
                    <w:t>污染治理设施</w:t>
                  </w:r>
                </w:p>
              </w:tc>
              <w:tc>
                <w:tcPr>
                  <w:tcW w:w="545" w:type="pct"/>
                  <w:vMerge w:val="restart"/>
                  <w:vAlign w:val="center"/>
                </w:tcPr>
                <w:p>
                  <w:pPr>
                    <w:pStyle w:val="41"/>
                    <w:snapToGrid w:val="0"/>
                    <w:jc w:val="center"/>
                    <w:rPr>
                      <w:rFonts w:hint="default" w:ascii="Times New Roman" w:cs="Times New Roman"/>
                      <w:b/>
                      <w:color w:val="auto"/>
                      <w:sz w:val="21"/>
                      <w:szCs w:val="21"/>
                      <w:highlight w:val="none"/>
                    </w:rPr>
                  </w:pPr>
                  <w:r>
                    <w:rPr>
                      <w:rFonts w:ascii="Times New Roman" w:cs="Times New Roman"/>
                      <w:b/>
                      <w:color w:val="auto"/>
                      <w:sz w:val="21"/>
                      <w:szCs w:val="21"/>
                      <w:highlight w:val="none"/>
                    </w:rPr>
                    <w:t>排放口编号</w:t>
                  </w:r>
                </w:p>
              </w:tc>
              <w:tc>
                <w:tcPr>
                  <w:tcW w:w="434" w:type="pct"/>
                  <w:vMerge w:val="restart"/>
                  <w:vAlign w:val="center"/>
                </w:tcPr>
                <w:p>
                  <w:pPr>
                    <w:pStyle w:val="41"/>
                    <w:snapToGrid w:val="0"/>
                    <w:jc w:val="center"/>
                    <w:rPr>
                      <w:rFonts w:hint="default" w:ascii="Times New Roman" w:cs="Times New Roman"/>
                      <w:b/>
                      <w:color w:val="auto"/>
                      <w:sz w:val="21"/>
                      <w:szCs w:val="21"/>
                      <w:highlight w:val="none"/>
                    </w:rPr>
                  </w:pPr>
                  <w:r>
                    <w:rPr>
                      <w:rFonts w:ascii="Times New Roman" w:cs="Times New Roman"/>
                      <w:b/>
                      <w:color w:val="auto"/>
                      <w:sz w:val="21"/>
                      <w:szCs w:val="21"/>
                      <w:highlight w:val="none"/>
                    </w:rPr>
                    <w:t>排放口设置是否符合要求</w:t>
                  </w:r>
                </w:p>
              </w:tc>
              <w:tc>
                <w:tcPr>
                  <w:tcW w:w="358" w:type="pct"/>
                  <w:vMerge w:val="restart"/>
                  <w:vAlign w:val="center"/>
                </w:tcPr>
                <w:p>
                  <w:pPr>
                    <w:pStyle w:val="41"/>
                    <w:snapToGrid w:val="0"/>
                    <w:jc w:val="center"/>
                    <w:rPr>
                      <w:rFonts w:hint="default" w:ascii="Times New Roman" w:cs="Times New Roman"/>
                      <w:b/>
                      <w:color w:val="auto"/>
                      <w:sz w:val="21"/>
                      <w:szCs w:val="21"/>
                      <w:highlight w:val="none"/>
                    </w:rPr>
                  </w:pPr>
                  <w:r>
                    <w:rPr>
                      <w:rFonts w:ascii="Times New Roman" w:cs="Times New Roman"/>
                      <w:b/>
                      <w:color w:val="auto"/>
                      <w:sz w:val="21"/>
                      <w:szCs w:val="21"/>
                      <w:highlight w:val="none"/>
                    </w:rPr>
                    <w:t>排放口类型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0" w:type="pct"/>
                  <w:vMerge w:val="continue"/>
                  <w:vAlign w:val="center"/>
                </w:tcPr>
                <w:p>
                  <w:pPr>
                    <w:pStyle w:val="41"/>
                    <w:snapToGrid w:val="0"/>
                    <w:jc w:val="center"/>
                    <w:rPr>
                      <w:rFonts w:hint="default" w:ascii="Times New Roman" w:cs="Times New Roman"/>
                      <w:b/>
                      <w:color w:val="auto"/>
                      <w:highlight w:val="none"/>
                    </w:rPr>
                  </w:pPr>
                </w:p>
              </w:tc>
              <w:tc>
                <w:tcPr>
                  <w:tcW w:w="671" w:type="pct"/>
                  <w:vMerge w:val="continue"/>
                  <w:vAlign w:val="center"/>
                </w:tcPr>
                <w:p>
                  <w:pPr>
                    <w:pStyle w:val="41"/>
                    <w:snapToGrid w:val="0"/>
                    <w:jc w:val="center"/>
                    <w:rPr>
                      <w:rFonts w:hint="default" w:ascii="Times New Roman" w:cs="Times New Roman"/>
                      <w:b/>
                      <w:color w:val="auto"/>
                      <w:highlight w:val="none"/>
                    </w:rPr>
                  </w:pPr>
                </w:p>
              </w:tc>
              <w:tc>
                <w:tcPr>
                  <w:tcW w:w="396" w:type="pct"/>
                  <w:vMerge w:val="continue"/>
                  <w:vAlign w:val="center"/>
                </w:tcPr>
                <w:p>
                  <w:pPr>
                    <w:pStyle w:val="41"/>
                    <w:snapToGrid w:val="0"/>
                    <w:jc w:val="center"/>
                    <w:rPr>
                      <w:rFonts w:hint="default" w:ascii="Times New Roman" w:cs="Times New Roman"/>
                      <w:b/>
                      <w:color w:val="auto"/>
                      <w:highlight w:val="none"/>
                    </w:rPr>
                  </w:pPr>
                </w:p>
              </w:tc>
              <w:tc>
                <w:tcPr>
                  <w:tcW w:w="715" w:type="pct"/>
                  <w:vMerge w:val="continue"/>
                  <w:vAlign w:val="center"/>
                </w:tcPr>
                <w:p>
                  <w:pPr>
                    <w:pStyle w:val="41"/>
                    <w:snapToGrid w:val="0"/>
                    <w:jc w:val="center"/>
                    <w:rPr>
                      <w:rFonts w:hint="default" w:ascii="Times New Roman" w:cs="Times New Roman"/>
                      <w:b/>
                      <w:color w:val="auto"/>
                      <w:highlight w:val="none"/>
                    </w:rPr>
                  </w:pPr>
                </w:p>
              </w:tc>
              <w:tc>
                <w:tcPr>
                  <w:tcW w:w="530" w:type="pct"/>
                  <w:vAlign w:val="center"/>
                </w:tcPr>
                <w:p>
                  <w:pPr>
                    <w:pStyle w:val="41"/>
                    <w:snapToGrid w:val="0"/>
                    <w:jc w:val="center"/>
                    <w:rPr>
                      <w:rFonts w:hint="default" w:ascii="Times New Roman" w:cs="Times New Roman"/>
                      <w:b/>
                      <w:color w:val="auto"/>
                      <w:sz w:val="21"/>
                      <w:szCs w:val="21"/>
                      <w:highlight w:val="none"/>
                    </w:rPr>
                  </w:pPr>
                  <w:r>
                    <w:rPr>
                      <w:rFonts w:ascii="Times New Roman" w:cs="Times New Roman"/>
                      <w:b/>
                      <w:color w:val="auto"/>
                      <w:sz w:val="21"/>
                      <w:szCs w:val="21"/>
                      <w:highlight w:val="none"/>
                    </w:rPr>
                    <w:t>污染治理设施编号</w:t>
                  </w:r>
                </w:p>
              </w:tc>
              <w:tc>
                <w:tcPr>
                  <w:tcW w:w="409" w:type="pct"/>
                  <w:vAlign w:val="center"/>
                </w:tcPr>
                <w:p>
                  <w:pPr>
                    <w:pStyle w:val="41"/>
                    <w:snapToGrid w:val="0"/>
                    <w:jc w:val="center"/>
                    <w:rPr>
                      <w:rFonts w:hint="default" w:ascii="Times New Roman" w:cs="Times New Roman"/>
                      <w:b/>
                      <w:color w:val="auto"/>
                      <w:sz w:val="21"/>
                      <w:szCs w:val="21"/>
                      <w:highlight w:val="none"/>
                    </w:rPr>
                  </w:pPr>
                  <w:r>
                    <w:rPr>
                      <w:rFonts w:ascii="Times New Roman" w:cs="Times New Roman"/>
                      <w:b/>
                      <w:color w:val="auto"/>
                      <w:sz w:val="21"/>
                      <w:szCs w:val="21"/>
                      <w:highlight w:val="none"/>
                    </w:rPr>
                    <w:t>污染治理设施名称</w:t>
                  </w:r>
                </w:p>
              </w:tc>
              <w:tc>
                <w:tcPr>
                  <w:tcW w:w="567" w:type="pct"/>
                  <w:vAlign w:val="center"/>
                </w:tcPr>
                <w:p>
                  <w:pPr>
                    <w:pStyle w:val="41"/>
                    <w:snapToGrid w:val="0"/>
                    <w:jc w:val="center"/>
                    <w:rPr>
                      <w:rFonts w:hint="default" w:ascii="Times New Roman" w:cs="Times New Roman"/>
                      <w:b/>
                      <w:color w:val="auto"/>
                      <w:sz w:val="21"/>
                      <w:szCs w:val="21"/>
                      <w:highlight w:val="none"/>
                    </w:rPr>
                  </w:pPr>
                  <w:r>
                    <w:rPr>
                      <w:rFonts w:ascii="Times New Roman" w:cs="Times New Roman"/>
                      <w:b/>
                      <w:color w:val="auto"/>
                      <w:sz w:val="21"/>
                      <w:szCs w:val="21"/>
                      <w:highlight w:val="none"/>
                    </w:rPr>
                    <w:t>污染治理设施工艺</w:t>
                  </w:r>
                </w:p>
              </w:tc>
              <w:tc>
                <w:tcPr>
                  <w:tcW w:w="545" w:type="pct"/>
                  <w:vMerge w:val="continue"/>
                  <w:vAlign w:val="center"/>
                </w:tcPr>
                <w:p>
                  <w:pPr>
                    <w:pStyle w:val="41"/>
                    <w:snapToGrid w:val="0"/>
                    <w:jc w:val="center"/>
                    <w:rPr>
                      <w:rFonts w:hint="default" w:ascii="Times New Roman" w:cs="Times New Roman"/>
                      <w:b/>
                      <w:color w:val="auto"/>
                      <w:highlight w:val="none"/>
                    </w:rPr>
                  </w:pPr>
                </w:p>
              </w:tc>
              <w:tc>
                <w:tcPr>
                  <w:tcW w:w="434" w:type="pct"/>
                  <w:vMerge w:val="continue"/>
                  <w:vAlign w:val="center"/>
                </w:tcPr>
                <w:p>
                  <w:pPr>
                    <w:pStyle w:val="41"/>
                    <w:snapToGrid w:val="0"/>
                    <w:jc w:val="center"/>
                    <w:rPr>
                      <w:rFonts w:hint="default" w:ascii="Times New Roman" w:cs="Times New Roman"/>
                      <w:b/>
                      <w:color w:val="auto"/>
                      <w:highlight w:val="none"/>
                    </w:rPr>
                  </w:pPr>
                </w:p>
              </w:tc>
              <w:tc>
                <w:tcPr>
                  <w:tcW w:w="358" w:type="pct"/>
                  <w:vMerge w:val="continue"/>
                  <w:vAlign w:val="center"/>
                </w:tcPr>
                <w:p>
                  <w:pPr>
                    <w:pStyle w:val="41"/>
                    <w:snapToGrid w:val="0"/>
                    <w:jc w:val="center"/>
                    <w:rPr>
                      <w:rFonts w:hint="default" w:ascii="Times New Roman" w:cs="Times New Roman"/>
                      <w:b/>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0" w:type="pct"/>
                  <w:vAlign w:val="center"/>
                </w:tcPr>
                <w:p>
                  <w:pPr>
                    <w:pStyle w:val="41"/>
                    <w:snapToGrid w:val="0"/>
                    <w:jc w:val="center"/>
                    <w:rPr>
                      <w:rFonts w:hint="default" w:hAnsi="宋体"/>
                      <w:bCs/>
                      <w:color w:val="auto"/>
                      <w:sz w:val="21"/>
                      <w:szCs w:val="21"/>
                      <w:highlight w:val="none"/>
                    </w:rPr>
                  </w:pPr>
                  <w:r>
                    <w:rPr>
                      <w:rFonts w:hAnsi="宋体"/>
                      <w:bCs/>
                      <w:color w:val="auto"/>
                      <w:sz w:val="21"/>
                      <w:szCs w:val="21"/>
                      <w:highlight w:val="none"/>
                    </w:rPr>
                    <w:t>生活污水</w:t>
                  </w:r>
                </w:p>
              </w:tc>
              <w:tc>
                <w:tcPr>
                  <w:tcW w:w="671" w:type="pct"/>
                  <w:vAlign w:val="center"/>
                </w:tcPr>
                <w:p>
                  <w:pPr>
                    <w:pStyle w:val="41"/>
                    <w:snapToGrid w:val="0"/>
                    <w:jc w:val="center"/>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COD</w:t>
                  </w:r>
                  <w:r>
                    <w:rPr>
                      <w:rFonts w:hint="default" w:ascii="Times New Roman" w:hAnsi="Times New Roman" w:cs="Times New Roman"/>
                      <w:bCs/>
                      <w:color w:val="auto"/>
                      <w:sz w:val="21"/>
                      <w:szCs w:val="21"/>
                      <w:highlight w:val="none"/>
                      <w:vertAlign w:val="subscript"/>
                    </w:rPr>
                    <w:t>Cr</w:t>
                  </w:r>
                  <w:r>
                    <w:rPr>
                      <w:rFonts w:hint="default" w:ascii="Times New Roman" w:hAnsi="Times New Roman" w:cs="Times New Roman"/>
                      <w:bCs/>
                      <w:color w:val="auto"/>
                      <w:sz w:val="21"/>
                      <w:szCs w:val="21"/>
                      <w:highlight w:val="none"/>
                    </w:rPr>
                    <w:t>、BOD</w:t>
                  </w:r>
                  <w:r>
                    <w:rPr>
                      <w:rFonts w:hint="default" w:ascii="Times New Roman" w:hAnsi="Times New Roman" w:cs="Times New Roman"/>
                      <w:bCs/>
                      <w:color w:val="auto"/>
                      <w:sz w:val="21"/>
                      <w:szCs w:val="21"/>
                      <w:highlight w:val="none"/>
                      <w:vertAlign w:val="subscript"/>
                    </w:rPr>
                    <w:t>5</w:t>
                  </w:r>
                  <w:r>
                    <w:rPr>
                      <w:rFonts w:hint="default" w:ascii="Times New Roman" w:hAnsi="Times New Roman" w:cs="Times New Roman"/>
                      <w:bCs/>
                      <w:color w:val="auto"/>
                      <w:sz w:val="21"/>
                      <w:szCs w:val="21"/>
                      <w:highlight w:val="none"/>
                    </w:rPr>
                    <w:t>、SS、氨氮、</w:t>
                  </w:r>
                  <w:r>
                    <w:rPr>
                      <w:rFonts w:ascii="Times New Roman" w:hAnsi="Times New Roman" w:cs="Times New Roman"/>
                      <w:bCs/>
                      <w:color w:val="auto"/>
                      <w:sz w:val="21"/>
                      <w:szCs w:val="21"/>
                      <w:highlight w:val="none"/>
                    </w:rPr>
                    <w:t>总氮、总磷</w:t>
                  </w:r>
                </w:p>
              </w:tc>
              <w:tc>
                <w:tcPr>
                  <w:tcW w:w="396" w:type="pct"/>
                  <w:vAlign w:val="center"/>
                </w:tcPr>
                <w:p>
                  <w:pPr>
                    <w:pStyle w:val="41"/>
                    <w:snapToGrid w:val="0"/>
                    <w:jc w:val="center"/>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市政管网</w:t>
                  </w:r>
                </w:p>
              </w:tc>
              <w:tc>
                <w:tcPr>
                  <w:tcW w:w="715" w:type="pct"/>
                  <w:vAlign w:val="center"/>
                </w:tcPr>
                <w:p>
                  <w:pPr>
                    <w:pStyle w:val="41"/>
                    <w:snapToGrid w:val="0"/>
                    <w:jc w:val="center"/>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间接排放，排放期间流量不稳定，但有周期性规律</w:t>
                  </w:r>
                </w:p>
              </w:tc>
              <w:tc>
                <w:tcPr>
                  <w:tcW w:w="530" w:type="pct"/>
                  <w:vAlign w:val="center"/>
                </w:tcPr>
                <w:p>
                  <w:pPr>
                    <w:pStyle w:val="41"/>
                    <w:snapToGrid w:val="0"/>
                    <w:jc w:val="center"/>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TW001</w:t>
                  </w:r>
                </w:p>
              </w:tc>
              <w:tc>
                <w:tcPr>
                  <w:tcW w:w="409" w:type="pct"/>
                  <w:vAlign w:val="center"/>
                </w:tcPr>
                <w:p>
                  <w:pPr>
                    <w:pStyle w:val="41"/>
                    <w:snapToGrid w:val="0"/>
                    <w:jc w:val="center"/>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生活污水处理设备</w:t>
                  </w:r>
                </w:p>
              </w:tc>
              <w:tc>
                <w:tcPr>
                  <w:tcW w:w="567" w:type="pct"/>
                  <w:vAlign w:val="center"/>
                </w:tcPr>
                <w:p>
                  <w:pPr>
                    <w:pStyle w:val="41"/>
                    <w:snapToGrid w:val="0"/>
                    <w:jc w:val="center"/>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三级化粪池</w:t>
                  </w:r>
                </w:p>
              </w:tc>
              <w:tc>
                <w:tcPr>
                  <w:tcW w:w="545" w:type="pct"/>
                  <w:vAlign w:val="center"/>
                </w:tcPr>
                <w:p>
                  <w:pPr>
                    <w:pStyle w:val="41"/>
                    <w:snapToGrid w:val="0"/>
                    <w:jc w:val="center"/>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DW001</w:t>
                  </w:r>
                </w:p>
              </w:tc>
              <w:tc>
                <w:tcPr>
                  <w:tcW w:w="434" w:type="pct"/>
                  <w:vAlign w:val="center"/>
                </w:tcPr>
                <w:p>
                  <w:pPr>
                    <w:pStyle w:val="41"/>
                    <w:snapToGrid w:val="0"/>
                    <w:jc w:val="center"/>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符合</w:t>
                  </w:r>
                </w:p>
              </w:tc>
              <w:tc>
                <w:tcPr>
                  <w:tcW w:w="358" w:type="pct"/>
                  <w:vAlign w:val="center"/>
                </w:tcPr>
                <w:p>
                  <w:pPr>
                    <w:pStyle w:val="41"/>
                    <w:snapToGrid w:val="0"/>
                    <w:jc w:val="center"/>
                    <w:rPr>
                      <w:rFonts w:hint="default"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一般排放口</w:t>
                  </w:r>
                </w:p>
              </w:tc>
            </w:tr>
          </w:tbl>
          <w:p>
            <w:pPr>
              <w:adjustRightInd w:val="0"/>
              <w:snapToGrid w:val="0"/>
              <w:spacing w:before="120" w:beforeLines="50" w:line="360" w:lineRule="auto"/>
              <w:ind w:firstLine="422" w:firstLineChars="200"/>
              <w:rPr>
                <w:b/>
                <w:color w:val="auto"/>
                <w:szCs w:val="21"/>
                <w:highlight w:val="none"/>
              </w:rPr>
            </w:pPr>
            <w:r>
              <w:rPr>
                <w:rFonts w:hint="eastAsia"/>
                <w:b/>
                <w:color w:val="auto"/>
                <w:szCs w:val="21"/>
                <w:highlight w:val="none"/>
              </w:rPr>
              <w:t>3、监测要求</w:t>
            </w:r>
          </w:p>
          <w:p>
            <w:pPr>
              <w:adjustRightInd w:val="0"/>
              <w:snapToGrid w:val="0"/>
              <w:spacing w:line="360" w:lineRule="auto"/>
              <w:ind w:firstLine="420" w:firstLineChars="200"/>
              <w:rPr>
                <w:color w:val="auto"/>
                <w:szCs w:val="21"/>
                <w:highlight w:val="none"/>
              </w:rPr>
            </w:pPr>
            <w:r>
              <w:rPr>
                <w:rFonts w:hint="eastAsia"/>
                <w:color w:val="auto"/>
                <w:szCs w:val="21"/>
                <w:highlight w:val="none"/>
              </w:rPr>
              <w:t>项目不产生生产废水，生活污水经</w:t>
            </w:r>
            <w:r>
              <w:rPr>
                <w:color w:val="auto"/>
                <w:szCs w:val="21"/>
                <w:highlight w:val="none"/>
              </w:rPr>
              <w:t>三级化粪池预处理达到广东省地方标准《水污染物排放限值》(DB44/26-2001)第二时段三级标准后经市政管网汇入</w:t>
            </w:r>
            <w:r>
              <w:rPr>
                <w:rFonts w:hint="eastAsia"/>
                <w:color w:val="auto"/>
                <w:szCs w:val="21"/>
                <w:highlight w:val="none"/>
              </w:rPr>
              <w:t>博罗县园洲镇第五生活污水处理厂</w:t>
            </w:r>
            <w:r>
              <w:rPr>
                <w:color w:val="auto"/>
                <w:szCs w:val="21"/>
                <w:highlight w:val="none"/>
              </w:rPr>
              <w:t>进一步处理</w:t>
            </w:r>
            <w:r>
              <w:rPr>
                <w:rFonts w:hint="eastAsia"/>
                <w:color w:val="auto"/>
                <w:szCs w:val="21"/>
                <w:highlight w:val="none"/>
              </w:rPr>
              <w:t>达标排放。根据《排污许可证申请与核发技术规范 橡胶和塑料制品工业》（HJ 1122-2020）中5.4.4.3废水监测“单独排入公共污水处理系统的生活污水无需开展自行监测，但需要说明排放去向。”因此，本项目无需开展废水监测。</w:t>
            </w:r>
          </w:p>
          <w:p>
            <w:pPr>
              <w:adjustRightInd w:val="0"/>
              <w:snapToGrid w:val="0"/>
              <w:spacing w:line="360" w:lineRule="auto"/>
              <w:ind w:firstLine="422" w:firstLineChars="200"/>
              <w:rPr>
                <w:b/>
                <w:bCs/>
                <w:color w:val="auto"/>
                <w:szCs w:val="21"/>
                <w:highlight w:val="none"/>
              </w:rPr>
            </w:pPr>
            <w:r>
              <w:rPr>
                <w:rFonts w:hint="eastAsia"/>
                <w:b/>
                <w:bCs/>
                <w:color w:val="auto"/>
                <w:szCs w:val="21"/>
                <w:highlight w:val="none"/>
              </w:rPr>
              <w:t>4、废水达标排放情况</w:t>
            </w:r>
          </w:p>
          <w:p>
            <w:pPr>
              <w:adjustRightInd w:val="0"/>
              <w:snapToGrid w:val="0"/>
              <w:spacing w:line="360" w:lineRule="auto"/>
              <w:ind w:firstLine="420" w:firstLineChars="200"/>
              <w:rPr>
                <w:color w:val="auto"/>
                <w:szCs w:val="21"/>
                <w:highlight w:val="none"/>
              </w:rPr>
            </w:pPr>
            <w:r>
              <w:rPr>
                <w:color w:val="auto"/>
                <w:szCs w:val="21"/>
                <w:highlight w:val="none"/>
              </w:rPr>
              <w:t>项目所在地属于</w:t>
            </w:r>
            <w:r>
              <w:rPr>
                <w:rFonts w:hint="eastAsia"/>
                <w:color w:val="auto"/>
                <w:szCs w:val="21"/>
                <w:highlight w:val="none"/>
              </w:rPr>
              <w:t>博罗县园洲镇第五生活污水处理厂</w:t>
            </w:r>
            <w:r>
              <w:rPr>
                <w:color w:val="auto"/>
                <w:szCs w:val="21"/>
                <w:highlight w:val="none"/>
              </w:rPr>
              <w:t>的纳污范围，建设单位应配套三级化粪池等污水处理设施，对生活污水进行</w:t>
            </w:r>
            <w:r>
              <w:rPr>
                <w:rFonts w:hint="eastAsia"/>
                <w:color w:val="auto"/>
                <w:szCs w:val="21"/>
                <w:highlight w:val="none"/>
              </w:rPr>
              <w:t>预处理</w:t>
            </w:r>
            <w:r>
              <w:rPr>
                <w:color w:val="auto"/>
                <w:szCs w:val="21"/>
                <w:highlight w:val="none"/>
              </w:rPr>
              <w:t>，化粪池是一种利用沉淀和厌氧发酵原理，去除生活污水中悬浮性有机物的处理设施，属于初级过渡性生活处理构筑物，是目前普遍认同并采用的生活污水预处理措施。污水进入化粪池经过12-24h时间的沉淀，可去除50%～60%的悬浮物。沉淀下来的污泥经过一定时间的厌氧发酵分解，使污泥中的有机物分解成稳定的无机物。</w:t>
            </w:r>
            <w:r>
              <w:rPr>
                <w:rFonts w:hint="eastAsia"/>
                <w:color w:val="auto"/>
                <w:szCs w:val="21"/>
                <w:highlight w:val="none"/>
              </w:rPr>
              <w:t>经处理后可达到</w:t>
            </w:r>
            <w:r>
              <w:rPr>
                <w:color w:val="auto"/>
                <w:szCs w:val="21"/>
                <w:highlight w:val="none"/>
              </w:rPr>
              <w:t>《水污染物排放限值》(DB44/26-2001)第二类污染物（第二时段）最高允许排放浓度的三级</w:t>
            </w:r>
            <w:r>
              <w:rPr>
                <w:rFonts w:hint="eastAsia"/>
                <w:color w:val="auto"/>
                <w:szCs w:val="21"/>
                <w:highlight w:val="none"/>
              </w:rPr>
              <w:t>标准。因此，本环评认为项目配套的三级化粪池具有技术可行性。</w:t>
            </w:r>
          </w:p>
          <w:p>
            <w:pPr>
              <w:adjustRightInd w:val="0"/>
              <w:snapToGrid w:val="0"/>
              <w:spacing w:line="360" w:lineRule="auto"/>
              <w:ind w:firstLine="422" w:firstLineChars="200"/>
              <w:rPr>
                <w:b/>
                <w:bCs/>
                <w:color w:val="auto"/>
                <w:szCs w:val="21"/>
                <w:highlight w:val="none"/>
              </w:rPr>
            </w:pPr>
            <w:r>
              <w:rPr>
                <w:rFonts w:hint="eastAsia"/>
                <w:b/>
                <w:bCs/>
                <w:color w:val="auto"/>
                <w:szCs w:val="21"/>
                <w:highlight w:val="none"/>
              </w:rPr>
              <w:t>5、</w:t>
            </w:r>
            <w:r>
              <w:rPr>
                <w:b/>
                <w:bCs/>
                <w:color w:val="auto"/>
                <w:szCs w:val="21"/>
                <w:highlight w:val="none"/>
              </w:rPr>
              <w:t>依托集中污水处理厂的可行性分析</w:t>
            </w:r>
          </w:p>
          <w:p>
            <w:pPr>
              <w:spacing w:line="360" w:lineRule="auto"/>
              <w:ind w:firstLine="420" w:firstLineChars="200"/>
              <w:jc w:val="left"/>
              <w:rPr>
                <w:color w:val="auto"/>
                <w:kern w:val="0"/>
                <w:szCs w:val="21"/>
                <w:highlight w:val="none"/>
              </w:rPr>
            </w:pPr>
            <w:r>
              <w:rPr>
                <w:color w:val="auto"/>
                <w:szCs w:val="21"/>
                <w:highlight w:val="none"/>
              </w:rPr>
              <w:t>项目所在地属于</w:t>
            </w:r>
            <w:r>
              <w:rPr>
                <w:rFonts w:hint="eastAsia"/>
                <w:color w:val="auto"/>
                <w:szCs w:val="21"/>
                <w:highlight w:val="none"/>
              </w:rPr>
              <w:t>博罗县园洲镇第五生活污水处理厂</w:t>
            </w:r>
            <w:r>
              <w:rPr>
                <w:color w:val="auto"/>
                <w:szCs w:val="21"/>
                <w:highlight w:val="none"/>
              </w:rPr>
              <w:t>的纳污范围，</w:t>
            </w:r>
            <w:r>
              <w:rPr>
                <w:color w:val="auto"/>
                <w:kern w:val="0"/>
                <w:szCs w:val="21"/>
                <w:highlight w:val="none"/>
              </w:rPr>
              <w:t>污水处理厂主要工艺采用A/A/O处理工艺其设计规模为3万立方米/日，先期日处理规模达到1.5万立方米/日，项目投资近5810万元，项目概况：园洲镇第五污水处理厂位于惠州市博罗县园洲镇深沥，该污水处理厂首期建设2019年8月开始运行，处理规模15000立方米/日，远期为30000立方米/日。博罗县园洲镇第五生活污水处理厂的排放标准是氨氮和总磷浓度执行《地表水环境质量标准》（GB3838-2002）Ⅴ类标准，其余指标执行《城镇污水处理厂污染物排放标》(GB18918－2002)一级A标准和广东省《水污染物排放限值》(DB44/26-2001)第二时段一级标准两者较严者</w:t>
            </w:r>
            <w:r>
              <w:rPr>
                <w:rFonts w:hint="eastAsia"/>
                <w:color w:val="auto"/>
                <w:kern w:val="0"/>
                <w:szCs w:val="21"/>
                <w:highlight w:val="none"/>
              </w:rPr>
              <w:t>。</w:t>
            </w:r>
          </w:p>
          <w:p>
            <w:pPr>
              <w:spacing w:line="360" w:lineRule="auto"/>
              <w:ind w:firstLine="420" w:firstLineChars="200"/>
              <w:jc w:val="left"/>
              <w:rPr>
                <w:color w:val="auto"/>
                <w:kern w:val="0"/>
                <w:szCs w:val="21"/>
                <w:highlight w:val="none"/>
              </w:rPr>
            </w:pPr>
            <w:r>
              <w:rPr>
                <w:color w:val="auto"/>
                <w:kern w:val="0"/>
                <w:szCs w:val="21"/>
                <w:highlight w:val="none"/>
              </w:rPr>
              <w:t>项目生活污水经三级化粪池处理后</w:t>
            </w:r>
            <w:r>
              <w:rPr>
                <w:rFonts w:hint="eastAsia"/>
                <w:color w:val="auto"/>
                <w:kern w:val="0"/>
                <w:szCs w:val="21"/>
                <w:highlight w:val="none"/>
              </w:rPr>
              <w:t>经</w:t>
            </w:r>
            <w:r>
              <w:rPr>
                <w:color w:val="auto"/>
                <w:kern w:val="0"/>
                <w:szCs w:val="21"/>
                <w:highlight w:val="none"/>
              </w:rPr>
              <w:t>市政管网</w:t>
            </w:r>
            <w:r>
              <w:rPr>
                <w:rFonts w:hint="eastAsia"/>
                <w:color w:val="auto"/>
                <w:kern w:val="0"/>
                <w:szCs w:val="21"/>
                <w:highlight w:val="none"/>
              </w:rPr>
              <w:t>纳</w:t>
            </w:r>
            <w:r>
              <w:rPr>
                <w:color w:val="auto"/>
                <w:kern w:val="0"/>
                <w:szCs w:val="21"/>
                <w:highlight w:val="none"/>
              </w:rPr>
              <w:t>入博罗县园洲镇第五生活污水处理厂处理后</w:t>
            </w:r>
            <w:r>
              <w:rPr>
                <w:rFonts w:hint="eastAsia"/>
                <w:color w:val="auto"/>
                <w:kern w:val="0"/>
                <w:szCs w:val="21"/>
                <w:highlight w:val="none"/>
              </w:rPr>
              <w:t>，</w:t>
            </w:r>
            <w:r>
              <w:rPr>
                <w:color w:val="auto"/>
                <w:kern w:val="0"/>
                <w:szCs w:val="21"/>
                <w:highlight w:val="none"/>
              </w:rPr>
              <w:t>排入沙河，博罗县园洲镇第五生活污水处理厂和截污管网已建成运行，项目所在地为博罗县园洲镇第五生活污水处理厂的纳污范围。博罗县园洲镇第五生活污水处理厂的处理规模共1.5万m</w:t>
            </w:r>
            <w:r>
              <w:rPr>
                <w:color w:val="auto"/>
                <w:kern w:val="0"/>
                <w:szCs w:val="21"/>
                <w:highlight w:val="none"/>
                <w:vertAlign w:val="superscript"/>
              </w:rPr>
              <w:t>3</w:t>
            </w:r>
            <w:r>
              <w:rPr>
                <w:color w:val="auto"/>
                <w:kern w:val="0"/>
                <w:szCs w:val="21"/>
                <w:highlight w:val="none"/>
              </w:rPr>
              <w:t>/d，目前处理</w:t>
            </w:r>
            <w:r>
              <w:rPr>
                <w:rFonts w:hint="eastAsia"/>
                <w:color w:val="auto"/>
                <w:kern w:val="0"/>
                <w:szCs w:val="21"/>
                <w:highlight w:val="none"/>
              </w:rPr>
              <w:t>余量</w:t>
            </w:r>
            <w:r>
              <w:rPr>
                <w:color w:val="auto"/>
                <w:kern w:val="0"/>
                <w:szCs w:val="21"/>
                <w:highlight w:val="none"/>
              </w:rPr>
              <w:t>为0.2万m</w:t>
            </w:r>
            <w:r>
              <w:rPr>
                <w:color w:val="auto"/>
                <w:kern w:val="0"/>
                <w:szCs w:val="21"/>
                <w:highlight w:val="none"/>
                <w:vertAlign w:val="superscript"/>
              </w:rPr>
              <w:t>3</w:t>
            </w:r>
            <w:r>
              <w:rPr>
                <w:color w:val="auto"/>
                <w:kern w:val="0"/>
                <w:szCs w:val="21"/>
                <w:highlight w:val="none"/>
              </w:rPr>
              <w:t>/d，本项目生活污水排放量约为</w:t>
            </w:r>
            <w:r>
              <w:rPr>
                <w:rFonts w:hint="eastAsia"/>
                <w:color w:val="auto"/>
                <w:kern w:val="0"/>
                <w:szCs w:val="21"/>
                <w:highlight w:val="none"/>
              </w:rPr>
              <w:t>0.</w:t>
            </w:r>
            <w:r>
              <w:rPr>
                <w:rFonts w:hint="eastAsia"/>
                <w:color w:val="auto"/>
                <w:kern w:val="0"/>
                <w:szCs w:val="21"/>
                <w:highlight w:val="none"/>
                <w:lang w:val="en-US" w:eastAsia="zh-CN"/>
              </w:rPr>
              <w:t>33</w:t>
            </w:r>
            <w:r>
              <w:rPr>
                <w:color w:val="auto"/>
                <w:kern w:val="0"/>
                <w:szCs w:val="21"/>
                <w:highlight w:val="none"/>
              </w:rPr>
              <w:t>t/d，占剩余处理量0</w:t>
            </w:r>
            <w:r>
              <w:rPr>
                <w:rFonts w:hint="eastAsia"/>
                <w:color w:val="auto"/>
                <w:kern w:val="0"/>
                <w:szCs w:val="21"/>
                <w:highlight w:val="none"/>
              </w:rPr>
              <w:t>.01</w:t>
            </w:r>
            <w:r>
              <w:rPr>
                <w:rFonts w:hint="eastAsia"/>
                <w:color w:val="auto"/>
                <w:kern w:val="0"/>
                <w:szCs w:val="21"/>
                <w:highlight w:val="none"/>
                <w:lang w:val="en-US" w:eastAsia="zh-CN"/>
              </w:rPr>
              <w:t>7</w:t>
            </w:r>
            <w:r>
              <w:rPr>
                <w:color w:val="auto"/>
                <w:kern w:val="0"/>
                <w:szCs w:val="21"/>
                <w:highlight w:val="none"/>
              </w:rPr>
              <w:t>%，说明项目生活污水经预处理后通过市政污水管网排入博罗县园洲镇第五生活污水处理厂的方案是可行的</w:t>
            </w:r>
            <w:r>
              <w:rPr>
                <w:rFonts w:hint="eastAsia"/>
                <w:color w:val="auto"/>
                <w:kern w:val="0"/>
                <w:szCs w:val="21"/>
                <w:highlight w:val="none"/>
              </w:rPr>
              <w:t>。</w:t>
            </w:r>
          </w:p>
          <w:p>
            <w:pPr>
              <w:spacing w:line="360" w:lineRule="auto"/>
              <w:ind w:firstLine="420" w:firstLineChars="200"/>
              <w:jc w:val="left"/>
              <w:rPr>
                <w:color w:val="auto"/>
                <w:kern w:val="0"/>
                <w:szCs w:val="21"/>
                <w:highlight w:val="none"/>
              </w:rPr>
            </w:pPr>
            <w:r>
              <w:rPr>
                <w:rFonts w:hint="eastAsia"/>
                <w:color w:val="auto"/>
                <w:kern w:val="0"/>
                <w:szCs w:val="21"/>
                <w:highlight w:val="none"/>
              </w:rPr>
              <w:t>综上所述，生活污水经化粪池预处理后进入博罗县园洲镇第五生活污水处理厂，尾水处理达标后排入园洲镇中心排渠，汇入沙河，最终汇入东江，项目废水的排放满足相应的废水排放要求，对地表水体造成的环境影响不大，其地表水环境影响是可接受的。</w:t>
            </w:r>
          </w:p>
          <w:p>
            <w:pPr>
              <w:spacing w:line="360" w:lineRule="auto"/>
              <w:ind w:firstLine="422" w:firstLineChars="200"/>
              <w:jc w:val="left"/>
              <w:rPr>
                <w:b/>
                <w:bCs/>
                <w:color w:val="auto"/>
                <w:szCs w:val="21"/>
                <w:highlight w:val="none"/>
              </w:rPr>
            </w:pPr>
            <w:r>
              <w:rPr>
                <w:rFonts w:hint="eastAsia"/>
                <w:b/>
                <w:bCs/>
                <w:color w:val="auto"/>
                <w:szCs w:val="21"/>
                <w:highlight w:val="none"/>
              </w:rPr>
              <w:t>三</w:t>
            </w:r>
            <w:r>
              <w:rPr>
                <w:b/>
                <w:bCs/>
                <w:color w:val="auto"/>
                <w:szCs w:val="21"/>
                <w:highlight w:val="none"/>
              </w:rPr>
              <w:t>、噪声</w:t>
            </w:r>
          </w:p>
          <w:p>
            <w:pPr>
              <w:adjustRightInd w:val="0"/>
              <w:snapToGrid w:val="0"/>
              <w:spacing w:line="360" w:lineRule="auto"/>
              <w:ind w:firstLine="414" w:firstLineChars="200"/>
              <w:rPr>
                <w:b/>
                <w:color w:val="auto"/>
                <w:spacing w:val="-2"/>
                <w:highlight w:val="none"/>
              </w:rPr>
            </w:pPr>
            <w:r>
              <w:rPr>
                <w:b/>
                <w:color w:val="auto"/>
                <w:spacing w:val="-2"/>
                <w:highlight w:val="none"/>
              </w:rPr>
              <w:t>1</w:t>
            </w:r>
            <w:r>
              <w:rPr>
                <w:rFonts w:hint="eastAsia"/>
                <w:b/>
                <w:color w:val="auto"/>
                <w:spacing w:val="-2"/>
                <w:highlight w:val="none"/>
              </w:rPr>
              <w:t>、</w:t>
            </w:r>
            <w:r>
              <w:rPr>
                <w:b/>
                <w:color w:val="auto"/>
                <w:spacing w:val="-2"/>
                <w:highlight w:val="none"/>
              </w:rPr>
              <w:t>噪声源强分析</w:t>
            </w:r>
          </w:p>
          <w:p>
            <w:pPr>
              <w:adjustRightInd w:val="0"/>
              <w:snapToGrid w:val="0"/>
              <w:spacing w:line="360" w:lineRule="auto"/>
              <w:ind w:firstLine="412" w:firstLineChars="200"/>
              <w:rPr>
                <w:color w:val="auto"/>
                <w:spacing w:val="-2"/>
                <w:highlight w:val="none"/>
              </w:rPr>
            </w:pPr>
            <w:r>
              <w:rPr>
                <w:color w:val="auto"/>
                <w:spacing w:val="-2"/>
                <w:highlight w:val="none"/>
              </w:rPr>
              <w:t>项目噪声源主要为各种生产设备和辅助设备，噪声声级一般为70~</w:t>
            </w:r>
            <w:r>
              <w:rPr>
                <w:rFonts w:hint="eastAsia"/>
                <w:color w:val="auto"/>
                <w:spacing w:val="-2"/>
                <w:highlight w:val="none"/>
              </w:rPr>
              <w:t>75</w:t>
            </w:r>
            <w:r>
              <w:rPr>
                <w:color w:val="auto"/>
                <w:spacing w:val="-2"/>
                <w:highlight w:val="none"/>
              </w:rPr>
              <w:t>dB(A)。项目主要噪声源特性及源强见下表。</w:t>
            </w:r>
          </w:p>
          <w:p>
            <w:pPr>
              <w:widowControl/>
              <w:spacing w:line="360" w:lineRule="auto"/>
              <w:jc w:val="center"/>
              <w:rPr>
                <w:b/>
                <w:color w:val="auto"/>
                <w:spacing w:val="-2"/>
                <w:highlight w:val="none"/>
              </w:rPr>
            </w:pPr>
            <w:r>
              <w:rPr>
                <w:b/>
                <w:color w:val="auto"/>
                <w:spacing w:val="-2"/>
                <w:highlight w:val="none"/>
              </w:rPr>
              <w:t>表4-1</w:t>
            </w:r>
            <w:r>
              <w:rPr>
                <w:rFonts w:hint="eastAsia"/>
                <w:b/>
                <w:color w:val="auto"/>
                <w:spacing w:val="-2"/>
                <w:highlight w:val="none"/>
                <w:lang w:val="en-US" w:eastAsia="zh-CN"/>
              </w:rPr>
              <w:t>4</w:t>
            </w:r>
            <w:r>
              <w:rPr>
                <w:b/>
                <w:color w:val="auto"/>
                <w:spacing w:val="-2"/>
                <w:highlight w:val="none"/>
              </w:rPr>
              <w:t xml:space="preserve"> 项目主要噪声源特性及源强一览表</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1772"/>
              <w:gridCol w:w="793"/>
              <w:gridCol w:w="1315"/>
              <w:gridCol w:w="1149"/>
              <w:gridCol w:w="1149"/>
              <w:gridCol w:w="1150"/>
              <w:gridCol w:w="1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blHeader/>
                <w:jc w:val="center"/>
              </w:trPr>
              <w:tc>
                <w:tcPr>
                  <w:tcW w:w="360" w:type="pct"/>
                  <w:vAlign w:val="center"/>
                </w:tcPr>
                <w:p>
                  <w:pPr>
                    <w:adjustRightInd w:val="0"/>
                    <w:snapToGrid w:val="0"/>
                    <w:jc w:val="center"/>
                    <w:rPr>
                      <w:b/>
                      <w:color w:val="auto"/>
                      <w:highlight w:val="none"/>
                    </w:rPr>
                  </w:pPr>
                  <w:r>
                    <w:rPr>
                      <w:b/>
                      <w:color w:val="auto"/>
                      <w:highlight w:val="none"/>
                    </w:rPr>
                    <w:t>序号</w:t>
                  </w:r>
                </w:p>
              </w:tc>
              <w:tc>
                <w:tcPr>
                  <w:tcW w:w="938" w:type="pct"/>
                  <w:vAlign w:val="center"/>
                </w:tcPr>
                <w:p>
                  <w:pPr>
                    <w:adjustRightInd w:val="0"/>
                    <w:snapToGrid w:val="0"/>
                    <w:jc w:val="center"/>
                    <w:rPr>
                      <w:b/>
                      <w:color w:val="auto"/>
                      <w:highlight w:val="none"/>
                    </w:rPr>
                  </w:pPr>
                  <w:r>
                    <w:rPr>
                      <w:b/>
                      <w:color w:val="auto"/>
                      <w:highlight w:val="none"/>
                    </w:rPr>
                    <w:t>设备名称</w:t>
                  </w:r>
                </w:p>
              </w:tc>
              <w:tc>
                <w:tcPr>
                  <w:tcW w:w="420" w:type="pct"/>
                  <w:vAlign w:val="center"/>
                </w:tcPr>
                <w:p>
                  <w:pPr>
                    <w:adjustRightInd w:val="0"/>
                    <w:snapToGrid w:val="0"/>
                    <w:jc w:val="center"/>
                    <w:rPr>
                      <w:b/>
                      <w:color w:val="auto"/>
                      <w:highlight w:val="none"/>
                    </w:rPr>
                  </w:pPr>
                  <w:r>
                    <w:rPr>
                      <w:b/>
                      <w:color w:val="auto"/>
                      <w:highlight w:val="none"/>
                    </w:rPr>
                    <w:t>数量</w:t>
                  </w:r>
                </w:p>
              </w:tc>
              <w:tc>
                <w:tcPr>
                  <w:tcW w:w="696" w:type="pct"/>
                  <w:vAlign w:val="center"/>
                </w:tcPr>
                <w:p>
                  <w:pPr>
                    <w:adjustRightInd w:val="0"/>
                    <w:snapToGrid w:val="0"/>
                    <w:jc w:val="center"/>
                    <w:rPr>
                      <w:b/>
                      <w:color w:val="auto"/>
                      <w:highlight w:val="none"/>
                    </w:rPr>
                  </w:pPr>
                  <w:r>
                    <w:rPr>
                      <w:b/>
                      <w:color w:val="auto"/>
                      <w:highlight w:val="none"/>
                    </w:rPr>
                    <w:t>声级范围（1m处）</w:t>
                  </w:r>
                </w:p>
              </w:tc>
              <w:tc>
                <w:tcPr>
                  <w:tcW w:w="608" w:type="pct"/>
                  <w:vAlign w:val="center"/>
                </w:tcPr>
                <w:p>
                  <w:pPr>
                    <w:adjustRightInd w:val="0"/>
                    <w:snapToGrid w:val="0"/>
                    <w:jc w:val="center"/>
                    <w:rPr>
                      <w:b/>
                      <w:color w:val="auto"/>
                      <w:highlight w:val="none"/>
                    </w:rPr>
                  </w:pPr>
                  <w:r>
                    <w:rPr>
                      <w:b/>
                      <w:color w:val="auto"/>
                      <w:highlight w:val="none"/>
                    </w:rPr>
                    <w:t>叠加设备噪声级dB（A）</w:t>
                  </w:r>
                </w:p>
              </w:tc>
              <w:tc>
                <w:tcPr>
                  <w:tcW w:w="608" w:type="pct"/>
                  <w:vAlign w:val="center"/>
                </w:tcPr>
                <w:p>
                  <w:pPr>
                    <w:adjustRightInd w:val="0"/>
                    <w:snapToGrid w:val="0"/>
                    <w:jc w:val="center"/>
                    <w:rPr>
                      <w:b/>
                      <w:color w:val="auto"/>
                      <w:highlight w:val="none"/>
                    </w:rPr>
                  </w:pPr>
                  <w:r>
                    <w:rPr>
                      <w:b/>
                      <w:color w:val="auto"/>
                      <w:highlight w:val="none"/>
                    </w:rPr>
                    <w:t>降噪措施</w:t>
                  </w:r>
                </w:p>
              </w:tc>
              <w:tc>
                <w:tcPr>
                  <w:tcW w:w="609" w:type="pct"/>
                  <w:vAlign w:val="center"/>
                </w:tcPr>
                <w:p>
                  <w:pPr>
                    <w:adjustRightInd w:val="0"/>
                    <w:snapToGrid w:val="0"/>
                    <w:jc w:val="center"/>
                    <w:rPr>
                      <w:b/>
                      <w:color w:val="auto"/>
                      <w:highlight w:val="none"/>
                    </w:rPr>
                  </w:pPr>
                  <w:r>
                    <w:rPr>
                      <w:b/>
                      <w:color w:val="auto"/>
                      <w:highlight w:val="none"/>
                    </w:rPr>
                    <w:t>降噪后叠加声压值dB（A）</w:t>
                  </w:r>
                </w:p>
              </w:tc>
              <w:tc>
                <w:tcPr>
                  <w:tcW w:w="756" w:type="pct"/>
                  <w:vAlign w:val="center"/>
                </w:tcPr>
                <w:p>
                  <w:pPr>
                    <w:adjustRightInd w:val="0"/>
                    <w:snapToGrid w:val="0"/>
                    <w:jc w:val="center"/>
                    <w:rPr>
                      <w:b/>
                      <w:color w:val="auto"/>
                      <w:highlight w:val="none"/>
                    </w:rPr>
                  </w:pPr>
                  <w:r>
                    <w:rPr>
                      <w:b/>
                      <w:bCs/>
                      <w:color w:val="auto"/>
                      <w:highlight w:val="none"/>
                    </w:rPr>
                    <w:t>工作时段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0" w:type="pct"/>
                  <w:vAlign w:val="center"/>
                </w:tcPr>
                <w:p>
                  <w:pPr>
                    <w:adjustRightInd w:val="0"/>
                    <w:snapToGrid w:val="0"/>
                    <w:jc w:val="center"/>
                    <w:rPr>
                      <w:rFonts w:ascii="Times New Roman" w:hAnsi="Times New Roman" w:eastAsia="宋体" w:cs="Times New Roman"/>
                      <w:color w:val="auto"/>
                      <w:kern w:val="2"/>
                      <w:sz w:val="21"/>
                      <w:szCs w:val="24"/>
                      <w:highlight w:val="none"/>
                      <w:lang w:val="en-US" w:eastAsia="zh-CN" w:bidi="ar-SA"/>
                    </w:rPr>
                  </w:pPr>
                  <w:r>
                    <w:rPr>
                      <w:color w:val="auto"/>
                      <w:highlight w:val="none"/>
                    </w:rPr>
                    <w:t>1</w:t>
                  </w:r>
                </w:p>
              </w:tc>
              <w:tc>
                <w:tcPr>
                  <w:tcW w:w="938" w:type="pct"/>
                  <w:vAlign w:val="center"/>
                </w:tcPr>
                <w:p>
                  <w:pPr>
                    <w:jc w:val="center"/>
                    <w:rPr>
                      <w:color w:val="auto"/>
                      <w:szCs w:val="21"/>
                      <w:highlight w:val="none"/>
                    </w:rPr>
                  </w:pPr>
                  <w:r>
                    <w:rPr>
                      <w:rFonts w:hint="eastAsia"/>
                      <w:color w:val="auto"/>
                      <w:szCs w:val="21"/>
                      <w:highlight w:val="none"/>
                      <w:lang w:val="en-US" w:eastAsia="zh-CN"/>
                    </w:rPr>
                    <w:t>上料机</w:t>
                  </w:r>
                </w:p>
              </w:tc>
              <w:tc>
                <w:tcPr>
                  <w:tcW w:w="420" w:type="pct"/>
                  <w:vAlign w:val="center"/>
                </w:tcPr>
                <w:p>
                  <w:pPr>
                    <w:jc w:val="center"/>
                    <w:rPr>
                      <w:rFonts w:hint="default" w:eastAsia="宋体"/>
                      <w:color w:val="auto"/>
                      <w:szCs w:val="21"/>
                      <w:highlight w:val="none"/>
                      <w:lang w:val="en-US" w:eastAsia="zh-CN"/>
                    </w:rPr>
                  </w:pPr>
                  <w:r>
                    <w:rPr>
                      <w:rFonts w:hint="eastAsia"/>
                      <w:color w:val="auto"/>
                      <w:szCs w:val="21"/>
                      <w:highlight w:val="none"/>
                      <w:lang w:val="en-US" w:eastAsia="zh-CN"/>
                    </w:rPr>
                    <w:t>2台</w:t>
                  </w:r>
                </w:p>
              </w:tc>
              <w:tc>
                <w:tcPr>
                  <w:tcW w:w="696" w:type="pct"/>
                  <w:vAlign w:val="center"/>
                </w:tcPr>
                <w:p>
                  <w:pPr>
                    <w:adjustRightInd w:val="0"/>
                    <w:snapToGrid w:val="0"/>
                    <w:jc w:val="center"/>
                    <w:rPr>
                      <w:rFonts w:hint="default" w:eastAsia="宋体"/>
                      <w:color w:val="auto"/>
                      <w:highlight w:val="none"/>
                      <w:lang w:val="en-US" w:eastAsia="zh-CN"/>
                    </w:rPr>
                  </w:pPr>
                  <w:r>
                    <w:rPr>
                      <w:rFonts w:hint="eastAsia"/>
                      <w:color w:val="auto"/>
                      <w:highlight w:val="none"/>
                      <w:lang w:val="en-US" w:eastAsia="zh-CN"/>
                    </w:rPr>
                    <w:t>80</w:t>
                  </w:r>
                </w:p>
              </w:tc>
              <w:tc>
                <w:tcPr>
                  <w:tcW w:w="608" w:type="pct"/>
                  <w:vAlign w:val="center"/>
                </w:tcPr>
                <w:p>
                  <w:pPr>
                    <w:adjustRightInd w:val="0"/>
                    <w:snapToGrid w:val="0"/>
                    <w:jc w:val="center"/>
                    <w:rPr>
                      <w:rFonts w:hint="default" w:eastAsia="宋体"/>
                      <w:color w:val="auto"/>
                      <w:highlight w:val="none"/>
                      <w:lang w:val="en-US" w:eastAsia="zh-CN"/>
                    </w:rPr>
                  </w:pPr>
                  <w:r>
                    <w:rPr>
                      <w:rFonts w:hint="eastAsia"/>
                      <w:color w:val="auto"/>
                      <w:highlight w:val="none"/>
                      <w:lang w:val="en-US" w:eastAsia="zh-CN"/>
                    </w:rPr>
                    <w:t>83.01</w:t>
                  </w:r>
                </w:p>
              </w:tc>
              <w:tc>
                <w:tcPr>
                  <w:tcW w:w="608" w:type="pct"/>
                  <w:vMerge w:val="restart"/>
                  <w:vAlign w:val="center"/>
                </w:tcPr>
                <w:p>
                  <w:pPr>
                    <w:adjustRightInd w:val="0"/>
                    <w:snapToGrid w:val="0"/>
                    <w:jc w:val="center"/>
                    <w:rPr>
                      <w:color w:val="auto"/>
                      <w:highlight w:val="none"/>
                    </w:rPr>
                  </w:pPr>
                  <w:r>
                    <w:rPr>
                      <w:color w:val="auto"/>
                      <w:highlight w:val="none"/>
                    </w:rPr>
                    <w:t>选用低噪声设备、隔声减振，削减量</w:t>
                  </w:r>
                  <w:r>
                    <w:rPr>
                      <w:rFonts w:hint="eastAsia"/>
                      <w:color w:val="auto"/>
                      <w:highlight w:val="none"/>
                    </w:rPr>
                    <w:t>25</w:t>
                  </w:r>
                  <w:r>
                    <w:rPr>
                      <w:color w:val="auto"/>
                      <w:highlight w:val="none"/>
                    </w:rPr>
                    <w:t>dB（A）</w:t>
                  </w:r>
                </w:p>
              </w:tc>
              <w:tc>
                <w:tcPr>
                  <w:tcW w:w="609" w:type="pct"/>
                  <w:vAlign w:val="center"/>
                </w:tcPr>
                <w:p>
                  <w:pPr>
                    <w:adjustRightInd w:val="0"/>
                    <w:snapToGrid w:val="0"/>
                    <w:jc w:val="center"/>
                    <w:rPr>
                      <w:rFonts w:hint="default" w:eastAsia="宋体"/>
                      <w:color w:val="auto"/>
                      <w:highlight w:val="none"/>
                      <w:lang w:val="en-US" w:eastAsia="zh-CN"/>
                    </w:rPr>
                  </w:pPr>
                  <w:r>
                    <w:rPr>
                      <w:rFonts w:hint="eastAsia"/>
                      <w:color w:val="auto"/>
                      <w:highlight w:val="none"/>
                      <w:lang w:val="en-US" w:eastAsia="zh-CN"/>
                    </w:rPr>
                    <w:t>58.01</w:t>
                  </w:r>
                </w:p>
              </w:tc>
              <w:tc>
                <w:tcPr>
                  <w:tcW w:w="756" w:type="pct"/>
                  <w:vMerge w:val="restart"/>
                  <w:vAlign w:val="center"/>
                </w:tcPr>
                <w:p>
                  <w:pPr>
                    <w:adjustRightInd w:val="0"/>
                    <w:snapToGrid w:val="0"/>
                    <w:jc w:val="center"/>
                    <w:rPr>
                      <w:color w:val="auto"/>
                      <w:highlight w:val="none"/>
                    </w:rPr>
                  </w:pPr>
                  <w:r>
                    <w:rPr>
                      <w:color w:val="auto"/>
                      <w:highlight w:val="none"/>
                    </w:rPr>
                    <w:t>昼间8时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0" w:type="pct"/>
                  <w:vAlign w:val="center"/>
                </w:tcPr>
                <w:p>
                  <w:pPr>
                    <w:adjustRightInd w:val="0"/>
                    <w:snapToGrid w:val="0"/>
                    <w:jc w:val="center"/>
                    <w:rPr>
                      <w:rFonts w:ascii="Times New Roman" w:hAnsi="Times New Roman" w:eastAsia="宋体" w:cs="Times New Roman"/>
                      <w:color w:val="auto"/>
                      <w:kern w:val="2"/>
                      <w:sz w:val="21"/>
                      <w:szCs w:val="24"/>
                      <w:highlight w:val="none"/>
                      <w:lang w:val="en-US" w:eastAsia="zh-CN" w:bidi="ar-SA"/>
                    </w:rPr>
                  </w:pPr>
                  <w:r>
                    <w:rPr>
                      <w:rFonts w:hint="eastAsia"/>
                      <w:color w:val="auto"/>
                      <w:highlight w:val="none"/>
                    </w:rPr>
                    <w:t>2</w:t>
                  </w:r>
                </w:p>
              </w:tc>
              <w:tc>
                <w:tcPr>
                  <w:tcW w:w="938" w:type="pct"/>
                  <w:vAlign w:val="center"/>
                </w:tcPr>
                <w:p>
                  <w:pPr>
                    <w:jc w:val="center"/>
                    <w:rPr>
                      <w:color w:val="auto"/>
                      <w:highlight w:val="none"/>
                    </w:rPr>
                  </w:pPr>
                  <w:r>
                    <w:rPr>
                      <w:color w:val="auto"/>
                      <w:szCs w:val="21"/>
                      <w:highlight w:val="none"/>
                    </w:rPr>
                    <w:t>搅拌</w:t>
                  </w:r>
                  <w:r>
                    <w:rPr>
                      <w:rFonts w:hint="eastAsia"/>
                      <w:color w:val="auto"/>
                      <w:szCs w:val="21"/>
                      <w:highlight w:val="none"/>
                    </w:rPr>
                    <w:t>缸</w:t>
                  </w:r>
                </w:p>
              </w:tc>
              <w:tc>
                <w:tcPr>
                  <w:tcW w:w="420" w:type="pct"/>
                  <w:vAlign w:val="center"/>
                </w:tcPr>
                <w:p>
                  <w:pPr>
                    <w:jc w:val="center"/>
                    <w:rPr>
                      <w:color w:val="auto"/>
                      <w:highlight w:val="none"/>
                    </w:rPr>
                  </w:pPr>
                  <w:r>
                    <w:rPr>
                      <w:color w:val="auto"/>
                      <w:szCs w:val="21"/>
                      <w:highlight w:val="none"/>
                    </w:rPr>
                    <w:t>1个</w:t>
                  </w:r>
                </w:p>
              </w:tc>
              <w:tc>
                <w:tcPr>
                  <w:tcW w:w="696" w:type="pct"/>
                  <w:vAlign w:val="center"/>
                </w:tcPr>
                <w:p>
                  <w:pPr>
                    <w:adjustRightInd w:val="0"/>
                    <w:snapToGrid w:val="0"/>
                    <w:jc w:val="center"/>
                    <w:rPr>
                      <w:color w:val="auto"/>
                      <w:highlight w:val="none"/>
                    </w:rPr>
                  </w:pPr>
                  <w:r>
                    <w:rPr>
                      <w:color w:val="auto"/>
                      <w:highlight w:val="none"/>
                    </w:rPr>
                    <w:t>75</w:t>
                  </w:r>
                </w:p>
              </w:tc>
              <w:tc>
                <w:tcPr>
                  <w:tcW w:w="608" w:type="pct"/>
                  <w:vAlign w:val="center"/>
                </w:tcPr>
                <w:p>
                  <w:pPr>
                    <w:adjustRightInd w:val="0"/>
                    <w:snapToGrid w:val="0"/>
                    <w:jc w:val="center"/>
                    <w:rPr>
                      <w:color w:val="auto"/>
                      <w:highlight w:val="none"/>
                    </w:rPr>
                  </w:pPr>
                  <w:r>
                    <w:rPr>
                      <w:rFonts w:hint="eastAsia"/>
                      <w:color w:val="auto"/>
                      <w:highlight w:val="none"/>
                    </w:rPr>
                    <w:t>75</w:t>
                  </w:r>
                </w:p>
              </w:tc>
              <w:tc>
                <w:tcPr>
                  <w:tcW w:w="608" w:type="pct"/>
                  <w:vMerge w:val="continue"/>
                  <w:vAlign w:val="center"/>
                </w:tcPr>
                <w:p>
                  <w:pPr>
                    <w:adjustRightInd w:val="0"/>
                    <w:snapToGrid w:val="0"/>
                    <w:jc w:val="center"/>
                    <w:rPr>
                      <w:color w:val="auto"/>
                      <w:highlight w:val="none"/>
                    </w:rPr>
                  </w:pPr>
                </w:p>
              </w:tc>
              <w:tc>
                <w:tcPr>
                  <w:tcW w:w="609" w:type="pct"/>
                  <w:vAlign w:val="center"/>
                </w:tcPr>
                <w:p>
                  <w:pPr>
                    <w:adjustRightInd w:val="0"/>
                    <w:snapToGrid w:val="0"/>
                    <w:jc w:val="center"/>
                    <w:rPr>
                      <w:color w:val="auto"/>
                      <w:highlight w:val="none"/>
                    </w:rPr>
                  </w:pPr>
                  <w:r>
                    <w:rPr>
                      <w:rFonts w:hint="eastAsia"/>
                      <w:color w:val="auto"/>
                      <w:highlight w:val="none"/>
                    </w:rPr>
                    <w:t>50</w:t>
                  </w:r>
                </w:p>
              </w:tc>
              <w:tc>
                <w:tcPr>
                  <w:tcW w:w="756" w:type="pct"/>
                  <w:vMerge w:val="continue"/>
                  <w:vAlign w:val="center"/>
                </w:tcPr>
                <w:p>
                  <w:pPr>
                    <w:adjustRightInd w:val="0"/>
                    <w:snapToGrid w:val="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0" w:type="pct"/>
                  <w:vAlign w:val="center"/>
                </w:tcPr>
                <w:p>
                  <w:pPr>
                    <w:adjustRightInd w:val="0"/>
                    <w:snapToGrid w:val="0"/>
                    <w:jc w:val="center"/>
                    <w:rPr>
                      <w:rFonts w:ascii="Times New Roman" w:hAnsi="Times New Roman" w:eastAsia="宋体" w:cs="Times New Roman"/>
                      <w:color w:val="auto"/>
                      <w:kern w:val="2"/>
                      <w:sz w:val="21"/>
                      <w:szCs w:val="24"/>
                      <w:highlight w:val="none"/>
                      <w:lang w:val="en-US" w:eastAsia="zh-CN" w:bidi="ar-SA"/>
                    </w:rPr>
                  </w:pPr>
                  <w:r>
                    <w:rPr>
                      <w:color w:val="auto"/>
                      <w:highlight w:val="none"/>
                    </w:rPr>
                    <w:t>2</w:t>
                  </w:r>
                </w:p>
              </w:tc>
              <w:tc>
                <w:tcPr>
                  <w:tcW w:w="938" w:type="pct"/>
                  <w:vAlign w:val="center"/>
                </w:tcPr>
                <w:p>
                  <w:pPr>
                    <w:jc w:val="center"/>
                    <w:rPr>
                      <w:bCs/>
                      <w:color w:val="auto"/>
                      <w:highlight w:val="none"/>
                    </w:rPr>
                  </w:pPr>
                  <w:r>
                    <w:rPr>
                      <w:color w:val="auto"/>
                      <w:szCs w:val="21"/>
                      <w:highlight w:val="none"/>
                    </w:rPr>
                    <w:t>搅拌</w:t>
                  </w:r>
                  <w:r>
                    <w:rPr>
                      <w:rFonts w:hint="eastAsia"/>
                      <w:color w:val="auto"/>
                      <w:szCs w:val="21"/>
                      <w:highlight w:val="none"/>
                    </w:rPr>
                    <w:t>缸</w:t>
                  </w:r>
                </w:p>
              </w:tc>
              <w:tc>
                <w:tcPr>
                  <w:tcW w:w="420" w:type="pct"/>
                  <w:vAlign w:val="center"/>
                </w:tcPr>
                <w:p>
                  <w:pPr>
                    <w:jc w:val="center"/>
                    <w:rPr>
                      <w:color w:val="auto"/>
                      <w:highlight w:val="none"/>
                    </w:rPr>
                  </w:pPr>
                  <w:r>
                    <w:rPr>
                      <w:rFonts w:hint="eastAsia"/>
                      <w:color w:val="auto"/>
                      <w:szCs w:val="21"/>
                      <w:highlight w:val="none"/>
                    </w:rPr>
                    <w:t>6个</w:t>
                  </w:r>
                </w:p>
              </w:tc>
              <w:tc>
                <w:tcPr>
                  <w:tcW w:w="696" w:type="pct"/>
                  <w:vAlign w:val="center"/>
                </w:tcPr>
                <w:p>
                  <w:pPr>
                    <w:adjustRightInd w:val="0"/>
                    <w:snapToGrid w:val="0"/>
                    <w:jc w:val="center"/>
                    <w:rPr>
                      <w:color w:val="auto"/>
                      <w:highlight w:val="none"/>
                    </w:rPr>
                  </w:pPr>
                  <w:r>
                    <w:rPr>
                      <w:rFonts w:hint="eastAsia"/>
                      <w:color w:val="auto"/>
                      <w:highlight w:val="none"/>
                    </w:rPr>
                    <w:t>75</w:t>
                  </w:r>
                </w:p>
              </w:tc>
              <w:tc>
                <w:tcPr>
                  <w:tcW w:w="608" w:type="pct"/>
                  <w:vAlign w:val="center"/>
                </w:tcPr>
                <w:p>
                  <w:pPr>
                    <w:adjustRightInd w:val="0"/>
                    <w:snapToGrid w:val="0"/>
                    <w:jc w:val="center"/>
                    <w:rPr>
                      <w:color w:val="auto"/>
                      <w:highlight w:val="none"/>
                    </w:rPr>
                  </w:pPr>
                  <w:r>
                    <w:rPr>
                      <w:rFonts w:hint="eastAsia"/>
                      <w:color w:val="auto"/>
                      <w:highlight w:val="none"/>
                    </w:rPr>
                    <w:t>82.78</w:t>
                  </w:r>
                </w:p>
              </w:tc>
              <w:tc>
                <w:tcPr>
                  <w:tcW w:w="608" w:type="pct"/>
                  <w:vMerge w:val="continue"/>
                  <w:vAlign w:val="center"/>
                </w:tcPr>
                <w:p>
                  <w:pPr>
                    <w:adjustRightInd w:val="0"/>
                    <w:snapToGrid w:val="0"/>
                    <w:jc w:val="center"/>
                    <w:rPr>
                      <w:color w:val="auto"/>
                      <w:highlight w:val="none"/>
                    </w:rPr>
                  </w:pPr>
                </w:p>
              </w:tc>
              <w:tc>
                <w:tcPr>
                  <w:tcW w:w="609" w:type="pct"/>
                  <w:vAlign w:val="center"/>
                </w:tcPr>
                <w:p>
                  <w:pPr>
                    <w:adjustRightInd w:val="0"/>
                    <w:snapToGrid w:val="0"/>
                    <w:jc w:val="center"/>
                    <w:rPr>
                      <w:color w:val="auto"/>
                      <w:highlight w:val="none"/>
                    </w:rPr>
                  </w:pPr>
                  <w:r>
                    <w:rPr>
                      <w:rFonts w:hint="eastAsia"/>
                      <w:color w:val="auto"/>
                      <w:highlight w:val="none"/>
                    </w:rPr>
                    <w:t>57.78</w:t>
                  </w:r>
                </w:p>
              </w:tc>
              <w:tc>
                <w:tcPr>
                  <w:tcW w:w="756" w:type="pct"/>
                  <w:vMerge w:val="continue"/>
                  <w:vAlign w:val="center"/>
                </w:tcPr>
                <w:p>
                  <w:pPr>
                    <w:adjustRightInd w:val="0"/>
                    <w:snapToGrid w:val="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0" w:type="pct"/>
                  <w:vAlign w:val="center"/>
                </w:tcPr>
                <w:p>
                  <w:pPr>
                    <w:adjustRightInd w:val="0"/>
                    <w:snapToGrid w:val="0"/>
                    <w:jc w:val="center"/>
                    <w:rPr>
                      <w:rFonts w:ascii="Times New Roman" w:hAnsi="Times New Roman" w:eastAsia="宋体" w:cs="Times New Roman"/>
                      <w:color w:val="auto"/>
                      <w:kern w:val="2"/>
                      <w:sz w:val="21"/>
                      <w:szCs w:val="24"/>
                      <w:highlight w:val="none"/>
                      <w:lang w:val="en-US" w:eastAsia="zh-CN" w:bidi="ar-SA"/>
                    </w:rPr>
                  </w:pPr>
                  <w:r>
                    <w:rPr>
                      <w:color w:val="auto"/>
                      <w:highlight w:val="none"/>
                    </w:rPr>
                    <w:t>3</w:t>
                  </w:r>
                </w:p>
              </w:tc>
              <w:tc>
                <w:tcPr>
                  <w:tcW w:w="938" w:type="pct"/>
                  <w:vAlign w:val="center"/>
                </w:tcPr>
                <w:p>
                  <w:pPr>
                    <w:jc w:val="center"/>
                    <w:rPr>
                      <w:bCs/>
                      <w:color w:val="auto"/>
                      <w:highlight w:val="none"/>
                    </w:rPr>
                  </w:pPr>
                  <w:r>
                    <w:rPr>
                      <w:color w:val="auto"/>
                      <w:szCs w:val="21"/>
                      <w:highlight w:val="none"/>
                    </w:rPr>
                    <w:t>搅拌</w:t>
                  </w:r>
                  <w:r>
                    <w:rPr>
                      <w:rFonts w:hint="eastAsia"/>
                      <w:color w:val="auto"/>
                      <w:szCs w:val="21"/>
                      <w:highlight w:val="none"/>
                    </w:rPr>
                    <w:t>桶</w:t>
                  </w:r>
                </w:p>
              </w:tc>
              <w:tc>
                <w:tcPr>
                  <w:tcW w:w="420" w:type="pct"/>
                  <w:vAlign w:val="center"/>
                </w:tcPr>
                <w:p>
                  <w:pPr>
                    <w:jc w:val="center"/>
                    <w:rPr>
                      <w:color w:val="auto"/>
                      <w:highlight w:val="none"/>
                    </w:rPr>
                  </w:pPr>
                  <w:r>
                    <w:rPr>
                      <w:rFonts w:hint="eastAsia"/>
                      <w:color w:val="auto"/>
                      <w:szCs w:val="21"/>
                      <w:highlight w:val="none"/>
                    </w:rPr>
                    <w:t>2个</w:t>
                  </w:r>
                </w:p>
              </w:tc>
              <w:tc>
                <w:tcPr>
                  <w:tcW w:w="696" w:type="pct"/>
                  <w:vAlign w:val="center"/>
                </w:tcPr>
                <w:p>
                  <w:pPr>
                    <w:adjustRightInd w:val="0"/>
                    <w:snapToGrid w:val="0"/>
                    <w:jc w:val="center"/>
                    <w:rPr>
                      <w:color w:val="auto"/>
                      <w:highlight w:val="none"/>
                    </w:rPr>
                  </w:pPr>
                  <w:r>
                    <w:rPr>
                      <w:rFonts w:hint="eastAsia"/>
                      <w:color w:val="auto"/>
                      <w:highlight w:val="none"/>
                    </w:rPr>
                    <w:t>75</w:t>
                  </w:r>
                </w:p>
              </w:tc>
              <w:tc>
                <w:tcPr>
                  <w:tcW w:w="608" w:type="pct"/>
                  <w:vAlign w:val="center"/>
                </w:tcPr>
                <w:p>
                  <w:pPr>
                    <w:adjustRightInd w:val="0"/>
                    <w:snapToGrid w:val="0"/>
                    <w:jc w:val="center"/>
                    <w:rPr>
                      <w:color w:val="auto"/>
                      <w:highlight w:val="none"/>
                    </w:rPr>
                  </w:pPr>
                  <w:r>
                    <w:rPr>
                      <w:rFonts w:hint="eastAsia"/>
                      <w:color w:val="auto"/>
                      <w:highlight w:val="none"/>
                    </w:rPr>
                    <w:t>78.01</w:t>
                  </w:r>
                </w:p>
              </w:tc>
              <w:tc>
                <w:tcPr>
                  <w:tcW w:w="608" w:type="pct"/>
                  <w:vMerge w:val="continue"/>
                  <w:vAlign w:val="center"/>
                </w:tcPr>
                <w:p>
                  <w:pPr>
                    <w:adjustRightInd w:val="0"/>
                    <w:snapToGrid w:val="0"/>
                    <w:jc w:val="center"/>
                    <w:rPr>
                      <w:color w:val="auto"/>
                      <w:highlight w:val="none"/>
                    </w:rPr>
                  </w:pPr>
                </w:p>
              </w:tc>
              <w:tc>
                <w:tcPr>
                  <w:tcW w:w="609" w:type="pct"/>
                  <w:vAlign w:val="center"/>
                </w:tcPr>
                <w:p>
                  <w:pPr>
                    <w:adjustRightInd w:val="0"/>
                    <w:snapToGrid w:val="0"/>
                    <w:jc w:val="center"/>
                    <w:rPr>
                      <w:color w:val="auto"/>
                      <w:highlight w:val="none"/>
                    </w:rPr>
                  </w:pPr>
                  <w:r>
                    <w:rPr>
                      <w:rFonts w:hint="eastAsia"/>
                      <w:color w:val="auto"/>
                      <w:highlight w:val="none"/>
                    </w:rPr>
                    <w:t>53.01</w:t>
                  </w:r>
                </w:p>
              </w:tc>
              <w:tc>
                <w:tcPr>
                  <w:tcW w:w="756" w:type="pct"/>
                  <w:vMerge w:val="continue"/>
                  <w:vAlign w:val="center"/>
                </w:tcPr>
                <w:p>
                  <w:pPr>
                    <w:adjustRightInd w:val="0"/>
                    <w:snapToGrid w:val="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0" w:type="pct"/>
                  <w:vAlign w:val="center"/>
                </w:tcPr>
                <w:p>
                  <w:pPr>
                    <w:adjustRightInd w:val="0"/>
                    <w:snapToGrid w:val="0"/>
                    <w:jc w:val="center"/>
                    <w:rPr>
                      <w:rFonts w:ascii="Times New Roman" w:hAnsi="Times New Roman" w:eastAsia="宋体" w:cs="Times New Roman"/>
                      <w:color w:val="auto"/>
                      <w:kern w:val="2"/>
                      <w:sz w:val="21"/>
                      <w:szCs w:val="24"/>
                      <w:highlight w:val="none"/>
                      <w:lang w:val="en-US" w:eastAsia="zh-CN" w:bidi="ar-SA"/>
                    </w:rPr>
                  </w:pPr>
                  <w:r>
                    <w:rPr>
                      <w:color w:val="auto"/>
                      <w:highlight w:val="none"/>
                    </w:rPr>
                    <w:t>4</w:t>
                  </w:r>
                </w:p>
              </w:tc>
              <w:tc>
                <w:tcPr>
                  <w:tcW w:w="938" w:type="pct"/>
                  <w:vAlign w:val="center"/>
                </w:tcPr>
                <w:p>
                  <w:pPr>
                    <w:jc w:val="center"/>
                    <w:rPr>
                      <w:bCs/>
                      <w:color w:val="auto"/>
                      <w:highlight w:val="none"/>
                    </w:rPr>
                  </w:pPr>
                  <w:r>
                    <w:rPr>
                      <w:color w:val="auto"/>
                      <w:szCs w:val="21"/>
                      <w:highlight w:val="none"/>
                    </w:rPr>
                    <w:t>搅拌</w:t>
                  </w:r>
                  <w:r>
                    <w:rPr>
                      <w:rFonts w:hint="eastAsia"/>
                      <w:color w:val="auto"/>
                      <w:szCs w:val="21"/>
                      <w:highlight w:val="none"/>
                    </w:rPr>
                    <w:t>缸</w:t>
                  </w:r>
                </w:p>
              </w:tc>
              <w:tc>
                <w:tcPr>
                  <w:tcW w:w="420" w:type="pct"/>
                  <w:vAlign w:val="center"/>
                </w:tcPr>
                <w:p>
                  <w:pPr>
                    <w:jc w:val="center"/>
                    <w:rPr>
                      <w:color w:val="auto"/>
                      <w:highlight w:val="none"/>
                    </w:rPr>
                  </w:pPr>
                  <w:r>
                    <w:rPr>
                      <w:rFonts w:hint="eastAsia"/>
                      <w:color w:val="auto"/>
                      <w:szCs w:val="21"/>
                      <w:highlight w:val="none"/>
                    </w:rPr>
                    <w:t>1个</w:t>
                  </w:r>
                </w:p>
              </w:tc>
              <w:tc>
                <w:tcPr>
                  <w:tcW w:w="696" w:type="pct"/>
                  <w:vAlign w:val="center"/>
                </w:tcPr>
                <w:p>
                  <w:pPr>
                    <w:adjustRightInd w:val="0"/>
                    <w:snapToGrid w:val="0"/>
                    <w:jc w:val="center"/>
                    <w:rPr>
                      <w:color w:val="auto"/>
                      <w:highlight w:val="none"/>
                    </w:rPr>
                  </w:pPr>
                  <w:r>
                    <w:rPr>
                      <w:rFonts w:hint="eastAsia"/>
                      <w:color w:val="auto"/>
                      <w:highlight w:val="none"/>
                    </w:rPr>
                    <w:t>75</w:t>
                  </w:r>
                </w:p>
              </w:tc>
              <w:tc>
                <w:tcPr>
                  <w:tcW w:w="608" w:type="pct"/>
                  <w:vAlign w:val="center"/>
                </w:tcPr>
                <w:p>
                  <w:pPr>
                    <w:adjustRightInd w:val="0"/>
                    <w:snapToGrid w:val="0"/>
                    <w:jc w:val="center"/>
                    <w:rPr>
                      <w:color w:val="auto"/>
                      <w:highlight w:val="none"/>
                    </w:rPr>
                  </w:pPr>
                  <w:r>
                    <w:rPr>
                      <w:rFonts w:hint="eastAsia"/>
                      <w:color w:val="auto"/>
                      <w:highlight w:val="none"/>
                    </w:rPr>
                    <w:t>75</w:t>
                  </w:r>
                </w:p>
              </w:tc>
              <w:tc>
                <w:tcPr>
                  <w:tcW w:w="608" w:type="pct"/>
                  <w:vMerge w:val="continue"/>
                  <w:vAlign w:val="center"/>
                </w:tcPr>
                <w:p>
                  <w:pPr>
                    <w:adjustRightInd w:val="0"/>
                    <w:snapToGrid w:val="0"/>
                    <w:jc w:val="center"/>
                    <w:rPr>
                      <w:color w:val="auto"/>
                      <w:highlight w:val="none"/>
                    </w:rPr>
                  </w:pPr>
                </w:p>
              </w:tc>
              <w:tc>
                <w:tcPr>
                  <w:tcW w:w="609" w:type="pct"/>
                  <w:vAlign w:val="center"/>
                </w:tcPr>
                <w:p>
                  <w:pPr>
                    <w:adjustRightInd w:val="0"/>
                    <w:snapToGrid w:val="0"/>
                    <w:jc w:val="center"/>
                    <w:rPr>
                      <w:color w:val="auto"/>
                      <w:highlight w:val="none"/>
                    </w:rPr>
                  </w:pPr>
                  <w:r>
                    <w:rPr>
                      <w:rFonts w:hint="eastAsia"/>
                      <w:color w:val="auto"/>
                      <w:highlight w:val="none"/>
                    </w:rPr>
                    <w:t>50</w:t>
                  </w:r>
                </w:p>
              </w:tc>
              <w:tc>
                <w:tcPr>
                  <w:tcW w:w="756" w:type="pct"/>
                  <w:vMerge w:val="continue"/>
                  <w:vAlign w:val="center"/>
                </w:tcPr>
                <w:p>
                  <w:pPr>
                    <w:spacing w:before="120" w:beforeLines="5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0" w:type="pct"/>
                  <w:vAlign w:val="center"/>
                </w:tcPr>
                <w:p>
                  <w:pPr>
                    <w:adjustRightInd w:val="0"/>
                    <w:snapToGrid w:val="0"/>
                    <w:jc w:val="center"/>
                    <w:rPr>
                      <w:rFonts w:ascii="Times New Roman" w:hAnsi="Times New Roman" w:eastAsia="宋体" w:cs="Times New Roman"/>
                      <w:color w:val="auto"/>
                      <w:kern w:val="2"/>
                      <w:sz w:val="21"/>
                      <w:szCs w:val="24"/>
                      <w:highlight w:val="none"/>
                      <w:lang w:val="en-US" w:eastAsia="zh-CN" w:bidi="ar-SA"/>
                    </w:rPr>
                  </w:pPr>
                  <w:r>
                    <w:rPr>
                      <w:color w:val="auto"/>
                      <w:highlight w:val="none"/>
                    </w:rPr>
                    <w:t>5</w:t>
                  </w:r>
                </w:p>
              </w:tc>
              <w:tc>
                <w:tcPr>
                  <w:tcW w:w="938" w:type="pct"/>
                  <w:vAlign w:val="center"/>
                </w:tcPr>
                <w:p>
                  <w:pPr>
                    <w:jc w:val="center"/>
                    <w:rPr>
                      <w:bCs/>
                      <w:color w:val="auto"/>
                      <w:highlight w:val="none"/>
                    </w:rPr>
                  </w:pPr>
                  <w:r>
                    <w:rPr>
                      <w:color w:val="auto"/>
                      <w:szCs w:val="21"/>
                      <w:highlight w:val="none"/>
                    </w:rPr>
                    <w:t>搅拌</w:t>
                  </w:r>
                  <w:r>
                    <w:rPr>
                      <w:rFonts w:hint="eastAsia"/>
                      <w:color w:val="auto"/>
                      <w:szCs w:val="21"/>
                      <w:highlight w:val="none"/>
                    </w:rPr>
                    <w:t>桶</w:t>
                  </w:r>
                </w:p>
              </w:tc>
              <w:tc>
                <w:tcPr>
                  <w:tcW w:w="420" w:type="pct"/>
                  <w:vAlign w:val="center"/>
                </w:tcPr>
                <w:p>
                  <w:pPr>
                    <w:jc w:val="center"/>
                    <w:rPr>
                      <w:color w:val="auto"/>
                      <w:highlight w:val="none"/>
                    </w:rPr>
                  </w:pPr>
                  <w:r>
                    <w:rPr>
                      <w:color w:val="auto"/>
                      <w:szCs w:val="21"/>
                      <w:highlight w:val="none"/>
                    </w:rPr>
                    <w:t>1</w:t>
                  </w:r>
                  <w:r>
                    <w:rPr>
                      <w:rFonts w:hint="eastAsia"/>
                      <w:color w:val="auto"/>
                      <w:szCs w:val="21"/>
                      <w:highlight w:val="none"/>
                    </w:rPr>
                    <w:t>个</w:t>
                  </w:r>
                </w:p>
              </w:tc>
              <w:tc>
                <w:tcPr>
                  <w:tcW w:w="696" w:type="pct"/>
                  <w:vAlign w:val="center"/>
                </w:tcPr>
                <w:p>
                  <w:pPr>
                    <w:adjustRightInd w:val="0"/>
                    <w:snapToGrid w:val="0"/>
                    <w:jc w:val="center"/>
                    <w:rPr>
                      <w:color w:val="auto"/>
                      <w:highlight w:val="none"/>
                    </w:rPr>
                  </w:pPr>
                  <w:r>
                    <w:rPr>
                      <w:color w:val="auto"/>
                      <w:highlight w:val="none"/>
                    </w:rPr>
                    <w:t>75</w:t>
                  </w:r>
                </w:p>
              </w:tc>
              <w:tc>
                <w:tcPr>
                  <w:tcW w:w="608" w:type="pct"/>
                  <w:vAlign w:val="center"/>
                </w:tcPr>
                <w:p>
                  <w:pPr>
                    <w:adjustRightInd w:val="0"/>
                    <w:snapToGrid w:val="0"/>
                    <w:jc w:val="center"/>
                    <w:rPr>
                      <w:color w:val="auto"/>
                      <w:highlight w:val="none"/>
                    </w:rPr>
                  </w:pPr>
                  <w:r>
                    <w:rPr>
                      <w:rFonts w:hint="eastAsia"/>
                      <w:color w:val="auto"/>
                      <w:highlight w:val="none"/>
                    </w:rPr>
                    <w:t>75</w:t>
                  </w:r>
                </w:p>
              </w:tc>
              <w:tc>
                <w:tcPr>
                  <w:tcW w:w="608" w:type="pct"/>
                  <w:vMerge w:val="continue"/>
                  <w:vAlign w:val="center"/>
                </w:tcPr>
                <w:p>
                  <w:pPr>
                    <w:adjustRightInd w:val="0"/>
                    <w:snapToGrid w:val="0"/>
                    <w:jc w:val="center"/>
                    <w:rPr>
                      <w:color w:val="auto"/>
                      <w:highlight w:val="none"/>
                    </w:rPr>
                  </w:pPr>
                </w:p>
              </w:tc>
              <w:tc>
                <w:tcPr>
                  <w:tcW w:w="609" w:type="pct"/>
                  <w:vAlign w:val="center"/>
                </w:tcPr>
                <w:p>
                  <w:pPr>
                    <w:adjustRightInd w:val="0"/>
                    <w:snapToGrid w:val="0"/>
                    <w:jc w:val="center"/>
                    <w:rPr>
                      <w:color w:val="auto"/>
                      <w:highlight w:val="none"/>
                    </w:rPr>
                  </w:pPr>
                  <w:r>
                    <w:rPr>
                      <w:rFonts w:hint="eastAsia"/>
                      <w:color w:val="auto"/>
                      <w:highlight w:val="none"/>
                    </w:rPr>
                    <w:t>50</w:t>
                  </w:r>
                </w:p>
              </w:tc>
              <w:tc>
                <w:tcPr>
                  <w:tcW w:w="756" w:type="pct"/>
                  <w:vMerge w:val="continue"/>
                  <w:vAlign w:val="center"/>
                </w:tcPr>
                <w:p>
                  <w:pPr>
                    <w:spacing w:before="120" w:beforeLines="5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0" w:type="pct"/>
                  <w:vAlign w:val="center"/>
                </w:tcPr>
                <w:p>
                  <w:pPr>
                    <w:adjustRightInd w:val="0"/>
                    <w:snapToGrid w:val="0"/>
                    <w:jc w:val="center"/>
                    <w:rPr>
                      <w:rFonts w:ascii="Times New Roman" w:hAnsi="Times New Roman" w:eastAsia="宋体" w:cs="Times New Roman"/>
                      <w:color w:val="auto"/>
                      <w:kern w:val="2"/>
                      <w:sz w:val="21"/>
                      <w:szCs w:val="24"/>
                      <w:highlight w:val="none"/>
                      <w:lang w:val="en-US" w:eastAsia="zh-CN" w:bidi="ar-SA"/>
                    </w:rPr>
                  </w:pPr>
                  <w:r>
                    <w:rPr>
                      <w:color w:val="auto"/>
                      <w:highlight w:val="none"/>
                    </w:rPr>
                    <w:t>6</w:t>
                  </w:r>
                </w:p>
              </w:tc>
              <w:tc>
                <w:tcPr>
                  <w:tcW w:w="938" w:type="pct"/>
                  <w:vAlign w:val="center"/>
                </w:tcPr>
                <w:p>
                  <w:pPr>
                    <w:jc w:val="center"/>
                    <w:rPr>
                      <w:bCs/>
                      <w:color w:val="auto"/>
                      <w:highlight w:val="none"/>
                    </w:rPr>
                  </w:pPr>
                  <w:r>
                    <w:rPr>
                      <w:rFonts w:hint="eastAsia"/>
                      <w:color w:val="auto"/>
                      <w:szCs w:val="21"/>
                      <w:highlight w:val="none"/>
                    </w:rPr>
                    <w:t>粉体储罐</w:t>
                  </w:r>
                </w:p>
              </w:tc>
              <w:tc>
                <w:tcPr>
                  <w:tcW w:w="420" w:type="pct"/>
                  <w:vAlign w:val="center"/>
                </w:tcPr>
                <w:p>
                  <w:pPr>
                    <w:jc w:val="center"/>
                    <w:rPr>
                      <w:color w:val="auto"/>
                      <w:highlight w:val="none"/>
                    </w:rPr>
                  </w:pPr>
                  <w:r>
                    <w:rPr>
                      <w:rFonts w:hint="eastAsia"/>
                      <w:color w:val="auto"/>
                      <w:szCs w:val="21"/>
                      <w:highlight w:val="none"/>
                    </w:rPr>
                    <w:t>2个</w:t>
                  </w:r>
                </w:p>
              </w:tc>
              <w:tc>
                <w:tcPr>
                  <w:tcW w:w="696" w:type="pct"/>
                  <w:vAlign w:val="center"/>
                </w:tcPr>
                <w:p>
                  <w:pPr>
                    <w:adjustRightInd w:val="0"/>
                    <w:snapToGrid w:val="0"/>
                    <w:jc w:val="center"/>
                    <w:rPr>
                      <w:rFonts w:hint="default" w:eastAsia="宋体"/>
                      <w:color w:val="auto"/>
                      <w:highlight w:val="none"/>
                      <w:lang w:val="en-US" w:eastAsia="zh-CN"/>
                    </w:rPr>
                  </w:pPr>
                  <w:r>
                    <w:rPr>
                      <w:rFonts w:hint="eastAsia"/>
                      <w:color w:val="auto"/>
                      <w:highlight w:val="none"/>
                      <w:lang w:val="en-US" w:eastAsia="zh-CN"/>
                    </w:rPr>
                    <w:t>65</w:t>
                  </w:r>
                </w:p>
              </w:tc>
              <w:tc>
                <w:tcPr>
                  <w:tcW w:w="608" w:type="pct"/>
                  <w:vAlign w:val="center"/>
                </w:tcPr>
                <w:p>
                  <w:pPr>
                    <w:adjustRightInd w:val="0"/>
                    <w:snapToGrid w:val="0"/>
                    <w:jc w:val="center"/>
                    <w:rPr>
                      <w:rFonts w:hint="default" w:eastAsia="宋体"/>
                      <w:color w:val="auto"/>
                      <w:highlight w:val="none"/>
                      <w:lang w:val="en-US" w:eastAsia="zh-CN"/>
                    </w:rPr>
                  </w:pPr>
                  <w:r>
                    <w:rPr>
                      <w:rFonts w:hint="eastAsia"/>
                      <w:color w:val="auto"/>
                      <w:highlight w:val="none"/>
                      <w:lang w:val="en-US" w:eastAsia="zh-CN"/>
                    </w:rPr>
                    <w:t>68.01</w:t>
                  </w:r>
                </w:p>
              </w:tc>
              <w:tc>
                <w:tcPr>
                  <w:tcW w:w="608" w:type="pct"/>
                  <w:vMerge w:val="continue"/>
                  <w:vAlign w:val="center"/>
                </w:tcPr>
                <w:p>
                  <w:pPr>
                    <w:adjustRightInd w:val="0"/>
                    <w:snapToGrid w:val="0"/>
                    <w:jc w:val="center"/>
                    <w:rPr>
                      <w:color w:val="auto"/>
                      <w:highlight w:val="none"/>
                    </w:rPr>
                  </w:pPr>
                </w:p>
              </w:tc>
              <w:tc>
                <w:tcPr>
                  <w:tcW w:w="609" w:type="pct"/>
                  <w:vAlign w:val="center"/>
                </w:tcPr>
                <w:p>
                  <w:pPr>
                    <w:adjustRightInd w:val="0"/>
                    <w:snapToGrid w:val="0"/>
                    <w:jc w:val="center"/>
                    <w:rPr>
                      <w:rFonts w:hint="default" w:eastAsia="宋体"/>
                      <w:color w:val="auto"/>
                      <w:highlight w:val="none"/>
                      <w:lang w:val="en-US" w:eastAsia="zh-CN"/>
                    </w:rPr>
                  </w:pPr>
                  <w:r>
                    <w:rPr>
                      <w:rFonts w:hint="eastAsia"/>
                      <w:color w:val="auto"/>
                      <w:highlight w:val="none"/>
                      <w:lang w:val="en-US" w:eastAsia="zh-CN"/>
                    </w:rPr>
                    <w:t>43.01</w:t>
                  </w:r>
                </w:p>
              </w:tc>
              <w:tc>
                <w:tcPr>
                  <w:tcW w:w="756" w:type="pct"/>
                  <w:vMerge w:val="continue"/>
                  <w:vAlign w:val="center"/>
                </w:tcPr>
                <w:p>
                  <w:pPr>
                    <w:spacing w:before="120" w:beforeLines="5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0" w:type="pct"/>
                  <w:vAlign w:val="center"/>
                </w:tcPr>
                <w:p>
                  <w:pPr>
                    <w:adjustRightInd w:val="0"/>
                    <w:snapToGrid w:val="0"/>
                    <w:jc w:val="center"/>
                    <w:rPr>
                      <w:rFonts w:hint="eastAsia" w:eastAsia="宋体"/>
                      <w:color w:val="auto"/>
                      <w:highlight w:val="none"/>
                      <w:lang w:val="en-US" w:eastAsia="zh-CN"/>
                    </w:rPr>
                  </w:pPr>
                  <w:r>
                    <w:rPr>
                      <w:rFonts w:hint="eastAsia"/>
                      <w:color w:val="auto"/>
                      <w:highlight w:val="none"/>
                      <w:lang w:val="en-US" w:eastAsia="zh-CN"/>
                    </w:rPr>
                    <w:t>7</w:t>
                  </w:r>
                </w:p>
              </w:tc>
              <w:tc>
                <w:tcPr>
                  <w:tcW w:w="938" w:type="pct"/>
                  <w:vAlign w:val="center"/>
                </w:tcPr>
                <w:p>
                  <w:pPr>
                    <w:jc w:val="center"/>
                    <w:rPr>
                      <w:bCs/>
                      <w:color w:val="auto"/>
                      <w:highlight w:val="none"/>
                    </w:rPr>
                  </w:pPr>
                  <w:r>
                    <w:rPr>
                      <w:rFonts w:hint="eastAsia"/>
                      <w:color w:val="auto"/>
                      <w:szCs w:val="21"/>
                      <w:highlight w:val="none"/>
                      <w:lang w:val="en-US" w:eastAsia="zh-CN"/>
                    </w:rPr>
                    <w:t>研磨机</w:t>
                  </w:r>
                </w:p>
              </w:tc>
              <w:tc>
                <w:tcPr>
                  <w:tcW w:w="420" w:type="pct"/>
                  <w:vAlign w:val="center"/>
                </w:tcPr>
                <w:p>
                  <w:pPr>
                    <w:jc w:val="center"/>
                    <w:rPr>
                      <w:rFonts w:hint="default" w:eastAsia="宋体"/>
                      <w:color w:val="auto"/>
                      <w:highlight w:val="none"/>
                      <w:lang w:val="en-US" w:eastAsia="zh-CN"/>
                    </w:rPr>
                  </w:pPr>
                  <w:r>
                    <w:rPr>
                      <w:rFonts w:hint="eastAsia"/>
                      <w:color w:val="auto"/>
                      <w:highlight w:val="none"/>
                      <w:lang w:val="en-US" w:eastAsia="zh-CN"/>
                    </w:rPr>
                    <w:t>1台</w:t>
                  </w:r>
                </w:p>
              </w:tc>
              <w:tc>
                <w:tcPr>
                  <w:tcW w:w="696" w:type="pct"/>
                  <w:vAlign w:val="center"/>
                </w:tcPr>
                <w:p>
                  <w:pPr>
                    <w:adjustRightInd w:val="0"/>
                    <w:snapToGrid w:val="0"/>
                    <w:jc w:val="center"/>
                    <w:rPr>
                      <w:rFonts w:hint="default" w:eastAsia="宋体"/>
                      <w:color w:val="auto"/>
                      <w:highlight w:val="none"/>
                      <w:lang w:val="en-US" w:eastAsia="zh-CN"/>
                    </w:rPr>
                  </w:pPr>
                  <w:r>
                    <w:rPr>
                      <w:rFonts w:hint="eastAsia"/>
                      <w:color w:val="auto"/>
                      <w:highlight w:val="none"/>
                      <w:lang w:val="en-US" w:eastAsia="zh-CN"/>
                    </w:rPr>
                    <w:t>80</w:t>
                  </w:r>
                </w:p>
              </w:tc>
              <w:tc>
                <w:tcPr>
                  <w:tcW w:w="608" w:type="pct"/>
                  <w:vAlign w:val="center"/>
                </w:tcPr>
                <w:p>
                  <w:pPr>
                    <w:adjustRightInd w:val="0"/>
                    <w:snapToGrid w:val="0"/>
                    <w:jc w:val="center"/>
                    <w:rPr>
                      <w:rFonts w:hint="default" w:eastAsia="宋体"/>
                      <w:color w:val="auto"/>
                      <w:highlight w:val="none"/>
                      <w:lang w:val="en-US" w:eastAsia="zh-CN"/>
                    </w:rPr>
                  </w:pPr>
                  <w:r>
                    <w:rPr>
                      <w:rFonts w:hint="eastAsia"/>
                      <w:color w:val="auto"/>
                      <w:highlight w:val="none"/>
                      <w:lang w:val="en-US" w:eastAsia="zh-CN"/>
                    </w:rPr>
                    <w:t>80</w:t>
                  </w:r>
                </w:p>
              </w:tc>
              <w:tc>
                <w:tcPr>
                  <w:tcW w:w="608" w:type="pct"/>
                  <w:vMerge w:val="continue"/>
                  <w:vAlign w:val="center"/>
                </w:tcPr>
                <w:p>
                  <w:pPr>
                    <w:adjustRightInd w:val="0"/>
                    <w:snapToGrid w:val="0"/>
                    <w:jc w:val="center"/>
                    <w:rPr>
                      <w:color w:val="auto"/>
                      <w:highlight w:val="none"/>
                    </w:rPr>
                  </w:pPr>
                </w:p>
              </w:tc>
              <w:tc>
                <w:tcPr>
                  <w:tcW w:w="609" w:type="pct"/>
                  <w:vAlign w:val="center"/>
                </w:tcPr>
                <w:p>
                  <w:pPr>
                    <w:adjustRightInd w:val="0"/>
                    <w:snapToGrid w:val="0"/>
                    <w:jc w:val="center"/>
                    <w:rPr>
                      <w:rFonts w:hint="default" w:eastAsia="宋体"/>
                      <w:color w:val="auto"/>
                      <w:highlight w:val="none"/>
                      <w:lang w:val="en-US" w:eastAsia="zh-CN"/>
                    </w:rPr>
                  </w:pPr>
                  <w:r>
                    <w:rPr>
                      <w:rFonts w:hint="eastAsia"/>
                      <w:color w:val="auto"/>
                      <w:highlight w:val="none"/>
                      <w:lang w:val="en-US" w:eastAsia="zh-CN"/>
                    </w:rPr>
                    <w:t>55</w:t>
                  </w:r>
                </w:p>
              </w:tc>
              <w:tc>
                <w:tcPr>
                  <w:tcW w:w="756" w:type="pct"/>
                  <w:vMerge w:val="continue"/>
                  <w:vAlign w:val="center"/>
                </w:tcPr>
                <w:p>
                  <w:pPr>
                    <w:spacing w:before="120" w:beforeLines="5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0" w:type="pct"/>
                  <w:vAlign w:val="center"/>
                </w:tcPr>
                <w:p>
                  <w:pPr>
                    <w:adjustRightInd w:val="0"/>
                    <w:snapToGrid w:val="0"/>
                    <w:jc w:val="center"/>
                    <w:rPr>
                      <w:rFonts w:hint="eastAsia" w:eastAsia="宋体"/>
                      <w:color w:val="auto"/>
                      <w:highlight w:val="none"/>
                      <w:lang w:val="en-US" w:eastAsia="zh-CN"/>
                    </w:rPr>
                  </w:pPr>
                  <w:r>
                    <w:rPr>
                      <w:rFonts w:hint="eastAsia"/>
                      <w:color w:val="auto"/>
                      <w:highlight w:val="none"/>
                      <w:lang w:val="en-US" w:eastAsia="zh-CN"/>
                    </w:rPr>
                    <w:t>8</w:t>
                  </w:r>
                </w:p>
              </w:tc>
              <w:tc>
                <w:tcPr>
                  <w:tcW w:w="938" w:type="pct"/>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电加热器</w:t>
                  </w:r>
                </w:p>
              </w:tc>
              <w:tc>
                <w:tcPr>
                  <w:tcW w:w="420" w:type="pct"/>
                  <w:vAlign w:val="center"/>
                </w:tcPr>
                <w:p>
                  <w:pPr>
                    <w:jc w:val="center"/>
                    <w:rPr>
                      <w:rFonts w:hint="default" w:eastAsia="宋体"/>
                      <w:color w:val="auto"/>
                      <w:highlight w:val="none"/>
                      <w:lang w:val="en-US" w:eastAsia="zh-CN"/>
                    </w:rPr>
                  </w:pPr>
                  <w:r>
                    <w:rPr>
                      <w:rFonts w:hint="eastAsia"/>
                      <w:color w:val="auto"/>
                      <w:highlight w:val="none"/>
                      <w:lang w:val="en-US" w:eastAsia="zh-CN"/>
                    </w:rPr>
                    <w:t>1台</w:t>
                  </w:r>
                </w:p>
              </w:tc>
              <w:tc>
                <w:tcPr>
                  <w:tcW w:w="696" w:type="pct"/>
                  <w:vAlign w:val="center"/>
                </w:tcPr>
                <w:p>
                  <w:pPr>
                    <w:adjustRightInd w:val="0"/>
                    <w:snapToGrid w:val="0"/>
                    <w:jc w:val="center"/>
                    <w:rPr>
                      <w:rFonts w:hint="default" w:eastAsia="宋体"/>
                      <w:color w:val="auto"/>
                      <w:highlight w:val="none"/>
                      <w:lang w:val="en-US" w:eastAsia="zh-CN"/>
                    </w:rPr>
                  </w:pPr>
                  <w:r>
                    <w:rPr>
                      <w:rFonts w:hint="eastAsia"/>
                      <w:color w:val="auto"/>
                      <w:highlight w:val="none"/>
                      <w:lang w:val="en-US" w:eastAsia="zh-CN"/>
                    </w:rPr>
                    <w:t>70</w:t>
                  </w:r>
                </w:p>
              </w:tc>
              <w:tc>
                <w:tcPr>
                  <w:tcW w:w="608" w:type="pct"/>
                  <w:vAlign w:val="center"/>
                </w:tcPr>
                <w:p>
                  <w:pPr>
                    <w:adjustRightInd w:val="0"/>
                    <w:snapToGrid w:val="0"/>
                    <w:jc w:val="center"/>
                    <w:rPr>
                      <w:rFonts w:hint="default" w:ascii="Times New Roman" w:hAnsi="Times New Roman" w:eastAsia="宋体" w:cs="Times New Roman"/>
                      <w:color w:val="auto"/>
                      <w:kern w:val="2"/>
                      <w:sz w:val="21"/>
                      <w:szCs w:val="24"/>
                      <w:highlight w:val="none"/>
                      <w:lang w:val="en-US" w:eastAsia="zh-CN" w:bidi="ar-SA"/>
                    </w:rPr>
                  </w:pPr>
                  <w:r>
                    <w:rPr>
                      <w:rFonts w:hint="eastAsia"/>
                      <w:color w:val="auto"/>
                      <w:highlight w:val="none"/>
                      <w:lang w:val="en-US" w:eastAsia="zh-CN"/>
                    </w:rPr>
                    <w:t>70</w:t>
                  </w:r>
                </w:p>
              </w:tc>
              <w:tc>
                <w:tcPr>
                  <w:tcW w:w="608" w:type="pct"/>
                  <w:vMerge w:val="continue"/>
                  <w:vAlign w:val="center"/>
                </w:tcPr>
                <w:p>
                  <w:pPr>
                    <w:adjustRightInd w:val="0"/>
                    <w:snapToGrid w:val="0"/>
                    <w:jc w:val="center"/>
                    <w:rPr>
                      <w:color w:val="auto"/>
                      <w:highlight w:val="none"/>
                    </w:rPr>
                  </w:pPr>
                </w:p>
              </w:tc>
              <w:tc>
                <w:tcPr>
                  <w:tcW w:w="609" w:type="pct"/>
                  <w:vAlign w:val="center"/>
                </w:tcPr>
                <w:p>
                  <w:pPr>
                    <w:adjustRightInd w:val="0"/>
                    <w:snapToGrid w:val="0"/>
                    <w:jc w:val="center"/>
                    <w:rPr>
                      <w:rFonts w:hint="default" w:eastAsia="宋体"/>
                      <w:color w:val="auto"/>
                      <w:highlight w:val="none"/>
                      <w:lang w:val="en-US" w:eastAsia="zh-CN"/>
                    </w:rPr>
                  </w:pPr>
                  <w:r>
                    <w:rPr>
                      <w:rFonts w:hint="eastAsia"/>
                      <w:color w:val="auto"/>
                      <w:highlight w:val="none"/>
                      <w:lang w:val="en-US" w:eastAsia="zh-CN"/>
                    </w:rPr>
                    <w:t>45</w:t>
                  </w:r>
                </w:p>
              </w:tc>
              <w:tc>
                <w:tcPr>
                  <w:tcW w:w="756" w:type="pct"/>
                  <w:vMerge w:val="continue"/>
                  <w:vAlign w:val="center"/>
                </w:tcPr>
                <w:p>
                  <w:pPr>
                    <w:spacing w:before="120" w:beforeLines="5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0" w:type="pct"/>
                  <w:vAlign w:val="center"/>
                </w:tcPr>
                <w:p>
                  <w:pPr>
                    <w:adjustRightInd w:val="0"/>
                    <w:snapToGrid w:val="0"/>
                    <w:jc w:val="center"/>
                    <w:rPr>
                      <w:rFonts w:hint="eastAsia" w:eastAsia="宋体"/>
                      <w:color w:val="auto"/>
                      <w:highlight w:val="none"/>
                      <w:lang w:val="en-US" w:eastAsia="zh-CN"/>
                    </w:rPr>
                  </w:pPr>
                  <w:r>
                    <w:rPr>
                      <w:rFonts w:hint="eastAsia"/>
                      <w:color w:val="auto"/>
                      <w:highlight w:val="none"/>
                      <w:lang w:val="en-US" w:eastAsia="zh-CN"/>
                    </w:rPr>
                    <w:t>9</w:t>
                  </w:r>
                </w:p>
              </w:tc>
              <w:tc>
                <w:tcPr>
                  <w:tcW w:w="938" w:type="pct"/>
                  <w:vAlign w:val="center"/>
                </w:tcPr>
                <w:p>
                  <w:pPr>
                    <w:jc w:val="center"/>
                    <w:rPr>
                      <w:rFonts w:hint="eastAsia"/>
                      <w:color w:val="auto"/>
                      <w:szCs w:val="21"/>
                      <w:highlight w:val="none"/>
                      <w:lang w:val="en-US" w:eastAsia="zh-CN"/>
                    </w:rPr>
                  </w:pPr>
                  <w:r>
                    <w:rPr>
                      <w:rFonts w:hint="eastAsia"/>
                      <w:color w:val="auto"/>
                      <w:szCs w:val="21"/>
                      <w:highlight w:val="none"/>
                      <w:lang w:val="en-US" w:eastAsia="zh-CN"/>
                    </w:rPr>
                    <w:t>空压机</w:t>
                  </w:r>
                </w:p>
              </w:tc>
              <w:tc>
                <w:tcPr>
                  <w:tcW w:w="420" w:type="pct"/>
                  <w:vAlign w:val="center"/>
                </w:tcPr>
                <w:p>
                  <w:pPr>
                    <w:jc w:val="center"/>
                    <w:rPr>
                      <w:rFonts w:hint="default" w:eastAsia="宋体"/>
                      <w:color w:val="auto"/>
                      <w:highlight w:val="none"/>
                      <w:lang w:val="en-US" w:eastAsia="zh-CN"/>
                    </w:rPr>
                  </w:pPr>
                  <w:r>
                    <w:rPr>
                      <w:rFonts w:hint="eastAsia"/>
                      <w:color w:val="auto"/>
                      <w:highlight w:val="none"/>
                      <w:lang w:val="en-US" w:eastAsia="zh-CN"/>
                    </w:rPr>
                    <w:t>1台</w:t>
                  </w:r>
                </w:p>
              </w:tc>
              <w:tc>
                <w:tcPr>
                  <w:tcW w:w="696" w:type="pct"/>
                  <w:vAlign w:val="center"/>
                </w:tcPr>
                <w:p>
                  <w:pPr>
                    <w:adjustRightInd w:val="0"/>
                    <w:snapToGrid w:val="0"/>
                    <w:jc w:val="center"/>
                    <w:rPr>
                      <w:rFonts w:hint="default" w:eastAsia="宋体"/>
                      <w:color w:val="auto"/>
                      <w:highlight w:val="none"/>
                      <w:lang w:val="en-US" w:eastAsia="zh-CN"/>
                    </w:rPr>
                  </w:pPr>
                  <w:r>
                    <w:rPr>
                      <w:rFonts w:hint="eastAsia"/>
                      <w:color w:val="auto"/>
                      <w:highlight w:val="none"/>
                      <w:lang w:val="en-US" w:eastAsia="zh-CN"/>
                    </w:rPr>
                    <w:t>85</w:t>
                  </w:r>
                </w:p>
              </w:tc>
              <w:tc>
                <w:tcPr>
                  <w:tcW w:w="608" w:type="pct"/>
                  <w:vAlign w:val="center"/>
                </w:tcPr>
                <w:p>
                  <w:pPr>
                    <w:adjustRightInd w:val="0"/>
                    <w:snapToGrid w:val="0"/>
                    <w:jc w:val="center"/>
                    <w:rPr>
                      <w:rFonts w:hint="default" w:ascii="Times New Roman" w:hAnsi="Times New Roman" w:eastAsia="宋体" w:cs="Times New Roman"/>
                      <w:color w:val="auto"/>
                      <w:kern w:val="2"/>
                      <w:sz w:val="21"/>
                      <w:szCs w:val="24"/>
                      <w:highlight w:val="none"/>
                      <w:lang w:val="en-US" w:eastAsia="zh-CN" w:bidi="ar-SA"/>
                    </w:rPr>
                  </w:pPr>
                  <w:r>
                    <w:rPr>
                      <w:rFonts w:hint="eastAsia"/>
                      <w:color w:val="auto"/>
                      <w:highlight w:val="none"/>
                      <w:lang w:val="en-US" w:eastAsia="zh-CN"/>
                    </w:rPr>
                    <w:t>85</w:t>
                  </w:r>
                </w:p>
              </w:tc>
              <w:tc>
                <w:tcPr>
                  <w:tcW w:w="608" w:type="pct"/>
                  <w:vMerge w:val="continue"/>
                  <w:vAlign w:val="center"/>
                </w:tcPr>
                <w:p>
                  <w:pPr>
                    <w:adjustRightInd w:val="0"/>
                    <w:snapToGrid w:val="0"/>
                    <w:jc w:val="center"/>
                    <w:rPr>
                      <w:color w:val="auto"/>
                      <w:highlight w:val="none"/>
                    </w:rPr>
                  </w:pPr>
                </w:p>
              </w:tc>
              <w:tc>
                <w:tcPr>
                  <w:tcW w:w="609" w:type="pct"/>
                  <w:vAlign w:val="center"/>
                </w:tcPr>
                <w:p>
                  <w:pPr>
                    <w:adjustRightInd w:val="0"/>
                    <w:snapToGrid w:val="0"/>
                    <w:jc w:val="center"/>
                    <w:rPr>
                      <w:rFonts w:hint="default" w:eastAsia="宋体"/>
                      <w:color w:val="auto"/>
                      <w:highlight w:val="none"/>
                      <w:lang w:val="en-US" w:eastAsia="zh-CN"/>
                    </w:rPr>
                  </w:pPr>
                  <w:r>
                    <w:rPr>
                      <w:rFonts w:hint="eastAsia"/>
                      <w:color w:val="auto"/>
                      <w:highlight w:val="none"/>
                      <w:lang w:val="en-US" w:eastAsia="zh-CN"/>
                    </w:rPr>
                    <w:t>60</w:t>
                  </w:r>
                </w:p>
              </w:tc>
              <w:tc>
                <w:tcPr>
                  <w:tcW w:w="756" w:type="pct"/>
                  <w:vMerge w:val="continue"/>
                  <w:vAlign w:val="center"/>
                </w:tcPr>
                <w:p>
                  <w:pPr>
                    <w:spacing w:before="120" w:beforeLines="50"/>
                    <w:jc w:val="center"/>
                    <w:rPr>
                      <w:color w:val="auto"/>
                      <w:highlight w:val="none"/>
                    </w:rPr>
                  </w:pPr>
                </w:p>
              </w:tc>
            </w:tr>
          </w:tbl>
          <w:p>
            <w:pPr>
              <w:autoSpaceDE w:val="0"/>
              <w:autoSpaceDN w:val="0"/>
              <w:adjustRightInd w:val="0"/>
              <w:spacing w:before="120" w:beforeLines="50" w:line="360" w:lineRule="auto"/>
              <w:ind w:firstLine="422" w:firstLineChars="200"/>
              <w:jc w:val="left"/>
              <w:textAlignment w:val="baseline"/>
              <w:rPr>
                <w:b/>
                <w:color w:val="auto"/>
                <w:highlight w:val="none"/>
              </w:rPr>
            </w:pPr>
            <w:r>
              <w:rPr>
                <w:b/>
                <w:color w:val="auto"/>
                <w:highlight w:val="none"/>
              </w:rPr>
              <w:t>2</w:t>
            </w:r>
            <w:r>
              <w:rPr>
                <w:rFonts w:hint="eastAsia"/>
                <w:b/>
                <w:color w:val="auto"/>
                <w:highlight w:val="none"/>
              </w:rPr>
              <w:t>、</w:t>
            </w:r>
            <w:r>
              <w:rPr>
                <w:b/>
                <w:color w:val="auto"/>
                <w:highlight w:val="none"/>
              </w:rPr>
              <w:t>噪声防治措施</w:t>
            </w:r>
          </w:p>
          <w:p>
            <w:pPr>
              <w:adjustRightInd w:val="0"/>
              <w:snapToGrid w:val="0"/>
              <w:spacing w:line="360" w:lineRule="auto"/>
              <w:ind w:firstLine="420" w:firstLineChars="200"/>
              <w:rPr>
                <w:color w:val="auto"/>
                <w:highlight w:val="none"/>
              </w:rPr>
            </w:pPr>
            <w:r>
              <w:rPr>
                <w:color w:val="auto"/>
                <w:highlight w:val="none"/>
              </w:rPr>
              <w:t xml:space="preserve">为减少机械噪声对周围环境的影响，确保项目噪声达标排放，建议建设单位对噪声源采取以下措施： </w:t>
            </w:r>
          </w:p>
          <w:p>
            <w:pPr>
              <w:adjustRightInd w:val="0"/>
              <w:snapToGrid w:val="0"/>
              <w:spacing w:line="360" w:lineRule="auto"/>
              <w:ind w:firstLine="420" w:firstLineChars="200"/>
              <w:rPr>
                <w:color w:val="auto"/>
                <w:highlight w:val="none"/>
              </w:rPr>
            </w:pPr>
            <w:r>
              <w:rPr>
                <w:color w:val="auto"/>
                <w:highlight w:val="none"/>
              </w:rPr>
              <w:t xml:space="preserve">（1）维持设备处于良好的运转状态，减少因零部件磨损产生的噪声； </w:t>
            </w:r>
          </w:p>
          <w:p>
            <w:pPr>
              <w:adjustRightInd w:val="0"/>
              <w:snapToGrid w:val="0"/>
              <w:spacing w:line="360" w:lineRule="auto"/>
              <w:ind w:firstLine="420" w:firstLineChars="200"/>
              <w:rPr>
                <w:color w:val="auto"/>
                <w:highlight w:val="none"/>
              </w:rPr>
            </w:pPr>
            <w:r>
              <w:rPr>
                <w:color w:val="auto"/>
                <w:highlight w:val="none"/>
              </w:rPr>
              <w:t xml:space="preserve">（2）合理布设生产车间，使强噪声设备远离车间边界，这样可通过车间阻挡噪声传播，尽量把车间的噪声影响限制在厂区范围内，降低噪声对外界的影响； </w:t>
            </w:r>
          </w:p>
          <w:p>
            <w:pPr>
              <w:adjustRightInd w:val="0"/>
              <w:snapToGrid w:val="0"/>
              <w:spacing w:line="360" w:lineRule="auto"/>
              <w:ind w:firstLine="420" w:firstLineChars="200"/>
              <w:rPr>
                <w:color w:val="auto"/>
                <w:highlight w:val="none"/>
              </w:rPr>
            </w:pPr>
            <w:r>
              <w:rPr>
                <w:color w:val="auto"/>
                <w:highlight w:val="none"/>
              </w:rPr>
              <w:t xml:space="preserve">（3）强噪声设备底座设置防振装置，并设置适当的隔声屏障； </w:t>
            </w:r>
          </w:p>
          <w:p>
            <w:pPr>
              <w:adjustRightInd w:val="0"/>
              <w:snapToGrid w:val="0"/>
              <w:spacing w:line="360" w:lineRule="auto"/>
              <w:ind w:firstLine="420" w:firstLineChars="200"/>
              <w:rPr>
                <w:b/>
                <w:color w:val="auto"/>
                <w:spacing w:val="-2"/>
                <w:highlight w:val="none"/>
              </w:rPr>
            </w:pPr>
            <w:r>
              <w:rPr>
                <w:color w:val="auto"/>
                <w:highlight w:val="none"/>
              </w:rPr>
              <w:t>（4）加强作业管理，减少非正常噪声。生产时门窗紧闭，通过强制机械排风来加强车间通风换气，以减少噪声外传</w:t>
            </w:r>
          </w:p>
          <w:p>
            <w:pPr>
              <w:adjustRightInd w:val="0"/>
              <w:snapToGrid w:val="0"/>
              <w:spacing w:line="360" w:lineRule="auto"/>
              <w:ind w:firstLine="414" w:firstLineChars="200"/>
              <w:rPr>
                <w:b/>
                <w:color w:val="auto"/>
                <w:spacing w:val="-2"/>
                <w:highlight w:val="none"/>
              </w:rPr>
            </w:pPr>
            <w:r>
              <w:rPr>
                <w:b/>
                <w:color w:val="auto"/>
                <w:spacing w:val="-2"/>
                <w:highlight w:val="none"/>
              </w:rPr>
              <w:t>3</w:t>
            </w:r>
            <w:r>
              <w:rPr>
                <w:rFonts w:hint="eastAsia"/>
                <w:b/>
                <w:color w:val="auto"/>
                <w:spacing w:val="-2"/>
                <w:highlight w:val="none"/>
              </w:rPr>
              <w:t>、</w:t>
            </w:r>
            <w:r>
              <w:rPr>
                <w:b/>
                <w:color w:val="auto"/>
                <w:spacing w:val="-2"/>
                <w:highlight w:val="none"/>
              </w:rPr>
              <w:t>达标性分析</w:t>
            </w:r>
          </w:p>
          <w:p>
            <w:pPr>
              <w:widowControl/>
              <w:adjustRightInd w:val="0"/>
              <w:snapToGrid w:val="0"/>
              <w:spacing w:line="360" w:lineRule="auto"/>
              <w:ind w:firstLine="420" w:firstLineChars="200"/>
              <w:rPr>
                <w:color w:val="auto"/>
                <w:highlight w:val="none"/>
              </w:rPr>
            </w:pPr>
            <w:r>
              <w:rPr>
                <w:color w:val="auto"/>
                <w:highlight w:val="none"/>
              </w:rPr>
              <w:t>固定声源的噪声向周围传播过程中，会发生反射、折射、衍射、吸收等现象。因此，随传播距离的增加而产生的衰减量并不按简单的几何规律计算。根据《环境影响评价技术导则-声环境》（HJ2.4-2021）对室内声源的预测方法，声源位于室内，室内声源可采用等效室外声源声功率级法进行计算。</w:t>
            </w:r>
          </w:p>
          <w:p>
            <w:pPr>
              <w:widowControl/>
              <w:adjustRightInd w:val="0"/>
              <w:snapToGrid w:val="0"/>
              <w:spacing w:line="360" w:lineRule="auto"/>
              <w:ind w:firstLine="525" w:firstLineChars="250"/>
              <w:rPr>
                <w:color w:val="auto"/>
                <w:highlight w:val="none"/>
              </w:rPr>
            </w:pPr>
            <w:r>
              <w:rPr>
                <w:color w:val="auto"/>
                <w:highlight w:val="none"/>
              </w:rPr>
              <w:t>（1）预测模型</w:t>
            </w:r>
          </w:p>
          <w:p>
            <w:pPr>
              <w:widowControl/>
              <w:adjustRightInd w:val="0"/>
              <w:snapToGrid w:val="0"/>
              <w:spacing w:line="360" w:lineRule="auto"/>
              <w:ind w:firstLine="525" w:firstLineChars="250"/>
              <w:rPr>
                <w:color w:val="auto"/>
                <w:highlight w:val="none"/>
              </w:rPr>
            </w:pPr>
            <w:r>
              <w:rPr>
                <w:color w:val="auto"/>
                <w:highlight w:val="none"/>
              </w:rPr>
              <w:t>①计算某一室内声源靠近围护结构处产生的倍频带声压级：</w:t>
            </w:r>
          </w:p>
          <w:p>
            <w:pPr>
              <w:widowControl/>
              <w:spacing w:line="360" w:lineRule="auto"/>
              <w:jc w:val="center"/>
              <w:rPr>
                <w:bCs/>
                <w:color w:val="auto"/>
                <w:highlight w:val="none"/>
              </w:rPr>
            </w:pPr>
            <w:r>
              <w:rPr>
                <w:bCs/>
                <w:color w:val="auto"/>
                <w:highlight w:val="none"/>
              </w:rPr>
              <w:object>
                <v:shape id="_x0000_i1027" o:spt="75" type="#_x0000_t75" style="height:27.65pt;width:120.4pt;" o:ole="t" filled="f" coordsize="21600,21600">
                  <v:path/>
                  <v:fill on="f" focussize="0,0"/>
                  <v:stroke/>
                  <v:imagedata r:id="rId18" o:title=""/>
                  <o:lock v:ext="edit" aspectratio="t"/>
                  <w10:wrap type="none"/>
                  <w10:anchorlock/>
                </v:shape>
                <o:OLEObject Type="Embed" ProgID="Equation.3" ShapeID="_x0000_i1027" DrawAspect="Content" ObjectID="_1468075727" r:id="rId17">
                  <o:LockedField>false</o:LockedField>
                </o:OLEObject>
              </w:object>
            </w:r>
          </w:p>
          <w:p>
            <w:pPr>
              <w:widowControl/>
              <w:spacing w:line="360" w:lineRule="auto"/>
              <w:ind w:firstLine="525" w:firstLineChars="250"/>
              <w:rPr>
                <w:color w:val="auto"/>
                <w:highlight w:val="none"/>
              </w:rPr>
            </w:pPr>
            <w:r>
              <w:rPr>
                <w:color w:val="auto"/>
                <w:highlight w:val="none"/>
              </w:rPr>
              <w:t>式中：</w:t>
            </w:r>
          </w:p>
          <w:p>
            <w:pPr>
              <w:widowControl/>
              <w:spacing w:line="360" w:lineRule="auto"/>
              <w:ind w:firstLine="525" w:firstLineChars="250"/>
              <w:rPr>
                <w:color w:val="auto"/>
                <w:highlight w:val="none"/>
              </w:rPr>
            </w:pPr>
            <w:r>
              <w:rPr>
                <w:color w:val="auto"/>
                <w:highlight w:val="none"/>
              </w:rPr>
              <w:t>Q——指向性因数：通常对无指向性声源，当声源放在房间中心时，Q=1；当放在一面墙的中心时，Q=2；当放在两面墙夹角时，Q=4；当放在三面墙夹角处时，Q=8。</w:t>
            </w:r>
          </w:p>
          <w:p>
            <w:pPr>
              <w:widowControl/>
              <w:spacing w:line="360" w:lineRule="auto"/>
              <w:ind w:firstLine="525" w:firstLineChars="250"/>
              <w:rPr>
                <w:color w:val="auto"/>
                <w:highlight w:val="none"/>
              </w:rPr>
            </w:pPr>
            <w:r>
              <w:rPr>
                <w:color w:val="auto"/>
                <w:highlight w:val="none"/>
              </w:rPr>
              <w:t>R——房间常数：R=Sa/(1-a)，S为房间内表面面积，m</w:t>
            </w:r>
            <w:r>
              <w:rPr>
                <w:color w:val="auto"/>
                <w:highlight w:val="none"/>
                <w:vertAlign w:val="superscript"/>
              </w:rPr>
              <w:t>2</w:t>
            </w:r>
            <w:r>
              <w:rPr>
                <w:color w:val="auto"/>
                <w:highlight w:val="none"/>
              </w:rPr>
              <w:t>；a为平均吸声系数。</w:t>
            </w:r>
          </w:p>
          <w:p>
            <w:pPr>
              <w:widowControl/>
              <w:spacing w:line="360" w:lineRule="auto"/>
              <w:ind w:firstLine="525" w:firstLineChars="250"/>
              <w:rPr>
                <w:color w:val="auto"/>
                <w:highlight w:val="none"/>
              </w:rPr>
            </w:pPr>
            <w:r>
              <w:rPr>
                <w:color w:val="auto"/>
                <w:highlight w:val="none"/>
              </w:rPr>
              <w:t>r——声源到靠近围护结构某点处的距离，m。</w:t>
            </w:r>
          </w:p>
          <w:p>
            <w:pPr>
              <w:widowControl/>
              <w:spacing w:line="360" w:lineRule="auto"/>
              <w:ind w:firstLine="525" w:firstLineChars="250"/>
              <w:rPr>
                <w:color w:val="auto"/>
                <w:highlight w:val="none"/>
              </w:rPr>
            </w:pPr>
            <w:r>
              <w:rPr>
                <w:color w:val="auto"/>
                <w:highlight w:val="none"/>
              </w:rPr>
              <w:t>②计算出所有室内声源在围护结构处产生的i倍频带叠加声压级：</w:t>
            </w:r>
          </w:p>
          <w:p>
            <w:pPr>
              <w:widowControl/>
              <w:spacing w:line="360" w:lineRule="auto"/>
              <w:jc w:val="center"/>
              <w:rPr>
                <w:bCs/>
                <w:color w:val="auto"/>
                <w:highlight w:val="none"/>
              </w:rPr>
            </w:pPr>
            <w:r>
              <w:rPr>
                <w:bCs/>
                <w:color w:val="auto"/>
                <w:highlight w:val="none"/>
              </w:rPr>
              <w:drawing>
                <wp:inline distT="0" distB="0" distL="0" distR="0">
                  <wp:extent cx="1649095" cy="471170"/>
                  <wp:effectExtent l="0" t="0" r="12065" b="127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noChangeArrowheads="1"/>
                          </pic:cNvPicPr>
                        </pic:nvPicPr>
                        <pic:blipFill>
                          <a:blip r:embed="rId19"/>
                          <a:srcRect/>
                          <a:stretch>
                            <a:fillRect/>
                          </a:stretch>
                        </pic:blipFill>
                        <pic:spPr>
                          <a:xfrm>
                            <a:off x="0" y="0"/>
                            <a:ext cx="1649095" cy="471170"/>
                          </a:xfrm>
                          <a:prstGeom prst="rect">
                            <a:avLst/>
                          </a:prstGeom>
                          <a:noFill/>
                          <a:ln>
                            <a:noFill/>
                          </a:ln>
                        </pic:spPr>
                      </pic:pic>
                    </a:graphicData>
                  </a:graphic>
                </wp:inline>
              </w:drawing>
            </w:r>
          </w:p>
          <w:p>
            <w:pPr>
              <w:widowControl/>
              <w:spacing w:line="360" w:lineRule="auto"/>
              <w:ind w:firstLine="525" w:firstLineChars="250"/>
              <w:rPr>
                <w:color w:val="auto"/>
                <w:highlight w:val="none"/>
              </w:rPr>
            </w:pPr>
            <w:r>
              <w:rPr>
                <w:color w:val="auto"/>
                <w:highlight w:val="none"/>
              </w:rPr>
              <w:t>式中：</w:t>
            </w:r>
          </w:p>
          <w:p>
            <w:pPr>
              <w:widowControl/>
              <w:spacing w:line="360" w:lineRule="auto"/>
              <w:ind w:firstLine="525" w:firstLineChars="250"/>
              <w:rPr>
                <w:color w:val="auto"/>
                <w:highlight w:val="none"/>
              </w:rPr>
            </w:pPr>
            <w:r>
              <w:rPr>
                <w:color w:val="auto"/>
                <w:highlight w:val="none"/>
              </w:rPr>
              <w:t>L</w:t>
            </w:r>
            <w:r>
              <w:rPr>
                <w:color w:val="auto"/>
                <w:highlight w:val="none"/>
                <w:vertAlign w:val="subscript"/>
              </w:rPr>
              <w:t>P1i</w:t>
            </w:r>
            <w:r>
              <w:rPr>
                <w:color w:val="auto"/>
                <w:highlight w:val="none"/>
              </w:rPr>
              <w:t>(T)——靠近围护结构处室内N个声源i倍频带的叠加声压级，dB；</w:t>
            </w:r>
          </w:p>
          <w:p>
            <w:pPr>
              <w:widowControl/>
              <w:spacing w:line="360" w:lineRule="auto"/>
              <w:ind w:firstLine="525" w:firstLineChars="250"/>
              <w:rPr>
                <w:color w:val="auto"/>
                <w:highlight w:val="none"/>
              </w:rPr>
            </w:pPr>
            <w:r>
              <w:rPr>
                <w:color w:val="auto"/>
                <w:highlight w:val="none"/>
              </w:rPr>
              <w:t>L</w:t>
            </w:r>
            <w:r>
              <w:rPr>
                <w:color w:val="auto"/>
                <w:highlight w:val="none"/>
                <w:vertAlign w:val="subscript"/>
              </w:rPr>
              <w:t>P1ij</w:t>
            </w:r>
            <w:r>
              <w:rPr>
                <w:color w:val="auto"/>
                <w:highlight w:val="none"/>
              </w:rPr>
              <w:t>——室内j声源i倍频带的声压级，dB；</w:t>
            </w:r>
          </w:p>
          <w:p>
            <w:pPr>
              <w:widowControl/>
              <w:spacing w:line="360" w:lineRule="auto"/>
              <w:ind w:firstLine="525" w:firstLineChars="250"/>
              <w:rPr>
                <w:color w:val="auto"/>
                <w:highlight w:val="none"/>
              </w:rPr>
            </w:pPr>
            <w:r>
              <w:rPr>
                <w:color w:val="auto"/>
                <w:highlight w:val="none"/>
              </w:rPr>
              <w:t>③在室内近似为扩散声场地，按下式计算出靠近室外围护结构处的声压级：</w:t>
            </w:r>
          </w:p>
          <w:p>
            <w:pPr>
              <w:widowControl/>
              <w:spacing w:line="360" w:lineRule="auto"/>
              <w:jc w:val="center"/>
              <w:rPr>
                <w:bCs/>
                <w:color w:val="auto"/>
                <w:highlight w:val="none"/>
              </w:rPr>
            </w:pPr>
            <w:r>
              <w:rPr>
                <w:bCs/>
                <w:color w:val="auto"/>
                <w:position w:val="-16"/>
                <w:highlight w:val="none"/>
              </w:rPr>
              <w:drawing>
                <wp:inline distT="0" distB="0" distL="0" distR="0">
                  <wp:extent cx="1761490" cy="263525"/>
                  <wp:effectExtent l="0" t="0" r="6350" b="1143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noChangeArrowheads="1"/>
                          </pic:cNvPicPr>
                        </pic:nvPicPr>
                        <pic:blipFill>
                          <a:blip r:embed="rId20"/>
                          <a:srcRect/>
                          <a:stretch>
                            <a:fillRect/>
                          </a:stretch>
                        </pic:blipFill>
                        <pic:spPr>
                          <a:xfrm>
                            <a:off x="0" y="0"/>
                            <a:ext cx="1761490" cy="263525"/>
                          </a:xfrm>
                          <a:prstGeom prst="rect">
                            <a:avLst/>
                          </a:prstGeom>
                          <a:noFill/>
                          <a:ln>
                            <a:noFill/>
                          </a:ln>
                        </pic:spPr>
                      </pic:pic>
                    </a:graphicData>
                  </a:graphic>
                </wp:inline>
              </w:drawing>
            </w:r>
          </w:p>
          <w:p>
            <w:pPr>
              <w:widowControl/>
              <w:spacing w:line="360" w:lineRule="auto"/>
              <w:ind w:firstLine="525" w:firstLineChars="250"/>
              <w:rPr>
                <w:color w:val="auto"/>
                <w:highlight w:val="none"/>
              </w:rPr>
            </w:pPr>
            <w:r>
              <w:rPr>
                <w:color w:val="auto"/>
                <w:highlight w:val="none"/>
              </w:rPr>
              <w:t>式中：</w:t>
            </w:r>
          </w:p>
          <w:p>
            <w:pPr>
              <w:widowControl/>
              <w:spacing w:line="360" w:lineRule="auto"/>
              <w:ind w:firstLine="525" w:firstLineChars="250"/>
              <w:rPr>
                <w:color w:val="auto"/>
                <w:highlight w:val="none"/>
              </w:rPr>
            </w:pPr>
            <w:r>
              <w:rPr>
                <w:color w:val="auto"/>
                <w:highlight w:val="none"/>
              </w:rPr>
              <w:t>L</w:t>
            </w:r>
            <w:r>
              <w:rPr>
                <w:color w:val="auto"/>
                <w:highlight w:val="none"/>
                <w:vertAlign w:val="subscript"/>
              </w:rPr>
              <w:t>P2i</w:t>
            </w:r>
            <w:r>
              <w:rPr>
                <w:color w:val="auto"/>
                <w:highlight w:val="none"/>
              </w:rPr>
              <w:t>(T)——靠近围护结构处室外N个声源i倍频带的叠加声压级，dB；</w:t>
            </w:r>
          </w:p>
          <w:p>
            <w:pPr>
              <w:widowControl/>
              <w:spacing w:line="360" w:lineRule="auto"/>
              <w:ind w:firstLine="525" w:firstLineChars="250"/>
              <w:rPr>
                <w:color w:val="auto"/>
                <w:highlight w:val="none"/>
              </w:rPr>
            </w:pPr>
            <w:r>
              <w:rPr>
                <w:color w:val="auto"/>
                <w:highlight w:val="none"/>
              </w:rPr>
              <w:t>TL</w:t>
            </w:r>
            <w:r>
              <w:rPr>
                <w:color w:val="auto"/>
                <w:highlight w:val="none"/>
                <w:vertAlign w:val="subscript"/>
              </w:rPr>
              <w:t>i</w:t>
            </w:r>
            <w:r>
              <w:rPr>
                <w:color w:val="auto"/>
                <w:highlight w:val="none"/>
              </w:rPr>
              <w:t>——围护结构i倍频带的隔声量，dB；</w:t>
            </w:r>
          </w:p>
          <w:p>
            <w:pPr>
              <w:widowControl/>
              <w:spacing w:line="360" w:lineRule="auto"/>
              <w:ind w:firstLine="525" w:firstLineChars="250"/>
              <w:rPr>
                <w:color w:val="auto"/>
                <w:highlight w:val="none"/>
              </w:rPr>
            </w:pPr>
            <w:r>
              <w:rPr>
                <w:color w:val="auto"/>
                <w:highlight w:val="none"/>
              </w:rPr>
              <w:t>④将室外声源的声压级和透过面积换算成等效的室外声源，计算出中心位置位于透声面积（S）处的等效声源的倍频带声功率级。</w:t>
            </w:r>
          </w:p>
          <w:p>
            <w:pPr>
              <w:widowControl/>
              <w:spacing w:line="360" w:lineRule="auto"/>
              <w:jc w:val="center"/>
              <w:rPr>
                <w:bCs/>
                <w:color w:val="auto"/>
                <w:highlight w:val="none"/>
              </w:rPr>
            </w:pPr>
            <w:r>
              <w:rPr>
                <w:bCs/>
                <w:color w:val="auto"/>
                <w:position w:val="-12"/>
                <w:highlight w:val="none"/>
              </w:rPr>
              <w:drawing>
                <wp:inline distT="0" distB="0" distL="0" distR="0">
                  <wp:extent cx="1306830" cy="229870"/>
                  <wp:effectExtent l="0" t="0" r="0" b="1397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noChangeArrowheads="1"/>
                          </pic:cNvPicPr>
                        </pic:nvPicPr>
                        <pic:blipFill>
                          <a:blip r:embed="rId21"/>
                          <a:srcRect/>
                          <a:stretch>
                            <a:fillRect/>
                          </a:stretch>
                        </pic:blipFill>
                        <pic:spPr>
                          <a:xfrm>
                            <a:off x="0" y="0"/>
                            <a:ext cx="1306830" cy="229870"/>
                          </a:xfrm>
                          <a:prstGeom prst="rect">
                            <a:avLst/>
                          </a:prstGeom>
                          <a:noFill/>
                          <a:ln>
                            <a:noFill/>
                          </a:ln>
                        </pic:spPr>
                      </pic:pic>
                    </a:graphicData>
                  </a:graphic>
                </wp:inline>
              </w:drawing>
            </w:r>
          </w:p>
          <w:p>
            <w:pPr>
              <w:widowControl/>
              <w:spacing w:line="360" w:lineRule="auto"/>
              <w:ind w:firstLine="525" w:firstLineChars="250"/>
              <w:rPr>
                <w:color w:val="auto"/>
                <w:highlight w:val="none"/>
              </w:rPr>
            </w:pPr>
            <w:r>
              <w:rPr>
                <w:color w:val="auto"/>
                <w:highlight w:val="none"/>
              </w:rPr>
              <w:t>⑤按室外声源预测方法计算预测点处的A声级。</w:t>
            </w:r>
          </w:p>
          <w:p>
            <w:pPr>
              <w:widowControl/>
              <w:spacing w:line="360" w:lineRule="auto"/>
              <w:ind w:firstLine="525" w:firstLineChars="250"/>
              <w:rPr>
                <w:color w:val="auto"/>
                <w:highlight w:val="none"/>
              </w:rPr>
            </w:pPr>
            <w:r>
              <w:rPr>
                <w:color w:val="auto"/>
                <w:highlight w:val="none"/>
              </w:rPr>
              <w:t>设第i个室外声源在预测点产生的A声级为L</w:t>
            </w:r>
            <w:r>
              <w:rPr>
                <w:color w:val="auto"/>
                <w:highlight w:val="none"/>
                <w:vertAlign w:val="subscript"/>
              </w:rPr>
              <w:t>Ai</w:t>
            </w:r>
            <w:r>
              <w:rPr>
                <w:color w:val="auto"/>
                <w:highlight w:val="none"/>
              </w:rPr>
              <w:t>，在T时间内该声源工作时间为t</w:t>
            </w:r>
            <w:r>
              <w:rPr>
                <w:color w:val="auto"/>
                <w:highlight w:val="none"/>
                <w:vertAlign w:val="subscript"/>
              </w:rPr>
              <w:t>i</w:t>
            </w:r>
            <w:r>
              <w:rPr>
                <w:color w:val="auto"/>
                <w:highlight w:val="none"/>
              </w:rPr>
              <w:t>；第j个等效室外声源在预测点产生的A声级为L</w:t>
            </w:r>
            <w:r>
              <w:rPr>
                <w:color w:val="auto"/>
                <w:highlight w:val="none"/>
                <w:vertAlign w:val="subscript"/>
              </w:rPr>
              <w:t>Aj</w:t>
            </w:r>
            <w:r>
              <w:rPr>
                <w:color w:val="auto"/>
                <w:highlight w:val="none"/>
              </w:rPr>
              <w:t>，在T时间内该声源工作时间为t</w:t>
            </w:r>
            <w:r>
              <w:rPr>
                <w:color w:val="auto"/>
                <w:highlight w:val="none"/>
                <w:vertAlign w:val="subscript"/>
              </w:rPr>
              <w:t>j</w:t>
            </w:r>
            <w:r>
              <w:rPr>
                <w:color w:val="auto"/>
                <w:highlight w:val="none"/>
              </w:rPr>
              <w:t>，则拟建工程声源对预测点产生的贡献值（L</w:t>
            </w:r>
            <w:r>
              <w:rPr>
                <w:color w:val="auto"/>
                <w:highlight w:val="none"/>
                <w:vertAlign w:val="subscript"/>
              </w:rPr>
              <w:t>eqg</w:t>
            </w:r>
            <w:r>
              <w:rPr>
                <w:color w:val="auto"/>
                <w:highlight w:val="none"/>
              </w:rPr>
              <w:t>）为：</w:t>
            </w:r>
          </w:p>
          <w:p>
            <w:pPr>
              <w:widowControl/>
              <w:spacing w:line="360" w:lineRule="auto"/>
              <w:jc w:val="center"/>
              <w:rPr>
                <w:bCs/>
                <w:color w:val="auto"/>
                <w:highlight w:val="none"/>
              </w:rPr>
            </w:pPr>
            <w:r>
              <w:rPr>
                <w:bCs/>
                <w:color w:val="auto"/>
                <w:highlight w:val="none"/>
              </w:rPr>
              <w:drawing>
                <wp:inline distT="0" distB="0" distL="0" distR="0">
                  <wp:extent cx="2675890" cy="521970"/>
                  <wp:effectExtent l="0" t="0" r="6350" b="1143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noChangeArrowheads="1"/>
                          </pic:cNvPicPr>
                        </pic:nvPicPr>
                        <pic:blipFill>
                          <a:blip r:embed="rId22"/>
                          <a:srcRect/>
                          <a:stretch>
                            <a:fillRect/>
                          </a:stretch>
                        </pic:blipFill>
                        <pic:spPr>
                          <a:xfrm>
                            <a:off x="0" y="0"/>
                            <a:ext cx="2675890" cy="521970"/>
                          </a:xfrm>
                          <a:prstGeom prst="rect">
                            <a:avLst/>
                          </a:prstGeom>
                          <a:noFill/>
                          <a:ln>
                            <a:noFill/>
                          </a:ln>
                        </pic:spPr>
                      </pic:pic>
                    </a:graphicData>
                  </a:graphic>
                </wp:inline>
              </w:drawing>
            </w:r>
          </w:p>
          <w:p>
            <w:pPr>
              <w:widowControl/>
              <w:spacing w:line="360" w:lineRule="auto"/>
              <w:ind w:firstLine="525" w:firstLineChars="250"/>
              <w:rPr>
                <w:color w:val="auto"/>
                <w:highlight w:val="none"/>
              </w:rPr>
            </w:pPr>
            <w:r>
              <w:rPr>
                <w:color w:val="auto"/>
                <w:highlight w:val="none"/>
              </w:rPr>
              <w:t>式中：</w:t>
            </w:r>
          </w:p>
          <w:p>
            <w:pPr>
              <w:widowControl/>
              <w:spacing w:line="360" w:lineRule="auto"/>
              <w:ind w:firstLine="525" w:firstLineChars="250"/>
              <w:rPr>
                <w:color w:val="auto"/>
                <w:highlight w:val="none"/>
              </w:rPr>
            </w:pPr>
            <w:r>
              <w:rPr>
                <w:color w:val="auto"/>
                <w:highlight w:val="none"/>
              </w:rPr>
              <w:t>t</w:t>
            </w:r>
            <w:r>
              <w:rPr>
                <w:color w:val="auto"/>
                <w:highlight w:val="none"/>
                <w:vertAlign w:val="subscript"/>
              </w:rPr>
              <w:t>j</w:t>
            </w:r>
            <w:r>
              <w:rPr>
                <w:color w:val="auto"/>
                <w:highlight w:val="none"/>
              </w:rPr>
              <w:t>——在T时间内j声源工作时间，s；</w:t>
            </w:r>
          </w:p>
          <w:p>
            <w:pPr>
              <w:widowControl/>
              <w:spacing w:line="360" w:lineRule="auto"/>
              <w:ind w:firstLine="525" w:firstLineChars="250"/>
              <w:rPr>
                <w:color w:val="auto"/>
                <w:highlight w:val="none"/>
              </w:rPr>
            </w:pPr>
            <w:r>
              <w:rPr>
                <w:color w:val="auto"/>
                <w:highlight w:val="none"/>
              </w:rPr>
              <w:t>t</w:t>
            </w:r>
            <w:r>
              <w:rPr>
                <w:color w:val="auto"/>
                <w:highlight w:val="none"/>
                <w:vertAlign w:val="subscript"/>
              </w:rPr>
              <w:t>i</w:t>
            </w:r>
            <w:r>
              <w:rPr>
                <w:color w:val="auto"/>
                <w:highlight w:val="none"/>
              </w:rPr>
              <w:t>——在T时间内i声源工作时间，s；</w:t>
            </w:r>
          </w:p>
          <w:p>
            <w:pPr>
              <w:widowControl/>
              <w:spacing w:line="360" w:lineRule="auto"/>
              <w:ind w:firstLine="525" w:firstLineChars="250"/>
              <w:rPr>
                <w:color w:val="auto"/>
                <w:highlight w:val="none"/>
              </w:rPr>
            </w:pPr>
            <w:r>
              <w:rPr>
                <w:color w:val="auto"/>
                <w:highlight w:val="none"/>
              </w:rPr>
              <w:t>T——用于计算等效声级的时间，s；</w:t>
            </w:r>
          </w:p>
          <w:p>
            <w:pPr>
              <w:widowControl/>
              <w:spacing w:line="360" w:lineRule="auto"/>
              <w:ind w:firstLine="525" w:firstLineChars="250"/>
              <w:rPr>
                <w:color w:val="auto"/>
                <w:highlight w:val="none"/>
              </w:rPr>
            </w:pPr>
            <w:r>
              <w:rPr>
                <w:color w:val="auto"/>
                <w:highlight w:val="none"/>
              </w:rPr>
              <w:t>N——室外声源个数；</w:t>
            </w:r>
          </w:p>
          <w:p>
            <w:pPr>
              <w:widowControl/>
              <w:spacing w:line="360" w:lineRule="auto"/>
              <w:ind w:firstLine="525" w:firstLineChars="250"/>
              <w:rPr>
                <w:color w:val="auto"/>
                <w:highlight w:val="none"/>
              </w:rPr>
            </w:pPr>
            <w:r>
              <w:rPr>
                <w:color w:val="auto"/>
                <w:highlight w:val="none"/>
              </w:rPr>
              <w:t>M——等效室外声源个数；</w:t>
            </w:r>
          </w:p>
          <w:p>
            <w:pPr>
              <w:widowControl/>
              <w:spacing w:line="360" w:lineRule="auto"/>
              <w:ind w:firstLine="525" w:firstLineChars="250"/>
              <w:rPr>
                <w:color w:val="auto"/>
                <w:highlight w:val="none"/>
              </w:rPr>
            </w:pPr>
            <w:r>
              <w:rPr>
                <w:color w:val="auto"/>
                <w:highlight w:val="none"/>
              </w:rPr>
              <w:t>⑥预测点的预测等效声级（Leq）计算：</w:t>
            </w:r>
          </w:p>
          <w:p>
            <w:pPr>
              <w:widowControl/>
              <w:spacing w:line="360" w:lineRule="auto"/>
              <w:jc w:val="center"/>
              <w:rPr>
                <w:bCs/>
                <w:color w:val="auto"/>
                <w:highlight w:val="none"/>
              </w:rPr>
            </w:pPr>
            <w:r>
              <w:rPr>
                <w:bCs/>
                <w:color w:val="auto"/>
                <w:highlight w:val="none"/>
              </w:rPr>
              <w:drawing>
                <wp:inline distT="0" distB="0" distL="0" distR="0">
                  <wp:extent cx="1879600" cy="286385"/>
                  <wp:effectExtent l="0" t="0" r="10160" b="254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noChangeArrowheads="1"/>
                          </pic:cNvPicPr>
                        </pic:nvPicPr>
                        <pic:blipFill>
                          <a:blip r:embed="rId23"/>
                          <a:srcRect/>
                          <a:stretch>
                            <a:fillRect/>
                          </a:stretch>
                        </pic:blipFill>
                        <pic:spPr>
                          <a:xfrm>
                            <a:off x="0" y="0"/>
                            <a:ext cx="1879600" cy="286385"/>
                          </a:xfrm>
                          <a:prstGeom prst="rect">
                            <a:avLst/>
                          </a:prstGeom>
                          <a:noFill/>
                          <a:ln>
                            <a:noFill/>
                          </a:ln>
                        </pic:spPr>
                      </pic:pic>
                    </a:graphicData>
                  </a:graphic>
                </wp:inline>
              </w:drawing>
            </w:r>
          </w:p>
          <w:p>
            <w:pPr>
              <w:widowControl/>
              <w:spacing w:line="360" w:lineRule="auto"/>
              <w:ind w:firstLine="525" w:firstLineChars="250"/>
              <w:rPr>
                <w:color w:val="auto"/>
                <w:highlight w:val="none"/>
              </w:rPr>
            </w:pPr>
            <w:r>
              <w:rPr>
                <w:color w:val="auto"/>
                <w:highlight w:val="none"/>
              </w:rPr>
              <w:t>式中：L</w:t>
            </w:r>
            <w:r>
              <w:rPr>
                <w:color w:val="auto"/>
                <w:highlight w:val="none"/>
                <w:vertAlign w:val="subscript"/>
              </w:rPr>
              <w:t>eq</w:t>
            </w:r>
            <w:r>
              <w:rPr>
                <w:color w:val="auto"/>
                <w:highlight w:val="none"/>
              </w:rPr>
              <w:t>——建设项目声源在预测点的等效声级贡献量，dB(A)；</w:t>
            </w:r>
          </w:p>
          <w:p>
            <w:pPr>
              <w:widowControl/>
              <w:spacing w:line="360" w:lineRule="auto"/>
              <w:ind w:firstLine="525" w:firstLineChars="250"/>
              <w:rPr>
                <w:color w:val="auto"/>
                <w:highlight w:val="none"/>
              </w:rPr>
            </w:pPr>
            <w:r>
              <w:rPr>
                <w:color w:val="auto"/>
                <w:highlight w:val="none"/>
              </w:rPr>
              <w:t>L</w:t>
            </w:r>
            <w:r>
              <w:rPr>
                <w:color w:val="auto"/>
                <w:highlight w:val="none"/>
                <w:vertAlign w:val="subscript"/>
              </w:rPr>
              <w:t>eqb</w:t>
            </w:r>
            <w:r>
              <w:rPr>
                <w:color w:val="auto"/>
                <w:highlight w:val="none"/>
              </w:rPr>
              <w:t>——预测点背景值，dB(A)；</w:t>
            </w:r>
          </w:p>
          <w:p>
            <w:pPr>
              <w:widowControl/>
              <w:spacing w:line="360" w:lineRule="auto"/>
              <w:ind w:firstLine="525" w:firstLineChars="250"/>
              <w:rPr>
                <w:color w:val="auto"/>
                <w:highlight w:val="none"/>
              </w:rPr>
            </w:pPr>
            <w:r>
              <w:rPr>
                <w:color w:val="auto"/>
                <w:highlight w:val="none"/>
              </w:rPr>
              <w:fldChar w:fldCharType="begin"/>
            </w:r>
            <w:r>
              <w:rPr>
                <w:color w:val="auto"/>
                <w:highlight w:val="none"/>
              </w:rPr>
              <w:instrText xml:space="preserve"> = 7 \* GB3 </w:instrText>
            </w:r>
            <w:r>
              <w:rPr>
                <w:color w:val="auto"/>
                <w:highlight w:val="none"/>
              </w:rPr>
              <w:fldChar w:fldCharType="separate"/>
            </w:r>
            <w:r>
              <w:rPr>
                <w:color w:val="auto"/>
                <w:highlight w:val="none"/>
              </w:rPr>
              <w:t>⑦</w:t>
            </w:r>
            <w:r>
              <w:rPr>
                <w:color w:val="auto"/>
                <w:highlight w:val="none"/>
              </w:rPr>
              <w:fldChar w:fldCharType="end"/>
            </w:r>
            <w:r>
              <w:rPr>
                <w:color w:val="auto"/>
                <w:highlight w:val="none"/>
              </w:rPr>
              <w:t>预测值计算采用点声源的半自由声场几何发散衰减公式：</w:t>
            </w:r>
          </w:p>
          <w:p>
            <w:pPr>
              <w:widowControl/>
              <w:spacing w:line="360" w:lineRule="auto"/>
              <w:ind w:firstLine="63" w:firstLineChars="30"/>
              <w:jc w:val="center"/>
              <w:rPr>
                <w:color w:val="auto"/>
                <w:highlight w:val="none"/>
              </w:rPr>
            </w:pPr>
            <w:r>
              <w:rPr>
                <w:color w:val="auto"/>
                <w:position w:val="-24"/>
                <w:highlight w:val="none"/>
              </w:rPr>
              <w:drawing>
                <wp:inline distT="0" distB="0" distL="0" distR="0">
                  <wp:extent cx="2008505" cy="364490"/>
                  <wp:effectExtent l="0" t="0" r="3175" b="127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noChangeArrowheads="1"/>
                          </pic:cNvPicPr>
                        </pic:nvPicPr>
                        <pic:blipFill>
                          <a:blip r:embed="rId24"/>
                          <a:srcRect/>
                          <a:stretch>
                            <a:fillRect/>
                          </a:stretch>
                        </pic:blipFill>
                        <pic:spPr>
                          <a:xfrm>
                            <a:off x="0" y="0"/>
                            <a:ext cx="2008505" cy="364490"/>
                          </a:xfrm>
                          <a:prstGeom prst="rect">
                            <a:avLst/>
                          </a:prstGeom>
                          <a:noFill/>
                          <a:ln>
                            <a:noFill/>
                          </a:ln>
                        </pic:spPr>
                      </pic:pic>
                    </a:graphicData>
                  </a:graphic>
                </wp:inline>
              </w:drawing>
            </w:r>
          </w:p>
          <w:p>
            <w:pPr>
              <w:widowControl/>
              <w:spacing w:line="360" w:lineRule="auto"/>
              <w:ind w:firstLine="525" w:firstLineChars="250"/>
              <w:rPr>
                <w:color w:val="auto"/>
                <w:highlight w:val="none"/>
              </w:rPr>
            </w:pPr>
            <w:r>
              <w:rPr>
                <w:color w:val="auto"/>
                <w:highlight w:val="none"/>
              </w:rPr>
              <w:t>式中：L</w:t>
            </w:r>
            <w:r>
              <w:rPr>
                <w:color w:val="auto"/>
                <w:highlight w:val="none"/>
                <w:vertAlign w:val="subscript"/>
              </w:rPr>
              <w:t>oct(r)</w:t>
            </w:r>
            <w:r>
              <w:rPr>
                <w:color w:val="auto"/>
                <w:highlight w:val="none"/>
              </w:rPr>
              <w:t>—点声源在预测点产生的倍频带声压级；</w:t>
            </w:r>
          </w:p>
          <w:p>
            <w:pPr>
              <w:widowControl/>
              <w:spacing w:line="360" w:lineRule="auto"/>
              <w:ind w:firstLine="525" w:firstLineChars="250"/>
              <w:rPr>
                <w:color w:val="auto"/>
                <w:highlight w:val="none"/>
              </w:rPr>
            </w:pPr>
            <w:r>
              <w:rPr>
                <w:color w:val="auto"/>
                <w:highlight w:val="none"/>
              </w:rPr>
              <w:t>L</w:t>
            </w:r>
            <w:r>
              <w:rPr>
                <w:color w:val="auto"/>
                <w:highlight w:val="none"/>
                <w:vertAlign w:val="subscript"/>
              </w:rPr>
              <w:t>oct(r0)</w:t>
            </w:r>
            <w:r>
              <w:rPr>
                <w:color w:val="auto"/>
                <w:highlight w:val="none"/>
              </w:rPr>
              <w:t>—参考位置r</w:t>
            </w:r>
            <w:r>
              <w:rPr>
                <w:color w:val="auto"/>
                <w:highlight w:val="none"/>
                <w:vertAlign w:val="subscript"/>
              </w:rPr>
              <w:t>0</w:t>
            </w:r>
            <w:r>
              <w:rPr>
                <w:color w:val="auto"/>
                <w:highlight w:val="none"/>
              </w:rPr>
              <w:t>处的倍频带声压级；</w:t>
            </w:r>
          </w:p>
          <w:p>
            <w:pPr>
              <w:widowControl/>
              <w:spacing w:line="360" w:lineRule="auto"/>
              <w:ind w:firstLine="525" w:firstLineChars="250"/>
              <w:rPr>
                <w:color w:val="auto"/>
                <w:highlight w:val="none"/>
              </w:rPr>
            </w:pPr>
            <w:r>
              <w:rPr>
                <w:color w:val="auto"/>
                <w:highlight w:val="none"/>
              </w:rPr>
              <w:t>r—预测点距声源的距离，m；</w:t>
            </w:r>
          </w:p>
          <w:p>
            <w:pPr>
              <w:widowControl/>
              <w:spacing w:line="360" w:lineRule="auto"/>
              <w:ind w:firstLine="525" w:firstLineChars="250"/>
              <w:rPr>
                <w:color w:val="auto"/>
                <w:highlight w:val="none"/>
              </w:rPr>
            </w:pPr>
            <w:r>
              <w:rPr>
                <w:color w:val="auto"/>
                <w:highlight w:val="none"/>
              </w:rPr>
              <w:t>r</w:t>
            </w:r>
            <w:r>
              <w:rPr>
                <w:color w:val="auto"/>
                <w:highlight w:val="none"/>
                <w:vertAlign w:val="subscript"/>
              </w:rPr>
              <w:t>0</w:t>
            </w:r>
            <w:r>
              <w:rPr>
                <w:color w:val="auto"/>
                <w:highlight w:val="none"/>
              </w:rPr>
              <w:t>—参考位置距声源的距离，m；r</w:t>
            </w:r>
            <w:r>
              <w:rPr>
                <w:color w:val="auto"/>
                <w:highlight w:val="none"/>
                <w:vertAlign w:val="subscript"/>
              </w:rPr>
              <w:t>0</w:t>
            </w:r>
            <w:r>
              <w:rPr>
                <w:color w:val="auto"/>
                <w:highlight w:val="none"/>
              </w:rPr>
              <w:t>=1</w:t>
            </w:r>
          </w:p>
          <w:p>
            <w:pPr>
              <w:widowControl/>
              <w:spacing w:line="360" w:lineRule="auto"/>
              <w:ind w:firstLine="525" w:firstLineChars="250"/>
              <w:rPr>
                <w:color w:val="auto"/>
                <w:highlight w:val="none"/>
              </w:rPr>
            </w:pPr>
            <w:r>
              <w:rPr>
                <w:color w:val="auto"/>
                <w:highlight w:val="none"/>
              </w:rPr>
              <w:t>综上分析，上式可简化为：</w:t>
            </w:r>
          </w:p>
          <w:p>
            <w:pPr>
              <w:widowControl/>
              <w:spacing w:line="360" w:lineRule="auto"/>
              <w:jc w:val="center"/>
              <w:rPr>
                <w:color w:val="auto"/>
                <w:highlight w:val="none"/>
              </w:rPr>
            </w:pPr>
            <w:r>
              <w:rPr>
                <w:color w:val="auto"/>
                <w:position w:val="-14"/>
                <w:highlight w:val="none"/>
              </w:rPr>
              <w:drawing>
                <wp:inline distT="0" distB="0" distL="0" distR="0">
                  <wp:extent cx="1873885" cy="257810"/>
                  <wp:effectExtent l="0" t="0" r="635" b="127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noChangeArrowheads="1"/>
                          </pic:cNvPicPr>
                        </pic:nvPicPr>
                        <pic:blipFill>
                          <a:blip r:embed="rId25"/>
                          <a:srcRect/>
                          <a:stretch>
                            <a:fillRect/>
                          </a:stretch>
                        </pic:blipFill>
                        <pic:spPr>
                          <a:xfrm>
                            <a:off x="0" y="0"/>
                            <a:ext cx="1873885" cy="257810"/>
                          </a:xfrm>
                          <a:prstGeom prst="rect">
                            <a:avLst/>
                          </a:prstGeom>
                          <a:noFill/>
                          <a:ln>
                            <a:noFill/>
                          </a:ln>
                        </pic:spPr>
                      </pic:pic>
                    </a:graphicData>
                  </a:graphic>
                </wp:inline>
              </w:drawing>
            </w:r>
          </w:p>
          <w:p>
            <w:pPr>
              <w:widowControl/>
              <w:spacing w:line="360" w:lineRule="auto"/>
              <w:ind w:firstLine="420" w:firstLineChars="200"/>
              <w:rPr>
                <w:color w:val="auto"/>
                <w:highlight w:val="none"/>
              </w:rPr>
            </w:pPr>
            <w:r>
              <w:rPr>
                <w:color w:val="auto"/>
                <w:highlight w:val="none"/>
              </w:rPr>
              <w:t>通过上述预测模式，在采取措施后预测出项目声源在项目边界处的噪声值，计算结果见下表。</w:t>
            </w:r>
          </w:p>
          <w:p>
            <w:pPr>
              <w:widowControl/>
              <w:tabs>
                <w:tab w:val="left" w:pos="0"/>
              </w:tabs>
              <w:adjustRightInd w:val="0"/>
              <w:snapToGrid w:val="0"/>
              <w:spacing w:line="360" w:lineRule="auto"/>
              <w:jc w:val="center"/>
              <w:rPr>
                <w:b/>
                <w:color w:val="auto"/>
                <w:highlight w:val="none"/>
              </w:rPr>
            </w:pPr>
            <w:r>
              <w:rPr>
                <w:b/>
                <w:color w:val="auto"/>
                <w:highlight w:val="none"/>
              </w:rPr>
              <w:t>表4-1</w:t>
            </w:r>
            <w:r>
              <w:rPr>
                <w:rFonts w:hint="eastAsia"/>
                <w:b/>
                <w:color w:val="auto"/>
                <w:highlight w:val="none"/>
                <w:lang w:val="en-US" w:eastAsia="zh-CN"/>
              </w:rPr>
              <w:t>5</w:t>
            </w:r>
            <w:r>
              <w:rPr>
                <w:b/>
                <w:color w:val="auto"/>
                <w:highlight w:val="none"/>
              </w:rPr>
              <w:t xml:space="preserve"> 在采取措施后项目噪声在厂界处贡献值的预测结果</w:t>
            </w:r>
          </w:p>
          <w:tbl>
            <w:tblPr>
              <w:tblStyle w:val="35"/>
              <w:tblW w:w="498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08"/>
              <w:gridCol w:w="2522"/>
              <w:gridCol w:w="2341"/>
              <w:gridCol w:w="2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74" w:type="dxa"/>
                  <w:vMerge w:val="restart"/>
                  <w:vAlign w:val="center"/>
                </w:tcPr>
                <w:p>
                  <w:pPr>
                    <w:widowControl/>
                    <w:adjustRightInd w:val="0"/>
                    <w:snapToGrid w:val="0"/>
                    <w:jc w:val="center"/>
                    <w:rPr>
                      <w:b/>
                      <w:color w:val="auto"/>
                      <w:spacing w:val="-2"/>
                      <w:highlight w:val="none"/>
                    </w:rPr>
                  </w:pPr>
                  <w:r>
                    <w:rPr>
                      <w:b/>
                      <w:color w:val="auto"/>
                      <w:spacing w:val="-2"/>
                      <w:highlight w:val="none"/>
                    </w:rPr>
                    <w:t>预测点位</w:t>
                  </w:r>
                </w:p>
              </w:tc>
              <w:tc>
                <w:tcPr>
                  <w:tcW w:w="2483" w:type="dxa"/>
                  <w:vMerge w:val="restart"/>
                  <w:vAlign w:val="center"/>
                </w:tcPr>
                <w:p>
                  <w:pPr>
                    <w:widowControl/>
                    <w:adjustRightInd w:val="0"/>
                    <w:snapToGrid w:val="0"/>
                    <w:jc w:val="center"/>
                    <w:rPr>
                      <w:b/>
                      <w:color w:val="auto"/>
                      <w:spacing w:val="-2"/>
                      <w:highlight w:val="none"/>
                    </w:rPr>
                  </w:pPr>
                  <w:r>
                    <w:rPr>
                      <w:b/>
                      <w:color w:val="auto"/>
                      <w:spacing w:val="-2"/>
                      <w:highlight w:val="none"/>
                    </w:rPr>
                    <w:t>噪声贡献/dB(A)</w:t>
                  </w:r>
                </w:p>
              </w:tc>
              <w:tc>
                <w:tcPr>
                  <w:tcW w:w="2304" w:type="dxa"/>
                  <w:vAlign w:val="center"/>
                </w:tcPr>
                <w:p>
                  <w:pPr>
                    <w:widowControl/>
                    <w:adjustRightInd w:val="0"/>
                    <w:snapToGrid w:val="0"/>
                    <w:jc w:val="center"/>
                    <w:rPr>
                      <w:b/>
                      <w:color w:val="auto"/>
                      <w:spacing w:val="-2"/>
                      <w:highlight w:val="none"/>
                    </w:rPr>
                  </w:pPr>
                  <w:r>
                    <w:rPr>
                      <w:b/>
                      <w:color w:val="auto"/>
                      <w:spacing w:val="-2"/>
                      <w:highlight w:val="none"/>
                    </w:rPr>
                    <w:t>执行标准/dB(A)</w:t>
                  </w:r>
                </w:p>
              </w:tc>
              <w:tc>
                <w:tcPr>
                  <w:tcW w:w="2305" w:type="dxa"/>
                  <w:vMerge w:val="restart"/>
                  <w:vAlign w:val="center"/>
                </w:tcPr>
                <w:p>
                  <w:pPr>
                    <w:widowControl/>
                    <w:adjustRightInd w:val="0"/>
                    <w:snapToGrid w:val="0"/>
                    <w:jc w:val="center"/>
                    <w:rPr>
                      <w:b/>
                      <w:color w:val="auto"/>
                      <w:spacing w:val="-2"/>
                      <w:highlight w:val="none"/>
                    </w:rPr>
                  </w:pPr>
                  <w:r>
                    <w:rPr>
                      <w:b/>
                      <w:color w:val="auto"/>
                      <w:spacing w:val="-2"/>
                      <w:highlight w:val="none"/>
                    </w:rPr>
                    <w:t>是否达标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74" w:type="dxa"/>
                  <w:vMerge w:val="continue"/>
                  <w:vAlign w:val="center"/>
                </w:tcPr>
                <w:p>
                  <w:pPr>
                    <w:widowControl/>
                    <w:adjustRightInd w:val="0"/>
                    <w:snapToGrid w:val="0"/>
                    <w:ind w:firstLine="414" w:firstLineChars="200"/>
                    <w:jc w:val="center"/>
                    <w:rPr>
                      <w:b/>
                      <w:color w:val="auto"/>
                      <w:spacing w:val="-2"/>
                      <w:highlight w:val="none"/>
                    </w:rPr>
                  </w:pPr>
                </w:p>
              </w:tc>
              <w:tc>
                <w:tcPr>
                  <w:tcW w:w="2483" w:type="dxa"/>
                  <w:vMerge w:val="continue"/>
                  <w:vAlign w:val="center"/>
                </w:tcPr>
                <w:p>
                  <w:pPr>
                    <w:widowControl/>
                    <w:adjustRightInd w:val="0"/>
                    <w:snapToGrid w:val="0"/>
                    <w:ind w:firstLine="414" w:firstLineChars="200"/>
                    <w:jc w:val="center"/>
                    <w:rPr>
                      <w:b/>
                      <w:color w:val="auto"/>
                      <w:spacing w:val="-2"/>
                      <w:highlight w:val="none"/>
                    </w:rPr>
                  </w:pPr>
                </w:p>
              </w:tc>
              <w:tc>
                <w:tcPr>
                  <w:tcW w:w="2304" w:type="dxa"/>
                  <w:vAlign w:val="center"/>
                </w:tcPr>
                <w:p>
                  <w:pPr>
                    <w:widowControl/>
                    <w:adjustRightInd w:val="0"/>
                    <w:snapToGrid w:val="0"/>
                    <w:jc w:val="center"/>
                    <w:rPr>
                      <w:b/>
                      <w:color w:val="auto"/>
                      <w:spacing w:val="-2"/>
                      <w:highlight w:val="none"/>
                    </w:rPr>
                  </w:pPr>
                  <w:r>
                    <w:rPr>
                      <w:b/>
                      <w:color w:val="auto"/>
                      <w:spacing w:val="-2"/>
                      <w:highlight w:val="none"/>
                    </w:rPr>
                    <w:t>昼间</w:t>
                  </w:r>
                </w:p>
              </w:tc>
              <w:tc>
                <w:tcPr>
                  <w:tcW w:w="2305" w:type="dxa"/>
                  <w:vMerge w:val="continue"/>
                  <w:vAlign w:val="center"/>
                </w:tcPr>
                <w:p>
                  <w:pPr>
                    <w:widowControl/>
                    <w:adjustRightInd w:val="0"/>
                    <w:snapToGrid w:val="0"/>
                    <w:jc w:val="center"/>
                    <w:rPr>
                      <w:b/>
                      <w:color w:val="auto"/>
                      <w:spacing w:val="-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74" w:type="dxa"/>
                  <w:vAlign w:val="center"/>
                </w:tcPr>
                <w:p>
                  <w:pPr>
                    <w:widowControl/>
                    <w:tabs>
                      <w:tab w:val="center" w:pos="1039"/>
                      <w:tab w:val="right" w:pos="1959"/>
                    </w:tabs>
                    <w:adjustRightInd w:val="0"/>
                    <w:snapToGrid w:val="0"/>
                    <w:jc w:val="center"/>
                    <w:rPr>
                      <w:color w:val="auto"/>
                      <w:spacing w:val="-2"/>
                      <w:highlight w:val="none"/>
                    </w:rPr>
                  </w:pPr>
                  <w:r>
                    <w:rPr>
                      <w:color w:val="auto"/>
                      <w:spacing w:val="-2"/>
                      <w:highlight w:val="none"/>
                    </w:rPr>
                    <w:t>厂界东</w:t>
                  </w:r>
                </w:p>
              </w:tc>
              <w:tc>
                <w:tcPr>
                  <w:tcW w:w="2483" w:type="dxa"/>
                  <w:vAlign w:val="center"/>
                </w:tcPr>
                <w:p>
                  <w:pPr>
                    <w:widowControl/>
                    <w:adjustRightInd w:val="0"/>
                    <w:snapToGrid w:val="0"/>
                    <w:jc w:val="center"/>
                    <w:rPr>
                      <w:color w:val="auto"/>
                      <w:spacing w:val="-2"/>
                      <w:highlight w:val="none"/>
                    </w:rPr>
                  </w:pPr>
                  <w:r>
                    <w:rPr>
                      <w:rFonts w:hint="eastAsia"/>
                      <w:color w:val="auto"/>
                      <w:spacing w:val="-2"/>
                      <w:highlight w:val="none"/>
                    </w:rPr>
                    <w:t>56.4</w:t>
                  </w:r>
                </w:p>
              </w:tc>
              <w:tc>
                <w:tcPr>
                  <w:tcW w:w="2304" w:type="dxa"/>
                  <w:vAlign w:val="center"/>
                </w:tcPr>
                <w:p>
                  <w:pPr>
                    <w:widowControl/>
                    <w:adjustRightInd w:val="0"/>
                    <w:snapToGrid w:val="0"/>
                    <w:jc w:val="center"/>
                    <w:rPr>
                      <w:color w:val="auto"/>
                      <w:spacing w:val="-2"/>
                      <w:highlight w:val="none"/>
                    </w:rPr>
                  </w:pPr>
                  <w:r>
                    <w:rPr>
                      <w:color w:val="auto"/>
                      <w:spacing w:val="-2"/>
                      <w:highlight w:val="none"/>
                    </w:rPr>
                    <w:t>60</w:t>
                  </w:r>
                </w:p>
              </w:tc>
              <w:tc>
                <w:tcPr>
                  <w:tcW w:w="2305" w:type="dxa"/>
                  <w:vAlign w:val="center"/>
                </w:tcPr>
                <w:p>
                  <w:pPr>
                    <w:widowControl/>
                    <w:adjustRightInd w:val="0"/>
                    <w:snapToGrid w:val="0"/>
                    <w:jc w:val="center"/>
                    <w:rPr>
                      <w:color w:val="auto"/>
                      <w:spacing w:val="-2"/>
                      <w:highlight w:val="none"/>
                    </w:rPr>
                  </w:pPr>
                  <w:r>
                    <w:rPr>
                      <w:color w:val="auto"/>
                      <w:spacing w:val="-2"/>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74" w:type="dxa"/>
                  <w:vAlign w:val="center"/>
                </w:tcPr>
                <w:p>
                  <w:pPr>
                    <w:widowControl/>
                    <w:adjustRightInd w:val="0"/>
                    <w:snapToGrid w:val="0"/>
                    <w:jc w:val="center"/>
                    <w:rPr>
                      <w:color w:val="auto"/>
                      <w:spacing w:val="-2"/>
                      <w:highlight w:val="none"/>
                    </w:rPr>
                  </w:pPr>
                  <w:r>
                    <w:rPr>
                      <w:color w:val="auto"/>
                      <w:spacing w:val="-2"/>
                      <w:highlight w:val="none"/>
                    </w:rPr>
                    <w:t>厂界南</w:t>
                  </w:r>
                </w:p>
              </w:tc>
              <w:tc>
                <w:tcPr>
                  <w:tcW w:w="2483" w:type="dxa"/>
                  <w:vAlign w:val="center"/>
                </w:tcPr>
                <w:p>
                  <w:pPr>
                    <w:widowControl/>
                    <w:adjustRightInd w:val="0"/>
                    <w:snapToGrid w:val="0"/>
                    <w:jc w:val="center"/>
                    <w:rPr>
                      <w:color w:val="auto"/>
                      <w:spacing w:val="-2"/>
                      <w:highlight w:val="none"/>
                    </w:rPr>
                  </w:pPr>
                  <w:r>
                    <w:rPr>
                      <w:color w:val="auto"/>
                      <w:spacing w:val="-2"/>
                      <w:highlight w:val="none"/>
                    </w:rPr>
                    <w:t>5</w:t>
                  </w:r>
                  <w:r>
                    <w:rPr>
                      <w:rFonts w:hint="eastAsia"/>
                      <w:color w:val="auto"/>
                      <w:spacing w:val="-2"/>
                      <w:highlight w:val="none"/>
                    </w:rPr>
                    <w:t>5</w:t>
                  </w:r>
                  <w:r>
                    <w:rPr>
                      <w:color w:val="auto"/>
                      <w:spacing w:val="-2"/>
                      <w:highlight w:val="none"/>
                    </w:rPr>
                    <w:t>.1</w:t>
                  </w:r>
                </w:p>
              </w:tc>
              <w:tc>
                <w:tcPr>
                  <w:tcW w:w="2304" w:type="dxa"/>
                  <w:vAlign w:val="center"/>
                </w:tcPr>
                <w:p>
                  <w:pPr>
                    <w:widowControl/>
                    <w:adjustRightInd w:val="0"/>
                    <w:snapToGrid w:val="0"/>
                    <w:jc w:val="center"/>
                    <w:rPr>
                      <w:color w:val="auto"/>
                      <w:spacing w:val="-2"/>
                      <w:highlight w:val="none"/>
                    </w:rPr>
                  </w:pPr>
                  <w:r>
                    <w:rPr>
                      <w:color w:val="auto"/>
                      <w:spacing w:val="-2"/>
                      <w:highlight w:val="none"/>
                    </w:rPr>
                    <w:t>60</w:t>
                  </w:r>
                </w:p>
              </w:tc>
              <w:tc>
                <w:tcPr>
                  <w:tcW w:w="2305" w:type="dxa"/>
                  <w:vAlign w:val="center"/>
                </w:tcPr>
                <w:p>
                  <w:pPr>
                    <w:widowControl/>
                    <w:adjustRightInd w:val="0"/>
                    <w:snapToGrid w:val="0"/>
                    <w:jc w:val="center"/>
                    <w:rPr>
                      <w:color w:val="auto"/>
                      <w:spacing w:val="-2"/>
                      <w:highlight w:val="none"/>
                    </w:rPr>
                  </w:pPr>
                  <w:r>
                    <w:rPr>
                      <w:color w:val="auto"/>
                      <w:spacing w:val="-2"/>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74" w:type="dxa"/>
                  <w:vAlign w:val="center"/>
                </w:tcPr>
                <w:p>
                  <w:pPr>
                    <w:widowControl/>
                    <w:adjustRightInd w:val="0"/>
                    <w:snapToGrid w:val="0"/>
                    <w:jc w:val="center"/>
                    <w:rPr>
                      <w:color w:val="auto"/>
                      <w:spacing w:val="-2"/>
                      <w:highlight w:val="none"/>
                    </w:rPr>
                  </w:pPr>
                  <w:r>
                    <w:rPr>
                      <w:color w:val="auto"/>
                      <w:spacing w:val="-2"/>
                      <w:highlight w:val="none"/>
                    </w:rPr>
                    <w:t>厂界西</w:t>
                  </w:r>
                </w:p>
              </w:tc>
              <w:tc>
                <w:tcPr>
                  <w:tcW w:w="2483" w:type="dxa"/>
                  <w:vAlign w:val="center"/>
                </w:tcPr>
                <w:p>
                  <w:pPr>
                    <w:widowControl/>
                    <w:adjustRightInd w:val="0"/>
                    <w:snapToGrid w:val="0"/>
                    <w:jc w:val="center"/>
                    <w:rPr>
                      <w:color w:val="auto"/>
                      <w:spacing w:val="-2"/>
                      <w:highlight w:val="none"/>
                    </w:rPr>
                  </w:pPr>
                  <w:r>
                    <w:rPr>
                      <w:rFonts w:hint="eastAsia"/>
                      <w:color w:val="auto"/>
                      <w:spacing w:val="-2"/>
                      <w:highlight w:val="none"/>
                    </w:rPr>
                    <w:t>55.9</w:t>
                  </w:r>
                </w:p>
              </w:tc>
              <w:tc>
                <w:tcPr>
                  <w:tcW w:w="2304" w:type="dxa"/>
                  <w:vAlign w:val="center"/>
                </w:tcPr>
                <w:p>
                  <w:pPr>
                    <w:widowControl/>
                    <w:adjustRightInd w:val="0"/>
                    <w:snapToGrid w:val="0"/>
                    <w:jc w:val="center"/>
                    <w:rPr>
                      <w:color w:val="auto"/>
                      <w:spacing w:val="-2"/>
                      <w:highlight w:val="none"/>
                    </w:rPr>
                  </w:pPr>
                  <w:r>
                    <w:rPr>
                      <w:color w:val="auto"/>
                      <w:spacing w:val="-2"/>
                      <w:highlight w:val="none"/>
                    </w:rPr>
                    <w:t>60</w:t>
                  </w:r>
                </w:p>
              </w:tc>
              <w:tc>
                <w:tcPr>
                  <w:tcW w:w="2305" w:type="dxa"/>
                  <w:vAlign w:val="center"/>
                </w:tcPr>
                <w:p>
                  <w:pPr>
                    <w:widowControl/>
                    <w:adjustRightInd w:val="0"/>
                    <w:snapToGrid w:val="0"/>
                    <w:jc w:val="center"/>
                    <w:rPr>
                      <w:color w:val="auto"/>
                      <w:spacing w:val="-2"/>
                      <w:highlight w:val="none"/>
                    </w:rPr>
                  </w:pPr>
                  <w:r>
                    <w:rPr>
                      <w:color w:val="auto"/>
                      <w:spacing w:val="-2"/>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74" w:type="dxa"/>
                  <w:vAlign w:val="center"/>
                </w:tcPr>
                <w:p>
                  <w:pPr>
                    <w:widowControl/>
                    <w:adjustRightInd w:val="0"/>
                    <w:snapToGrid w:val="0"/>
                    <w:jc w:val="center"/>
                    <w:rPr>
                      <w:color w:val="auto"/>
                      <w:spacing w:val="-2"/>
                      <w:highlight w:val="none"/>
                    </w:rPr>
                  </w:pPr>
                  <w:r>
                    <w:rPr>
                      <w:color w:val="auto"/>
                      <w:spacing w:val="-2"/>
                      <w:highlight w:val="none"/>
                    </w:rPr>
                    <w:t>厂界北</w:t>
                  </w:r>
                </w:p>
              </w:tc>
              <w:tc>
                <w:tcPr>
                  <w:tcW w:w="2483" w:type="dxa"/>
                  <w:vAlign w:val="center"/>
                </w:tcPr>
                <w:p>
                  <w:pPr>
                    <w:widowControl/>
                    <w:adjustRightInd w:val="0"/>
                    <w:snapToGrid w:val="0"/>
                    <w:jc w:val="center"/>
                    <w:rPr>
                      <w:color w:val="auto"/>
                      <w:spacing w:val="-2"/>
                      <w:highlight w:val="none"/>
                    </w:rPr>
                  </w:pPr>
                  <w:r>
                    <w:rPr>
                      <w:color w:val="auto"/>
                      <w:spacing w:val="-2"/>
                      <w:highlight w:val="none"/>
                    </w:rPr>
                    <w:t>5</w:t>
                  </w:r>
                  <w:r>
                    <w:rPr>
                      <w:rFonts w:hint="eastAsia"/>
                      <w:color w:val="auto"/>
                      <w:spacing w:val="-2"/>
                      <w:highlight w:val="none"/>
                    </w:rPr>
                    <w:t>4.3</w:t>
                  </w:r>
                </w:p>
              </w:tc>
              <w:tc>
                <w:tcPr>
                  <w:tcW w:w="2304" w:type="dxa"/>
                  <w:vAlign w:val="center"/>
                </w:tcPr>
                <w:p>
                  <w:pPr>
                    <w:widowControl/>
                    <w:adjustRightInd w:val="0"/>
                    <w:snapToGrid w:val="0"/>
                    <w:jc w:val="center"/>
                    <w:rPr>
                      <w:color w:val="auto"/>
                      <w:spacing w:val="-2"/>
                      <w:highlight w:val="none"/>
                    </w:rPr>
                  </w:pPr>
                  <w:r>
                    <w:rPr>
                      <w:color w:val="auto"/>
                      <w:spacing w:val="-2"/>
                      <w:highlight w:val="none"/>
                    </w:rPr>
                    <w:t>60</w:t>
                  </w:r>
                </w:p>
              </w:tc>
              <w:tc>
                <w:tcPr>
                  <w:tcW w:w="2305" w:type="dxa"/>
                  <w:vAlign w:val="center"/>
                </w:tcPr>
                <w:p>
                  <w:pPr>
                    <w:widowControl/>
                    <w:adjustRightInd w:val="0"/>
                    <w:snapToGrid w:val="0"/>
                    <w:jc w:val="center"/>
                    <w:rPr>
                      <w:color w:val="auto"/>
                      <w:spacing w:val="-2"/>
                      <w:highlight w:val="none"/>
                    </w:rPr>
                  </w:pPr>
                  <w:r>
                    <w:rPr>
                      <w:color w:val="auto"/>
                      <w:spacing w:val="-2"/>
                      <w:highlight w:val="none"/>
                    </w:rPr>
                    <w:t>是</w:t>
                  </w:r>
                </w:p>
              </w:tc>
            </w:tr>
          </w:tbl>
          <w:p>
            <w:pPr>
              <w:widowControl/>
              <w:spacing w:before="120" w:beforeLines="50" w:line="360" w:lineRule="auto"/>
              <w:ind w:firstLine="420" w:firstLineChars="200"/>
              <w:rPr>
                <w:bCs/>
                <w:color w:val="auto"/>
                <w:highlight w:val="none"/>
              </w:rPr>
            </w:pPr>
            <w:r>
              <w:rPr>
                <w:color w:val="auto"/>
                <w:highlight w:val="none"/>
              </w:rPr>
              <w:t>根据上表预测结果可知，项目生产设备在采取噪声防治措施后，项目边界处噪声贡献值低于《工业企业厂界环境噪声排放标准》（GB12348-2008）的2类标准</w:t>
            </w:r>
            <w:r>
              <w:rPr>
                <w:bCs/>
                <w:color w:val="auto"/>
                <w:highlight w:val="none"/>
              </w:rPr>
              <w:t>，对周围声环境及周边敏感点影响不大。</w:t>
            </w:r>
          </w:p>
          <w:p>
            <w:pPr>
              <w:widowControl/>
              <w:spacing w:line="360" w:lineRule="auto"/>
              <w:ind w:firstLine="422" w:firstLineChars="200"/>
              <w:rPr>
                <w:b/>
                <w:color w:val="auto"/>
                <w:highlight w:val="none"/>
              </w:rPr>
            </w:pPr>
            <w:r>
              <w:rPr>
                <w:b/>
                <w:color w:val="auto"/>
                <w:highlight w:val="none"/>
              </w:rPr>
              <w:t>4</w:t>
            </w:r>
            <w:r>
              <w:rPr>
                <w:rFonts w:hint="eastAsia"/>
                <w:b/>
                <w:color w:val="auto"/>
                <w:highlight w:val="none"/>
              </w:rPr>
              <w:t>、</w:t>
            </w:r>
            <w:r>
              <w:rPr>
                <w:b/>
                <w:color w:val="auto"/>
                <w:highlight w:val="none"/>
              </w:rPr>
              <w:t>监测要求</w:t>
            </w:r>
          </w:p>
          <w:p>
            <w:pPr>
              <w:widowControl/>
              <w:spacing w:line="360" w:lineRule="auto"/>
              <w:ind w:firstLine="420" w:firstLineChars="200"/>
              <w:rPr>
                <w:color w:val="auto"/>
                <w:highlight w:val="none"/>
              </w:rPr>
            </w:pPr>
            <w:r>
              <w:rPr>
                <w:color w:val="auto"/>
                <w:highlight w:val="none"/>
              </w:rPr>
              <w:t>根据《排污单位自行监测技术指南 总则》（HJ 819-2017），项目运营期噪声监测要求如下。</w:t>
            </w:r>
          </w:p>
          <w:p>
            <w:pPr>
              <w:widowControl/>
              <w:tabs>
                <w:tab w:val="left" w:pos="0"/>
              </w:tabs>
              <w:adjustRightInd w:val="0"/>
              <w:snapToGrid w:val="0"/>
              <w:spacing w:line="360" w:lineRule="auto"/>
              <w:jc w:val="center"/>
              <w:rPr>
                <w:b/>
                <w:color w:val="auto"/>
                <w:highlight w:val="none"/>
              </w:rPr>
            </w:pPr>
            <w:r>
              <w:rPr>
                <w:b/>
                <w:color w:val="auto"/>
                <w:highlight w:val="none"/>
              </w:rPr>
              <w:t>表4-1</w:t>
            </w:r>
            <w:r>
              <w:rPr>
                <w:rFonts w:hint="eastAsia"/>
                <w:b/>
                <w:color w:val="auto"/>
                <w:highlight w:val="none"/>
                <w:lang w:val="en-US" w:eastAsia="zh-CN"/>
              </w:rPr>
              <w:t>6</w:t>
            </w:r>
            <w:r>
              <w:rPr>
                <w:b/>
                <w:color w:val="auto"/>
                <w:highlight w:val="none"/>
              </w:rPr>
              <w:t xml:space="preserve"> 噪声监测汇总表</w:t>
            </w:r>
          </w:p>
          <w:tbl>
            <w:tblPr>
              <w:tblStyle w:val="3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3"/>
              <w:gridCol w:w="1587"/>
              <w:gridCol w:w="1595"/>
              <w:gridCol w:w="2214"/>
              <w:gridCol w:w="32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
                      <w:bCs/>
                      <w:color w:val="auto"/>
                      <w:highlight w:val="none"/>
                    </w:rPr>
                  </w:pPr>
                  <w:r>
                    <w:rPr>
                      <w:b/>
                      <w:bCs/>
                      <w:color w:val="auto"/>
                      <w:highlight w:val="none"/>
                    </w:rPr>
                    <w:t>类别</w:t>
                  </w:r>
                </w:p>
              </w:tc>
              <w:tc>
                <w:tcPr>
                  <w:tcW w:w="841" w:type="pct"/>
                  <w:tcBorders>
                    <w:top w:val="single" w:color="auto" w:sz="4" w:space="0"/>
                    <w:left w:val="nil"/>
                    <w:bottom w:val="single" w:color="auto" w:sz="4" w:space="0"/>
                    <w:right w:val="single" w:color="auto" w:sz="4" w:space="0"/>
                  </w:tcBorders>
                  <w:vAlign w:val="center"/>
                </w:tcPr>
                <w:p>
                  <w:pPr>
                    <w:adjustRightInd w:val="0"/>
                    <w:snapToGrid w:val="0"/>
                    <w:jc w:val="center"/>
                    <w:rPr>
                      <w:b/>
                      <w:bCs/>
                      <w:color w:val="auto"/>
                      <w:highlight w:val="none"/>
                    </w:rPr>
                  </w:pPr>
                  <w:r>
                    <w:rPr>
                      <w:b/>
                      <w:bCs/>
                      <w:color w:val="auto"/>
                      <w:highlight w:val="none"/>
                    </w:rPr>
                    <w:t>监测指标</w:t>
                  </w:r>
                </w:p>
              </w:tc>
              <w:tc>
                <w:tcPr>
                  <w:tcW w:w="845" w:type="pct"/>
                  <w:tcBorders>
                    <w:top w:val="single" w:color="auto" w:sz="4" w:space="0"/>
                    <w:left w:val="nil"/>
                    <w:bottom w:val="single" w:color="auto" w:sz="4" w:space="0"/>
                    <w:right w:val="single" w:color="auto" w:sz="4" w:space="0"/>
                  </w:tcBorders>
                  <w:vAlign w:val="center"/>
                </w:tcPr>
                <w:p>
                  <w:pPr>
                    <w:adjustRightInd w:val="0"/>
                    <w:snapToGrid w:val="0"/>
                    <w:jc w:val="center"/>
                    <w:rPr>
                      <w:b/>
                      <w:bCs/>
                      <w:color w:val="auto"/>
                      <w:highlight w:val="none"/>
                    </w:rPr>
                  </w:pPr>
                  <w:r>
                    <w:rPr>
                      <w:b/>
                      <w:bCs/>
                      <w:color w:val="auto"/>
                      <w:highlight w:val="none"/>
                    </w:rPr>
                    <w:t>监测点位</w:t>
                  </w:r>
                </w:p>
              </w:tc>
              <w:tc>
                <w:tcPr>
                  <w:tcW w:w="1173" w:type="pct"/>
                  <w:tcBorders>
                    <w:top w:val="single" w:color="auto" w:sz="4" w:space="0"/>
                    <w:left w:val="nil"/>
                    <w:bottom w:val="single" w:color="auto" w:sz="4" w:space="0"/>
                    <w:right w:val="single" w:color="auto" w:sz="4" w:space="0"/>
                  </w:tcBorders>
                  <w:vAlign w:val="center"/>
                </w:tcPr>
                <w:p>
                  <w:pPr>
                    <w:adjustRightInd w:val="0"/>
                    <w:snapToGrid w:val="0"/>
                    <w:jc w:val="center"/>
                    <w:rPr>
                      <w:b/>
                      <w:bCs/>
                      <w:color w:val="auto"/>
                      <w:highlight w:val="none"/>
                    </w:rPr>
                  </w:pPr>
                  <w:r>
                    <w:rPr>
                      <w:b/>
                      <w:bCs/>
                      <w:color w:val="auto"/>
                      <w:highlight w:val="none"/>
                    </w:rPr>
                    <w:t>监测频率</w:t>
                  </w:r>
                </w:p>
              </w:tc>
              <w:tc>
                <w:tcPr>
                  <w:tcW w:w="1697" w:type="pct"/>
                  <w:tcBorders>
                    <w:top w:val="single" w:color="auto" w:sz="4" w:space="0"/>
                    <w:left w:val="nil"/>
                    <w:bottom w:val="single" w:color="auto" w:sz="4" w:space="0"/>
                    <w:right w:val="single" w:color="auto" w:sz="4" w:space="0"/>
                  </w:tcBorders>
                  <w:vAlign w:val="center"/>
                </w:tcPr>
                <w:p>
                  <w:pPr>
                    <w:adjustRightInd w:val="0"/>
                    <w:snapToGrid w:val="0"/>
                    <w:jc w:val="center"/>
                    <w:rPr>
                      <w:b/>
                      <w:bCs/>
                      <w:color w:val="auto"/>
                      <w:highlight w:val="none"/>
                    </w:rPr>
                  </w:pPr>
                  <w:r>
                    <w:rPr>
                      <w:b/>
                      <w:bCs/>
                      <w:color w:val="auto"/>
                      <w:highlight w:val="none"/>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4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highlight w:val="none"/>
                    </w:rPr>
                  </w:pPr>
                  <w:r>
                    <w:rPr>
                      <w:color w:val="auto"/>
                      <w:highlight w:val="none"/>
                    </w:rPr>
                    <w:t>噪声</w:t>
                  </w:r>
                </w:p>
                <w:p>
                  <w:pPr>
                    <w:adjustRightInd w:val="0"/>
                    <w:snapToGrid w:val="0"/>
                    <w:jc w:val="center"/>
                    <w:rPr>
                      <w:color w:val="auto"/>
                      <w:highlight w:val="none"/>
                    </w:rPr>
                  </w:pPr>
                  <w:r>
                    <w:rPr>
                      <w:color w:val="auto"/>
                      <w:highlight w:val="none"/>
                    </w:rPr>
                    <w:t>监测</w:t>
                  </w:r>
                </w:p>
              </w:tc>
              <w:tc>
                <w:tcPr>
                  <w:tcW w:w="841"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highlight w:val="none"/>
                    </w:rPr>
                  </w:pPr>
                  <w:r>
                    <w:rPr>
                      <w:color w:val="auto"/>
                      <w:highlight w:val="none"/>
                    </w:rPr>
                    <w:t>等效连续A声级</w:t>
                  </w:r>
                </w:p>
              </w:tc>
              <w:tc>
                <w:tcPr>
                  <w:tcW w:w="845"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highlight w:val="none"/>
                    </w:rPr>
                  </w:pPr>
                  <w:r>
                    <w:rPr>
                      <w:color w:val="auto"/>
                      <w:highlight w:val="none"/>
                    </w:rPr>
                    <w:t>厂界</w:t>
                  </w:r>
                </w:p>
              </w:tc>
              <w:tc>
                <w:tcPr>
                  <w:tcW w:w="1173"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highlight w:val="none"/>
                    </w:rPr>
                  </w:pPr>
                  <w:r>
                    <w:rPr>
                      <w:color w:val="auto"/>
                      <w:highlight w:val="none"/>
                    </w:rPr>
                    <w:t>1次/季度</w:t>
                  </w:r>
                </w:p>
              </w:tc>
              <w:tc>
                <w:tcPr>
                  <w:tcW w:w="1697" w:type="pct"/>
                  <w:tcBorders>
                    <w:top w:val="single" w:color="auto" w:sz="4" w:space="0"/>
                    <w:left w:val="nil"/>
                    <w:bottom w:val="single" w:color="auto" w:sz="4" w:space="0"/>
                    <w:right w:val="single" w:color="auto" w:sz="4" w:space="0"/>
                  </w:tcBorders>
                  <w:vAlign w:val="center"/>
                </w:tcPr>
                <w:p>
                  <w:pPr>
                    <w:adjustRightInd w:val="0"/>
                    <w:snapToGrid w:val="0"/>
                    <w:jc w:val="left"/>
                    <w:rPr>
                      <w:color w:val="auto"/>
                      <w:highlight w:val="none"/>
                    </w:rPr>
                  </w:pPr>
                  <w:r>
                    <w:rPr>
                      <w:color w:val="auto"/>
                      <w:highlight w:val="none"/>
                    </w:rPr>
                    <w:t>《工业企业厂界环境噪声排放标准》（GB12348-2008）2类标准</w:t>
                  </w:r>
                </w:p>
              </w:tc>
            </w:tr>
          </w:tbl>
          <w:p>
            <w:pPr>
              <w:widowControl/>
              <w:spacing w:before="120" w:beforeLines="50" w:line="360" w:lineRule="auto"/>
              <w:ind w:firstLine="422" w:firstLineChars="200"/>
              <w:rPr>
                <w:b/>
                <w:bCs/>
                <w:color w:val="auto"/>
                <w:highlight w:val="none"/>
              </w:rPr>
            </w:pPr>
            <w:r>
              <w:rPr>
                <w:rFonts w:hint="eastAsia"/>
                <w:b/>
                <w:bCs/>
                <w:color w:val="auto"/>
                <w:highlight w:val="none"/>
              </w:rPr>
              <w:t>四</w:t>
            </w:r>
            <w:r>
              <w:rPr>
                <w:b/>
                <w:bCs/>
                <w:color w:val="auto"/>
                <w:highlight w:val="none"/>
              </w:rPr>
              <w:t>、固体废物</w:t>
            </w:r>
          </w:p>
          <w:p>
            <w:pPr>
              <w:adjustRightInd w:val="0"/>
              <w:snapToGrid w:val="0"/>
              <w:spacing w:line="360" w:lineRule="auto"/>
              <w:ind w:firstLine="422" w:firstLineChars="200"/>
              <w:jc w:val="left"/>
              <w:rPr>
                <w:b/>
                <w:color w:val="auto"/>
                <w:kern w:val="0"/>
                <w:szCs w:val="21"/>
                <w:highlight w:val="none"/>
              </w:rPr>
            </w:pPr>
            <w:r>
              <w:rPr>
                <w:rFonts w:hint="eastAsia"/>
                <w:b/>
                <w:color w:val="auto"/>
                <w:kern w:val="0"/>
                <w:szCs w:val="21"/>
                <w:highlight w:val="none"/>
              </w:rPr>
              <w:t>1、固废源强</w:t>
            </w:r>
          </w:p>
          <w:p>
            <w:pPr>
              <w:adjustRightInd w:val="0"/>
              <w:snapToGrid w:val="0"/>
              <w:spacing w:line="360" w:lineRule="auto"/>
              <w:ind w:firstLine="420" w:firstLineChars="200"/>
              <w:jc w:val="left"/>
              <w:rPr>
                <w:color w:val="auto"/>
                <w:szCs w:val="21"/>
                <w:highlight w:val="none"/>
              </w:rPr>
            </w:pPr>
            <w:r>
              <w:rPr>
                <w:bCs/>
                <w:color w:val="auto"/>
                <w:kern w:val="0"/>
                <w:szCs w:val="21"/>
                <w:highlight w:val="none"/>
              </w:rPr>
              <w:t>项目固体废物有一般工业固体废物、员工生活垃圾和危险废物</w:t>
            </w:r>
            <w:r>
              <w:rPr>
                <w:color w:val="auto"/>
                <w:szCs w:val="21"/>
                <w:highlight w:val="none"/>
              </w:rPr>
              <w:t>。</w:t>
            </w:r>
          </w:p>
          <w:p>
            <w:pPr>
              <w:pStyle w:val="41"/>
              <w:spacing w:line="360" w:lineRule="auto"/>
              <w:jc w:val="center"/>
              <w:rPr>
                <w:rFonts w:hint="default" w:ascii="Times New Roman" w:cs="Times New Roman"/>
                <w:b/>
                <w:color w:val="auto"/>
                <w:sz w:val="21"/>
                <w:szCs w:val="21"/>
                <w:highlight w:val="none"/>
              </w:rPr>
            </w:pPr>
            <w:r>
              <w:rPr>
                <w:rFonts w:ascii="Times New Roman" w:cs="Times New Roman"/>
                <w:b/>
                <w:color w:val="auto"/>
                <w:sz w:val="21"/>
                <w:szCs w:val="21"/>
                <w:highlight w:val="none"/>
              </w:rPr>
              <w:t>表4-1</w:t>
            </w:r>
            <w:r>
              <w:rPr>
                <w:rFonts w:hint="eastAsia" w:ascii="Times New Roman" w:cs="Times New Roman"/>
                <w:b/>
                <w:color w:val="auto"/>
                <w:sz w:val="21"/>
                <w:szCs w:val="21"/>
                <w:highlight w:val="none"/>
                <w:lang w:val="en-US" w:eastAsia="zh-CN"/>
              </w:rPr>
              <w:t>7</w:t>
            </w:r>
            <w:r>
              <w:rPr>
                <w:rFonts w:ascii="Times New Roman" w:cs="Times New Roman"/>
                <w:b/>
                <w:color w:val="auto"/>
                <w:sz w:val="21"/>
                <w:szCs w:val="21"/>
                <w:highlight w:val="none"/>
              </w:rPr>
              <w:t xml:space="preserve"> 固体废物污染源源强核算结果</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6"/>
              <w:gridCol w:w="2316"/>
              <w:gridCol w:w="1476"/>
              <w:gridCol w:w="1135"/>
              <w:gridCol w:w="27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Align w:val="center"/>
                </w:tcPr>
                <w:p>
                  <w:pPr>
                    <w:pStyle w:val="27"/>
                    <w:adjustRightInd w:val="0"/>
                    <w:snapToGrid w:val="0"/>
                    <w:ind w:firstLine="0"/>
                    <w:jc w:val="center"/>
                    <w:rPr>
                      <w:b/>
                      <w:bCs/>
                      <w:color w:val="auto"/>
                      <w:sz w:val="21"/>
                      <w:szCs w:val="21"/>
                      <w:highlight w:val="none"/>
                    </w:rPr>
                  </w:pPr>
                  <w:r>
                    <w:rPr>
                      <w:rFonts w:hint="eastAsia"/>
                      <w:b/>
                      <w:bCs/>
                      <w:color w:val="auto"/>
                      <w:sz w:val="21"/>
                      <w:szCs w:val="21"/>
                      <w:highlight w:val="none"/>
                    </w:rPr>
                    <w:t>产生环节</w:t>
                  </w:r>
                </w:p>
              </w:tc>
              <w:tc>
                <w:tcPr>
                  <w:tcW w:w="0" w:type="auto"/>
                  <w:vAlign w:val="center"/>
                </w:tcPr>
                <w:p>
                  <w:pPr>
                    <w:pStyle w:val="27"/>
                    <w:adjustRightInd w:val="0"/>
                    <w:snapToGrid w:val="0"/>
                    <w:ind w:firstLine="0"/>
                    <w:jc w:val="center"/>
                    <w:rPr>
                      <w:b/>
                      <w:bCs/>
                      <w:color w:val="auto"/>
                      <w:sz w:val="21"/>
                      <w:szCs w:val="21"/>
                      <w:highlight w:val="none"/>
                    </w:rPr>
                  </w:pPr>
                  <w:r>
                    <w:rPr>
                      <w:b/>
                      <w:bCs/>
                      <w:color w:val="auto"/>
                      <w:sz w:val="21"/>
                      <w:szCs w:val="21"/>
                      <w:highlight w:val="none"/>
                    </w:rPr>
                    <w:t>固体废物名称</w:t>
                  </w:r>
                </w:p>
              </w:tc>
              <w:tc>
                <w:tcPr>
                  <w:tcW w:w="0" w:type="auto"/>
                  <w:vAlign w:val="center"/>
                </w:tcPr>
                <w:p>
                  <w:pPr>
                    <w:pStyle w:val="27"/>
                    <w:adjustRightInd w:val="0"/>
                    <w:snapToGrid w:val="0"/>
                    <w:ind w:firstLine="0"/>
                    <w:jc w:val="center"/>
                    <w:rPr>
                      <w:b/>
                      <w:bCs/>
                      <w:color w:val="auto"/>
                      <w:sz w:val="21"/>
                      <w:szCs w:val="21"/>
                      <w:highlight w:val="none"/>
                    </w:rPr>
                  </w:pPr>
                  <w:r>
                    <w:rPr>
                      <w:b/>
                      <w:bCs/>
                      <w:color w:val="auto"/>
                      <w:sz w:val="21"/>
                      <w:szCs w:val="21"/>
                      <w:highlight w:val="none"/>
                    </w:rPr>
                    <w:t>固废属性</w:t>
                  </w:r>
                </w:p>
              </w:tc>
              <w:tc>
                <w:tcPr>
                  <w:tcW w:w="0" w:type="auto"/>
                  <w:vAlign w:val="center"/>
                </w:tcPr>
                <w:p>
                  <w:pPr>
                    <w:pStyle w:val="27"/>
                    <w:adjustRightInd w:val="0"/>
                    <w:snapToGrid w:val="0"/>
                    <w:ind w:firstLine="0"/>
                    <w:jc w:val="center"/>
                    <w:rPr>
                      <w:b/>
                      <w:bCs/>
                      <w:color w:val="auto"/>
                      <w:sz w:val="21"/>
                      <w:szCs w:val="21"/>
                      <w:highlight w:val="none"/>
                    </w:rPr>
                  </w:pPr>
                  <w:r>
                    <w:rPr>
                      <w:b/>
                      <w:bCs/>
                      <w:color w:val="auto"/>
                      <w:sz w:val="21"/>
                      <w:szCs w:val="21"/>
                      <w:highlight w:val="none"/>
                    </w:rPr>
                    <w:t>产生量t/a</w:t>
                  </w:r>
                </w:p>
              </w:tc>
              <w:tc>
                <w:tcPr>
                  <w:tcW w:w="0" w:type="auto"/>
                  <w:vAlign w:val="center"/>
                </w:tcPr>
                <w:p>
                  <w:pPr>
                    <w:pStyle w:val="27"/>
                    <w:adjustRightInd w:val="0"/>
                    <w:snapToGrid w:val="0"/>
                    <w:ind w:firstLine="0"/>
                    <w:jc w:val="center"/>
                    <w:rPr>
                      <w:b/>
                      <w:bCs/>
                      <w:color w:val="auto"/>
                      <w:sz w:val="21"/>
                      <w:szCs w:val="21"/>
                      <w:highlight w:val="none"/>
                    </w:rPr>
                  </w:pPr>
                  <w:r>
                    <w:rPr>
                      <w:b/>
                      <w:bCs/>
                      <w:color w:val="auto"/>
                      <w:sz w:val="21"/>
                      <w:szCs w:val="21"/>
                      <w:highlight w:val="none"/>
                    </w:rPr>
                    <w:t>最总去向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0" w:type="auto"/>
                  <w:vAlign w:val="center"/>
                </w:tcPr>
                <w:p>
                  <w:pPr>
                    <w:pStyle w:val="73"/>
                    <w:widowControl w:val="0"/>
                    <w:textAlignment w:val="baseline"/>
                    <w:rPr>
                      <w:color w:val="auto"/>
                      <w:highlight w:val="none"/>
                    </w:rPr>
                  </w:pPr>
                  <w:r>
                    <w:rPr>
                      <w:color w:val="auto"/>
                      <w:highlight w:val="none"/>
                    </w:rPr>
                    <w:t>员工生活</w:t>
                  </w:r>
                </w:p>
              </w:tc>
              <w:tc>
                <w:tcPr>
                  <w:tcW w:w="0" w:type="auto"/>
                  <w:vAlign w:val="center"/>
                </w:tcPr>
                <w:p>
                  <w:pPr>
                    <w:pStyle w:val="73"/>
                    <w:widowControl w:val="0"/>
                    <w:textAlignment w:val="baseline"/>
                    <w:rPr>
                      <w:color w:val="auto"/>
                      <w:highlight w:val="none"/>
                    </w:rPr>
                  </w:pPr>
                  <w:r>
                    <w:rPr>
                      <w:color w:val="auto"/>
                      <w:highlight w:val="none"/>
                    </w:rPr>
                    <w:t>生活垃圾</w:t>
                  </w:r>
                </w:p>
              </w:tc>
              <w:tc>
                <w:tcPr>
                  <w:tcW w:w="0" w:type="auto"/>
                  <w:vAlign w:val="center"/>
                </w:tcPr>
                <w:p>
                  <w:pPr>
                    <w:pStyle w:val="73"/>
                    <w:widowControl w:val="0"/>
                    <w:textAlignment w:val="baseline"/>
                    <w:rPr>
                      <w:color w:val="auto"/>
                      <w:highlight w:val="none"/>
                    </w:rPr>
                  </w:pPr>
                  <w:r>
                    <w:rPr>
                      <w:color w:val="auto"/>
                      <w:highlight w:val="none"/>
                    </w:rPr>
                    <w:t>生活垃圾</w:t>
                  </w:r>
                </w:p>
              </w:tc>
              <w:tc>
                <w:tcPr>
                  <w:tcW w:w="0" w:type="auto"/>
                  <w:vAlign w:val="center"/>
                </w:tcPr>
                <w:p>
                  <w:pPr>
                    <w:pStyle w:val="73"/>
                    <w:widowControl w:val="0"/>
                    <w:textAlignment w:val="baseline"/>
                    <w:rPr>
                      <w:color w:val="auto"/>
                      <w:highlight w:val="none"/>
                    </w:rPr>
                  </w:pPr>
                  <w:r>
                    <w:rPr>
                      <w:rFonts w:hint="eastAsia"/>
                      <w:color w:val="auto"/>
                      <w:highlight w:val="none"/>
                    </w:rPr>
                    <w:t>3</w:t>
                  </w:r>
                </w:p>
              </w:tc>
              <w:tc>
                <w:tcPr>
                  <w:tcW w:w="0" w:type="auto"/>
                  <w:vAlign w:val="center"/>
                </w:tcPr>
                <w:p>
                  <w:pPr>
                    <w:pStyle w:val="73"/>
                    <w:widowControl w:val="0"/>
                    <w:textAlignment w:val="baseline"/>
                    <w:rPr>
                      <w:color w:val="auto"/>
                      <w:highlight w:val="none"/>
                    </w:rPr>
                  </w:pPr>
                  <w:r>
                    <w:rPr>
                      <w:color w:val="auto"/>
                      <w:highlight w:val="none"/>
                    </w:rPr>
                    <w:t>分类集中后由环卫部门处理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jc w:val="center"/>
              </w:trPr>
              <w:tc>
                <w:tcPr>
                  <w:tcW w:w="0" w:type="auto"/>
                  <w:vAlign w:val="center"/>
                </w:tcPr>
                <w:p>
                  <w:pPr>
                    <w:pStyle w:val="73"/>
                    <w:widowControl w:val="0"/>
                    <w:textAlignment w:val="baseline"/>
                    <w:rPr>
                      <w:color w:val="auto"/>
                      <w:highlight w:val="none"/>
                    </w:rPr>
                  </w:pPr>
                  <w:r>
                    <w:rPr>
                      <w:rFonts w:hint="eastAsia"/>
                      <w:color w:val="auto"/>
                      <w:highlight w:val="none"/>
                    </w:rPr>
                    <w:t>废气处理</w:t>
                  </w:r>
                </w:p>
              </w:tc>
              <w:tc>
                <w:tcPr>
                  <w:tcW w:w="0" w:type="auto"/>
                  <w:vAlign w:val="center"/>
                </w:tcPr>
                <w:p>
                  <w:pPr>
                    <w:pStyle w:val="73"/>
                    <w:widowControl w:val="0"/>
                    <w:textAlignment w:val="baseline"/>
                    <w:rPr>
                      <w:color w:val="auto"/>
                      <w:highlight w:val="none"/>
                    </w:rPr>
                  </w:pPr>
                  <w:r>
                    <w:rPr>
                      <w:rFonts w:hint="eastAsia"/>
                      <w:color w:val="auto"/>
                      <w:highlight w:val="none"/>
                    </w:rPr>
                    <w:t>布袋除尘器收集的粉料</w:t>
                  </w:r>
                </w:p>
              </w:tc>
              <w:tc>
                <w:tcPr>
                  <w:tcW w:w="0" w:type="auto"/>
                  <w:vMerge w:val="restart"/>
                  <w:vAlign w:val="center"/>
                </w:tcPr>
                <w:p>
                  <w:pPr>
                    <w:pStyle w:val="73"/>
                    <w:widowControl w:val="0"/>
                    <w:textAlignment w:val="baseline"/>
                    <w:rPr>
                      <w:color w:val="auto"/>
                      <w:highlight w:val="none"/>
                    </w:rPr>
                  </w:pPr>
                  <w:r>
                    <w:rPr>
                      <w:color w:val="auto"/>
                      <w:highlight w:val="none"/>
                    </w:rPr>
                    <w:t>一般固体废物</w:t>
                  </w:r>
                </w:p>
              </w:tc>
              <w:tc>
                <w:tcPr>
                  <w:tcW w:w="0" w:type="auto"/>
                  <w:vAlign w:val="center"/>
                </w:tcPr>
                <w:p>
                  <w:pPr>
                    <w:pStyle w:val="73"/>
                    <w:widowControl w:val="0"/>
                    <w:textAlignment w:val="baseline"/>
                    <w:rPr>
                      <w:color w:val="auto"/>
                      <w:highlight w:val="none"/>
                    </w:rPr>
                  </w:pPr>
                  <w:r>
                    <w:rPr>
                      <w:rFonts w:hint="eastAsia"/>
                      <w:color w:val="auto"/>
                      <w:highlight w:val="none"/>
                    </w:rPr>
                    <w:t>0.2452</w:t>
                  </w:r>
                </w:p>
              </w:tc>
              <w:tc>
                <w:tcPr>
                  <w:tcW w:w="0" w:type="auto"/>
                  <w:vAlign w:val="center"/>
                </w:tcPr>
                <w:p>
                  <w:pPr>
                    <w:pStyle w:val="73"/>
                    <w:widowControl w:val="0"/>
                    <w:textAlignment w:val="baseline"/>
                    <w:rPr>
                      <w:color w:val="auto"/>
                      <w:highlight w:val="none"/>
                    </w:rPr>
                  </w:pPr>
                  <w:r>
                    <w:rPr>
                      <w:rFonts w:hint="eastAsia"/>
                      <w:color w:val="auto"/>
                      <w:highlight w:val="none"/>
                    </w:rPr>
                    <w:t>收集后返回项目生产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jc w:val="center"/>
              </w:trPr>
              <w:tc>
                <w:tcPr>
                  <w:tcW w:w="0" w:type="auto"/>
                  <w:vAlign w:val="center"/>
                </w:tcPr>
                <w:p>
                  <w:pPr>
                    <w:pStyle w:val="73"/>
                    <w:widowControl w:val="0"/>
                    <w:textAlignment w:val="baseline"/>
                    <w:rPr>
                      <w:rFonts w:hint="eastAsia" w:eastAsia="宋体"/>
                      <w:color w:val="auto"/>
                      <w:highlight w:val="none"/>
                      <w:lang w:val="en-US" w:eastAsia="zh-CN"/>
                    </w:rPr>
                  </w:pPr>
                  <w:r>
                    <w:rPr>
                      <w:rFonts w:hint="eastAsia"/>
                      <w:color w:val="auto"/>
                      <w:highlight w:val="none"/>
                      <w:lang w:val="en-US" w:eastAsia="zh-CN"/>
                    </w:rPr>
                    <w:t>分装</w:t>
                  </w:r>
                </w:p>
              </w:tc>
              <w:tc>
                <w:tcPr>
                  <w:tcW w:w="0" w:type="auto"/>
                  <w:vAlign w:val="center"/>
                </w:tcPr>
                <w:p>
                  <w:pPr>
                    <w:pStyle w:val="73"/>
                    <w:widowControl w:val="0"/>
                    <w:textAlignment w:val="baseline"/>
                    <w:rPr>
                      <w:rFonts w:hint="default" w:eastAsia="宋体"/>
                      <w:color w:val="auto"/>
                      <w:highlight w:val="none"/>
                      <w:lang w:val="en-US" w:eastAsia="zh-CN"/>
                    </w:rPr>
                  </w:pPr>
                  <w:r>
                    <w:rPr>
                      <w:rFonts w:hint="eastAsia"/>
                      <w:color w:val="auto"/>
                      <w:highlight w:val="none"/>
                      <w:lang w:val="en-US" w:eastAsia="zh-CN"/>
                    </w:rPr>
                    <w:t>废包装材料</w:t>
                  </w:r>
                </w:p>
              </w:tc>
              <w:tc>
                <w:tcPr>
                  <w:tcW w:w="0" w:type="auto"/>
                  <w:vMerge w:val="continue"/>
                  <w:vAlign w:val="center"/>
                </w:tcPr>
                <w:p>
                  <w:pPr>
                    <w:pStyle w:val="73"/>
                    <w:widowControl w:val="0"/>
                    <w:textAlignment w:val="baseline"/>
                    <w:rPr>
                      <w:color w:val="auto"/>
                      <w:highlight w:val="none"/>
                    </w:rPr>
                  </w:pPr>
                </w:p>
              </w:tc>
              <w:tc>
                <w:tcPr>
                  <w:tcW w:w="0" w:type="auto"/>
                  <w:vAlign w:val="center"/>
                </w:tcPr>
                <w:p>
                  <w:pPr>
                    <w:pStyle w:val="73"/>
                    <w:widowControl w:val="0"/>
                    <w:textAlignment w:val="baseline"/>
                    <w:rPr>
                      <w:rFonts w:hint="default" w:eastAsia="宋体"/>
                      <w:color w:val="auto"/>
                      <w:highlight w:val="none"/>
                      <w:lang w:val="en-US" w:eastAsia="zh-CN"/>
                    </w:rPr>
                  </w:pPr>
                  <w:r>
                    <w:rPr>
                      <w:rFonts w:hint="eastAsia"/>
                      <w:color w:val="auto"/>
                      <w:highlight w:val="none"/>
                      <w:lang w:val="en-US" w:eastAsia="zh-CN"/>
                    </w:rPr>
                    <w:t>0.05</w:t>
                  </w:r>
                </w:p>
              </w:tc>
              <w:tc>
                <w:tcPr>
                  <w:tcW w:w="0" w:type="auto"/>
                  <w:vAlign w:val="center"/>
                </w:tcPr>
                <w:p>
                  <w:pPr>
                    <w:pStyle w:val="73"/>
                    <w:widowControl w:val="0"/>
                    <w:textAlignment w:val="baseline"/>
                    <w:rPr>
                      <w:rFonts w:hint="eastAsia"/>
                      <w:color w:val="auto"/>
                      <w:highlight w:val="none"/>
                    </w:rPr>
                  </w:pPr>
                  <w:r>
                    <w:rPr>
                      <w:rFonts w:hint="eastAsia"/>
                      <w:color w:val="auto"/>
                      <w:szCs w:val="21"/>
                      <w:highlight w:val="none"/>
                      <w:lang w:val="en-US" w:eastAsia="zh-CN"/>
                    </w:rPr>
                    <w:t>收集后交专业的公司处理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0" w:type="auto"/>
                  <w:vAlign w:val="center"/>
                </w:tcPr>
                <w:p>
                  <w:pPr>
                    <w:pStyle w:val="73"/>
                    <w:widowControl w:val="0"/>
                    <w:textAlignment w:val="baseline"/>
                    <w:rPr>
                      <w:color w:val="auto"/>
                      <w:highlight w:val="none"/>
                    </w:rPr>
                  </w:pPr>
                  <w:r>
                    <w:rPr>
                      <w:rFonts w:hint="eastAsia"/>
                      <w:color w:val="auto"/>
                      <w:highlight w:val="none"/>
                    </w:rPr>
                    <w:t>废气处理</w:t>
                  </w:r>
                </w:p>
              </w:tc>
              <w:tc>
                <w:tcPr>
                  <w:tcW w:w="0" w:type="auto"/>
                  <w:vAlign w:val="center"/>
                </w:tcPr>
                <w:p>
                  <w:pPr>
                    <w:pStyle w:val="73"/>
                    <w:widowControl w:val="0"/>
                    <w:textAlignment w:val="baseline"/>
                    <w:rPr>
                      <w:color w:val="auto"/>
                      <w:highlight w:val="none"/>
                    </w:rPr>
                  </w:pPr>
                  <w:r>
                    <w:rPr>
                      <w:rFonts w:hint="eastAsia"/>
                      <w:color w:val="auto"/>
                      <w:highlight w:val="none"/>
                    </w:rPr>
                    <w:t>废活性炭</w:t>
                  </w:r>
                </w:p>
              </w:tc>
              <w:tc>
                <w:tcPr>
                  <w:tcW w:w="0" w:type="auto"/>
                  <w:vMerge w:val="restart"/>
                  <w:vAlign w:val="center"/>
                </w:tcPr>
                <w:p>
                  <w:pPr>
                    <w:pStyle w:val="73"/>
                    <w:widowControl w:val="0"/>
                    <w:textAlignment w:val="baseline"/>
                    <w:rPr>
                      <w:color w:val="auto"/>
                      <w:highlight w:val="none"/>
                    </w:rPr>
                  </w:pPr>
                  <w:r>
                    <w:rPr>
                      <w:color w:val="auto"/>
                      <w:highlight w:val="none"/>
                    </w:rPr>
                    <w:t>危险废物</w:t>
                  </w:r>
                </w:p>
              </w:tc>
              <w:tc>
                <w:tcPr>
                  <w:tcW w:w="0" w:type="auto"/>
                  <w:vAlign w:val="center"/>
                </w:tcPr>
                <w:p>
                  <w:pPr>
                    <w:pStyle w:val="73"/>
                    <w:widowControl w:val="0"/>
                    <w:textAlignment w:val="baseline"/>
                    <w:rPr>
                      <w:color w:val="auto"/>
                      <w:highlight w:val="none"/>
                    </w:rPr>
                  </w:pPr>
                  <w:r>
                    <w:rPr>
                      <w:rFonts w:hint="eastAsia"/>
                      <w:color w:val="auto"/>
                      <w:highlight w:val="none"/>
                    </w:rPr>
                    <w:t>0.8567</w:t>
                  </w:r>
                </w:p>
              </w:tc>
              <w:tc>
                <w:tcPr>
                  <w:tcW w:w="0" w:type="auto"/>
                  <w:vMerge w:val="restart"/>
                  <w:vAlign w:val="center"/>
                </w:tcPr>
                <w:p>
                  <w:pPr>
                    <w:pStyle w:val="73"/>
                    <w:widowControl w:val="0"/>
                    <w:textAlignment w:val="baseline"/>
                    <w:rPr>
                      <w:color w:val="auto"/>
                      <w:highlight w:val="none"/>
                    </w:rPr>
                  </w:pPr>
                  <w:r>
                    <w:rPr>
                      <w:color w:val="auto"/>
                      <w:highlight w:val="none"/>
                    </w:rPr>
                    <w:t>收集后交资质</w:t>
                  </w:r>
                </w:p>
                <w:p>
                  <w:pPr>
                    <w:pStyle w:val="73"/>
                    <w:widowControl w:val="0"/>
                    <w:textAlignment w:val="baseline"/>
                    <w:rPr>
                      <w:color w:val="auto"/>
                      <w:highlight w:val="none"/>
                    </w:rPr>
                  </w:pPr>
                  <w:r>
                    <w:rPr>
                      <w:color w:val="auto"/>
                      <w:highlight w:val="none"/>
                    </w:rPr>
                    <w:t>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0" w:type="auto"/>
                  <w:vMerge w:val="restart"/>
                  <w:vAlign w:val="center"/>
                </w:tcPr>
                <w:p>
                  <w:pPr>
                    <w:pStyle w:val="73"/>
                    <w:widowControl w:val="0"/>
                    <w:textAlignment w:val="baseline"/>
                    <w:rPr>
                      <w:color w:val="auto"/>
                      <w:highlight w:val="none"/>
                    </w:rPr>
                  </w:pPr>
                  <w:r>
                    <w:rPr>
                      <w:rFonts w:hint="eastAsia"/>
                      <w:color w:val="auto"/>
                      <w:highlight w:val="none"/>
                    </w:rPr>
                    <w:t>设备日常维护</w:t>
                  </w:r>
                </w:p>
              </w:tc>
              <w:tc>
                <w:tcPr>
                  <w:tcW w:w="0" w:type="auto"/>
                  <w:vAlign w:val="center"/>
                </w:tcPr>
                <w:p>
                  <w:pPr>
                    <w:pStyle w:val="73"/>
                    <w:widowControl w:val="0"/>
                    <w:textAlignment w:val="baseline"/>
                    <w:rPr>
                      <w:color w:val="auto"/>
                      <w:highlight w:val="none"/>
                    </w:rPr>
                  </w:pPr>
                  <w:r>
                    <w:rPr>
                      <w:color w:val="auto"/>
                      <w:highlight w:val="none"/>
                    </w:rPr>
                    <w:t>含油废抹布</w:t>
                  </w:r>
                  <w:r>
                    <w:rPr>
                      <w:rFonts w:hint="eastAsia"/>
                      <w:color w:val="auto"/>
                      <w:highlight w:val="none"/>
                      <w:lang w:val="en-US" w:eastAsia="zh-CN"/>
                    </w:rPr>
                    <w:t>及废</w:t>
                  </w:r>
                  <w:r>
                    <w:rPr>
                      <w:color w:val="auto"/>
                      <w:highlight w:val="none"/>
                    </w:rPr>
                    <w:t>手套</w:t>
                  </w:r>
                </w:p>
              </w:tc>
              <w:tc>
                <w:tcPr>
                  <w:tcW w:w="0" w:type="auto"/>
                  <w:vMerge w:val="continue"/>
                  <w:vAlign w:val="center"/>
                </w:tcPr>
                <w:p>
                  <w:pPr>
                    <w:pStyle w:val="73"/>
                    <w:widowControl w:val="0"/>
                    <w:textAlignment w:val="baseline"/>
                    <w:rPr>
                      <w:color w:val="auto"/>
                      <w:highlight w:val="none"/>
                    </w:rPr>
                  </w:pPr>
                </w:p>
              </w:tc>
              <w:tc>
                <w:tcPr>
                  <w:tcW w:w="0" w:type="auto"/>
                  <w:vAlign w:val="center"/>
                </w:tcPr>
                <w:p>
                  <w:pPr>
                    <w:pStyle w:val="73"/>
                    <w:widowControl w:val="0"/>
                    <w:textAlignment w:val="baseline"/>
                    <w:rPr>
                      <w:color w:val="auto"/>
                      <w:highlight w:val="none"/>
                    </w:rPr>
                  </w:pPr>
                  <w:r>
                    <w:rPr>
                      <w:rFonts w:hint="eastAsia"/>
                      <w:color w:val="auto"/>
                      <w:highlight w:val="none"/>
                    </w:rPr>
                    <w:t>0.05</w:t>
                  </w:r>
                </w:p>
              </w:tc>
              <w:tc>
                <w:tcPr>
                  <w:tcW w:w="0" w:type="auto"/>
                  <w:vMerge w:val="continue"/>
                  <w:vAlign w:val="center"/>
                </w:tcPr>
                <w:p>
                  <w:pPr>
                    <w:pStyle w:val="73"/>
                    <w:widowControl w:val="0"/>
                    <w:textAlignment w:val="baseline"/>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1" w:hRule="atLeast"/>
                <w:jc w:val="center"/>
              </w:trPr>
              <w:tc>
                <w:tcPr>
                  <w:tcW w:w="0" w:type="auto"/>
                  <w:vMerge w:val="continue"/>
                  <w:vAlign w:val="center"/>
                </w:tcPr>
                <w:p>
                  <w:pPr>
                    <w:pStyle w:val="73"/>
                    <w:widowControl w:val="0"/>
                    <w:textAlignment w:val="baseline"/>
                    <w:rPr>
                      <w:color w:val="auto"/>
                      <w:highlight w:val="none"/>
                    </w:rPr>
                  </w:pPr>
                </w:p>
              </w:tc>
              <w:tc>
                <w:tcPr>
                  <w:tcW w:w="0" w:type="auto"/>
                  <w:vAlign w:val="center"/>
                </w:tcPr>
                <w:p>
                  <w:pPr>
                    <w:pStyle w:val="73"/>
                    <w:widowControl w:val="0"/>
                    <w:textAlignment w:val="baseline"/>
                    <w:rPr>
                      <w:color w:val="auto"/>
                      <w:highlight w:val="none"/>
                    </w:rPr>
                  </w:pPr>
                  <w:r>
                    <w:rPr>
                      <w:color w:val="auto"/>
                      <w:highlight w:val="none"/>
                    </w:rPr>
                    <w:t>废</w:t>
                  </w:r>
                  <w:r>
                    <w:rPr>
                      <w:rFonts w:hint="eastAsia"/>
                      <w:color w:val="auto"/>
                      <w:highlight w:val="none"/>
                      <w:lang w:val="en-US" w:eastAsia="zh-CN"/>
                    </w:rPr>
                    <w:t>包装</w:t>
                  </w:r>
                  <w:r>
                    <w:rPr>
                      <w:color w:val="auto"/>
                      <w:highlight w:val="none"/>
                    </w:rPr>
                    <w:t>桶</w:t>
                  </w:r>
                </w:p>
              </w:tc>
              <w:tc>
                <w:tcPr>
                  <w:tcW w:w="0" w:type="auto"/>
                  <w:vMerge w:val="continue"/>
                  <w:vAlign w:val="center"/>
                </w:tcPr>
                <w:p>
                  <w:pPr>
                    <w:pStyle w:val="73"/>
                    <w:widowControl w:val="0"/>
                    <w:textAlignment w:val="baseline"/>
                    <w:rPr>
                      <w:color w:val="auto"/>
                      <w:highlight w:val="none"/>
                    </w:rPr>
                  </w:pPr>
                </w:p>
              </w:tc>
              <w:tc>
                <w:tcPr>
                  <w:tcW w:w="0" w:type="auto"/>
                  <w:vAlign w:val="center"/>
                </w:tcPr>
                <w:p>
                  <w:pPr>
                    <w:pStyle w:val="73"/>
                    <w:widowControl w:val="0"/>
                    <w:textAlignment w:val="baseline"/>
                    <w:rPr>
                      <w:color w:val="auto"/>
                      <w:highlight w:val="none"/>
                    </w:rPr>
                  </w:pPr>
                  <w:r>
                    <w:rPr>
                      <w:rFonts w:hint="eastAsia"/>
                      <w:color w:val="auto"/>
                      <w:highlight w:val="none"/>
                    </w:rPr>
                    <w:t>0.05</w:t>
                  </w:r>
                </w:p>
              </w:tc>
              <w:tc>
                <w:tcPr>
                  <w:tcW w:w="0" w:type="auto"/>
                  <w:vMerge w:val="continue"/>
                  <w:vAlign w:val="center"/>
                </w:tcPr>
                <w:p>
                  <w:pPr>
                    <w:pStyle w:val="73"/>
                    <w:widowControl w:val="0"/>
                    <w:textAlignment w:val="baseline"/>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0" w:type="auto"/>
                  <w:vMerge w:val="continue"/>
                  <w:vAlign w:val="center"/>
                </w:tcPr>
                <w:p>
                  <w:pPr>
                    <w:pStyle w:val="73"/>
                    <w:widowControl w:val="0"/>
                    <w:textAlignment w:val="baseline"/>
                    <w:rPr>
                      <w:color w:val="auto"/>
                      <w:highlight w:val="none"/>
                    </w:rPr>
                  </w:pPr>
                </w:p>
              </w:tc>
              <w:tc>
                <w:tcPr>
                  <w:tcW w:w="0" w:type="auto"/>
                  <w:vAlign w:val="center"/>
                </w:tcPr>
                <w:p>
                  <w:pPr>
                    <w:pStyle w:val="73"/>
                    <w:widowControl w:val="0"/>
                    <w:textAlignment w:val="baseline"/>
                    <w:rPr>
                      <w:rFonts w:hint="eastAsia" w:eastAsia="宋体"/>
                      <w:color w:val="auto"/>
                      <w:highlight w:val="none"/>
                      <w:lang w:val="en-US" w:eastAsia="zh-CN"/>
                    </w:rPr>
                  </w:pPr>
                  <w:r>
                    <w:rPr>
                      <w:color w:val="auto"/>
                      <w:highlight w:val="none"/>
                    </w:rPr>
                    <w:t>废</w:t>
                  </w:r>
                  <w:r>
                    <w:rPr>
                      <w:rFonts w:hint="eastAsia"/>
                      <w:color w:val="auto"/>
                      <w:highlight w:val="none"/>
                      <w:lang w:val="en-US" w:eastAsia="zh-CN"/>
                    </w:rPr>
                    <w:t>机油</w:t>
                  </w:r>
                </w:p>
              </w:tc>
              <w:tc>
                <w:tcPr>
                  <w:tcW w:w="0" w:type="auto"/>
                  <w:vMerge w:val="continue"/>
                  <w:vAlign w:val="center"/>
                </w:tcPr>
                <w:p>
                  <w:pPr>
                    <w:pStyle w:val="73"/>
                    <w:widowControl w:val="0"/>
                    <w:textAlignment w:val="baseline"/>
                    <w:rPr>
                      <w:color w:val="auto"/>
                      <w:highlight w:val="none"/>
                    </w:rPr>
                  </w:pPr>
                </w:p>
              </w:tc>
              <w:tc>
                <w:tcPr>
                  <w:tcW w:w="0" w:type="auto"/>
                  <w:vAlign w:val="center"/>
                </w:tcPr>
                <w:p>
                  <w:pPr>
                    <w:pStyle w:val="73"/>
                    <w:widowControl w:val="0"/>
                    <w:textAlignment w:val="baseline"/>
                    <w:rPr>
                      <w:color w:val="auto"/>
                      <w:highlight w:val="none"/>
                    </w:rPr>
                  </w:pPr>
                  <w:r>
                    <w:rPr>
                      <w:rFonts w:hint="eastAsia"/>
                      <w:color w:val="auto"/>
                      <w:highlight w:val="none"/>
                    </w:rPr>
                    <w:t>0.1</w:t>
                  </w:r>
                </w:p>
              </w:tc>
              <w:tc>
                <w:tcPr>
                  <w:tcW w:w="0" w:type="auto"/>
                  <w:vMerge w:val="continue"/>
                  <w:vAlign w:val="center"/>
                </w:tcPr>
                <w:p>
                  <w:pPr>
                    <w:pStyle w:val="73"/>
                    <w:widowControl w:val="0"/>
                    <w:textAlignment w:val="baseline"/>
                    <w:rPr>
                      <w:color w:val="auto"/>
                      <w:highlight w:val="none"/>
                    </w:rPr>
                  </w:pPr>
                </w:p>
              </w:tc>
            </w:tr>
          </w:tbl>
          <w:p>
            <w:pPr>
              <w:widowControl/>
              <w:spacing w:before="120" w:beforeLines="50" w:line="360" w:lineRule="auto"/>
              <w:ind w:firstLine="422" w:firstLineChars="200"/>
              <w:rPr>
                <w:b/>
                <w:bCs/>
                <w:color w:val="auto"/>
                <w:highlight w:val="none"/>
              </w:rPr>
            </w:pPr>
            <w:r>
              <w:rPr>
                <w:b/>
                <w:bCs/>
                <w:color w:val="auto"/>
                <w:highlight w:val="none"/>
              </w:rPr>
              <w:t>（1）一般固体废物</w:t>
            </w:r>
          </w:p>
          <w:p>
            <w:pPr>
              <w:adjustRightInd w:val="0"/>
              <w:snapToGrid w:val="0"/>
              <w:spacing w:line="360" w:lineRule="auto"/>
              <w:ind w:firstLine="420" w:firstLineChars="200"/>
              <w:rPr>
                <w:color w:val="auto"/>
                <w:kern w:val="0"/>
                <w:szCs w:val="21"/>
                <w:highlight w:val="none"/>
              </w:rPr>
            </w:pPr>
            <w:r>
              <w:rPr>
                <w:rFonts w:hint="eastAsia"/>
                <w:color w:val="auto"/>
                <w:kern w:val="0"/>
                <w:szCs w:val="21"/>
                <w:highlight w:val="none"/>
              </w:rPr>
              <w:t>①布袋除尘器收集的粉料</w:t>
            </w:r>
          </w:p>
          <w:p>
            <w:pPr>
              <w:adjustRightInd w:val="0"/>
              <w:snapToGrid w:val="0"/>
              <w:spacing w:line="360" w:lineRule="auto"/>
              <w:ind w:firstLine="420" w:firstLineChars="200"/>
              <w:rPr>
                <w:rFonts w:hint="eastAsia"/>
                <w:color w:val="auto"/>
                <w:kern w:val="0"/>
                <w:szCs w:val="21"/>
                <w:highlight w:val="none"/>
              </w:rPr>
            </w:pPr>
            <w:r>
              <w:rPr>
                <w:rFonts w:hint="eastAsia"/>
                <w:color w:val="auto"/>
                <w:kern w:val="0"/>
                <w:szCs w:val="21"/>
                <w:highlight w:val="none"/>
              </w:rPr>
              <w:t>项目布袋除尘器收集的粉料量为0.2452t/a，属于一般工业废物，</w:t>
            </w:r>
            <w:r>
              <w:rPr>
                <w:color w:val="auto"/>
                <w:szCs w:val="21"/>
                <w:highlight w:val="none"/>
              </w:rPr>
              <w:t>根据</w:t>
            </w:r>
            <w:r>
              <w:rPr>
                <w:rFonts w:hint="eastAsia"/>
                <w:color w:val="auto"/>
                <w:szCs w:val="21"/>
                <w:highlight w:val="none"/>
              </w:rPr>
              <w:t>《一般固体废物分类与代码》（GB/T39198-2020），细分代码为VI-66-900-999-66（非特定行业生产过程中产生的工业粉尘），</w:t>
            </w:r>
            <w:r>
              <w:rPr>
                <w:rFonts w:hint="eastAsia"/>
                <w:color w:val="auto"/>
                <w:kern w:val="0"/>
                <w:szCs w:val="21"/>
                <w:highlight w:val="none"/>
              </w:rPr>
              <w:t>收集后返回项目生产。</w:t>
            </w:r>
          </w:p>
          <w:p>
            <w:pPr>
              <w:adjustRightInd w:val="0"/>
              <w:snapToGrid w:val="0"/>
              <w:spacing w:line="360" w:lineRule="auto"/>
              <w:ind w:firstLine="420" w:firstLineChars="200"/>
              <w:rPr>
                <w:rFonts w:hint="eastAsia"/>
                <w:color w:val="auto"/>
                <w:szCs w:val="21"/>
                <w:highlight w:val="none"/>
                <w:lang w:val="en-US" w:eastAsia="zh-CN"/>
              </w:rPr>
            </w:pPr>
            <w:r>
              <w:rPr>
                <w:color w:val="auto"/>
                <w:szCs w:val="21"/>
                <w:highlight w:val="none"/>
              </w:rPr>
              <w:t>②废</w:t>
            </w:r>
            <w:r>
              <w:rPr>
                <w:rFonts w:hint="eastAsia"/>
                <w:color w:val="auto"/>
                <w:szCs w:val="21"/>
                <w:highlight w:val="none"/>
                <w:lang w:val="en-US" w:eastAsia="zh-CN"/>
              </w:rPr>
              <w:t>包装材料</w:t>
            </w:r>
          </w:p>
          <w:p>
            <w:pPr>
              <w:adjustRightInd w:val="0"/>
              <w:snapToGrid w:val="0"/>
              <w:spacing w:line="360" w:lineRule="auto"/>
              <w:ind w:firstLine="420" w:firstLineChars="200"/>
              <w:rPr>
                <w:rFonts w:hint="default" w:eastAsia="宋体"/>
                <w:color w:val="auto"/>
                <w:szCs w:val="21"/>
                <w:highlight w:val="none"/>
                <w:lang w:val="en-US" w:eastAsia="zh-CN"/>
              </w:rPr>
            </w:pPr>
            <w:r>
              <w:rPr>
                <w:rFonts w:hint="eastAsia"/>
                <w:color w:val="auto"/>
                <w:szCs w:val="21"/>
                <w:highlight w:val="none"/>
                <w:lang w:val="en-US" w:eastAsia="zh-CN"/>
              </w:rPr>
              <w:t>项目分装的时候会产生少量的废包装材料，年产生量为0.05t/a，</w:t>
            </w:r>
            <w:r>
              <w:rPr>
                <w:rFonts w:hint="eastAsia"/>
                <w:color w:val="auto"/>
                <w:szCs w:val="21"/>
                <w:highlight w:val="none"/>
              </w:rPr>
              <w:t>属于一般工业废物，根据《一般固体废物分类与代码》（GB/T39198-2020），细分代码为VI-</w:t>
            </w:r>
            <w:r>
              <w:rPr>
                <w:rFonts w:hint="eastAsia"/>
                <w:color w:val="auto"/>
                <w:szCs w:val="21"/>
                <w:highlight w:val="none"/>
                <w:lang w:val="en-US" w:eastAsia="zh-CN"/>
              </w:rPr>
              <w:t>99</w:t>
            </w:r>
            <w:r>
              <w:rPr>
                <w:rFonts w:hint="eastAsia"/>
                <w:color w:val="auto"/>
                <w:szCs w:val="21"/>
                <w:highlight w:val="none"/>
              </w:rPr>
              <w:t>-900-999-</w:t>
            </w:r>
            <w:r>
              <w:rPr>
                <w:rFonts w:hint="eastAsia"/>
                <w:color w:val="auto"/>
                <w:szCs w:val="21"/>
                <w:highlight w:val="none"/>
                <w:lang w:val="en-US" w:eastAsia="zh-CN"/>
              </w:rPr>
              <w:t>99</w:t>
            </w:r>
            <w:r>
              <w:rPr>
                <w:rFonts w:hint="eastAsia"/>
                <w:color w:val="auto"/>
                <w:szCs w:val="21"/>
                <w:highlight w:val="none"/>
              </w:rPr>
              <w:t>（非特定行业生产过程中产生的</w:t>
            </w:r>
            <w:r>
              <w:rPr>
                <w:rFonts w:hint="eastAsia"/>
                <w:color w:val="auto"/>
                <w:szCs w:val="21"/>
                <w:highlight w:val="none"/>
                <w:lang w:val="en-US" w:eastAsia="zh-CN"/>
              </w:rPr>
              <w:t>其他废物</w:t>
            </w:r>
            <w:r>
              <w:rPr>
                <w:rFonts w:hint="eastAsia"/>
                <w:color w:val="auto"/>
                <w:szCs w:val="21"/>
                <w:highlight w:val="none"/>
              </w:rPr>
              <w:t>）</w:t>
            </w:r>
            <w:r>
              <w:rPr>
                <w:rFonts w:hint="eastAsia"/>
                <w:color w:val="auto"/>
                <w:szCs w:val="21"/>
                <w:highlight w:val="none"/>
                <w:lang w:eastAsia="zh-CN"/>
              </w:rPr>
              <w:t>，</w:t>
            </w:r>
            <w:r>
              <w:rPr>
                <w:rFonts w:hint="eastAsia"/>
                <w:color w:val="auto"/>
                <w:szCs w:val="21"/>
                <w:highlight w:val="none"/>
                <w:lang w:val="en-US" w:eastAsia="zh-CN"/>
              </w:rPr>
              <w:t>收集后交专业的公司处理。</w:t>
            </w:r>
          </w:p>
          <w:p>
            <w:pPr>
              <w:adjustRightInd w:val="0"/>
              <w:snapToGrid w:val="0"/>
              <w:spacing w:line="360" w:lineRule="auto"/>
              <w:ind w:firstLine="422" w:firstLineChars="200"/>
              <w:rPr>
                <w:b/>
                <w:bCs/>
                <w:color w:val="auto"/>
                <w:szCs w:val="21"/>
                <w:highlight w:val="none"/>
              </w:rPr>
            </w:pPr>
            <w:r>
              <w:rPr>
                <w:b/>
                <w:bCs/>
                <w:color w:val="auto"/>
                <w:szCs w:val="21"/>
                <w:highlight w:val="none"/>
              </w:rPr>
              <w:t>（2）危险废物</w:t>
            </w:r>
          </w:p>
          <w:p>
            <w:pPr>
              <w:adjustRightInd w:val="0"/>
              <w:snapToGrid w:val="0"/>
              <w:spacing w:line="360" w:lineRule="auto"/>
              <w:ind w:firstLine="420" w:firstLineChars="200"/>
              <w:rPr>
                <w:color w:val="auto"/>
                <w:szCs w:val="21"/>
                <w:highlight w:val="none"/>
              </w:rPr>
            </w:pPr>
            <w:r>
              <w:rPr>
                <w:color w:val="auto"/>
                <w:szCs w:val="21"/>
                <w:highlight w:val="none"/>
              </w:rPr>
              <w:t>①含油抹布及手套</w:t>
            </w:r>
          </w:p>
          <w:p>
            <w:pPr>
              <w:adjustRightInd w:val="0"/>
              <w:snapToGrid w:val="0"/>
              <w:spacing w:line="360" w:lineRule="auto"/>
              <w:ind w:firstLine="420" w:firstLineChars="200"/>
              <w:rPr>
                <w:color w:val="auto"/>
                <w:szCs w:val="21"/>
                <w:highlight w:val="none"/>
              </w:rPr>
            </w:pPr>
            <w:r>
              <w:rPr>
                <w:color w:val="auto"/>
                <w:szCs w:val="21"/>
                <w:highlight w:val="none"/>
              </w:rPr>
              <w:t>项目生产过程会产生含油抹布及手套，年产生量约为0.05t/a，根据《国家危险废物名录》（2021版），属危险废物（废物类别：HW49，废物代码：900-041-49），收集后交由有资质单位进行处置。</w:t>
            </w:r>
          </w:p>
          <w:p>
            <w:pPr>
              <w:adjustRightInd w:val="0"/>
              <w:snapToGrid w:val="0"/>
              <w:spacing w:line="360" w:lineRule="auto"/>
              <w:ind w:firstLine="420" w:firstLineChars="200"/>
              <w:rPr>
                <w:color w:val="auto"/>
                <w:szCs w:val="21"/>
                <w:highlight w:val="none"/>
              </w:rPr>
            </w:pPr>
            <w:r>
              <w:rPr>
                <w:color w:val="auto"/>
                <w:szCs w:val="21"/>
                <w:highlight w:val="none"/>
              </w:rPr>
              <w:t>②废</w:t>
            </w:r>
            <w:r>
              <w:rPr>
                <w:rFonts w:hint="eastAsia"/>
                <w:color w:val="auto"/>
                <w:szCs w:val="21"/>
                <w:highlight w:val="none"/>
                <w:lang w:val="en-US" w:eastAsia="zh-CN"/>
              </w:rPr>
              <w:t>包装</w:t>
            </w:r>
            <w:r>
              <w:rPr>
                <w:color w:val="auto"/>
                <w:szCs w:val="21"/>
                <w:highlight w:val="none"/>
              </w:rPr>
              <w:t>桶</w:t>
            </w:r>
          </w:p>
          <w:p>
            <w:pPr>
              <w:adjustRightInd w:val="0"/>
              <w:snapToGrid w:val="0"/>
              <w:spacing w:line="360" w:lineRule="auto"/>
              <w:ind w:firstLine="420" w:firstLineChars="200"/>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项目在生产过程和维护设备时使用机油和</w:t>
            </w:r>
            <w:r>
              <w:rPr>
                <w:rFonts w:hint="default" w:ascii="Times New Roman" w:hAnsi="Times New Roman" w:cs="Times New Roman"/>
                <w:color w:val="auto"/>
                <w:szCs w:val="21"/>
                <w:highlight w:val="none"/>
                <w:lang w:val="en-US" w:eastAsia="zh-CN"/>
              </w:rPr>
              <w:t>聚醚多元醇</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氯化石蜡</w:t>
            </w:r>
            <w:r>
              <w:rPr>
                <w:rFonts w:hint="eastAsia" w:ascii="Times New Roman" w:hAnsi="Times New Roman" w:cs="Times New Roman"/>
                <w:color w:val="auto"/>
                <w:szCs w:val="21"/>
                <w:highlight w:val="none"/>
                <w:lang w:val="en-US" w:eastAsia="zh-CN"/>
              </w:rPr>
              <w:t>、水性</w:t>
            </w:r>
            <w:r>
              <w:rPr>
                <w:rFonts w:hint="eastAsia" w:ascii="Times New Roman" w:hAnsi="Times New Roman" w:cs="Times New Roman"/>
                <w:color w:val="auto"/>
                <w:szCs w:val="21"/>
                <w:highlight w:val="none"/>
              </w:rPr>
              <w:t>丙烯酸乳液等会产生废包装桶，其产生量约为0.</w:t>
            </w:r>
            <w:r>
              <w:rPr>
                <w:rFonts w:hint="eastAsia" w:ascii="Times New Roman" w:hAnsi="Times New Roman" w:cs="Times New Roman"/>
                <w:color w:val="auto"/>
                <w:szCs w:val="21"/>
                <w:highlight w:val="none"/>
                <w:lang w:val="en-US" w:eastAsia="zh-CN"/>
              </w:rPr>
              <w:t>05</w:t>
            </w:r>
            <w:r>
              <w:rPr>
                <w:rFonts w:hint="eastAsia" w:ascii="Times New Roman" w:hAnsi="Times New Roman" w:cs="Times New Roman"/>
                <w:color w:val="auto"/>
                <w:szCs w:val="21"/>
                <w:highlight w:val="none"/>
              </w:rPr>
              <w:t>t/a，根据《国家危险废物名录》（2021版），该废物按照危险废物进行管理，危废类别：HW49其他废物，废物代码为900-041-49，收集后交由有危险废物处理资质的单位处理。</w:t>
            </w:r>
          </w:p>
          <w:p>
            <w:pPr>
              <w:adjustRightInd w:val="0"/>
              <w:snapToGrid w:val="0"/>
              <w:spacing w:line="360" w:lineRule="auto"/>
              <w:ind w:firstLine="420" w:firstLineChars="200"/>
              <w:rPr>
                <w:color w:val="auto"/>
                <w:kern w:val="0"/>
                <w:szCs w:val="21"/>
                <w:highlight w:val="none"/>
              </w:rPr>
            </w:pPr>
            <w:r>
              <w:rPr>
                <w:color w:val="auto"/>
                <w:kern w:val="0"/>
                <w:szCs w:val="21"/>
                <w:highlight w:val="none"/>
              </w:rPr>
              <w:t>③</w:t>
            </w:r>
            <w:r>
              <w:rPr>
                <w:rFonts w:hint="eastAsia"/>
                <w:color w:val="auto"/>
                <w:kern w:val="0"/>
                <w:szCs w:val="21"/>
                <w:highlight w:val="none"/>
              </w:rPr>
              <w:t>废</w:t>
            </w:r>
            <w:r>
              <w:rPr>
                <w:rFonts w:hint="eastAsia"/>
                <w:color w:val="auto"/>
                <w:kern w:val="0"/>
                <w:szCs w:val="21"/>
                <w:highlight w:val="none"/>
                <w:lang w:val="en-US" w:eastAsia="zh-CN"/>
              </w:rPr>
              <w:t>机</w:t>
            </w:r>
            <w:r>
              <w:rPr>
                <w:rFonts w:hint="eastAsia"/>
                <w:color w:val="auto"/>
                <w:kern w:val="0"/>
                <w:szCs w:val="21"/>
                <w:highlight w:val="none"/>
              </w:rPr>
              <w:t>油</w:t>
            </w:r>
          </w:p>
          <w:p>
            <w:pPr>
              <w:adjustRightInd w:val="0"/>
              <w:snapToGrid w:val="0"/>
              <w:spacing w:line="360" w:lineRule="auto"/>
              <w:ind w:firstLine="420" w:firstLineChars="200"/>
              <w:rPr>
                <w:color w:val="auto"/>
                <w:kern w:val="0"/>
                <w:szCs w:val="21"/>
                <w:highlight w:val="none"/>
              </w:rPr>
            </w:pPr>
            <w:r>
              <w:rPr>
                <w:color w:val="auto"/>
                <w:szCs w:val="21"/>
                <w:highlight w:val="none"/>
              </w:rPr>
              <w:t>项目</w:t>
            </w:r>
            <w:r>
              <w:rPr>
                <w:rFonts w:hint="eastAsia"/>
                <w:color w:val="auto"/>
                <w:szCs w:val="21"/>
                <w:highlight w:val="none"/>
              </w:rPr>
              <w:t>设备日常维护过程</w:t>
            </w:r>
            <w:r>
              <w:rPr>
                <w:color w:val="auto"/>
                <w:szCs w:val="21"/>
                <w:highlight w:val="none"/>
              </w:rPr>
              <w:t>会产生</w:t>
            </w:r>
            <w:r>
              <w:rPr>
                <w:rFonts w:hint="eastAsia"/>
                <w:color w:val="auto"/>
                <w:szCs w:val="21"/>
                <w:highlight w:val="none"/>
              </w:rPr>
              <w:t>废</w:t>
            </w:r>
            <w:r>
              <w:rPr>
                <w:rFonts w:hint="eastAsia"/>
                <w:color w:val="auto"/>
                <w:szCs w:val="21"/>
                <w:highlight w:val="none"/>
                <w:lang w:val="en-US" w:eastAsia="zh-CN"/>
              </w:rPr>
              <w:t>机</w:t>
            </w:r>
            <w:r>
              <w:rPr>
                <w:rFonts w:hint="eastAsia"/>
                <w:color w:val="auto"/>
                <w:szCs w:val="21"/>
                <w:highlight w:val="none"/>
              </w:rPr>
              <w:t>油，</w:t>
            </w:r>
            <w:r>
              <w:rPr>
                <w:color w:val="auto"/>
                <w:szCs w:val="21"/>
                <w:highlight w:val="none"/>
              </w:rPr>
              <w:t>年产生量为0.</w:t>
            </w:r>
            <w:r>
              <w:rPr>
                <w:rFonts w:hint="eastAsia"/>
                <w:color w:val="auto"/>
                <w:szCs w:val="21"/>
                <w:highlight w:val="none"/>
              </w:rPr>
              <w:t>1</w:t>
            </w:r>
            <w:r>
              <w:rPr>
                <w:color w:val="auto"/>
                <w:szCs w:val="21"/>
                <w:highlight w:val="none"/>
              </w:rPr>
              <w:t>t/a，根据《国家危险废物名录》（2021版），属危险废物（废物类别：HW49，废物代码：900-</w:t>
            </w:r>
            <w:r>
              <w:rPr>
                <w:rFonts w:hint="eastAsia"/>
                <w:color w:val="auto"/>
                <w:szCs w:val="21"/>
                <w:highlight w:val="none"/>
              </w:rPr>
              <w:t>214</w:t>
            </w:r>
            <w:r>
              <w:rPr>
                <w:color w:val="auto"/>
                <w:szCs w:val="21"/>
                <w:highlight w:val="none"/>
              </w:rPr>
              <w:t>-</w:t>
            </w:r>
            <w:r>
              <w:rPr>
                <w:rFonts w:hint="eastAsia"/>
                <w:color w:val="auto"/>
                <w:szCs w:val="21"/>
                <w:highlight w:val="none"/>
              </w:rPr>
              <w:t>08</w:t>
            </w:r>
            <w:r>
              <w:rPr>
                <w:color w:val="auto"/>
                <w:szCs w:val="21"/>
                <w:highlight w:val="none"/>
              </w:rPr>
              <w:t>），收集后交由有相应危废处理资质的单位外运处理。</w:t>
            </w:r>
          </w:p>
          <w:p>
            <w:pPr>
              <w:adjustRightInd w:val="0"/>
              <w:snapToGrid w:val="0"/>
              <w:spacing w:line="360" w:lineRule="auto"/>
              <w:ind w:firstLine="420" w:firstLineChars="200"/>
              <w:rPr>
                <w:color w:val="auto"/>
                <w:kern w:val="0"/>
                <w:szCs w:val="21"/>
                <w:highlight w:val="none"/>
              </w:rPr>
            </w:pPr>
            <w:r>
              <w:rPr>
                <w:rFonts w:hint="eastAsia"/>
                <w:color w:val="auto"/>
                <w:kern w:val="0"/>
                <w:szCs w:val="21"/>
                <w:highlight w:val="none"/>
              </w:rPr>
              <w:t>④</w:t>
            </w:r>
            <w:r>
              <w:rPr>
                <w:color w:val="auto"/>
                <w:kern w:val="0"/>
                <w:szCs w:val="21"/>
                <w:highlight w:val="none"/>
              </w:rPr>
              <w:t>废活性炭</w:t>
            </w:r>
          </w:p>
          <w:p>
            <w:pPr>
              <w:adjustRightInd w:val="0"/>
              <w:snapToGrid w:val="0"/>
              <w:spacing w:line="360" w:lineRule="auto"/>
              <w:ind w:firstLine="420" w:firstLineChars="200"/>
              <w:rPr>
                <w:color w:val="auto"/>
                <w:highlight w:val="none"/>
              </w:rPr>
            </w:pPr>
            <w:r>
              <w:rPr>
                <w:color w:val="auto"/>
                <w:szCs w:val="21"/>
                <w:highlight w:val="none"/>
              </w:rPr>
              <w:t>本项目产生的有机废气</w:t>
            </w:r>
            <w:r>
              <w:rPr>
                <w:rFonts w:hint="eastAsia"/>
                <w:color w:val="auto"/>
                <w:szCs w:val="21"/>
                <w:highlight w:val="none"/>
              </w:rPr>
              <w:t>采用</w:t>
            </w:r>
            <w:r>
              <w:rPr>
                <w:rFonts w:hint="eastAsia"/>
                <w:color w:val="auto"/>
                <w:szCs w:val="21"/>
                <w:highlight w:val="none"/>
                <w:lang w:val="en-US" w:eastAsia="zh-CN"/>
              </w:rPr>
              <w:t>二</w:t>
            </w:r>
            <w:r>
              <w:rPr>
                <w:rFonts w:hint="eastAsia"/>
                <w:color w:val="auto"/>
                <w:szCs w:val="21"/>
                <w:highlight w:val="none"/>
              </w:rPr>
              <w:t>级活性炭吸附装置</w:t>
            </w:r>
            <w:r>
              <w:rPr>
                <w:rFonts w:hint="eastAsia" w:ascii="宋体" w:hAnsi="宋体"/>
                <w:color w:val="auto"/>
                <w:szCs w:val="21"/>
                <w:highlight w:val="none"/>
              </w:rPr>
              <w:t>处理</w:t>
            </w:r>
            <w:r>
              <w:rPr>
                <w:color w:val="auto"/>
                <w:szCs w:val="21"/>
                <w:highlight w:val="none"/>
              </w:rPr>
              <w:t>，有机废气治理过程会产生废活性炭。根据《现代涂装手册》（化学工业出版社，2010 年出版），活性炭对有机废气各成分的吸附量约为0.2g废气/g活性炭，根据工程分析，本项目有机废气</w:t>
            </w:r>
            <w:r>
              <w:rPr>
                <w:rFonts w:hint="eastAsia"/>
                <w:color w:val="auto"/>
                <w:szCs w:val="21"/>
                <w:highlight w:val="none"/>
              </w:rPr>
              <w:t>吸附量</w:t>
            </w:r>
            <w:r>
              <w:rPr>
                <w:color w:val="auto"/>
                <w:szCs w:val="21"/>
                <w:highlight w:val="none"/>
              </w:rPr>
              <w:t>约为0.</w:t>
            </w:r>
            <w:r>
              <w:rPr>
                <w:rFonts w:hint="eastAsia"/>
                <w:color w:val="auto"/>
                <w:szCs w:val="21"/>
                <w:highlight w:val="none"/>
              </w:rPr>
              <w:t>0567t/a，</w:t>
            </w:r>
            <w:r>
              <w:rPr>
                <w:color w:val="auto"/>
                <w:szCs w:val="21"/>
                <w:highlight w:val="none"/>
              </w:rPr>
              <w:t>则本项目吸附有机废气理论所需的活性炭用量约为0.</w:t>
            </w:r>
            <w:r>
              <w:rPr>
                <w:rFonts w:hint="eastAsia"/>
                <w:color w:val="auto"/>
                <w:szCs w:val="21"/>
                <w:highlight w:val="none"/>
              </w:rPr>
              <w:t>2835</w:t>
            </w:r>
            <w:r>
              <w:rPr>
                <w:color w:val="auto"/>
                <w:szCs w:val="21"/>
                <w:highlight w:val="none"/>
              </w:rPr>
              <w:t>t/a。</w:t>
            </w:r>
            <w:r>
              <w:rPr>
                <w:rFonts w:hint="eastAsia"/>
                <w:color w:val="auto"/>
                <w:szCs w:val="21"/>
                <w:highlight w:val="none"/>
              </w:rPr>
              <w:t>项</w:t>
            </w:r>
            <w:r>
              <w:rPr>
                <w:color w:val="auto"/>
                <w:szCs w:val="21"/>
                <w:highlight w:val="none"/>
              </w:rPr>
              <w:t>目使用</w:t>
            </w:r>
            <w:r>
              <w:rPr>
                <w:rFonts w:hint="eastAsia"/>
                <w:color w:val="auto"/>
                <w:szCs w:val="21"/>
                <w:highlight w:val="none"/>
              </w:rPr>
              <w:t>一</w:t>
            </w:r>
            <w:r>
              <w:rPr>
                <w:color w:val="auto"/>
                <w:szCs w:val="21"/>
                <w:highlight w:val="none"/>
              </w:rPr>
              <w:t>套风量</w:t>
            </w:r>
            <w:r>
              <w:rPr>
                <w:rFonts w:hint="eastAsia"/>
                <w:color w:val="auto"/>
                <w:szCs w:val="21"/>
                <w:highlight w:val="none"/>
              </w:rPr>
              <w:t>为1</w:t>
            </w:r>
            <w:r>
              <w:rPr>
                <w:rFonts w:hint="eastAsia"/>
                <w:color w:val="auto"/>
                <w:szCs w:val="21"/>
                <w:highlight w:val="none"/>
                <w:lang w:val="en-US" w:eastAsia="zh-CN"/>
              </w:rPr>
              <w:t>5</w:t>
            </w:r>
            <w:r>
              <w:rPr>
                <w:rFonts w:hint="eastAsia"/>
                <w:color w:val="auto"/>
                <w:szCs w:val="21"/>
                <w:highlight w:val="none"/>
              </w:rPr>
              <w:t>000m</w:t>
            </w:r>
            <w:r>
              <w:rPr>
                <w:rFonts w:hint="eastAsia"/>
                <w:color w:val="auto"/>
                <w:szCs w:val="21"/>
                <w:highlight w:val="none"/>
                <w:vertAlign w:val="superscript"/>
              </w:rPr>
              <w:t>3</w:t>
            </w:r>
            <w:r>
              <w:rPr>
                <w:rFonts w:hint="eastAsia"/>
                <w:color w:val="auto"/>
                <w:szCs w:val="21"/>
                <w:highlight w:val="none"/>
              </w:rPr>
              <w:t>/h的</w:t>
            </w:r>
            <w:r>
              <w:rPr>
                <w:rFonts w:hint="eastAsia"/>
                <w:color w:val="auto"/>
                <w:szCs w:val="21"/>
                <w:highlight w:val="none"/>
                <w:lang w:val="en-US" w:eastAsia="zh-CN"/>
              </w:rPr>
              <w:t>二</w:t>
            </w:r>
            <w:r>
              <w:rPr>
                <w:rFonts w:hint="eastAsia"/>
                <w:color w:val="auto"/>
                <w:szCs w:val="21"/>
                <w:highlight w:val="none"/>
              </w:rPr>
              <w:t>级</w:t>
            </w:r>
            <w:r>
              <w:rPr>
                <w:color w:val="auto"/>
                <w:szCs w:val="21"/>
                <w:highlight w:val="none"/>
              </w:rPr>
              <w:t>活性炭吸附装置处理有机废气，</w:t>
            </w:r>
            <w:r>
              <w:rPr>
                <w:rFonts w:hint="eastAsia"/>
                <w:color w:val="auto"/>
                <w:szCs w:val="21"/>
                <w:highlight w:val="none"/>
              </w:rPr>
              <w:t>该</w:t>
            </w:r>
            <w:r>
              <w:rPr>
                <w:color w:val="auto"/>
                <w:szCs w:val="21"/>
                <w:highlight w:val="none"/>
              </w:rPr>
              <w:t>风量对应的活性炭装填量</w:t>
            </w:r>
            <w:r>
              <w:rPr>
                <w:rFonts w:hint="eastAsia"/>
                <w:color w:val="auto"/>
                <w:szCs w:val="21"/>
                <w:highlight w:val="none"/>
              </w:rPr>
              <w:t>约</w:t>
            </w:r>
            <w:r>
              <w:rPr>
                <w:color w:val="auto"/>
                <w:szCs w:val="21"/>
                <w:highlight w:val="none"/>
              </w:rPr>
              <w:t>为</w:t>
            </w:r>
            <w:r>
              <w:rPr>
                <w:rFonts w:hint="eastAsia"/>
                <w:color w:val="auto"/>
                <w:szCs w:val="21"/>
                <w:highlight w:val="none"/>
              </w:rPr>
              <w:t>0.</w:t>
            </w:r>
            <w:r>
              <w:rPr>
                <w:color w:val="auto"/>
                <w:szCs w:val="21"/>
                <w:highlight w:val="none"/>
              </w:rPr>
              <w:t>2</w:t>
            </w:r>
            <w:r>
              <w:rPr>
                <w:rFonts w:hint="eastAsia"/>
                <w:color w:val="auto"/>
                <w:szCs w:val="21"/>
                <w:highlight w:val="none"/>
              </w:rPr>
              <w:t>t，</w:t>
            </w:r>
            <w:r>
              <w:rPr>
                <w:color w:val="auto"/>
                <w:szCs w:val="21"/>
                <w:highlight w:val="none"/>
              </w:rPr>
              <w:t>活性炭的更换频率为三个月，即</w:t>
            </w:r>
            <w:r>
              <w:rPr>
                <w:rFonts w:hint="eastAsia"/>
                <w:color w:val="auto"/>
                <w:szCs w:val="21"/>
                <w:highlight w:val="none"/>
              </w:rPr>
              <w:t>活性炭年</w:t>
            </w:r>
            <w:r>
              <w:rPr>
                <w:color w:val="auto"/>
                <w:szCs w:val="21"/>
                <w:highlight w:val="none"/>
              </w:rPr>
              <w:t>装填量为0.8t&gt;0.</w:t>
            </w:r>
            <w:r>
              <w:rPr>
                <w:rFonts w:hint="eastAsia"/>
                <w:color w:val="auto"/>
                <w:szCs w:val="21"/>
                <w:highlight w:val="none"/>
              </w:rPr>
              <w:t>2835</w:t>
            </w:r>
            <w:r>
              <w:rPr>
                <w:color w:val="auto"/>
                <w:szCs w:val="21"/>
                <w:highlight w:val="none"/>
              </w:rPr>
              <w:t>t</w:t>
            </w:r>
            <w:r>
              <w:rPr>
                <w:rFonts w:hint="eastAsia"/>
                <w:color w:val="auto"/>
                <w:szCs w:val="21"/>
                <w:highlight w:val="none"/>
              </w:rPr>
              <w:t>（</w:t>
            </w:r>
            <w:r>
              <w:rPr>
                <w:color w:val="auto"/>
                <w:szCs w:val="21"/>
                <w:highlight w:val="none"/>
              </w:rPr>
              <w:t>理论所需</w:t>
            </w:r>
            <w:r>
              <w:rPr>
                <w:rFonts w:hint="eastAsia"/>
                <w:color w:val="auto"/>
                <w:szCs w:val="21"/>
                <w:highlight w:val="none"/>
              </w:rPr>
              <w:t>量</w:t>
            </w:r>
            <w:r>
              <w:rPr>
                <w:color w:val="auto"/>
                <w:szCs w:val="21"/>
                <w:highlight w:val="none"/>
              </w:rPr>
              <w:t>）</w:t>
            </w:r>
            <w:r>
              <w:rPr>
                <w:rFonts w:hint="eastAsia"/>
                <w:color w:val="auto"/>
                <w:szCs w:val="21"/>
                <w:highlight w:val="none"/>
              </w:rPr>
              <w:t>，满足</w:t>
            </w:r>
            <w:r>
              <w:rPr>
                <w:color w:val="auto"/>
                <w:szCs w:val="21"/>
                <w:highlight w:val="none"/>
              </w:rPr>
              <w:t>要求</w:t>
            </w:r>
            <w:r>
              <w:rPr>
                <w:rFonts w:hint="eastAsia"/>
                <w:color w:val="auto"/>
                <w:szCs w:val="21"/>
                <w:highlight w:val="none"/>
              </w:rPr>
              <w:t>。综上</w:t>
            </w:r>
            <w:r>
              <w:rPr>
                <w:color w:val="auto"/>
                <w:szCs w:val="21"/>
                <w:highlight w:val="none"/>
              </w:rPr>
              <w:t>，</w:t>
            </w:r>
            <w:r>
              <w:rPr>
                <w:rFonts w:hint="eastAsia"/>
                <w:color w:val="auto"/>
                <w:szCs w:val="21"/>
                <w:highlight w:val="none"/>
              </w:rPr>
              <w:t>项</w:t>
            </w:r>
            <w:r>
              <w:rPr>
                <w:color w:val="auto"/>
                <w:szCs w:val="21"/>
                <w:highlight w:val="none"/>
              </w:rPr>
              <w:t>目废活性炭产生量为0.</w:t>
            </w:r>
            <w:r>
              <w:rPr>
                <w:rFonts w:hint="eastAsia"/>
                <w:color w:val="auto"/>
                <w:szCs w:val="21"/>
                <w:highlight w:val="none"/>
              </w:rPr>
              <w:t>8567t/a（活性炭年</w:t>
            </w:r>
            <w:r>
              <w:rPr>
                <w:color w:val="auto"/>
                <w:szCs w:val="21"/>
                <w:highlight w:val="none"/>
              </w:rPr>
              <w:t>装填量</w:t>
            </w:r>
            <w:r>
              <w:rPr>
                <w:rFonts w:hint="eastAsia"/>
                <w:color w:val="auto"/>
                <w:szCs w:val="21"/>
                <w:highlight w:val="none"/>
              </w:rPr>
              <w:t>+</w:t>
            </w:r>
            <w:r>
              <w:rPr>
                <w:color w:val="auto"/>
                <w:szCs w:val="21"/>
                <w:highlight w:val="none"/>
              </w:rPr>
              <w:t>有机废气吸附量）</w:t>
            </w:r>
            <w:r>
              <w:rPr>
                <w:rFonts w:hint="eastAsia"/>
                <w:color w:val="auto"/>
                <w:szCs w:val="21"/>
                <w:highlight w:val="none"/>
              </w:rPr>
              <w:t>，</w:t>
            </w:r>
            <w:r>
              <w:rPr>
                <w:color w:val="auto"/>
                <w:szCs w:val="21"/>
                <w:highlight w:val="none"/>
              </w:rPr>
              <w:t>废活性炭属于《国家危险废物名录（2021年版）》（2021年1月1日起施行）中规定的危险废物，编号为</w:t>
            </w:r>
            <w:r>
              <w:rPr>
                <w:rFonts w:ascii="宋体" w:hAnsi="宋体"/>
                <w:color w:val="auto"/>
                <w:szCs w:val="21"/>
                <w:highlight w:val="none"/>
              </w:rPr>
              <w:t>“</w:t>
            </w:r>
            <w:r>
              <w:rPr>
                <w:color w:val="auto"/>
                <w:szCs w:val="21"/>
                <w:highlight w:val="none"/>
              </w:rPr>
              <w:t>HW49其他废物</w:t>
            </w:r>
            <w:r>
              <w:rPr>
                <w:rFonts w:ascii="宋体" w:hAnsi="宋体"/>
                <w:color w:val="auto"/>
                <w:szCs w:val="21"/>
                <w:highlight w:val="none"/>
              </w:rPr>
              <w:t>”</w:t>
            </w:r>
            <w:r>
              <w:rPr>
                <w:color w:val="auto"/>
                <w:szCs w:val="21"/>
                <w:highlight w:val="none"/>
              </w:rPr>
              <w:t xml:space="preserve">- </w:t>
            </w:r>
            <w:r>
              <w:rPr>
                <w:rFonts w:ascii="宋体" w:hAnsi="宋体"/>
                <w:color w:val="auto"/>
                <w:szCs w:val="21"/>
                <w:highlight w:val="none"/>
              </w:rPr>
              <w:t>“</w:t>
            </w:r>
            <w:r>
              <w:rPr>
                <w:color w:val="auto"/>
                <w:szCs w:val="21"/>
                <w:highlight w:val="none"/>
              </w:rPr>
              <w:t>非特定行业-900-039-49</w:t>
            </w:r>
            <w:r>
              <w:rPr>
                <w:rFonts w:ascii="宋体" w:hAnsi="宋体"/>
                <w:color w:val="auto"/>
                <w:szCs w:val="21"/>
                <w:highlight w:val="none"/>
              </w:rPr>
              <w:t xml:space="preserve">” </w:t>
            </w:r>
            <w:r>
              <w:rPr>
                <w:color w:val="auto"/>
                <w:szCs w:val="21"/>
                <w:highlight w:val="none"/>
              </w:rPr>
              <w:t xml:space="preserve">- </w:t>
            </w:r>
            <w:r>
              <w:rPr>
                <w:rFonts w:ascii="宋体" w:hAnsi="宋体"/>
                <w:color w:val="auto"/>
                <w:szCs w:val="21"/>
                <w:highlight w:val="none"/>
              </w:rPr>
              <w:t>“</w:t>
            </w:r>
            <w:r>
              <w:rPr>
                <w:color w:val="auto"/>
                <w:szCs w:val="21"/>
                <w:highlight w:val="none"/>
              </w:rPr>
              <w:t>烟气、VOCs治理过程（不包括餐饮行业油烟治理过程）产生的废活性炭、化学原料和化学制品脱色（不包括有机合成食品添加剂脱色）、除杂、净化过程产生的废活性炭</w:t>
            </w:r>
            <w:r>
              <w:rPr>
                <w:rFonts w:ascii="宋体" w:hAnsi="宋体"/>
                <w:color w:val="auto"/>
                <w:szCs w:val="21"/>
                <w:highlight w:val="none"/>
              </w:rPr>
              <w:t>”</w:t>
            </w:r>
            <w:r>
              <w:rPr>
                <w:color w:val="auto"/>
                <w:szCs w:val="21"/>
                <w:highlight w:val="none"/>
              </w:rPr>
              <w:t>，</w:t>
            </w:r>
            <w:r>
              <w:rPr>
                <w:rFonts w:hint="eastAsia"/>
                <w:color w:val="auto"/>
                <w:szCs w:val="21"/>
                <w:highlight w:val="none"/>
              </w:rPr>
              <w:t>分</w:t>
            </w:r>
            <w:r>
              <w:rPr>
                <w:color w:val="auto"/>
                <w:szCs w:val="21"/>
                <w:highlight w:val="none"/>
              </w:rPr>
              <w:t>类收集后交有资质单位处理。</w:t>
            </w:r>
          </w:p>
          <w:p>
            <w:pPr>
              <w:adjustRightInd w:val="0"/>
              <w:snapToGrid w:val="0"/>
              <w:spacing w:line="360" w:lineRule="auto"/>
              <w:ind w:firstLine="420" w:firstLineChars="200"/>
              <w:rPr>
                <w:color w:val="auto"/>
                <w:szCs w:val="21"/>
                <w:highlight w:val="none"/>
              </w:rPr>
            </w:pPr>
            <w:r>
              <w:rPr>
                <w:rFonts w:hint="eastAsia"/>
                <w:color w:val="auto"/>
                <w:szCs w:val="21"/>
                <w:highlight w:val="none"/>
              </w:rPr>
              <w:t>（3）生活垃圾</w:t>
            </w:r>
          </w:p>
          <w:p>
            <w:pPr>
              <w:adjustRightInd w:val="0"/>
              <w:snapToGrid w:val="0"/>
              <w:spacing w:line="360" w:lineRule="auto"/>
              <w:ind w:firstLine="420" w:firstLineChars="200"/>
              <w:rPr>
                <w:color w:val="auto"/>
                <w:highlight w:val="none"/>
              </w:rPr>
            </w:pPr>
            <w:r>
              <w:rPr>
                <w:color w:val="auto"/>
                <w:highlight w:val="none"/>
              </w:rPr>
              <w:t>项目员工人数</w:t>
            </w:r>
            <w:r>
              <w:rPr>
                <w:rFonts w:hint="eastAsia"/>
                <w:color w:val="auto"/>
                <w:highlight w:val="none"/>
              </w:rPr>
              <w:t>1</w:t>
            </w:r>
            <w:r>
              <w:rPr>
                <w:color w:val="auto"/>
                <w:highlight w:val="none"/>
              </w:rPr>
              <w:t>0人，</w:t>
            </w:r>
            <w:r>
              <w:rPr>
                <w:rFonts w:hint="eastAsia"/>
                <w:color w:val="auto"/>
                <w:highlight w:val="none"/>
              </w:rPr>
              <w:t>不在厂内食宿</w:t>
            </w:r>
            <w:r>
              <w:rPr>
                <w:color w:val="auto"/>
                <w:highlight w:val="none"/>
              </w:rPr>
              <w:t>，生活垃圾产生系数按</w:t>
            </w:r>
            <w:r>
              <w:rPr>
                <w:rFonts w:hint="eastAsia"/>
                <w:color w:val="auto"/>
                <w:highlight w:val="none"/>
              </w:rPr>
              <w:t>1.0</w:t>
            </w:r>
            <w:r>
              <w:rPr>
                <w:color w:val="auto"/>
                <w:highlight w:val="none"/>
              </w:rPr>
              <w:t>kg/人•日计，则项目生活垃圾产生量为</w:t>
            </w:r>
            <w:r>
              <w:rPr>
                <w:rFonts w:hint="eastAsia"/>
                <w:color w:val="auto"/>
                <w:highlight w:val="none"/>
              </w:rPr>
              <w:t>3</w:t>
            </w:r>
            <w:r>
              <w:rPr>
                <w:color w:val="auto"/>
                <w:highlight w:val="none"/>
              </w:rPr>
              <w:t>t/a（以300天计算）</w:t>
            </w:r>
            <w:r>
              <w:rPr>
                <w:rFonts w:hint="eastAsia"/>
                <w:color w:val="auto"/>
                <w:highlight w:val="none"/>
              </w:rPr>
              <w:t>，</w:t>
            </w:r>
            <w:r>
              <w:rPr>
                <w:color w:val="auto"/>
                <w:highlight w:val="none"/>
              </w:rPr>
              <w:t>生活垃圾分类收集后交由环卫部门统一清运。</w:t>
            </w:r>
          </w:p>
          <w:p>
            <w:pPr>
              <w:pStyle w:val="41"/>
              <w:spacing w:line="360" w:lineRule="auto"/>
              <w:jc w:val="center"/>
              <w:rPr>
                <w:rFonts w:ascii="Times New Roman" w:cs="Times New Roman"/>
                <w:b/>
                <w:color w:val="auto"/>
                <w:sz w:val="21"/>
                <w:szCs w:val="21"/>
                <w:highlight w:val="none"/>
              </w:rPr>
            </w:pPr>
            <w:r>
              <w:rPr>
                <w:rFonts w:ascii="Times New Roman" w:cs="Times New Roman"/>
                <w:b/>
                <w:color w:val="auto"/>
                <w:sz w:val="21"/>
                <w:szCs w:val="21"/>
                <w:highlight w:val="none"/>
              </w:rPr>
              <w:t>表</w:t>
            </w:r>
            <w:r>
              <w:rPr>
                <w:rFonts w:hint="eastAsia" w:ascii="Times New Roman" w:cs="Times New Roman"/>
                <w:b/>
                <w:color w:val="auto"/>
                <w:sz w:val="21"/>
                <w:szCs w:val="21"/>
                <w:highlight w:val="none"/>
              </w:rPr>
              <w:t>4-</w:t>
            </w:r>
            <w:r>
              <w:rPr>
                <w:rFonts w:hint="eastAsia" w:ascii="Times New Roman" w:cs="Times New Roman"/>
                <w:b/>
                <w:color w:val="auto"/>
                <w:sz w:val="21"/>
                <w:szCs w:val="21"/>
                <w:highlight w:val="none"/>
                <w:lang w:val="en-US" w:eastAsia="zh-CN"/>
              </w:rPr>
              <w:t>18</w:t>
            </w:r>
            <w:r>
              <w:rPr>
                <w:rFonts w:ascii="Times New Roman" w:cs="Times New Roman"/>
                <w:b/>
                <w:color w:val="auto"/>
                <w:sz w:val="21"/>
                <w:szCs w:val="21"/>
                <w:highlight w:val="none"/>
              </w:rPr>
              <w:t xml:space="preserve"> 项目危险废物汇总一览表</w:t>
            </w:r>
          </w:p>
          <w:tbl>
            <w:tblPr>
              <w:tblStyle w:val="3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28" w:type="dxa"/>
                <w:left w:w="108" w:type="dxa"/>
                <w:bottom w:w="28" w:type="dxa"/>
                <w:right w:w="108" w:type="dxa"/>
              </w:tblCellMar>
            </w:tblPr>
            <w:tblGrid>
              <w:gridCol w:w="493"/>
              <w:gridCol w:w="756"/>
              <w:gridCol w:w="997"/>
              <w:gridCol w:w="1285"/>
              <w:gridCol w:w="1072"/>
              <w:gridCol w:w="824"/>
              <w:gridCol w:w="493"/>
              <w:gridCol w:w="625"/>
              <w:gridCol w:w="625"/>
              <w:gridCol w:w="714"/>
              <w:gridCol w:w="154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108" w:type="dxa"/>
                  <w:bottom w:w="28" w:type="dxa"/>
                  <w:right w:w="108" w:type="dxa"/>
                </w:tblCellMar>
              </w:tblPrEx>
              <w:trPr>
                <w:trHeight w:val="397" w:hRule="atLeast"/>
                <w:jc w:val="center"/>
              </w:trPr>
              <w:tc>
                <w:tcPr>
                  <w:tcW w:w="0" w:type="auto"/>
                  <w:vAlign w:val="center"/>
                </w:tcPr>
                <w:p>
                  <w:pPr>
                    <w:adjustRightInd w:val="0"/>
                    <w:snapToGrid w:val="0"/>
                    <w:jc w:val="center"/>
                    <w:rPr>
                      <w:b/>
                      <w:bCs/>
                      <w:color w:val="auto"/>
                      <w:szCs w:val="21"/>
                      <w:highlight w:val="none"/>
                    </w:rPr>
                  </w:pPr>
                  <w:r>
                    <w:rPr>
                      <w:b/>
                      <w:bCs/>
                      <w:color w:val="auto"/>
                      <w:szCs w:val="21"/>
                      <w:highlight w:val="none"/>
                    </w:rPr>
                    <w:t>序号</w:t>
                  </w:r>
                </w:p>
              </w:tc>
              <w:tc>
                <w:tcPr>
                  <w:tcW w:w="0" w:type="auto"/>
                  <w:vAlign w:val="center"/>
                </w:tcPr>
                <w:p>
                  <w:pPr>
                    <w:adjustRightInd w:val="0"/>
                    <w:snapToGrid w:val="0"/>
                    <w:jc w:val="center"/>
                    <w:rPr>
                      <w:b/>
                      <w:bCs/>
                      <w:color w:val="auto"/>
                      <w:szCs w:val="21"/>
                      <w:highlight w:val="none"/>
                    </w:rPr>
                  </w:pPr>
                  <w:r>
                    <w:rPr>
                      <w:b/>
                      <w:bCs/>
                      <w:color w:val="auto"/>
                      <w:szCs w:val="21"/>
                      <w:highlight w:val="none"/>
                    </w:rPr>
                    <w:t>名称</w:t>
                  </w:r>
                </w:p>
              </w:tc>
              <w:tc>
                <w:tcPr>
                  <w:tcW w:w="0" w:type="auto"/>
                  <w:vAlign w:val="center"/>
                </w:tcPr>
                <w:p>
                  <w:pPr>
                    <w:adjustRightInd w:val="0"/>
                    <w:snapToGrid w:val="0"/>
                    <w:jc w:val="center"/>
                    <w:rPr>
                      <w:b/>
                      <w:bCs/>
                      <w:color w:val="auto"/>
                      <w:szCs w:val="21"/>
                      <w:highlight w:val="none"/>
                    </w:rPr>
                  </w:pPr>
                  <w:r>
                    <w:rPr>
                      <w:b/>
                      <w:bCs/>
                      <w:color w:val="auto"/>
                      <w:szCs w:val="21"/>
                      <w:highlight w:val="none"/>
                    </w:rPr>
                    <w:t>危险废物类别</w:t>
                  </w:r>
                </w:p>
              </w:tc>
              <w:tc>
                <w:tcPr>
                  <w:tcW w:w="0" w:type="auto"/>
                  <w:vAlign w:val="center"/>
                </w:tcPr>
                <w:p>
                  <w:pPr>
                    <w:adjustRightInd w:val="0"/>
                    <w:snapToGrid w:val="0"/>
                    <w:jc w:val="center"/>
                    <w:rPr>
                      <w:b/>
                      <w:bCs/>
                      <w:color w:val="auto"/>
                      <w:szCs w:val="21"/>
                      <w:highlight w:val="none"/>
                    </w:rPr>
                  </w:pPr>
                  <w:r>
                    <w:rPr>
                      <w:b/>
                      <w:bCs/>
                      <w:color w:val="auto"/>
                      <w:szCs w:val="21"/>
                      <w:highlight w:val="none"/>
                    </w:rPr>
                    <w:t>危险废物代码</w:t>
                  </w:r>
                </w:p>
              </w:tc>
              <w:tc>
                <w:tcPr>
                  <w:tcW w:w="0" w:type="auto"/>
                  <w:vAlign w:val="center"/>
                </w:tcPr>
                <w:p>
                  <w:pPr>
                    <w:adjustRightInd w:val="0"/>
                    <w:snapToGrid w:val="0"/>
                    <w:jc w:val="center"/>
                    <w:rPr>
                      <w:b/>
                      <w:bCs/>
                      <w:color w:val="auto"/>
                      <w:szCs w:val="21"/>
                      <w:highlight w:val="none"/>
                    </w:rPr>
                  </w:pPr>
                  <w:r>
                    <w:rPr>
                      <w:b/>
                      <w:bCs/>
                      <w:color w:val="auto"/>
                      <w:szCs w:val="21"/>
                      <w:highlight w:val="none"/>
                    </w:rPr>
                    <w:t>产生量(t/a)</w:t>
                  </w:r>
                </w:p>
              </w:tc>
              <w:tc>
                <w:tcPr>
                  <w:tcW w:w="0" w:type="auto"/>
                  <w:vAlign w:val="center"/>
                </w:tcPr>
                <w:p>
                  <w:pPr>
                    <w:adjustRightInd w:val="0"/>
                    <w:snapToGrid w:val="0"/>
                    <w:jc w:val="center"/>
                    <w:rPr>
                      <w:b/>
                      <w:bCs/>
                      <w:color w:val="auto"/>
                      <w:szCs w:val="21"/>
                      <w:highlight w:val="none"/>
                    </w:rPr>
                  </w:pPr>
                  <w:r>
                    <w:rPr>
                      <w:b/>
                      <w:bCs/>
                      <w:color w:val="auto"/>
                      <w:szCs w:val="21"/>
                      <w:highlight w:val="none"/>
                    </w:rPr>
                    <w:t>产生工序及装置</w:t>
                  </w:r>
                </w:p>
              </w:tc>
              <w:tc>
                <w:tcPr>
                  <w:tcW w:w="0" w:type="auto"/>
                  <w:vAlign w:val="center"/>
                </w:tcPr>
                <w:p>
                  <w:pPr>
                    <w:adjustRightInd w:val="0"/>
                    <w:snapToGrid w:val="0"/>
                    <w:jc w:val="center"/>
                    <w:rPr>
                      <w:b/>
                      <w:bCs/>
                      <w:color w:val="auto"/>
                      <w:szCs w:val="21"/>
                      <w:highlight w:val="none"/>
                    </w:rPr>
                  </w:pPr>
                  <w:r>
                    <w:rPr>
                      <w:b/>
                      <w:bCs/>
                      <w:color w:val="auto"/>
                      <w:szCs w:val="21"/>
                      <w:highlight w:val="none"/>
                    </w:rPr>
                    <w:t>形态</w:t>
                  </w:r>
                </w:p>
              </w:tc>
              <w:tc>
                <w:tcPr>
                  <w:tcW w:w="0" w:type="auto"/>
                  <w:vAlign w:val="center"/>
                </w:tcPr>
                <w:p>
                  <w:pPr>
                    <w:adjustRightInd w:val="0"/>
                    <w:snapToGrid w:val="0"/>
                    <w:jc w:val="center"/>
                    <w:rPr>
                      <w:b/>
                      <w:bCs/>
                      <w:color w:val="auto"/>
                      <w:szCs w:val="21"/>
                      <w:highlight w:val="none"/>
                    </w:rPr>
                  </w:pPr>
                  <w:r>
                    <w:rPr>
                      <w:b/>
                      <w:bCs/>
                      <w:color w:val="auto"/>
                      <w:szCs w:val="21"/>
                      <w:highlight w:val="none"/>
                    </w:rPr>
                    <w:t>有害成分</w:t>
                  </w:r>
                </w:p>
              </w:tc>
              <w:tc>
                <w:tcPr>
                  <w:tcW w:w="0" w:type="auto"/>
                  <w:vAlign w:val="center"/>
                </w:tcPr>
                <w:p>
                  <w:pPr>
                    <w:adjustRightInd w:val="0"/>
                    <w:snapToGrid w:val="0"/>
                    <w:jc w:val="center"/>
                    <w:rPr>
                      <w:b/>
                      <w:bCs/>
                      <w:color w:val="auto"/>
                      <w:szCs w:val="21"/>
                      <w:highlight w:val="none"/>
                    </w:rPr>
                  </w:pPr>
                  <w:r>
                    <w:rPr>
                      <w:b/>
                      <w:bCs/>
                      <w:color w:val="auto"/>
                      <w:szCs w:val="21"/>
                      <w:highlight w:val="none"/>
                    </w:rPr>
                    <w:t>产废周期</w:t>
                  </w:r>
                </w:p>
              </w:tc>
              <w:tc>
                <w:tcPr>
                  <w:tcW w:w="0" w:type="auto"/>
                  <w:vAlign w:val="center"/>
                </w:tcPr>
                <w:p>
                  <w:pPr>
                    <w:adjustRightInd w:val="0"/>
                    <w:snapToGrid w:val="0"/>
                    <w:jc w:val="center"/>
                    <w:rPr>
                      <w:b/>
                      <w:bCs/>
                      <w:color w:val="auto"/>
                      <w:szCs w:val="21"/>
                      <w:highlight w:val="none"/>
                    </w:rPr>
                  </w:pPr>
                  <w:r>
                    <w:rPr>
                      <w:b/>
                      <w:bCs/>
                      <w:color w:val="auto"/>
                      <w:szCs w:val="21"/>
                      <w:highlight w:val="none"/>
                    </w:rPr>
                    <w:t>危险特性</w:t>
                  </w:r>
                </w:p>
              </w:tc>
              <w:tc>
                <w:tcPr>
                  <w:tcW w:w="0" w:type="auto"/>
                  <w:vAlign w:val="center"/>
                </w:tcPr>
                <w:p>
                  <w:pPr>
                    <w:adjustRightInd w:val="0"/>
                    <w:snapToGrid w:val="0"/>
                    <w:jc w:val="center"/>
                    <w:rPr>
                      <w:b/>
                      <w:bCs/>
                      <w:color w:val="auto"/>
                      <w:szCs w:val="21"/>
                      <w:highlight w:val="none"/>
                    </w:rPr>
                  </w:pPr>
                  <w:r>
                    <w:rPr>
                      <w:b/>
                      <w:bCs/>
                      <w:color w:val="auto"/>
                      <w:szCs w:val="21"/>
                      <w:highlight w:val="none"/>
                    </w:rPr>
                    <w:t>污染防治措施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108" w:type="dxa"/>
                  <w:bottom w:w="28" w:type="dxa"/>
                  <w:right w:w="108" w:type="dxa"/>
                </w:tblCellMar>
              </w:tblPrEx>
              <w:trPr>
                <w:trHeight w:val="557" w:hRule="atLeast"/>
                <w:jc w:val="center"/>
              </w:trPr>
              <w:tc>
                <w:tcPr>
                  <w:tcW w:w="0" w:type="auto"/>
                  <w:vAlign w:val="center"/>
                </w:tcPr>
                <w:p>
                  <w:pPr>
                    <w:adjustRightInd w:val="0"/>
                    <w:snapToGrid w:val="0"/>
                    <w:jc w:val="center"/>
                    <w:rPr>
                      <w:color w:val="auto"/>
                      <w:szCs w:val="21"/>
                      <w:highlight w:val="none"/>
                    </w:rPr>
                  </w:pPr>
                  <w:r>
                    <w:rPr>
                      <w:color w:val="auto"/>
                      <w:szCs w:val="21"/>
                      <w:highlight w:val="none"/>
                    </w:rPr>
                    <w:t>1</w:t>
                  </w:r>
                </w:p>
              </w:tc>
              <w:tc>
                <w:tcPr>
                  <w:tcW w:w="0" w:type="auto"/>
                  <w:vAlign w:val="center"/>
                </w:tcPr>
                <w:p>
                  <w:pPr>
                    <w:pStyle w:val="73"/>
                    <w:widowControl w:val="0"/>
                    <w:textAlignment w:val="baseline"/>
                    <w:rPr>
                      <w:color w:val="auto"/>
                      <w:highlight w:val="none"/>
                    </w:rPr>
                  </w:pPr>
                  <w:r>
                    <w:rPr>
                      <w:color w:val="auto"/>
                      <w:highlight w:val="none"/>
                    </w:rPr>
                    <w:t>废</w:t>
                  </w:r>
                  <w:r>
                    <w:rPr>
                      <w:rFonts w:hint="eastAsia"/>
                      <w:color w:val="auto"/>
                      <w:highlight w:val="none"/>
                      <w:lang w:val="en-US" w:eastAsia="zh-CN"/>
                    </w:rPr>
                    <w:t>包装</w:t>
                  </w:r>
                  <w:r>
                    <w:rPr>
                      <w:color w:val="auto"/>
                      <w:highlight w:val="none"/>
                    </w:rPr>
                    <w:t>桶</w:t>
                  </w:r>
                </w:p>
              </w:tc>
              <w:tc>
                <w:tcPr>
                  <w:tcW w:w="0" w:type="auto"/>
                  <w:vAlign w:val="center"/>
                </w:tcPr>
                <w:p>
                  <w:pPr>
                    <w:adjustRightInd w:val="0"/>
                    <w:jc w:val="center"/>
                    <w:textAlignment w:val="baseline"/>
                    <w:rPr>
                      <w:color w:val="auto"/>
                      <w:szCs w:val="21"/>
                      <w:highlight w:val="none"/>
                    </w:rPr>
                  </w:pPr>
                  <w:r>
                    <w:rPr>
                      <w:color w:val="auto"/>
                      <w:szCs w:val="21"/>
                      <w:highlight w:val="none"/>
                    </w:rPr>
                    <w:t>HW49</w:t>
                  </w:r>
                </w:p>
              </w:tc>
              <w:tc>
                <w:tcPr>
                  <w:tcW w:w="0" w:type="auto"/>
                  <w:vAlign w:val="center"/>
                </w:tcPr>
                <w:p>
                  <w:pPr>
                    <w:pStyle w:val="73"/>
                    <w:widowControl w:val="0"/>
                    <w:textAlignment w:val="baseline"/>
                    <w:rPr>
                      <w:color w:val="auto"/>
                      <w:highlight w:val="none"/>
                    </w:rPr>
                  </w:pPr>
                  <w:r>
                    <w:rPr>
                      <w:color w:val="auto"/>
                      <w:highlight w:val="none"/>
                    </w:rPr>
                    <w:t>900-041-49</w:t>
                  </w:r>
                </w:p>
              </w:tc>
              <w:tc>
                <w:tcPr>
                  <w:tcW w:w="0" w:type="auto"/>
                  <w:vAlign w:val="center"/>
                </w:tcPr>
                <w:p>
                  <w:pPr>
                    <w:adjustRightInd w:val="0"/>
                    <w:jc w:val="center"/>
                    <w:textAlignment w:val="baseline"/>
                    <w:rPr>
                      <w:color w:val="auto"/>
                      <w:szCs w:val="21"/>
                      <w:highlight w:val="none"/>
                    </w:rPr>
                  </w:pPr>
                  <w:r>
                    <w:rPr>
                      <w:rFonts w:hint="eastAsia"/>
                      <w:color w:val="auto"/>
                      <w:szCs w:val="21"/>
                      <w:highlight w:val="none"/>
                    </w:rPr>
                    <w:t>0.05</w:t>
                  </w:r>
                  <w:r>
                    <w:rPr>
                      <w:color w:val="auto"/>
                      <w:szCs w:val="21"/>
                      <w:highlight w:val="none"/>
                    </w:rPr>
                    <w:t>t/a</w:t>
                  </w:r>
                </w:p>
              </w:tc>
              <w:tc>
                <w:tcPr>
                  <w:tcW w:w="0" w:type="auto"/>
                  <w:vAlign w:val="center"/>
                </w:tcPr>
                <w:p>
                  <w:pPr>
                    <w:adjustRightInd w:val="0"/>
                    <w:jc w:val="center"/>
                    <w:textAlignment w:val="baseline"/>
                    <w:rPr>
                      <w:color w:val="auto"/>
                      <w:szCs w:val="21"/>
                      <w:highlight w:val="none"/>
                    </w:rPr>
                  </w:pPr>
                  <w:r>
                    <w:rPr>
                      <w:rFonts w:hint="eastAsia"/>
                      <w:color w:val="auto"/>
                      <w:szCs w:val="21"/>
                      <w:highlight w:val="none"/>
                    </w:rPr>
                    <w:t>机器</w:t>
                  </w:r>
                </w:p>
                <w:p>
                  <w:pPr>
                    <w:adjustRightInd w:val="0"/>
                    <w:jc w:val="center"/>
                    <w:textAlignment w:val="baseline"/>
                    <w:rPr>
                      <w:color w:val="auto"/>
                      <w:szCs w:val="21"/>
                      <w:highlight w:val="none"/>
                    </w:rPr>
                  </w:pPr>
                  <w:r>
                    <w:rPr>
                      <w:rFonts w:hint="eastAsia"/>
                      <w:color w:val="auto"/>
                      <w:szCs w:val="21"/>
                      <w:highlight w:val="none"/>
                    </w:rPr>
                    <w:t>维护</w:t>
                  </w:r>
                </w:p>
              </w:tc>
              <w:tc>
                <w:tcPr>
                  <w:tcW w:w="0" w:type="auto"/>
                  <w:vAlign w:val="center"/>
                </w:tcPr>
                <w:p>
                  <w:pPr>
                    <w:adjustRightInd w:val="0"/>
                    <w:jc w:val="center"/>
                    <w:textAlignment w:val="baseline"/>
                    <w:rPr>
                      <w:color w:val="auto"/>
                      <w:szCs w:val="21"/>
                      <w:highlight w:val="none"/>
                    </w:rPr>
                  </w:pPr>
                  <w:r>
                    <w:rPr>
                      <w:color w:val="auto"/>
                      <w:szCs w:val="21"/>
                      <w:highlight w:val="none"/>
                    </w:rPr>
                    <w:t>固</w:t>
                  </w:r>
                </w:p>
              </w:tc>
              <w:tc>
                <w:tcPr>
                  <w:tcW w:w="0" w:type="auto"/>
                  <w:vAlign w:val="center"/>
                </w:tcPr>
                <w:p>
                  <w:pPr>
                    <w:adjustRightInd w:val="0"/>
                    <w:jc w:val="center"/>
                    <w:textAlignment w:val="baseline"/>
                    <w:rPr>
                      <w:color w:val="auto"/>
                      <w:szCs w:val="21"/>
                      <w:highlight w:val="none"/>
                    </w:rPr>
                  </w:pPr>
                  <w:r>
                    <w:rPr>
                      <w:rFonts w:hint="eastAsia"/>
                      <w:color w:val="auto"/>
                      <w:szCs w:val="21"/>
                      <w:highlight w:val="none"/>
                    </w:rPr>
                    <w:t>废矿物油</w:t>
                  </w:r>
                </w:p>
              </w:tc>
              <w:tc>
                <w:tcPr>
                  <w:tcW w:w="0" w:type="auto"/>
                  <w:vAlign w:val="center"/>
                </w:tcPr>
                <w:p>
                  <w:pPr>
                    <w:adjustRightInd w:val="0"/>
                    <w:jc w:val="center"/>
                    <w:textAlignment w:val="baseline"/>
                    <w:rPr>
                      <w:color w:val="auto"/>
                      <w:szCs w:val="21"/>
                      <w:highlight w:val="none"/>
                    </w:rPr>
                  </w:pPr>
                  <w:r>
                    <w:rPr>
                      <w:color w:val="auto"/>
                      <w:szCs w:val="21"/>
                      <w:highlight w:val="none"/>
                    </w:rPr>
                    <w:t>三个月</w:t>
                  </w:r>
                </w:p>
              </w:tc>
              <w:tc>
                <w:tcPr>
                  <w:tcW w:w="0" w:type="auto"/>
                  <w:tcBorders>
                    <w:top w:val="single" w:color="auto" w:sz="4" w:space="0"/>
                  </w:tcBorders>
                  <w:vAlign w:val="center"/>
                </w:tcPr>
                <w:p>
                  <w:pPr>
                    <w:adjustRightInd w:val="0"/>
                    <w:jc w:val="center"/>
                    <w:textAlignment w:val="baseline"/>
                    <w:rPr>
                      <w:color w:val="auto"/>
                      <w:szCs w:val="21"/>
                      <w:highlight w:val="none"/>
                    </w:rPr>
                  </w:pPr>
                  <w:r>
                    <w:rPr>
                      <w:color w:val="auto"/>
                      <w:szCs w:val="21"/>
                      <w:highlight w:val="none"/>
                    </w:rPr>
                    <w:t>T、In</w:t>
                  </w:r>
                </w:p>
              </w:tc>
              <w:tc>
                <w:tcPr>
                  <w:tcW w:w="0" w:type="auto"/>
                  <w:vMerge w:val="restart"/>
                  <w:tcBorders>
                    <w:top w:val="single" w:color="auto" w:sz="4" w:space="0"/>
                  </w:tcBorders>
                  <w:vAlign w:val="center"/>
                </w:tcPr>
                <w:p>
                  <w:pPr>
                    <w:adjustRightInd w:val="0"/>
                    <w:snapToGrid w:val="0"/>
                    <w:jc w:val="center"/>
                    <w:rPr>
                      <w:color w:val="auto"/>
                      <w:szCs w:val="21"/>
                      <w:highlight w:val="none"/>
                    </w:rPr>
                  </w:pPr>
                  <w:r>
                    <w:rPr>
                      <w:color w:val="auto"/>
                      <w:szCs w:val="21"/>
                      <w:highlight w:val="none"/>
                    </w:rPr>
                    <w:t>交由有危险废物处理资质的单位回收处理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57" w:hRule="atLeast"/>
                <w:jc w:val="center"/>
              </w:trPr>
              <w:tc>
                <w:tcPr>
                  <w:tcW w:w="0" w:type="auto"/>
                  <w:vAlign w:val="center"/>
                </w:tcPr>
                <w:p>
                  <w:pPr>
                    <w:adjustRightInd w:val="0"/>
                    <w:snapToGrid w:val="0"/>
                    <w:jc w:val="center"/>
                    <w:rPr>
                      <w:color w:val="auto"/>
                      <w:szCs w:val="21"/>
                      <w:highlight w:val="none"/>
                    </w:rPr>
                  </w:pPr>
                  <w:r>
                    <w:rPr>
                      <w:color w:val="auto"/>
                      <w:szCs w:val="21"/>
                      <w:highlight w:val="none"/>
                    </w:rPr>
                    <w:t>2</w:t>
                  </w:r>
                </w:p>
              </w:tc>
              <w:tc>
                <w:tcPr>
                  <w:tcW w:w="0" w:type="auto"/>
                  <w:vAlign w:val="center"/>
                </w:tcPr>
                <w:p>
                  <w:pPr>
                    <w:pStyle w:val="73"/>
                    <w:widowControl w:val="0"/>
                    <w:textAlignment w:val="baseline"/>
                    <w:rPr>
                      <w:color w:val="auto"/>
                      <w:highlight w:val="none"/>
                    </w:rPr>
                  </w:pPr>
                  <w:r>
                    <w:rPr>
                      <w:color w:val="auto"/>
                      <w:highlight w:val="none"/>
                    </w:rPr>
                    <w:t>废</w:t>
                  </w:r>
                  <w:r>
                    <w:rPr>
                      <w:rFonts w:hint="eastAsia"/>
                      <w:color w:val="auto"/>
                      <w:highlight w:val="none"/>
                      <w:lang w:val="en-US" w:eastAsia="zh-CN"/>
                    </w:rPr>
                    <w:t>机</w:t>
                  </w:r>
                  <w:r>
                    <w:rPr>
                      <w:rFonts w:hint="eastAsia"/>
                      <w:color w:val="auto"/>
                      <w:highlight w:val="none"/>
                    </w:rPr>
                    <w:t>油</w:t>
                  </w:r>
                </w:p>
              </w:tc>
              <w:tc>
                <w:tcPr>
                  <w:tcW w:w="0" w:type="auto"/>
                  <w:vAlign w:val="center"/>
                </w:tcPr>
                <w:p>
                  <w:pPr>
                    <w:adjustRightInd w:val="0"/>
                    <w:jc w:val="center"/>
                    <w:textAlignment w:val="baseline"/>
                    <w:rPr>
                      <w:color w:val="auto"/>
                      <w:szCs w:val="21"/>
                      <w:highlight w:val="none"/>
                    </w:rPr>
                  </w:pPr>
                  <w:r>
                    <w:rPr>
                      <w:color w:val="auto"/>
                      <w:szCs w:val="21"/>
                      <w:highlight w:val="none"/>
                    </w:rPr>
                    <w:t>HW49</w:t>
                  </w:r>
                </w:p>
              </w:tc>
              <w:tc>
                <w:tcPr>
                  <w:tcW w:w="0" w:type="auto"/>
                  <w:vAlign w:val="center"/>
                </w:tcPr>
                <w:p>
                  <w:pPr>
                    <w:pStyle w:val="73"/>
                    <w:widowControl w:val="0"/>
                    <w:textAlignment w:val="baseline"/>
                    <w:rPr>
                      <w:color w:val="auto"/>
                      <w:highlight w:val="none"/>
                    </w:rPr>
                  </w:pPr>
                  <w:r>
                    <w:rPr>
                      <w:color w:val="auto"/>
                      <w:highlight w:val="none"/>
                    </w:rPr>
                    <w:t>900-</w:t>
                  </w:r>
                  <w:r>
                    <w:rPr>
                      <w:rFonts w:hint="eastAsia"/>
                      <w:color w:val="auto"/>
                      <w:highlight w:val="none"/>
                    </w:rPr>
                    <w:t>214</w:t>
                  </w:r>
                  <w:r>
                    <w:rPr>
                      <w:color w:val="auto"/>
                      <w:highlight w:val="none"/>
                    </w:rPr>
                    <w:t>-</w:t>
                  </w:r>
                  <w:r>
                    <w:rPr>
                      <w:rFonts w:hint="eastAsia"/>
                      <w:color w:val="auto"/>
                      <w:highlight w:val="none"/>
                    </w:rPr>
                    <w:t>08</w:t>
                  </w:r>
                </w:p>
              </w:tc>
              <w:tc>
                <w:tcPr>
                  <w:tcW w:w="0" w:type="auto"/>
                  <w:vAlign w:val="center"/>
                </w:tcPr>
                <w:p>
                  <w:pPr>
                    <w:adjustRightInd w:val="0"/>
                    <w:jc w:val="center"/>
                    <w:textAlignment w:val="baseline"/>
                    <w:rPr>
                      <w:color w:val="auto"/>
                      <w:szCs w:val="21"/>
                      <w:highlight w:val="none"/>
                    </w:rPr>
                  </w:pPr>
                  <w:r>
                    <w:rPr>
                      <w:rFonts w:hint="eastAsia"/>
                      <w:color w:val="auto"/>
                      <w:szCs w:val="21"/>
                      <w:highlight w:val="none"/>
                    </w:rPr>
                    <w:t>0.1</w:t>
                  </w:r>
                  <w:r>
                    <w:rPr>
                      <w:color w:val="auto"/>
                      <w:szCs w:val="21"/>
                      <w:highlight w:val="none"/>
                    </w:rPr>
                    <w:t>t/a</w:t>
                  </w:r>
                </w:p>
              </w:tc>
              <w:tc>
                <w:tcPr>
                  <w:tcW w:w="0" w:type="auto"/>
                  <w:vAlign w:val="center"/>
                </w:tcPr>
                <w:p>
                  <w:pPr>
                    <w:adjustRightInd w:val="0"/>
                    <w:jc w:val="center"/>
                    <w:textAlignment w:val="baseline"/>
                    <w:rPr>
                      <w:color w:val="auto"/>
                      <w:szCs w:val="21"/>
                      <w:highlight w:val="none"/>
                    </w:rPr>
                  </w:pPr>
                  <w:r>
                    <w:rPr>
                      <w:rFonts w:hint="eastAsia"/>
                      <w:color w:val="auto"/>
                      <w:szCs w:val="21"/>
                      <w:highlight w:val="none"/>
                    </w:rPr>
                    <w:t>机器</w:t>
                  </w:r>
                </w:p>
                <w:p>
                  <w:pPr>
                    <w:adjustRightInd w:val="0"/>
                    <w:jc w:val="center"/>
                    <w:textAlignment w:val="baseline"/>
                    <w:rPr>
                      <w:color w:val="auto"/>
                      <w:szCs w:val="21"/>
                      <w:highlight w:val="none"/>
                    </w:rPr>
                  </w:pPr>
                  <w:r>
                    <w:rPr>
                      <w:rFonts w:hint="eastAsia"/>
                      <w:color w:val="auto"/>
                      <w:szCs w:val="21"/>
                      <w:highlight w:val="none"/>
                    </w:rPr>
                    <w:t>维护</w:t>
                  </w:r>
                </w:p>
              </w:tc>
              <w:tc>
                <w:tcPr>
                  <w:tcW w:w="0" w:type="auto"/>
                  <w:vAlign w:val="center"/>
                </w:tcPr>
                <w:p>
                  <w:pPr>
                    <w:adjustRightInd w:val="0"/>
                    <w:jc w:val="center"/>
                    <w:textAlignment w:val="baseline"/>
                    <w:rPr>
                      <w:color w:val="auto"/>
                      <w:szCs w:val="21"/>
                      <w:highlight w:val="none"/>
                    </w:rPr>
                  </w:pPr>
                  <w:r>
                    <w:rPr>
                      <w:color w:val="auto"/>
                      <w:szCs w:val="21"/>
                      <w:highlight w:val="none"/>
                    </w:rPr>
                    <w:t>固</w:t>
                  </w:r>
                </w:p>
              </w:tc>
              <w:tc>
                <w:tcPr>
                  <w:tcW w:w="0" w:type="auto"/>
                  <w:vAlign w:val="center"/>
                </w:tcPr>
                <w:p>
                  <w:pPr>
                    <w:adjustRightInd w:val="0"/>
                    <w:jc w:val="center"/>
                    <w:textAlignment w:val="baseline"/>
                    <w:rPr>
                      <w:color w:val="auto"/>
                      <w:szCs w:val="21"/>
                      <w:highlight w:val="none"/>
                    </w:rPr>
                  </w:pPr>
                  <w:r>
                    <w:rPr>
                      <w:rFonts w:hint="eastAsia"/>
                      <w:color w:val="auto"/>
                      <w:szCs w:val="21"/>
                      <w:highlight w:val="none"/>
                    </w:rPr>
                    <w:t>废矿物油</w:t>
                  </w:r>
                </w:p>
              </w:tc>
              <w:tc>
                <w:tcPr>
                  <w:tcW w:w="0" w:type="auto"/>
                  <w:vAlign w:val="center"/>
                </w:tcPr>
                <w:p>
                  <w:pPr>
                    <w:adjustRightInd w:val="0"/>
                    <w:jc w:val="center"/>
                    <w:textAlignment w:val="baseline"/>
                    <w:rPr>
                      <w:color w:val="auto"/>
                      <w:szCs w:val="21"/>
                      <w:highlight w:val="none"/>
                    </w:rPr>
                  </w:pPr>
                  <w:r>
                    <w:rPr>
                      <w:color w:val="auto"/>
                      <w:szCs w:val="21"/>
                      <w:highlight w:val="none"/>
                    </w:rPr>
                    <w:t>三个月</w:t>
                  </w:r>
                </w:p>
              </w:tc>
              <w:tc>
                <w:tcPr>
                  <w:tcW w:w="0" w:type="auto"/>
                  <w:tcBorders>
                    <w:top w:val="single" w:color="auto" w:sz="4" w:space="0"/>
                  </w:tcBorders>
                  <w:vAlign w:val="center"/>
                </w:tcPr>
                <w:p>
                  <w:pPr>
                    <w:adjustRightInd w:val="0"/>
                    <w:jc w:val="center"/>
                    <w:textAlignment w:val="baseline"/>
                    <w:rPr>
                      <w:color w:val="auto"/>
                      <w:szCs w:val="21"/>
                      <w:highlight w:val="none"/>
                    </w:rPr>
                  </w:pPr>
                  <w:r>
                    <w:rPr>
                      <w:color w:val="auto"/>
                      <w:szCs w:val="21"/>
                      <w:highlight w:val="none"/>
                    </w:rPr>
                    <w:t>T、In</w:t>
                  </w:r>
                </w:p>
              </w:tc>
              <w:tc>
                <w:tcPr>
                  <w:tcW w:w="0" w:type="auto"/>
                  <w:vMerge w:val="continue"/>
                  <w:vAlign w:val="center"/>
                </w:tcPr>
                <w:p>
                  <w:pPr>
                    <w:adjustRightInd w:val="0"/>
                    <w:snapToGrid w:val="0"/>
                    <w:jc w:val="center"/>
                    <w:rPr>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108" w:type="dxa"/>
                  <w:bottom w:w="28" w:type="dxa"/>
                  <w:right w:w="108" w:type="dxa"/>
                </w:tblCellMar>
              </w:tblPrEx>
              <w:trPr>
                <w:jc w:val="center"/>
              </w:trPr>
              <w:tc>
                <w:tcPr>
                  <w:tcW w:w="0" w:type="auto"/>
                  <w:vAlign w:val="center"/>
                </w:tcPr>
                <w:p>
                  <w:pPr>
                    <w:adjustRightInd w:val="0"/>
                    <w:snapToGrid w:val="0"/>
                    <w:jc w:val="center"/>
                    <w:rPr>
                      <w:color w:val="auto"/>
                      <w:szCs w:val="21"/>
                      <w:highlight w:val="none"/>
                    </w:rPr>
                  </w:pPr>
                  <w:r>
                    <w:rPr>
                      <w:rFonts w:hint="eastAsia"/>
                      <w:color w:val="auto"/>
                      <w:szCs w:val="21"/>
                      <w:highlight w:val="none"/>
                    </w:rPr>
                    <w:t>3</w:t>
                  </w:r>
                </w:p>
              </w:tc>
              <w:tc>
                <w:tcPr>
                  <w:tcW w:w="0" w:type="auto"/>
                  <w:vAlign w:val="center"/>
                </w:tcPr>
                <w:p>
                  <w:pPr>
                    <w:pStyle w:val="73"/>
                    <w:widowControl w:val="0"/>
                    <w:textAlignment w:val="baseline"/>
                    <w:rPr>
                      <w:color w:val="auto"/>
                      <w:highlight w:val="none"/>
                    </w:rPr>
                  </w:pPr>
                  <w:r>
                    <w:rPr>
                      <w:color w:val="auto"/>
                      <w:highlight w:val="none"/>
                    </w:rPr>
                    <w:t>含油抹布手套</w:t>
                  </w:r>
                </w:p>
              </w:tc>
              <w:tc>
                <w:tcPr>
                  <w:tcW w:w="0" w:type="auto"/>
                  <w:vAlign w:val="center"/>
                </w:tcPr>
                <w:p>
                  <w:pPr>
                    <w:adjustRightInd w:val="0"/>
                    <w:jc w:val="center"/>
                    <w:textAlignment w:val="baseline"/>
                    <w:rPr>
                      <w:color w:val="auto"/>
                      <w:szCs w:val="21"/>
                      <w:highlight w:val="none"/>
                    </w:rPr>
                  </w:pPr>
                  <w:r>
                    <w:rPr>
                      <w:color w:val="auto"/>
                      <w:szCs w:val="21"/>
                      <w:highlight w:val="none"/>
                    </w:rPr>
                    <w:t>HW49</w:t>
                  </w:r>
                </w:p>
              </w:tc>
              <w:tc>
                <w:tcPr>
                  <w:tcW w:w="0" w:type="auto"/>
                  <w:vAlign w:val="center"/>
                </w:tcPr>
                <w:p>
                  <w:pPr>
                    <w:pStyle w:val="73"/>
                    <w:widowControl w:val="0"/>
                    <w:textAlignment w:val="baseline"/>
                    <w:rPr>
                      <w:color w:val="auto"/>
                      <w:highlight w:val="none"/>
                    </w:rPr>
                  </w:pPr>
                  <w:r>
                    <w:rPr>
                      <w:color w:val="auto"/>
                      <w:highlight w:val="none"/>
                    </w:rPr>
                    <w:t>900-041-49</w:t>
                  </w:r>
                </w:p>
              </w:tc>
              <w:tc>
                <w:tcPr>
                  <w:tcW w:w="0" w:type="auto"/>
                  <w:vAlign w:val="center"/>
                </w:tcPr>
                <w:p>
                  <w:pPr>
                    <w:pStyle w:val="73"/>
                    <w:widowControl w:val="0"/>
                    <w:textAlignment w:val="baseline"/>
                    <w:rPr>
                      <w:color w:val="auto"/>
                      <w:highlight w:val="none"/>
                    </w:rPr>
                  </w:pPr>
                  <w:r>
                    <w:rPr>
                      <w:rFonts w:hint="eastAsia"/>
                      <w:color w:val="auto"/>
                      <w:highlight w:val="none"/>
                    </w:rPr>
                    <w:t>0.05</w:t>
                  </w:r>
                  <w:r>
                    <w:rPr>
                      <w:color w:val="auto"/>
                      <w:highlight w:val="none"/>
                    </w:rPr>
                    <w:t>t/a</w:t>
                  </w:r>
                </w:p>
              </w:tc>
              <w:tc>
                <w:tcPr>
                  <w:tcW w:w="0" w:type="auto"/>
                  <w:vAlign w:val="center"/>
                </w:tcPr>
                <w:p>
                  <w:pPr>
                    <w:adjustRightInd w:val="0"/>
                    <w:jc w:val="center"/>
                    <w:textAlignment w:val="baseline"/>
                    <w:rPr>
                      <w:color w:val="auto"/>
                      <w:szCs w:val="21"/>
                      <w:highlight w:val="none"/>
                    </w:rPr>
                  </w:pPr>
                  <w:r>
                    <w:rPr>
                      <w:color w:val="auto"/>
                      <w:szCs w:val="21"/>
                      <w:highlight w:val="none"/>
                    </w:rPr>
                    <w:t>设备维修保养</w:t>
                  </w:r>
                </w:p>
              </w:tc>
              <w:tc>
                <w:tcPr>
                  <w:tcW w:w="0" w:type="auto"/>
                  <w:vAlign w:val="center"/>
                </w:tcPr>
                <w:p>
                  <w:pPr>
                    <w:adjustRightInd w:val="0"/>
                    <w:jc w:val="center"/>
                    <w:textAlignment w:val="baseline"/>
                    <w:rPr>
                      <w:color w:val="auto"/>
                      <w:szCs w:val="21"/>
                      <w:highlight w:val="none"/>
                    </w:rPr>
                  </w:pPr>
                  <w:r>
                    <w:rPr>
                      <w:color w:val="auto"/>
                      <w:szCs w:val="21"/>
                      <w:highlight w:val="none"/>
                    </w:rPr>
                    <w:t>固</w:t>
                  </w:r>
                </w:p>
              </w:tc>
              <w:tc>
                <w:tcPr>
                  <w:tcW w:w="0" w:type="auto"/>
                  <w:vAlign w:val="center"/>
                </w:tcPr>
                <w:p>
                  <w:pPr>
                    <w:adjustRightInd w:val="0"/>
                    <w:jc w:val="center"/>
                    <w:textAlignment w:val="baseline"/>
                    <w:rPr>
                      <w:color w:val="auto"/>
                      <w:szCs w:val="21"/>
                      <w:highlight w:val="none"/>
                    </w:rPr>
                  </w:pPr>
                  <w:r>
                    <w:rPr>
                      <w:rFonts w:hint="eastAsia"/>
                      <w:color w:val="auto"/>
                      <w:szCs w:val="21"/>
                      <w:highlight w:val="none"/>
                    </w:rPr>
                    <w:t>废矿物油</w:t>
                  </w:r>
                </w:p>
              </w:tc>
              <w:tc>
                <w:tcPr>
                  <w:tcW w:w="0" w:type="auto"/>
                  <w:vAlign w:val="center"/>
                </w:tcPr>
                <w:p>
                  <w:pPr>
                    <w:adjustRightInd w:val="0"/>
                    <w:jc w:val="center"/>
                    <w:textAlignment w:val="baseline"/>
                    <w:rPr>
                      <w:color w:val="auto"/>
                      <w:szCs w:val="21"/>
                      <w:highlight w:val="none"/>
                    </w:rPr>
                  </w:pPr>
                  <w:r>
                    <w:rPr>
                      <w:color w:val="auto"/>
                      <w:szCs w:val="21"/>
                      <w:highlight w:val="none"/>
                    </w:rPr>
                    <w:t>三个月</w:t>
                  </w:r>
                </w:p>
              </w:tc>
              <w:tc>
                <w:tcPr>
                  <w:tcW w:w="0" w:type="auto"/>
                  <w:vAlign w:val="center"/>
                </w:tcPr>
                <w:p>
                  <w:pPr>
                    <w:adjustRightInd w:val="0"/>
                    <w:jc w:val="center"/>
                    <w:textAlignment w:val="baseline"/>
                    <w:rPr>
                      <w:color w:val="auto"/>
                      <w:szCs w:val="21"/>
                      <w:highlight w:val="none"/>
                    </w:rPr>
                  </w:pPr>
                  <w:r>
                    <w:rPr>
                      <w:color w:val="auto"/>
                      <w:szCs w:val="21"/>
                      <w:highlight w:val="none"/>
                    </w:rPr>
                    <w:t>T、In</w:t>
                  </w:r>
                </w:p>
              </w:tc>
              <w:tc>
                <w:tcPr>
                  <w:tcW w:w="0" w:type="auto"/>
                  <w:vMerge w:val="continue"/>
                  <w:vAlign w:val="center"/>
                </w:tcPr>
                <w:p>
                  <w:pPr>
                    <w:adjustRightInd w:val="0"/>
                    <w:snapToGrid w:val="0"/>
                    <w:jc w:val="center"/>
                    <w:rPr>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108" w:type="dxa"/>
                  <w:bottom w:w="28" w:type="dxa"/>
                  <w:right w:w="108" w:type="dxa"/>
                </w:tblCellMar>
              </w:tblPrEx>
              <w:trPr>
                <w:jc w:val="center"/>
              </w:trPr>
              <w:tc>
                <w:tcPr>
                  <w:tcW w:w="0" w:type="auto"/>
                  <w:vAlign w:val="center"/>
                </w:tcPr>
                <w:p>
                  <w:pPr>
                    <w:adjustRightInd w:val="0"/>
                    <w:jc w:val="center"/>
                    <w:textAlignment w:val="baseline"/>
                    <w:rPr>
                      <w:color w:val="auto"/>
                      <w:szCs w:val="21"/>
                      <w:highlight w:val="none"/>
                    </w:rPr>
                  </w:pPr>
                  <w:r>
                    <w:rPr>
                      <w:rFonts w:hint="eastAsia"/>
                      <w:color w:val="auto"/>
                      <w:szCs w:val="21"/>
                      <w:highlight w:val="none"/>
                    </w:rPr>
                    <w:t>4</w:t>
                  </w:r>
                </w:p>
              </w:tc>
              <w:tc>
                <w:tcPr>
                  <w:tcW w:w="0" w:type="auto"/>
                  <w:vAlign w:val="center"/>
                </w:tcPr>
                <w:p>
                  <w:pPr>
                    <w:pStyle w:val="73"/>
                    <w:widowControl w:val="0"/>
                    <w:textAlignment w:val="baseline"/>
                    <w:rPr>
                      <w:color w:val="auto"/>
                      <w:highlight w:val="none"/>
                    </w:rPr>
                  </w:pPr>
                  <w:r>
                    <w:rPr>
                      <w:color w:val="auto"/>
                      <w:highlight w:val="none"/>
                    </w:rPr>
                    <w:t>废活性炭</w:t>
                  </w:r>
                </w:p>
              </w:tc>
              <w:tc>
                <w:tcPr>
                  <w:tcW w:w="0" w:type="auto"/>
                  <w:vAlign w:val="center"/>
                </w:tcPr>
                <w:p>
                  <w:pPr>
                    <w:adjustRightInd w:val="0"/>
                    <w:jc w:val="center"/>
                    <w:textAlignment w:val="baseline"/>
                    <w:rPr>
                      <w:color w:val="auto"/>
                      <w:szCs w:val="21"/>
                      <w:highlight w:val="none"/>
                    </w:rPr>
                  </w:pPr>
                  <w:r>
                    <w:rPr>
                      <w:color w:val="auto"/>
                      <w:szCs w:val="21"/>
                      <w:highlight w:val="none"/>
                    </w:rPr>
                    <w:t>HW49</w:t>
                  </w:r>
                </w:p>
              </w:tc>
              <w:tc>
                <w:tcPr>
                  <w:tcW w:w="0" w:type="auto"/>
                  <w:vAlign w:val="center"/>
                </w:tcPr>
                <w:p>
                  <w:pPr>
                    <w:pStyle w:val="73"/>
                    <w:widowControl w:val="0"/>
                    <w:textAlignment w:val="baseline"/>
                    <w:rPr>
                      <w:color w:val="auto"/>
                      <w:highlight w:val="none"/>
                    </w:rPr>
                  </w:pPr>
                  <w:r>
                    <w:rPr>
                      <w:color w:val="auto"/>
                      <w:highlight w:val="none"/>
                    </w:rPr>
                    <w:t>900-0</w:t>
                  </w:r>
                  <w:r>
                    <w:rPr>
                      <w:rFonts w:hint="eastAsia"/>
                      <w:color w:val="auto"/>
                      <w:highlight w:val="none"/>
                    </w:rPr>
                    <w:t>39</w:t>
                  </w:r>
                  <w:r>
                    <w:rPr>
                      <w:color w:val="auto"/>
                      <w:highlight w:val="none"/>
                    </w:rPr>
                    <w:t>-49</w:t>
                  </w:r>
                </w:p>
              </w:tc>
              <w:tc>
                <w:tcPr>
                  <w:tcW w:w="0" w:type="auto"/>
                  <w:vAlign w:val="center"/>
                </w:tcPr>
                <w:p>
                  <w:pPr>
                    <w:pStyle w:val="73"/>
                    <w:widowControl w:val="0"/>
                    <w:textAlignment w:val="baseline"/>
                    <w:rPr>
                      <w:color w:val="auto"/>
                      <w:highlight w:val="none"/>
                    </w:rPr>
                  </w:pPr>
                  <w:r>
                    <w:rPr>
                      <w:rFonts w:hint="eastAsia"/>
                      <w:color w:val="auto"/>
                      <w:highlight w:val="none"/>
                    </w:rPr>
                    <w:t>0.8567</w:t>
                  </w:r>
                  <w:r>
                    <w:rPr>
                      <w:color w:val="auto"/>
                      <w:highlight w:val="none"/>
                    </w:rPr>
                    <w:t>t/a</w:t>
                  </w:r>
                </w:p>
              </w:tc>
              <w:tc>
                <w:tcPr>
                  <w:tcW w:w="0" w:type="auto"/>
                  <w:vAlign w:val="center"/>
                </w:tcPr>
                <w:p>
                  <w:pPr>
                    <w:adjustRightInd w:val="0"/>
                    <w:jc w:val="center"/>
                    <w:textAlignment w:val="baseline"/>
                    <w:rPr>
                      <w:color w:val="auto"/>
                      <w:szCs w:val="21"/>
                      <w:highlight w:val="none"/>
                    </w:rPr>
                  </w:pPr>
                  <w:r>
                    <w:rPr>
                      <w:color w:val="auto"/>
                      <w:szCs w:val="21"/>
                      <w:highlight w:val="none"/>
                    </w:rPr>
                    <w:t>废气处理系统</w:t>
                  </w:r>
                </w:p>
              </w:tc>
              <w:tc>
                <w:tcPr>
                  <w:tcW w:w="0" w:type="auto"/>
                  <w:vAlign w:val="center"/>
                </w:tcPr>
                <w:p>
                  <w:pPr>
                    <w:adjustRightInd w:val="0"/>
                    <w:jc w:val="center"/>
                    <w:textAlignment w:val="baseline"/>
                    <w:rPr>
                      <w:color w:val="auto"/>
                      <w:szCs w:val="21"/>
                      <w:highlight w:val="none"/>
                    </w:rPr>
                  </w:pPr>
                  <w:r>
                    <w:rPr>
                      <w:color w:val="auto"/>
                      <w:szCs w:val="21"/>
                      <w:highlight w:val="none"/>
                    </w:rPr>
                    <w:t>固</w:t>
                  </w:r>
                </w:p>
              </w:tc>
              <w:tc>
                <w:tcPr>
                  <w:tcW w:w="0" w:type="auto"/>
                  <w:vAlign w:val="center"/>
                </w:tcPr>
                <w:p>
                  <w:pPr>
                    <w:adjustRightInd w:val="0"/>
                    <w:jc w:val="center"/>
                    <w:textAlignment w:val="baseline"/>
                    <w:rPr>
                      <w:color w:val="auto"/>
                      <w:szCs w:val="21"/>
                      <w:highlight w:val="none"/>
                    </w:rPr>
                  </w:pPr>
                  <w:r>
                    <w:rPr>
                      <w:color w:val="auto"/>
                      <w:szCs w:val="21"/>
                      <w:highlight w:val="none"/>
                    </w:rPr>
                    <w:t>有机物</w:t>
                  </w:r>
                </w:p>
              </w:tc>
              <w:tc>
                <w:tcPr>
                  <w:tcW w:w="0" w:type="auto"/>
                  <w:vAlign w:val="center"/>
                </w:tcPr>
                <w:p>
                  <w:pPr>
                    <w:adjustRightInd w:val="0"/>
                    <w:jc w:val="center"/>
                    <w:textAlignment w:val="baseline"/>
                    <w:rPr>
                      <w:color w:val="auto"/>
                      <w:szCs w:val="21"/>
                      <w:highlight w:val="none"/>
                    </w:rPr>
                  </w:pPr>
                  <w:r>
                    <w:rPr>
                      <w:color w:val="auto"/>
                      <w:szCs w:val="21"/>
                      <w:highlight w:val="none"/>
                    </w:rPr>
                    <w:t>三个月</w:t>
                  </w:r>
                </w:p>
              </w:tc>
              <w:tc>
                <w:tcPr>
                  <w:tcW w:w="0" w:type="auto"/>
                  <w:vAlign w:val="center"/>
                </w:tcPr>
                <w:p>
                  <w:pPr>
                    <w:adjustRightInd w:val="0"/>
                    <w:jc w:val="center"/>
                    <w:textAlignment w:val="baseline"/>
                    <w:rPr>
                      <w:color w:val="auto"/>
                      <w:szCs w:val="21"/>
                      <w:highlight w:val="none"/>
                    </w:rPr>
                  </w:pPr>
                  <w:r>
                    <w:rPr>
                      <w:color w:val="auto"/>
                      <w:szCs w:val="21"/>
                      <w:highlight w:val="none"/>
                    </w:rPr>
                    <w:t>T、In</w:t>
                  </w:r>
                </w:p>
              </w:tc>
              <w:tc>
                <w:tcPr>
                  <w:tcW w:w="0" w:type="auto"/>
                  <w:vMerge w:val="continue"/>
                  <w:vAlign w:val="center"/>
                </w:tcPr>
                <w:p>
                  <w:pPr>
                    <w:adjustRightInd w:val="0"/>
                    <w:jc w:val="center"/>
                    <w:textAlignment w:val="baseline"/>
                    <w:rPr>
                      <w:color w:val="auto"/>
                      <w:szCs w:val="21"/>
                      <w:highlight w:val="none"/>
                    </w:rPr>
                  </w:pPr>
                </w:p>
              </w:tc>
            </w:tr>
          </w:tbl>
          <w:p>
            <w:pPr>
              <w:widowControl/>
              <w:spacing w:before="120" w:beforeLines="50" w:line="360" w:lineRule="auto"/>
              <w:ind w:firstLine="422" w:firstLineChars="200"/>
              <w:rPr>
                <w:b/>
                <w:bCs/>
                <w:color w:val="auto"/>
                <w:highlight w:val="none"/>
              </w:rPr>
            </w:pPr>
            <w:r>
              <w:rPr>
                <w:rFonts w:hint="eastAsia"/>
                <w:b/>
                <w:bCs/>
                <w:color w:val="auto"/>
                <w:highlight w:val="none"/>
              </w:rPr>
              <w:t>2、环境管理要求</w:t>
            </w:r>
          </w:p>
          <w:p>
            <w:pPr>
              <w:adjustRightInd w:val="0"/>
              <w:snapToGrid w:val="0"/>
              <w:spacing w:line="360" w:lineRule="auto"/>
              <w:ind w:firstLine="420" w:firstLineChars="200"/>
              <w:jc w:val="left"/>
              <w:rPr>
                <w:bCs/>
                <w:color w:val="auto"/>
                <w:highlight w:val="none"/>
              </w:rPr>
            </w:pPr>
            <w:r>
              <w:rPr>
                <w:bCs/>
                <w:color w:val="auto"/>
                <w:highlight w:val="none"/>
              </w:rPr>
              <w:t>项目员工的生活垃圾必须按照指定地点堆放在生活垃圾堆放点，与当地环卫部门联系，每日及时清理、转运、压缩，作统一处理。</w:t>
            </w:r>
          </w:p>
          <w:p>
            <w:pPr>
              <w:pStyle w:val="125"/>
              <w:adjustRightInd w:val="0"/>
              <w:snapToGrid w:val="0"/>
              <w:ind w:firstLine="420"/>
              <w:rPr>
                <w:color w:val="auto"/>
                <w:sz w:val="21"/>
                <w:szCs w:val="21"/>
                <w:highlight w:val="none"/>
              </w:rPr>
            </w:pPr>
            <w:r>
              <w:rPr>
                <w:bCs w:val="0"/>
                <w:color w:val="auto"/>
                <w:sz w:val="21"/>
                <w:szCs w:val="21"/>
                <w:highlight w:val="none"/>
              </w:rPr>
              <w:t>项目一般工业固体废物经分类收集后尽量回收利用，不能回用的委托相关再生资源回收单位进行回收利用。一般工业固体废物临时存放区实施分类投放、分类收集、分类运输和分类处置，同时保持分类收集容器完好整洁和正常使用。</w:t>
            </w:r>
            <w:r>
              <w:rPr>
                <w:color w:val="auto"/>
                <w:sz w:val="21"/>
                <w:szCs w:val="21"/>
                <w:highlight w:val="none"/>
              </w:rPr>
              <w:t>一般工业固废仓库的建设应满足《一般工业固体废物贮存和填埋污染控制标准》（GB18599-2020）的相关要求。具体为：贮存区采取防风防雨措施；各类固废应分类收集；贮存区按照《环境保护图形标志——固体废物贮存（处置）场》（GB15562.2）的要求设置环保图形标志；指定专人进行日常管理。</w:t>
            </w:r>
          </w:p>
          <w:p>
            <w:pPr>
              <w:adjustRightInd w:val="0"/>
              <w:snapToGrid w:val="0"/>
              <w:spacing w:line="360" w:lineRule="auto"/>
              <w:ind w:firstLine="420" w:firstLineChars="200"/>
              <w:rPr>
                <w:bCs/>
                <w:color w:val="auto"/>
                <w:highlight w:val="none"/>
              </w:rPr>
            </w:pPr>
            <w:r>
              <w:rPr>
                <w:bCs/>
                <w:color w:val="auto"/>
                <w:highlight w:val="none"/>
              </w:rPr>
              <w:t>项目危险废物经收集后交由有危险废物回收处理资质的单位外运处理。建设单位应委托具有相应资质的运输单位和利用处置经营单位，签订委托合同，依法委托运输、利用处置危险废物。在委托时，应详细核实运输单位、车辆、驾驶员及押运员的资质，并根据废物特性，选择运输工具，严防二次污染；应详细核实经营单位资质，严禁委托不具资质或资质不符的单位处置。转移前，产生单位应制定转移计划，向环保主管部门报备并领取联单；转移后，应按照转移实际，做到一转移一联单，并及时向环保主管部门提交转移联单，联单保存应在五年以上。</w:t>
            </w:r>
          </w:p>
          <w:p>
            <w:pPr>
              <w:adjustRightInd w:val="0"/>
              <w:snapToGrid w:val="0"/>
              <w:spacing w:line="360" w:lineRule="auto"/>
              <w:ind w:firstLine="420" w:firstLineChars="200"/>
              <w:rPr>
                <w:bCs/>
                <w:color w:val="auto"/>
                <w:highlight w:val="none"/>
              </w:rPr>
            </w:pPr>
            <w:r>
              <w:rPr>
                <w:bCs/>
                <w:color w:val="auto"/>
                <w:highlight w:val="none"/>
              </w:rPr>
              <w:t>厂区需要按照《危险废物贮存污染控制标准》(GB18597-2001，2013年修正)的有关规定对危险废物使用专门额容器收集、盛装。装运危险废物的容器能有效地防止渗漏、扩散。装有危险废物的容器贴有标签，在标签上详细标明危险废物的名称、重量、成分、特性以及发生泄漏、扩散污染事故时的应急措施和补救方法。为了防止二次污染，危险废物暂存场应按照《危险废物贮存污染控制标准》（GB18597-2001）及其修改单中的相关规范建设。</w:t>
            </w:r>
          </w:p>
          <w:p>
            <w:pPr>
              <w:adjustRightInd w:val="0"/>
              <w:snapToGrid w:val="0"/>
              <w:spacing w:line="360" w:lineRule="auto"/>
              <w:ind w:firstLine="420" w:firstLineChars="200"/>
              <w:rPr>
                <w:bCs/>
                <w:color w:val="auto"/>
                <w:highlight w:val="none"/>
              </w:rPr>
            </w:pPr>
            <w:r>
              <w:rPr>
                <w:bCs/>
                <w:color w:val="auto"/>
                <w:highlight w:val="none"/>
              </w:rPr>
              <w:t>（1）对危险废物应建造专用的危险废物贮存设施。建设单位拟在项目生产车间建设专用于危险废物暂存的存放室，该存放室干燥、阴凉，可避免阳关直射危险废物。</w:t>
            </w:r>
          </w:p>
          <w:p>
            <w:pPr>
              <w:adjustRightInd w:val="0"/>
              <w:snapToGrid w:val="0"/>
              <w:spacing w:line="360" w:lineRule="auto"/>
              <w:ind w:firstLine="420" w:firstLineChars="200"/>
              <w:jc w:val="left"/>
              <w:rPr>
                <w:bCs/>
                <w:color w:val="auto"/>
                <w:highlight w:val="none"/>
              </w:rPr>
            </w:pPr>
            <w:r>
              <w:rPr>
                <w:bCs/>
                <w:color w:val="auto"/>
                <w:highlight w:val="none"/>
              </w:rPr>
              <w:t>（2）无法装入常用容器的危险废物可用防漏胶袋等盛装。</w:t>
            </w:r>
          </w:p>
          <w:p>
            <w:pPr>
              <w:adjustRightInd w:val="0"/>
              <w:snapToGrid w:val="0"/>
              <w:spacing w:line="360" w:lineRule="auto"/>
              <w:ind w:firstLine="420" w:firstLineChars="200"/>
              <w:jc w:val="left"/>
              <w:rPr>
                <w:bCs/>
                <w:color w:val="auto"/>
                <w:highlight w:val="none"/>
              </w:rPr>
            </w:pPr>
            <w:r>
              <w:rPr>
                <w:bCs/>
                <w:color w:val="auto"/>
                <w:highlight w:val="none"/>
              </w:rPr>
              <w:t>（3）禁止将不相容（相互反应）的危险废物在同一容器内混装。</w:t>
            </w:r>
          </w:p>
          <w:p>
            <w:pPr>
              <w:adjustRightInd w:val="0"/>
              <w:snapToGrid w:val="0"/>
              <w:spacing w:line="360" w:lineRule="auto"/>
              <w:ind w:firstLine="420" w:firstLineChars="200"/>
              <w:jc w:val="left"/>
              <w:rPr>
                <w:bCs/>
                <w:color w:val="auto"/>
                <w:highlight w:val="none"/>
              </w:rPr>
            </w:pPr>
            <w:r>
              <w:rPr>
                <w:bCs/>
                <w:color w:val="auto"/>
                <w:highlight w:val="none"/>
              </w:rPr>
              <w:t>（4）盛装危险废物的容器上必须粘贴符合标准附录A所示的标签。</w:t>
            </w:r>
          </w:p>
          <w:p>
            <w:pPr>
              <w:adjustRightInd w:val="0"/>
              <w:snapToGrid w:val="0"/>
              <w:spacing w:line="360" w:lineRule="auto"/>
              <w:ind w:firstLine="420" w:firstLineChars="200"/>
              <w:rPr>
                <w:bCs/>
                <w:color w:val="auto"/>
                <w:highlight w:val="none"/>
              </w:rPr>
            </w:pPr>
            <w:r>
              <w:rPr>
                <w:bCs/>
                <w:color w:val="auto"/>
                <w:highlight w:val="none"/>
              </w:rPr>
              <w:t>（5）危废暂存间地面应防腐防渗，各类危废应分区暂存，其中液态危废暂存区应设围堰。</w:t>
            </w:r>
          </w:p>
          <w:p>
            <w:pPr>
              <w:adjustRightInd w:val="0"/>
              <w:snapToGrid w:val="0"/>
              <w:spacing w:line="360" w:lineRule="auto"/>
              <w:ind w:firstLine="420" w:firstLineChars="200"/>
              <w:rPr>
                <w:bCs/>
                <w:color w:val="auto"/>
                <w:highlight w:val="none"/>
              </w:rPr>
            </w:pPr>
            <w:r>
              <w:rPr>
                <w:bCs/>
                <w:color w:val="auto"/>
                <w:highlight w:val="none"/>
              </w:rPr>
              <w:t>本项目严格按照《危险废物贮存污染控制标准》（GB18597-2001）及其修改单对危险废物进行收集、暂存，并委托持有《危险废物经营许可证》的单位进行无害化处理处置，采取上述措施防治后，项目的危险废物对周围环境基本无影响。</w:t>
            </w:r>
          </w:p>
          <w:p>
            <w:pPr>
              <w:adjustRightInd w:val="0"/>
              <w:snapToGrid w:val="0"/>
              <w:spacing w:line="360" w:lineRule="auto"/>
              <w:jc w:val="center"/>
              <w:rPr>
                <w:b/>
                <w:color w:val="auto"/>
                <w:highlight w:val="none"/>
              </w:rPr>
            </w:pPr>
            <w:r>
              <w:rPr>
                <w:rFonts w:hint="eastAsia"/>
                <w:b/>
                <w:color w:val="auto"/>
                <w:highlight w:val="none"/>
              </w:rPr>
              <w:t>表4-</w:t>
            </w:r>
            <w:r>
              <w:rPr>
                <w:rFonts w:hint="eastAsia"/>
                <w:b/>
                <w:color w:val="auto"/>
                <w:highlight w:val="none"/>
                <w:lang w:val="en-US" w:eastAsia="zh-CN"/>
              </w:rPr>
              <w:t>19</w:t>
            </w:r>
            <w:r>
              <w:rPr>
                <w:rFonts w:hint="eastAsia"/>
                <w:b/>
                <w:color w:val="auto"/>
                <w:highlight w:val="none"/>
              </w:rPr>
              <w:t xml:space="preserve"> </w:t>
            </w:r>
            <w:r>
              <w:rPr>
                <w:b/>
                <w:color w:val="auto"/>
                <w:highlight w:val="none"/>
              </w:rPr>
              <w:t>本项目危险废物贮存场所（设施）基本情况</w:t>
            </w:r>
          </w:p>
          <w:tbl>
            <w:tblPr>
              <w:tblStyle w:val="35"/>
              <w:tblW w:w="0" w:type="auto"/>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512"/>
              <w:gridCol w:w="947"/>
              <w:gridCol w:w="1134"/>
              <w:gridCol w:w="1134"/>
              <w:gridCol w:w="1196"/>
              <w:gridCol w:w="708"/>
              <w:gridCol w:w="719"/>
              <w:gridCol w:w="1000"/>
              <w:gridCol w:w="818"/>
              <w:gridCol w:w="978"/>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2" w:type="dxa"/>
                  <w:tcBorders>
                    <w:tl2br w:val="nil"/>
                    <w:tr2bl w:val="nil"/>
                  </w:tcBorders>
                  <w:vAlign w:val="center"/>
                </w:tcPr>
                <w:p>
                  <w:pPr>
                    <w:pStyle w:val="107"/>
                    <w:widowControl w:val="0"/>
                    <w:contextualSpacing/>
                    <w:jc w:val="center"/>
                    <w:rPr>
                      <w:rFonts w:ascii="Times New Roman" w:hAnsi="Times New Roman"/>
                      <w:b/>
                      <w:color w:val="auto"/>
                      <w:kern w:val="2"/>
                      <w:highlight w:val="none"/>
                    </w:rPr>
                  </w:pPr>
                  <w:r>
                    <w:rPr>
                      <w:rFonts w:ascii="Times New Roman" w:hAnsi="Times New Roman"/>
                      <w:b/>
                      <w:color w:val="auto"/>
                      <w:kern w:val="2"/>
                      <w:highlight w:val="none"/>
                    </w:rPr>
                    <w:t>序号</w:t>
                  </w:r>
                </w:p>
              </w:tc>
              <w:tc>
                <w:tcPr>
                  <w:tcW w:w="947" w:type="dxa"/>
                  <w:tcBorders>
                    <w:tl2br w:val="nil"/>
                    <w:tr2bl w:val="nil"/>
                  </w:tcBorders>
                  <w:vAlign w:val="center"/>
                </w:tcPr>
                <w:p>
                  <w:pPr>
                    <w:pStyle w:val="107"/>
                    <w:widowControl w:val="0"/>
                    <w:contextualSpacing/>
                    <w:jc w:val="center"/>
                    <w:rPr>
                      <w:rFonts w:ascii="Times New Roman" w:hAnsi="Times New Roman"/>
                      <w:b/>
                      <w:color w:val="auto"/>
                      <w:kern w:val="2"/>
                      <w:highlight w:val="none"/>
                    </w:rPr>
                  </w:pPr>
                  <w:r>
                    <w:rPr>
                      <w:rFonts w:ascii="Times New Roman" w:hAnsi="Times New Roman"/>
                      <w:b/>
                      <w:color w:val="auto"/>
                      <w:kern w:val="2"/>
                      <w:highlight w:val="none"/>
                    </w:rPr>
                    <w:t>贮存场所（设施）</w:t>
                  </w:r>
                </w:p>
                <w:p>
                  <w:pPr>
                    <w:pStyle w:val="107"/>
                    <w:widowControl w:val="0"/>
                    <w:contextualSpacing/>
                    <w:jc w:val="center"/>
                    <w:rPr>
                      <w:rFonts w:ascii="Times New Roman" w:hAnsi="Times New Roman"/>
                      <w:b/>
                      <w:color w:val="auto"/>
                      <w:kern w:val="2"/>
                      <w:highlight w:val="none"/>
                    </w:rPr>
                  </w:pPr>
                  <w:r>
                    <w:rPr>
                      <w:rFonts w:ascii="Times New Roman" w:hAnsi="Times New Roman"/>
                      <w:b/>
                      <w:color w:val="auto"/>
                      <w:kern w:val="2"/>
                      <w:highlight w:val="none"/>
                    </w:rPr>
                    <w:t>名称</w:t>
                  </w:r>
                </w:p>
              </w:tc>
              <w:tc>
                <w:tcPr>
                  <w:tcW w:w="1134" w:type="dxa"/>
                  <w:tcBorders>
                    <w:tl2br w:val="nil"/>
                    <w:tr2bl w:val="nil"/>
                  </w:tcBorders>
                  <w:vAlign w:val="center"/>
                </w:tcPr>
                <w:p>
                  <w:pPr>
                    <w:pStyle w:val="107"/>
                    <w:widowControl w:val="0"/>
                    <w:contextualSpacing/>
                    <w:jc w:val="center"/>
                    <w:rPr>
                      <w:rFonts w:ascii="Times New Roman" w:hAnsi="Times New Roman"/>
                      <w:b/>
                      <w:color w:val="auto"/>
                      <w:kern w:val="2"/>
                      <w:highlight w:val="none"/>
                    </w:rPr>
                  </w:pPr>
                  <w:r>
                    <w:rPr>
                      <w:rFonts w:ascii="Times New Roman" w:hAnsi="Times New Roman"/>
                      <w:b/>
                      <w:color w:val="auto"/>
                      <w:kern w:val="2"/>
                      <w:highlight w:val="none"/>
                    </w:rPr>
                    <w:t>危险废物名称</w:t>
                  </w:r>
                </w:p>
              </w:tc>
              <w:tc>
                <w:tcPr>
                  <w:tcW w:w="1134" w:type="dxa"/>
                  <w:tcBorders>
                    <w:tl2br w:val="nil"/>
                    <w:tr2bl w:val="nil"/>
                  </w:tcBorders>
                  <w:vAlign w:val="center"/>
                </w:tcPr>
                <w:p>
                  <w:pPr>
                    <w:pStyle w:val="107"/>
                    <w:widowControl w:val="0"/>
                    <w:contextualSpacing/>
                    <w:jc w:val="center"/>
                    <w:rPr>
                      <w:rFonts w:ascii="Times New Roman" w:hAnsi="Times New Roman"/>
                      <w:b/>
                      <w:color w:val="auto"/>
                      <w:kern w:val="2"/>
                      <w:highlight w:val="none"/>
                    </w:rPr>
                  </w:pPr>
                  <w:r>
                    <w:rPr>
                      <w:rFonts w:ascii="Times New Roman" w:hAnsi="Times New Roman"/>
                      <w:b/>
                      <w:color w:val="auto"/>
                      <w:kern w:val="2"/>
                      <w:highlight w:val="none"/>
                    </w:rPr>
                    <w:t>危险废物类别</w:t>
                  </w:r>
                </w:p>
              </w:tc>
              <w:tc>
                <w:tcPr>
                  <w:tcW w:w="1196" w:type="dxa"/>
                  <w:tcBorders>
                    <w:tl2br w:val="nil"/>
                    <w:tr2bl w:val="nil"/>
                  </w:tcBorders>
                  <w:vAlign w:val="center"/>
                </w:tcPr>
                <w:p>
                  <w:pPr>
                    <w:pStyle w:val="107"/>
                    <w:widowControl w:val="0"/>
                    <w:contextualSpacing/>
                    <w:jc w:val="center"/>
                    <w:rPr>
                      <w:rFonts w:ascii="Times New Roman" w:hAnsi="Times New Roman"/>
                      <w:b/>
                      <w:color w:val="auto"/>
                      <w:kern w:val="2"/>
                      <w:highlight w:val="none"/>
                    </w:rPr>
                  </w:pPr>
                  <w:r>
                    <w:rPr>
                      <w:rFonts w:ascii="Times New Roman" w:hAnsi="Times New Roman"/>
                      <w:b/>
                      <w:color w:val="auto"/>
                      <w:kern w:val="2"/>
                      <w:highlight w:val="none"/>
                    </w:rPr>
                    <w:t>危险废物代码</w:t>
                  </w:r>
                </w:p>
              </w:tc>
              <w:tc>
                <w:tcPr>
                  <w:tcW w:w="708" w:type="dxa"/>
                  <w:tcBorders>
                    <w:tl2br w:val="nil"/>
                    <w:tr2bl w:val="nil"/>
                  </w:tcBorders>
                  <w:vAlign w:val="center"/>
                </w:tcPr>
                <w:p>
                  <w:pPr>
                    <w:pStyle w:val="107"/>
                    <w:widowControl w:val="0"/>
                    <w:contextualSpacing/>
                    <w:jc w:val="center"/>
                    <w:rPr>
                      <w:rFonts w:ascii="Times New Roman" w:hAnsi="Times New Roman"/>
                      <w:b/>
                      <w:color w:val="auto"/>
                      <w:kern w:val="2"/>
                      <w:highlight w:val="none"/>
                    </w:rPr>
                  </w:pPr>
                  <w:r>
                    <w:rPr>
                      <w:rFonts w:ascii="Times New Roman" w:hAnsi="Times New Roman"/>
                      <w:b/>
                      <w:color w:val="auto"/>
                      <w:kern w:val="2"/>
                      <w:highlight w:val="none"/>
                    </w:rPr>
                    <w:t>位置</w:t>
                  </w:r>
                </w:p>
              </w:tc>
              <w:tc>
                <w:tcPr>
                  <w:tcW w:w="719" w:type="dxa"/>
                  <w:tcBorders>
                    <w:tl2br w:val="nil"/>
                    <w:tr2bl w:val="nil"/>
                  </w:tcBorders>
                  <w:vAlign w:val="center"/>
                </w:tcPr>
                <w:p>
                  <w:pPr>
                    <w:pStyle w:val="107"/>
                    <w:widowControl w:val="0"/>
                    <w:contextualSpacing/>
                    <w:jc w:val="center"/>
                    <w:rPr>
                      <w:rFonts w:ascii="Times New Roman" w:hAnsi="Times New Roman"/>
                      <w:b/>
                      <w:color w:val="auto"/>
                      <w:kern w:val="2"/>
                      <w:highlight w:val="none"/>
                    </w:rPr>
                  </w:pPr>
                  <w:r>
                    <w:rPr>
                      <w:rFonts w:ascii="Times New Roman" w:hAnsi="Times New Roman"/>
                      <w:b/>
                      <w:color w:val="auto"/>
                      <w:kern w:val="2"/>
                      <w:highlight w:val="none"/>
                    </w:rPr>
                    <w:t>占地面积</w:t>
                  </w:r>
                </w:p>
              </w:tc>
              <w:tc>
                <w:tcPr>
                  <w:tcW w:w="1000" w:type="dxa"/>
                  <w:tcBorders>
                    <w:tl2br w:val="nil"/>
                    <w:tr2bl w:val="nil"/>
                  </w:tcBorders>
                  <w:vAlign w:val="center"/>
                </w:tcPr>
                <w:p>
                  <w:pPr>
                    <w:pStyle w:val="107"/>
                    <w:widowControl w:val="0"/>
                    <w:contextualSpacing/>
                    <w:jc w:val="center"/>
                    <w:rPr>
                      <w:rFonts w:ascii="Times New Roman" w:hAnsi="Times New Roman"/>
                      <w:b/>
                      <w:color w:val="auto"/>
                      <w:kern w:val="2"/>
                      <w:highlight w:val="none"/>
                    </w:rPr>
                  </w:pPr>
                  <w:r>
                    <w:rPr>
                      <w:rFonts w:ascii="Times New Roman" w:hAnsi="Times New Roman"/>
                      <w:b/>
                      <w:color w:val="auto"/>
                      <w:kern w:val="2"/>
                      <w:highlight w:val="none"/>
                    </w:rPr>
                    <w:t>贮存方式</w:t>
                  </w:r>
                </w:p>
              </w:tc>
              <w:tc>
                <w:tcPr>
                  <w:tcW w:w="818" w:type="dxa"/>
                  <w:tcBorders>
                    <w:tl2br w:val="nil"/>
                    <w:tr2bl w:val="nil"/>
                  </w:tcBorders>
                  <w:vAlign w:val="center"/>
                </w:tcPr>
                <w:p>
                  <w:pPr>
                    <w:pStyle w:val="107"/>
                    <w:widowControl w:val="0"/>
                    <w:contextualSpacing/>
                    <w:jc w:val="center"/>
                    <w:rPr>
                      <w:rFonts w:ascii="Times New Roman" w:hAnsi="Times New Roman"/>
                      <w:b/>
                      <w:color w:val="auto"/>
                      <w:kern w:val="2"/>
                      <w:highlight w:val="none"/>
                    </w:rPr>
                  </w:pPr>
                  <w:r>
                    <w:rPr>
                      <w:rFonts w:ascii="Times New Roman" w:hAnsi="Times New Roman"/>
                      <w:b/>
                      <w:color w:val="auto"/>
                      <w:kern w:val="2"/>
                      <w:highlight w:val="none"/>
                    </w:rPr>
                    <w:t>贮存能力</w:t>
                  </w:r>
                </w:p>
              </w:tc>
              <w:tc>
                <w:tcPr>
                  <w:tcW w:w="978" w:type="dxa"/>
                  <w:tcBorders>
                    <w:tl2br w:val="nil"/>
                    <w:tr2bl w:val="nil"/>
                  </w:tcBorders>
                  <w:vAlign w:val="center"/>
                </w:tcPr>
                <w:p>
                  <w:pPr>
                    <w:pStyle w:val="107"/>
                    <w:widowControl w:val="0"/>
                    <w:contextualSpacing/>
                    <w:jc w:val="center"/>
                    <w:rPr>
                      <w:rFonts w:ascii="Times New Roman" w:hAnsi="Times New Roman"/>
                      <w:b/>
                      <w:color w:val="auto"/>
                      <w:kern w:val="2"/>
                      <w:highlight w:val="none"/>
                    </w:rPr>
                  </w:pPr>
                  <w:r>
                    <w:rPr>
                      <w:rFonts w:ascii="Times New Roman" w:hAnsi="Times New Roman"/>
                      <w:b/>
                      <w:color w:val="auto"/>
                      <w:kern w:val="2"/>
                      <w:highlight w:val="none"/>
                    </w:rPr>
                    <w:t>贮存周期</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2" w:type="dxa"/>
                  <w:tcBorders>
                    <w:tl2br w:val="nil"/>
                    <w:tr2bl w:val="nil"/>
                  </w:tcBorders>
                  <w:vAlign w:val="center"/>
                </w:tcPr>
                <w:p>
                  <w:pPr>
                    <w:pStyle w:val="107"/>
                    <w:widowControl w:val="0"/>
                    <w:contextualSpacing/>
                    <w:jc w:val="center"/>
                    <w:rPr>
                      <w:rFonts w:ascii="Times New Roman" w:hAnsi="Times New Roman"/>
                      <w:color w:val="auto"/>
                      <w:kern w:val="2"/>
                      <w:highlight w:val="none"/>
                    </w:rPr>
                  </w:pPr>
                  <w:r>
                    <w:rPr>
                      <w:rFonts w:ascii="Times New Roman" w:hAnsi="Times New Roman"/>
                      <w:color w:val="auto"/>
                      <w:kern w:val="2"/>
                      <w:highlight w:val="none"/>
                    </w:rPr>
                    <w:t>1</w:t>
                  </w:r>
                </w:p>
              </w:tc>
              <w:tc>
                <w:tcPr>
                  <w:tcW w:w="947" w:type="dxa"/>
                  <w:vMerge w:val="restart"/>
                  <w:tcBorders>
                    <w:tl2br w:val="nil"/>
                    <w:tr2bl w:val="nil"/>
                  </w:tcBorders>
                  <w:vAlign w:val="center"/>
                </w:tcPr>
                <w:p>
                  <w:pPr>
                    <w:pStyle w:val="107"/>
                    <w:widowControl w:val="0"/>
                    <w:contextualSpacing/>
                    <w:jc w:val="center"/>
                    <w:rPr>
                      <w:rFonts w:ascii="Times New Roman" w:hAnsi="Times New Roman"/>
                      <w:color w:val="auto"/>
                      <w:kern w:val="2"/>
                      <w:highlight w:val="none"/>
                    </w:rPr>
                  </w:pPr>
                  <w:r>
                    <w:rPr>
                      <w:rFonts w:ascii="Times New Roman" w:hAnsi="Times New Roman"/>
                      <w:color w:val="auto"/>
                      <w:kern w:val="2"/>
                      <w:highlight w:val="none"/>
                    </w:rPr>
                    <w:t>危险废物暂存点</w:t>
                  </w:r>
                </w:p>
              </w:tc>
              <w:tc>
                <w:tcPr>
                  <w:tcW w:w="1134" w:type="dxa"/>
                  <w:tcBorders>
                    <w:tl2br w:val="nil"/>
                    <w:tr2bl w:val="nil"/>
                  </w:tcBorders>
                  <w:vAlign w:val="center"/>
                </w:tcPr>
                <w:p>
                  <w:pPr>
                    <w:pStyle w:val="73"/>
                    <w:widowControl w:val="0"/>
                    <w:textAlignment w:val="baseline"/>
                    <w:rPr>
                      <w:rFonts w:hAnsi="宋体"/>
                      <w:color w:val="auto"/>
                      <w:highlight w:val="none"/>
                    </w:rPr>
                  </w:pPr>
                  <w:r>
                    <w:rPr>
                      <w:color w:val="auto"/>
                      <w:highlight w:val="none"/>
                    </w:rPr>
                    <w:t>废</w:t>
                  </w:r>
                  <w:r>
                    <w:rPr>
                      <w:rFonts w:hint="eastAsia"/>
                      <w:color w:val="auto"/>
                      <w:highlight w:val="none"/>
                      <w:lang w:val="en-US" w:eastAsia="zh-CN"/>
                    </w:rPr>
                    <w:t>包装</w:t>
                  </w:r>
                  <w:r>
                    <w:rPr>
                      <w:color w:val="auto"/>
                      <w:highlight w:val="none"/>
                    </w:rPr>
                    <w:t>桶</w:t>
                  </w:r>
                </w:p>
              </w:tc>
              <w:tc>
                <w:tcPr>
                  <w:tcW w:w="1134" w:type="dxa"/>
                  <w:vMerge w:val="restart"/>
                  <w:tcBorders>
                    <w:tl2br w:val="nil"/>
                    <w:tr2bl w:val="nil"/>
                  </w:tcBorders>
                  <w:vAlign w:val="center"/>
                </w:tcPr>
                <w:p>
                  <w:pPr>
                    <w:adjustRightInd w:val="0"/>
                    <w:snapToGrid w:val="0"/>
                    <w:jc w:val="center"/>
                    <w:textAlignment w:val="baseline"/>
                    <w:rPr>
                      <w:color w:val="auto"/>
                      <w:kern w:val="0"/>
                      <w:szCs w:val="21"/>
                      <w:highlight w:val="none"/>
                    </w:rPr>
                  </w:pPr>
                  <w:r>
                    <w:rPr>
                      <w:color w:val="auto"/>
                      <w:kern w:val="0"/>
                      <w:szCs w:val="21"/>
                      <w:highlight w:val="none"/>
                    </w:rPr>
                    <w:t>HW49其他废物</w:t>
                  </w:r>
                </w:p>
              </w:tc>
              <w:tc>
                <w:tcPr>
                  <w:tcW w:w="1196" w:type="dxa"/>
                  <w:tcBorders>
                    <w:tl2br w:val="nil"/>
                    <w:tr2bl w:val="nil"/>
                  </w:tcBorders>
                  <w:vAlign w:val="center"/>
                </w:tcPr>
                <w:p>
                  <w:pPr>
                    <w:pStyle w:val="73"/>
                    <w:widowControl w:val="0"/>
                    <w:textAlignment w:val="baseline"/>
                    <w:rPr>
                      <w:color w:val="auto"/>
                      <w:highlight w:val="none"/>
                    </w:rPr>
                  </w:pPr>
                  <w:r>
                    <w:rPr>
                      <w:color w:val="auto"/>
                      <w:highlight w:val="none"/>
                    </w:rPr>
                    <w:t>900-041-49</w:t>
                  </w:r>
                </w:p>
              </w:tc>
              <w:tc>
                <w:tcPr>
                  <w:tcW w:w="708" w:type="dxa"/>
                  <w:vMerge w:val="restart"/>
                  <w:tcBorders>
                    <w:tl2br w:val="nil"/>
                    <w:tr2bl w:val="nil"/>
                  </w:tcBorders>
                  <w:vAlign w:val="center"/>
                </w:tcPr>
                <w:p>
                  <w:pPr>
                    <w:pStyle w:val="107"/>
                    <w:widowControl w:val="0"/>
                    <w:contextualSpacing/>
                    <w:jc w:val="center"/>
                    <w:rPr>
                      <w:rFonts w:ascii="Times New Roman" w:hAnsi="Times New Roman"/>
                      <w:color w:val="auto"/>
                      <w:kern w:val="2"/>
                      <w:highlight w:val="none"/>
                    </w:rPr>
                  </w:pPr>
                  <w:r>
                    <w:rPr>
                      <w:rFonts w:hint="eastAsia" w:ascii="Times New Roman" w:hAnsi="Times New Roman"/>
                      <w:color w:val="auto"/>
                      <w:kern w:val="2"/>
                      <w:highlight w:val="none"/>
                    </w:rPr>
                    <w:t>厂房</w:t>
                  </w:r>
                  <w:r>
                    <w:rPr>
                      <w:rFonts w:ascii="Times New Roman" w:hAnsi="Times New Roman"/>
                      <w:color w:val="auto"/>
                      <w:kern w:val="2"/>
                      <w:highlight w:val="none"/>
                    </w:rPr>
                    <w:t xml:space="preserve"> </w:t>
                  </w:r>
                </w:p>
              </w:tc>
              <w:tc>
                <w:tcPr>
                  <w:tcW w:w="719" w:type="dxa"/>
                  <w:vMerge w:val="restart"/>
                  <w:tcBorders>
                    <w:tl2br w:val="nil"/>
                    <w:tr2bl w:val="nil"/>
                  </w:tcBorders>
                  <w:vAlign w:val="center"/>
                </w:tcPr>
                <w:p>
                  <w:pPr>
                    <w:pStyle w:val="107"/>
                    <w:widowControl w:val="0"/>
                    <w:contextualSpacing/>
                    <w:jc w:val="center"/>
                    <w:rPr>
                      <w:rFonts w:ascii="Times New Roman" w:hAnsi="Times New Roman"/>
                      <w:color w:val="auto"/>
                      <w:kern w:val="2"/>
                      <w:highlight w:val="none"/>
                    </w:rPr>
                  </w:pPr>
                  <w:r>
                    <w:rPr>
                      <w:rFonts w:ascii="Times New Roman" w:hAnsi="Times New Roman"/>
                      <w:color w:val="auto"/>
                      <w:kern w:val="2"/>
                      <w:highlight w:val="none"/>
                    </w:rPr>
                    <w:t>10m</w:t>
                  </w:r>
                  <w:r>
                    <w:rPr>
                      <w:rFonts w:ascii="Times New Roman" w:hAnsi="Times New Roman"/>
                      <w:color w:val="auto"/>
                      <w:kern w:val="2"/>
                      <w:highlight w:val="none"/>
                      <w:vertAlign w:val="superscript"/>
                    </w:rPr>
                    <w:t>2</w:t>
                  </w:r>
                </w:p>
              </w:tc>
              <w:tc>
                <w:tcPr>
                  <w:tcW w:w="1000" w:type="dxa"/>
                  <w:vMerge w:val="restart"/>
                  <w:tcBorders>
                    <w:tl2br w:val="nil"/>
                    <w:tr2bl w:val="nil"/>
                  </w:tcBorders>
                  <w:vAlign w:val="center"/>
                </w:tcPr>
                <w:p>
                  <w:pPr>
                    <w:pStyle w:val="107"/>
                    <w:widowControl w:val="0"/>
                    <w:contextualSpacing/>
                    <w:jc w:val="center"/>
                    <w:rPr>
                      <w:rFonts w:ascii="Times New Roman" w:hAnsi="Times New Roman"/>
                      <w:color w:val="auto"/>
                      <w:kern w:val="2"/>
                      <w:highlight w:val="none"/>
                    </w:rPr>
                  </w:pPr>
                  <w:r>
                    <w:rPr>
                      <w:rFonts w:hint="eastAsia" w:ascii="Times New Roman" w:hAnsi="Times New Roman"/>
                      <w:color w:val="auto"/>
                      <w:kern w:val="2"/>
                      <w:highlight w:val="none"/>
                    </w:rPr>
                    <w:t>密封储存</w:t>
                  </w:r>
                </w:p>
              </w:tc>
              <w:tc>
                <w:tcPr>
                  <w:tcW w:w="818" w:type="dxa"/>
                  <w:tcBorders>
                    <w:tl2br w:val="nil"/>
                    <w:tr2bl w:val="nil"/>
                  </w:tcBorders>
                  <w:vAlign w:val="center"/>
                </w:tcPr>
                <w:p>
                  <w:pPr>
                    <w:adjustRightInd w:val="0"/>
                    <w:jc w:val="center"/>
                    <w:textAlignment w:val="baseline"/>
                    <w:rPr>
                      <w:color w:val="auto"/>
                      <w:szCs w:val="21"/>
                      <w:highlight w:val="none"/>
                    </w:rPr>
                  </w:pPr>
                  <w:r>
                    <w:rPr>
                      <w:rFonts w:hint="eastAsia"/>
                      <w:color w:val="auto"/>
                      <w:szCs w:val="21"/>
                      <w:highlight w:val="none"/>
                    </w:rPr>
                    <w:t>0.05</w:t>
                  </w:r>
                  <w:r>
                    <w:rPr>
                      <w:color w:val="auto"/>
                      <w:szCs w:val="21"/>
                      <w:highlight w:val="none"/>
                    </w:rPr>
                    <w:t>t/a</w:t>
                  </w:r>
                </w:p>
              </w:tc>
              <w:tc>
                <w:tcPr>
                  <w:tcW w:w="978" w:type="dxa"/>
                  <w:tcBorders>
                    <w:tl2br w:val="nil"/>
                    <w:tr2bl w:val="nil"/>
                  </w:tcBorders>
                  <w:vAlign w:val="center"/>
                </w:tcPr>
                <w:p>
                  <w:pPr>
                    <w:pStyle w:val="107"/>
                    <w:widowControl w:val="0"/>
                    <w:contextualSpacing/>
                    <w:jc w:val="center"/>
                    <w:rPr>
                      <w:rFonts w:ascii="Times New Roman" w:hAnsi="Times New Roman"/>
                      <w:color w:val="auto"/>
                      <w:kern w:val="2"/>
                      <w:highlight w:val="none"/>
                    </w:rPr>
                  </w:pPr>
                  <w:r>
                    <w:rPr>
                      <w:rFonts w:hint="eastAsia" w:ascii="Times New Roman" w:hAnsi="Times New Roman"/>
                      <w:color w:val="auto"/>
                      <w:kern w:val="2"/>
                      <w:highlight w:val="none"/>
                    </w:rPr>
                    <w:t>3个月</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2" w:type="dxa"/>
                  <w:tcBorders>
                    <w:tl2br w:val="nil"/>
                    <w:tr2bl w:val="nil"/>
                  </w:tcBorders>
                  <w:vAlign w:val="center"/>
                </w:tcPr>
                <w:p>
                  <w:pPr>
                    <w:pStyle w:val="107"/>
                    <w:widowControl w:val="0"/>
                    <w:contextualSpacing/>
                    <w:jc w:val="center"/>
                    <w:rPr>
                      <w:rFonts w:ascii="Times New Roman" w:hAnsi="Times New Roman"/>
                      <w:color w:val="auto"/>
                      <w:kern w:val="2"/>
                      <w:highlight w:val="none"/>
                    </w:rPr>
                  </w:pPr>
                  <w:r>
                    <w:rPr>
                      <w:rFonts w:ascii="Times New Roman" w:hAnsi="Times New Roman"/>
                      <w:color w:val="auto"/>
                      <w:kern w:val="2"/>
                      <w:highlight w:val="none"/>
                    </w:rPr>
                    <w:t>2</w:t>
                  </w:r>
                </w:p>
              </w:tc>
              <w:tc>
                <w:tcPr>
                  <w:tcW w:w="947" w:type="dxa"/>
                  <w:vMerge w:val="continue"/>
                  <w:tcBorders>
                    <w:tl2br w:val="nil"/>
                    <w:tr2bl w:val="nil"/>
                  </w:tcBorders>
                  <w:vAlign w:val="center"/>
                </w:tcPr>
                <w:p>
                  <w:pPr>
                    <w:pStyle w:val="107"/>
                    <w:widowControl w:val="0"/>
                    <w:contextualSpacing/>
                    <w:jc w:val="center"/>
                    <w:rPr>
                      <w:rFonts w:ascii="Times New Roman" w:hAnsi="Times New Roman"/>
                      <w:color w:val="auto"/>
                      <w:kern w:val="2"/>
                      <w:highlight w:val="none"/>
                    </w:rPr>
                  </w:pPr>
                </w:p>
              </w:tc>
              <w:tc>
                <w:tcPr>
                  <w:tcW w:w="1134" w:type="dxa"/>
                  <w:tcBorders>
                    <w:tl2br w:val="nil"/>
                    <w:tr2bl w:val="nil"/>
                  </w:tcBorders>
                  <w:vAlign w:val="center"/>
                </w:tcPr>
                <w:p>
                  <w:pPr>
                    <w:pStyle w:val="73"/>
                    <w:widowControl w:val="0"/>
                    <w:textAlignment w:val="baseline"/>
                    <w:rPr>
                      <w:color w:val="auto"/>
                      <w:highlight w:val="none"/>
                    </w:rPr>
                  </w:pPr>
                  <w:r>
                    <w:rPr>
                      <w:color w:val="auto"/>
                      <w:highlight w:val="none"/>
                    </w:rPr>
                    <w:t>废</w:t>
                  </w:r>
                  <w:r>
                    <w:rPr>
                      <w:rFonts w:hint="eastAsia"/>
                      <w:color w:val="auto"/>
                      <w:highlight w:val="none"/>
                      <w:lang w:val="en-US" w:eastAsia="zh-CN"/>
                    </w:rPr>
                    <w:t>机</w:t>
                  </w:r>
                  <w:r>
                    <w:rPr>
                      <w:rFonts w:hint="eastAsia"/>
                      <w:color w:val="auto"/>
                      <w:highlight w:val="none"/>
                    </w:rPr>
                    <w:t>油</w:t>
                  </w:r>
                </w:p>
              </w:tc>
              <w:tc>
                <w:tcPr>
                  <w:tcW w:w="1134" w:type="dxa"/>
                  <w:vMerge w:val="continue"/>
                  <w:tcBorders>
                    <w:tl2br w:val="nil"/>
                    <w:tr2bl w:val="nil"/>
                  </w:tcBorders>
                  <w:vAlign w:val="center"/>
                </w:tcPr>
                <w:p>
                  <w:pPr>
                    <w:adjustRightInd w:val="0"/>
                    <w:snapToGrid w:val="0"/>
                    <w:jc w:val="center"/>
                    <w:textAlignment w:val="baseline"/>
                    <w:rPr>
                      <w:color w:val="auto"/>
                      <w:kern w:val="0"/>
                      <w:szCs w:val="21"/>
                      <w:highlight w:val="none"/>
                    </w:rPr>
                  </w:pPr>
                </w:p>
              </w:tc>
              <w:tc>
                <w:tcPr>
                  <w:tcW w:w="1196" w:type="dxa"/>
                  <w:tcBorders>
                    <w:tl2br w:val="nil"/>
                    <w:tr2bl w:val="nil"/>
                  </w:tcBorders>
                  <w:vAlign w:val="center"/>
                </w:tcPr>
                <w:p>
                  <w:pPr>
                    <w:pStyle w:val="73"/>
                    <w:widowControl w:val="0"/>
                    <w:textAlignment w:val="baseline"/>
                    <w:rPr>
                      <w:color w:val="auto"/>
                      <w:highlight w:val="none"/>
                    </w:rPr>
                  </w:pPr>
                  <w:r>
                    <w:rPr>
                      <w:color w:val="auto"/>
                      <w:highlight w:val="none"/>
                    </w:rPr>
                    <w:t>900-</w:t>
                  </w:r>
                  <w:r>
                    <w:rPr>
                      <w:rFonts w:hint="eastAsia"/>
                      <w:color w:val="auto"/>
                      <w:highlight w:val="none"/>
                    </w:rPr>
                    <w:t>214</w:t>
                  </w:r>
                  <w:r>
                    <w:rPr>
                      <w:color w:val="auto"/>
                      <w:highlight w:val="none"/>
                    </w:rPr>
                    <w:t>-</w:t>
                  </w:r>
                  <w:r>
                    <w:rPr>
                      <w:rFonts w:hint="eastAsia"/>
                      <w:color w:val="auto"/>
                      <w:highlight w:val="none"/>
                    </w:rPr>
                    <w:t>08</w:t>
                  </w:r>
                </w:p>
              </w:tc>
              <w:tc>
                <w:tcPr>
                  <w:tcW w:w="708" w:type="dxa"/>
                  <w:vMerge w:val="continue"/>
                  <w:tcBorders>
                    <w:tl2br w:val="nil"/>
                    <w:tr2bl w:val="nil"/>
                  </w:tcBorders>
                  <w:vAlign w:val="center"/>
                </w:tcPr>
                <w:p>
                  <w:pPr>
                    <w:pStyle w:val="107"/>
                    <w:widowControl w:val="0"/>
                    <w:contextualSpacing/>
                    <w:jc w:val="center"/>
                    <w:rPr>
                      <w:rFonts w:ascii="Times New Roman" w:hAnsi="Times New Roman"/>
                      <w:color w:val="auto"/>
                      <w:kern w:val="2"/>
                      <w:highlight w:val="none"/>
                    </w:rPr>
                  </w:pPr>
                </w:p>
              </w:tc>
              <w:tc>
                <w:tcPr>
                  <w:tcW w:w="719" w:type="dxa"/>
                  <w:vMerge w:val="continue"/>
                  <w:tcBorders>
                    <w:tl2br w:val="nil"/>
                    <w:tr2bl w:val="nil"/>
                  </w:tcBorders>
                  <w:vAlign w:val="center"/>
                </w:tcPr>
                <w:p>
                  <w:pPr>
                    <w:pStyle w:val="107"/>
                    <w:widowControl w:val="0"/>
                    <w:contextualSpacing/>
                    <w:jc w:val="center"/>
                    <w:rPr>
                      <w:rFonts w:ascii="Times New Roman" w:hAnsi="Times New Roman"/>
                      <w:color w:val="auto"/>
                      <w:kern w:val="2"/>
                      <w:highlight w:val="none"/>
                    </w:rPr>
                  </w:pPr>
                </w:p>
              </w:tc>
              <w:tc>
                <w:tcPr>
                  <w:tcW w:w="1000" w:type="dxa"/>
                  <w:vMerge w:val="continue"/>
                  <w:tcBorders>
                    <w:tl2br w:val="nil"/>
                    <w:tr2bl w:val="nil"/>
                  </w:tcBorders>
                  <w:vAlign w:val="center"/>
                </w:tcPr>
                <w:p>
                  <w:pPr>
                    <w:pStyle w:val="107"/>
                    <w:widowControl w:val="0"/>
                    <w:contextualSpacing/>
                    <w:jc w:val="center"/>
                    <w:rPr>
                      <w:rFonts w:ascii="Times New Roman" w:hAnsi="Times New Roman"/>
                      <w:color w:val="auto"/>
                      <w:kern w:val="2"/>
                      <w:highlight w:val="none"/>
                    </w:rPr>
                  </w:pPr>
                </w:p>
              </w:tc>
              <w:tc>
                <w:tcPr>
                  <w:tcW w:w="818" w:type="dxa"/>
                  <w:tcBorders>
                    <w:tl2br w:val="nil"/>
                    <w:tr2bl w:val="nil"/>
                  </w:tcBorders>
                  <w:vAlign w:val="center"/>
                </w:tcPr>
                <w:p>
                  <w:pPr>
                    <w:adjustRightInd w:val="0"/>
                    <w:jc w:val="center"/>
                    <w:textAlignment w:val="baseline"/>
                    <w:rPr>
                      <w:color w:val="auto"/>
                      <w:szCs w:val="21"/>
                      <w:highlight w:val="none"/>
                    </w:rPr>
                  </w:pPr>
                  <w:r>
                    <w:rPr>
                      <w:rFonts w:hint="eastAsia"/>
                      <w:color w:val="auto"/>
                      <w:szCs w:val="21"/>
                      <w:highlight w:val="none"/>
                    </w:rPr>
                    <w:t>0.1</w:t>
                  </w:r>
                  <w:r>
                    <w:rPr>
                      <w:color w:val="auto"/>
                      <w:szCs w:val="21"/>
                      <w:highlight w:val="none"/>
                    </w:rPr>
                    <w:t>t/a</w:t>
                  </w:r>
                </w:p>
              </w:tc>
              <w:tc>
                <w:tcPr>
                  <w:tcW w:w="978" w:type="dxa"/>
                  <w:tcBorders>
                    <w:tl2br w:val="nil"/>
                    <w:tr2bl w:val="nil"/>
                  </w:tcBorders>
                  <w:vAlign w:val="center"/>
                </w:tcPr>
                <w:p>
                  <w:pPr>
                    <w:contextualSpacing/>
                    <w:jc w:val="center"/>
                    <w:rPr>
                      <w:color w:val="auto"/>
                      <w:szCs w:val="21"/>
                      <w:highlight w:val="none"/>
                    </w:rPr>
                  </w:pPr>
                  <w:r>
                    <w:rPr>
                      <w:rFonts w:hint="eastAsia"/>
                      <w:color w:val="auto"/>
                      <w:szCs w:val="21"/>
                      <w:highlight w:val="none"/>
                    </w:rPr>
                    <w:t>3个月</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2" w:type="dxa"/>
                  <w:tcBorders>
                    <w:tl2br w:val="nil"/>
                    <w:tr2bl w:val="nil"/>
                  </w:tcBorders>
                  <w:vAlign w:val="center"/>
                </w:tcPr>
                <w:p>
                  <w:pPr>
                    <w:pStyle w:val="107"/>
                    <w:widowControl w:val="0"/>
                    <w:contextualSpacing/>
                    <w:jc w:val="center"/>
                    <w:rPr>
                      <w:rFonts w:ascii="Times New Roman" w:hAnsi="Times New Roman"/>
                      <w:color w:val="auto"/>
                      <w:kern w:val="2"/>
                      <w:highlight w:val="none"/>
                    </w:rPr>
                  </w:pPr>
                  <w:r>
                    <w:rPr>
                      <w:rFonts w:hint="eastAsia" w:ascii="Times New Roman" w:hAnsi="Times New Roman"/>
                      <w:color w:val="auto"/>
                      <w:kern w:val="2"/>
                      <w:highlight w:val="none"/>
                    </w:rPr>
                    <w:t>3</w:t>
                  </w:r>
                </w:p>
              </w:tc>
              <w:tc>
                <w:tcPr>
                  <w:tcW w:w="947" w:type="dxa"/>
                  <w:vMerge w:val="continue"/>
                  <w:tcBorders>
                    <w:tl2br w:val="nil"/>
                    <w:tr2bl w:val="nil"/>
                  </w:tcBorders>
                  <w:vAlign w:val="center"/>
                </w:tcPr>
                <w:p>
                  <w:pPr>
                    <w:pStyle w:val="107"/>
                    <w:widowControl w:val="0"/>
                    <w:contextualSpacing/>
                    <w:jc w:val="center"/>
                    <w:rPr>
                      <w:rFonts w:ascii="Times New Roman" w:hAnsi="Times New Roman"/>
                      <w:color w:val="auto"/>
                      <w:kern w:val="2"/>
                      <w:highlight w:val="none"/>
                    </w:rPr>
                  </w:pPr>
                </w:p>
              </w:tc>
              <w:tc>
                <w:tcPr>
                  <w:tcW w:w="1134" w:type="dxa"/>
                  <w:tcBorders>
                    <w:tl2br w:val="nil"/>
                    <w:tr2bl w:val="nil"/>
                  </w:tcBorders>
                  <w:vAlign w:val="center"/>
                </w:tcPr>
                <w:p>
                  <w:pPr>
                    <w:pStyle w:val="73"/>
                    <w:widowControl w:val="0"/>
                    <w:textAlignment w:val="baseline"/>
                    <w:rPr>
                      <w:color w:val="auto"/>
                      <w:highlight w:val="none"/>
                    </w:rPr>
                  </w:pPr>
                  <w:r>
                    <w:rPr>
                      <w:color w:val="auto"/>
                      <w:highlight w:val="none"/>
                    </w:rPr>
                    <w:t>含油抹布手套</w:t>
                  </w:r>
                </w:p>
              </w:tc>
              <w:tc>
                <w:tcPr>
                  <w:tcW w:w="1134" w:type="dxa"/>
                  <w:vMerge w:val="continue"/>
                  <w:tcBorders>
                    <w:tl2br w:val="nil"/>
                    <w:tr2bl w:val="nil"/>
                  </w:tcBorders>
                  <w:vAlign w:val="center"/>
                </w:tcPr>
                <w:p>
                  <w:pPr>
                    <w:adjustRightInd w:val="0"/>
                    <w:snapToGrid w:val="0"/>
                    <w:jc w:val="center"/>
                    <w:textAlignment w:val="baseline"/>
                    <w:rPr>
                      <w:color w:val="auto"/>
                      <w:kern w:val="0"/>
                      <w:szCs w:val="21"/>
                      <w:highlight w:val="none"/>
                    </w:rPr>
                  </w:pPr>
                </w:p>
              </w:tc>
              <w:tc>
                <w:tcPr>
                  <w:tcW w:w="1196" w:type="dxa"/>
                  <w:tcBorders>
                    <w:tl2br w:val="nil"/>
                    <w:tr2bl w:val="nil"/>
                  </w:tcBorders>
                  <w:vAlign w:val="center"/>
                </w:tcPr>
                <w:p>
                  <w:pPr>
                    <w:pStyle w:val="73"/>
                    <w:widowControl w:val="0"/>
                    <w:textAlignment w:val="baseline"/>
                    <w:rPr>
                      <w:color w:val="auto"/>
                      <w:highlight w:val="none"/>
                    </w:rPr>
                  </w:pPr>
                  <w:r>
                    <w:rPr>
                      <w:color w:val="auto"/>
                      <w:highlight w:val="none"/>
                    </w:rPr>
                    <w:t>900-041-49</w:t>
                  </w:r>
                </w:p>
              </w:tc>
              <w:tc>
                <w:tcPr>
                  <w:tcW w:w="708" w:type="dxa"/>
                  <w:vMerge w:val="continue"/>
                  <w:tcBorders>
                    <w:tl2br w:val="nil"/>
                    <w:tr2bl w:val="nil"/>
                  </w:tcBorders>
                  <w:vAlign w:val="center"/>
                </w:tcPr>
                <w:p>
                  <w:pPr>
                    <w:pStyle w:val="107"/>
                    <w:widowControl w:val="0"/>
                    <w:contextualSpacing/>
                    <w:jc w:val="center"/>
                    <w:rPr>
                      <w:rFonts w:ascii="Times New Roman" w:hAnsi="Times New Roman"/>
                      <w:color w:val="auto"/>
                      <w:kern w:val="2"/>
                      <w:highlight w:val="none"/>
                    </w:rPr>
                  </w:pPr>
                </w:p>
              </w:tc>
              <w:tc>
                <w:tcPr>
                  <w:tcW w:w="719" w:type="dxa"/>
                  <w:vMerge w:val="continue"/>
                  <w:tcBorders>
                    <w:tl2br w:val="nil"/>
                    <w:tr2bl w:val="nil"/>
                  </w:tcBorders>
                  <w:vAlign w:val="center"/>
                </w:tcPr>
                <w:p>
                  <w:pPr>
                    <w:pStyle w:val="107"/>
                    <w:widowControl w:val="0"/>
                    <w:contextualSpacing/>
                    <w:jc w:val="center"/>
                    <w:rPr>
                      <w:rFonts w:ascii="Times New Roman" w:hAnsi="Times New Roman"/>
                      <w:color w:val="auto"/>
                      <w:kern w:val="2"/>
                      <w:highlight w:val="none"/>
                    </w:rPr>
                  </w:pPr>
                </w:p>
              </w:tc>
              <w:tc>
                <w:tcPr>
                  <w:tcW w:w="1000" w:type="dxa"/>
                  <w:vMerge w:val="continue"/>
                  <w:tcBorders>
                    <w:tl2br w:val="nil"/>
                    <w:tr2bl w:val="nil"/>
                  </w:tcBorders>
                  <w:vAlign w:val="center"/>
                </w:tcPr>
                <w:p>
                  <w:pPr>
                    <w:pStyle w:val="107"/>
                    <w:widowControl w:val="0"/>
                    <w:contextualSpacing/>
                    <w:jc w:val="center"/>
                    <w:rPr>
                      <w:rFonts w:ascii="Times New Roman" w:hAnsi="Times New Roman"/>
                      <w:color w:val="auto"/>
                      <w:kern w:val="2"/>
                      <w:highlight w:val="none"/>
                    </w:rPr>
                  </w:pPr>
                </w:p>
              </w:tc>
              <w:tc>
                <w:tcPr>
                  <w:tcW w:w="818" w:type="dxa"/>
                  <w:tcBorders>
                    <w:tl2br w:val="nil"/>
                    <w:tr2bl w:val="nil"/>
                  </w:tcBorders>
                  <w:vAlign w:val="center"/>
                </w:tcPr>
                <w:p>
                  <w:pPr>
                    <w:pStyle w:val="73"/>
                    <w:widowControl w:val="0"/>
                    <w:textAlignment w:val="baseline"/>
                    <w:rPr>
                      <w:color w:val="auto"/>
                      <w:kern w:val="2"/>
                      <w:highlight w:val="none"/>
                    </w:rPr>
                  </w:pPr>
                  <w:r>
                    <w:rPr>
                      <w:rFonts w:hint="eastAsia"/>
                      <w:color w:val="auto"/>
                      <w:highlight w:val="none"/>
                    </w:rPr>
                    <w:t>0.05</w:t>
                  </w:r>
                  <w:r>
                    <w:rPr>
                      <w:color w:val="auto"/>
                      <w:highlight w:val="none"/>
                    </w:rPr>
                    <w:t>t/a</w:t>
                  </w:r>
                </w:p>
              </w:tc>
              <w:tc>
                <w:tcPr>
                  <w:tcW w:w="978" w:type="dxa"/>
                  <w:tcBorders>
                    <w:tl2br w:val="nil"/>
                    <w:tr2bl w:val="nil"/>
                  </w:tcBorders>
                  <w:vAlign w:val="center"/>
                </w:tcPr>
                <w:p>
                  <w:pPr>
                    <w:contextualSpacing/>
                    <w:jc w:val="center"/>
                    <w:rPr>
                      <w:color w:val="auto"/>
                      <w:szCs w:val="21"/>
                      <w:highlight w:val="none"/>
                    </w:rPr>
                  </w:pPr>
                  <w:r>
                    <w:rPr>
                      <w:rFonts w:hint="eastAsia"/>
                      <w:color w:val="auto"/>
                      <w:szCs w:val="21"/>
                      <w:highlight w:val="none"/>
                    </w:rPr>
                    <w:t>3个月</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2" w:type="dxa"/>
                  <w:tcBorders>
                    <w:tl2br w:val="nil"/>
                    <w:tr2bl w:val="nil"/>
                  </w:tcBorders>
                  <w:vAlign w:val="center"/>
                </w:tcPr>
                <w:p>
                  <w:pPr>
                    <w:pStyle w:val="107"/>
                    <w:widowControl w:val="0"/>
                    <w:contextualSpacing/>
                    <w:jc w:val="center"/>
                    <w:rPr>
                      <w:rFonts w:ascii="Times New Roman" w:hAnsi="Times New Roman"/>
                      <w:color w:val="auto"/>
                      <w:kern w:val="2"/>
                      <w:highlight w:val="none"/>
                    </w:rPr>
                  </w:pPr>
                  <w:r>
                    <w:rPr>
                      <w:rFonts w:hint="eastAsia" w:ascii="Times New Roman" w:hAnsi="Times New Roman"/>
                      <w:color w:val="auto"/>
                      <w:kern w:val="2"/>
                      <w:highlight w:val="none"/>
                    </w:rPr>
                    <w:t>4</w:t>
                  </w:r>
                </w:p>
              </w:tc>
              <w:tc>
                <w:tcPr>
                  <w:tcW w:w="947" w:type="dxa"/>
                  <w:vMerge w:val="continue"/>
                  <w:tcBorders>
                    <w:tl2br w:val="nil"/>
                    <w:tr2bl w:val="nil"/>
                  </w:tcBorders>
                  <w:vAlign w:val="center"/>
                </w:tcPr>
                <w:p>
                  <w:pPr>
                    <w:pStyle w:val="107"/>
                    <w:widowControl w:val="0"/>
                    <w:contextualSpacing/>
                    <w:jc w:val="center"/>
                    <w:rPr>
                      <w:rFonts w:ascii="Times New Roman" w:hAnsi="Times New Roman"/>
                      <w:color w:val="auto"/>
                      <w:kern w:val="2"/>
                      <w:highlight w:val="none"/>
                    </w:rPr>
                  </w:pPr>
                </w:p>
              </w:tc>
              <w:tc>
                <w:tcPr>
                  <w:tcW w:w="1134" w:type="dxa"/>
                  <w:tcBorders>
                    <w:tl2br w:val="nil"/>
                    <w:tr2bl w:val="nil"/>
                  </w:tcBorders>
                  <w:vAlign w:val="center"/>
                </w:tcPr>
                <w:p>
                  <w:pPr>
                    <w:adjustRightInd w:val="0"/>
                    <w:snapToGrid w:val="0"/>
                    <w:jc w:val="center"/>
                    <w:textAlignment w:val="baseline"/>
                    <w:rPr>
                      <w:rFonts w:hAnsi="宋体"/>
                      <w:color w:val="auto"/>
                      <w:kern w:val="0"/>
                      <w:szCs w:val="21"/>
                      <w:highlight w:val="none"/>
                    </w:rPr>
                  </w:pPr>
                  <w:r>
                    <w:rPr>
                      <w:rFonts w:hint="eastAsia"/>
                      <w:color w:val="auto"/>
                      <w:kern w:val="0"/>
                      <w:szCs w:val="21"/>
                      <w:highlight w:val="none"/>
                    </w:rPr>
                    <w:t>废活性炭</w:t>
                  </w:r>
                </w:p>
              </w:tc>
              <w:tc>
                <w:tcPr>
                  <w:tcW w:w="1134" w:type="dxa"/>
                  <w:vMerge w:val="continue"/>
                  <w:tcBorders>
                    <w:tl2br w:val="nil"/>
                    <w:tr2bl w:val="nil"/>
                  </w:tcBorders>
                  <w:vAlign w:val="center"/>
                </w:tcPr>
                <w:p>
                  <w:pPr>
                    <w:adjustRightInd w:val="0"/>
                    <w:snapToGrid w:val="0"/>
                    <w:jc w:val="center"/>
                    <w:textAlignment w:val="baseline"/>
                    <w:rPr>
                      <w:color w:val="auto"/>
                      <w:kern w:val="0"/>
                      <w:szCs w:val="21"/>
                      <w:highlight w:val="none"/>
                    </w:rPr>
                  </w:pPr>
                </w:p>
              </w:tc>
              <w:tc>
                <w:tcPr>
                  <w:tcW w:w="1196" w:type="dxa"/>
                  <w:tcBorders>
                    <w:tl2br w:val="nil"/>
                    <w:tr2bl w:val="nil"/>
                  </w:tcBorders>
                  <w:vAlign w:val="center"/>
                </w:tcPr>
                <w:p>
                  <w:pPr>
                    <w:adjustRightInd w:val="0"/>
                    <w:snapToGrid w:val="0"/>
                    <w:jc w:val="center"/>
                    <w:textAlignment w:val="baseline"/>
                    <w:rPr>
                      <w:color w:val="auto"/>
                      <w:kern w:val="0"/>
                      <w:szCs w:val="21"/>
                      <w:highlight w:val="none"/>
                    </w:rPr>
                  </w:pPr>
                  <w:r>
                    <w:rPr>
                      <w:color w:val="auto"/>
                      <w:kern w:val="0"/>
                      <w:szCs w:val="21"/>
                      <w:highlight w:val="none"/>
                    </w:rPr>
                    <w:t>900-039-49</w:t>
                  </w:r>
                </w:p>
              </w:tc>
              <w:tc>
                <w:tcPr>
                  <w:tcW w:w="708" w:type="dxa"/>
                  <w:vMerge w:val="continue"/>
                  <w:tcBorders>
                    <w:tl2br w:val="nil"/>
                    <w:tr2bl w:val="nil"/>
                  </w:tcBorders>
                  <w:vAlign w:val="center"/>
                </w:tcPr>
                <w:p>
                  <w:pPr>
                    <w:pStyle w:val="107"/>
                    <w:widowControl w:val="0"/>
                    <w:contextualSpacing/>
                    <w:jc w:val="center"/>
                    <w:rPr>
                      <w:rFonts w:ascii="Times New Roman" w:hAnsi="Times New Roman"/>
                      <w:color w:val="auto"/>
                      <w:kern w:val="2"/>
                      <w:highlight w:val="none"/>
                    </w:rPr>
                  </w:pPr>
                </w:p>
              </w:tc>
              <w:tc>
                <w:tcPr>
                  <w:tcW w:w="719" w:type="dxa"/>
                  <w:vMerge w:val="continue"/>
                  <w:tcBorders>
                    <w:tl2br w:val="nil"/>
                    <w:tr2bl w:val="nil"/>
                  </w:tcBorders>
                  <w:vAlign w:val="center"/>
                </w:tcPr>
                <w:p>
                  <w:pPr>
                    <w:pStyle w:val="107"/>
                    <w:widowControl w:val="0"/>
                    <w:contextualSpacing/>
                    <w:jc w:val="center"/>
                    <w:rPr>
                      <w:rFonts w:ascii="Times New Roman" w:hAnsi="Times New Roman"/>
                      <w:color w:val="auto"/>
                      <w:kern w:val="2"/>
                      <w:highlight w:val="none"/>
                    </w:rPr>
                  </w:pPr>
                </w:p>
              </w:tc>
              <w:tc>
                <w:tcPr>
                  <w:tcW w:w="1000" w:type="dxa"/>
                  <w:vMerge w:val="continue"/>
                  <w:tcBorders>
                    <w:tl2br w:val="nil"/>
                    <w:tr2bl w:val="nil"/>
                  </w:tcBorders>
                  <w:vAlign w:val="center"/>
                </w:tcPr>
                <w:p>
                  <w:pPr>
                    <w:pStyle w:val="107"/>
                    <w:widowControl w:val="0"/>
                    <w:contextualSpacing/>
                    <w:jc w:val="center"/>
                    <w:rPr>
                      <w:rFonts w:ascii="Times New Roman" w:hAnsi="Times New Roman"/>
                      <w:color w:val="auto"/>
                      <w:kern w:val="2"/>
                      <w:highlight w:val="none"/>
                    </w:rPr>
                  </w:pPr>
                </w:p>
              </w:tc>
              <w:tc>
                <w:tcPr>
                  <w:tcW w:w="818" w:type="dxa"/>
                  <w:tcBorders>
                    <w:tl2br w:val="nil"/>
                    <w:tr2bl w:val="nil"/>
                  </w:tcBorders>
                  <w:vAlign w:val="center"/>
                </w:tcPr>
                <w:p>
                  <w:pPr>
                    <w:pStyle w:val="107"/>
                    <w:widowControl w:val="0"/>
                    <w:contextualSpacing/>
                    <w:jc w:val="center"/>
                    <w:rPr>
                      <w:rFonts w:ascii="Times New Roman" w:hAnsi="Times New Roman"/>
                      <w:color w:val="auto"/>
                      <w:kern w:val="2"/>
                      <w:highlight w:val="none"/>
                    </w:rPr>
                  </w:pPr>
                  <w:r>
                    <w:rPr>
                      <w:rFonts w:ascii="Times New Roman" w:hAnsi="Times New Roman"/>
                      <w:color w:val="auto"/>
                      <w:kern w:val="2"/>
                      <w:highlight w:val="none"/>
                    </w:rPr>
                    <w:t>0.5t</w:t>
                  </w:r>
                </w:p>
              </w:tc>
              <w:tc>
                <w:tcPr>
                  <w:tcW w:w="978" w:type="dxa"/>
                  <w:tcBorders>
                    <w:tl2br w:val="nil"/>
                    <w:tr2bl w:val="nil"/>
                  </w:tcBorders>
                  <w:vAlign w:val="center"/>
                </w:tcPr>
                <w:p>
                  <w:pPr>
                    <w:contextualSpacing/>
                    <w:jc w:val="center"/>
                    <w:rPr>
                      <w:color w:val="auto"/>
                      <w:szCs w:val="21"/>
                      <w:highlight w:val="none"/>
                    </w:rPr>
                  </w:pPr>
                  <w:r>
                    <w:rPr>
                      <w:rFonts w:hint="eastAsia"/>
                      <w:color w:val="auto"/>
                      <w:szCs w:val="21"/>
                      <w:highlight w:val="none"/>
                    </w:rPr>
                    <w:t>3个月</w:t>
                  </w:r>
                </w:p>
              </w:tc>
            </w:tr>
          </w:tbl>
          <w:p>
            <w:pPr>
              <w:widowControl/>
              <w:spacing w:before="120" w:beforeLines="50" w:line="360" w:lineRule="auto"/>
              <w:ind w:firstLine="422" w:firstLineChars="200"/>
              <w:rPr>
                <w:b/>
                <w:bCs/>
                <w:color w:val="auto"/>
                <w:highlight w:val="none"/>
              </w:rPr>
            </w:pPr>
            <w:r>
              <w:rPr>
                <w:rFonts w:hint="eastAsia"/>
                <w:b/>
                <w:bCs/>
                <w:color w:val="auto"/>
                <w:highlight w:val="none"/>
              </w:rPr>
              <w:t>五、土壤、地下水污染</w:t>
            </w:r>
          </w:p>
          <w:p>
            <w:pPr>
              <w:pStyle w:val="121"/>
              <w:adjustRightInd w:val="0"/>
              <w:snapToGrid w:val="0"/>
              <w:spacing w:line="360" w:lineRule="auto"/>
              <w:ind w:firstLine="420"/>
              <w:rPr>
                <w:rFonts w:hint="eastAsia" w:ascii="宋体" w:hAnsi="宋体"/>
                <w:bCs/>
                <w:color w:val="auto"/>
                <w:kern w:val="2"/>
                <w:sz w:val="21"/>
                <w:szCs w:val="21"/>
                <w:highlight w:val="none"/>
              </w:rPr>
            </w:pPr>
            <w:r>
              <w:rPr>
                <w:rFonts w:hint="eastAsia" w:ascii="宋体" w:hAnsi="宋体"/>
                <w:bCs/>
                <w:color w:val="auto"/>
                <w:kern w:val="2"/>
                <w:sz w:val="21"/>
                <w:szCs w:val="21"/>
                <w:highlight w:val="none"/>
              </w:rPr>
              <w:t>1、大气沉降影响途径：本项目属于C2916运动场地用塑胶制造，根据《农用地土壤污染状况详查点位布设技术规定》（环办土壤函[2017]1021 号）附件1需考虑大气沉降影响的行业和需考虑地表产流影响的行业。根据实际情况，项目不属于《农用地土壤污染状况详查点位布设技术规定》（环办土壤函[2017]1021 号）附件1土壤污染重点行业分类及企业筛选原则，项目不在土壤污染重点行业范围内。故不涉及大气沉降影响途径。项目大气污染因子主要是非甲烷总烃为非持久性污染物，可以在大气中被稀释和降解；其大气污染物均不涉及《农用地土壤污染状况详查点位布设技术规定》附件3中“附表3-1农用地土壤和农产品样品必测项目”中无机及有机污染物，因此不考虑大气沉降的影响。</w:t>
            </w:r>
          </w:p>
          <w:p>
            <w:pPr>
              <w:pStyle w:val="121"/>
              <w:adjustRightInd w:val="0"/>
              <w:snapToGrid w:val="0"/>
              <w:spacing w:line="360" w:lineRule="auto"/>
              <w:ind w:firstLine="420"/>
              <w:rPr>
                <w:rFonts w:hint="eastAsia" w:ascii="宋体" w:hAnsi="宋体"/>
                <w:bCs/>
                <w:color w:val="auto"/>
                <w:kern w:val="2"/>
                <w:sz w:val="21"/>
                <w:szCs w:val="21"/>
                <w:highlight w:val="none"/>
              </w:rPr>
            </w:pPr>
            <w:r>
              <w:rPr>
                <w:rFonts w:hint="eastAsia" w:ascii="宋体" w:hAnsi="宋体"/>
                <w:bCs/>
                <w:color w:val="auto"/>
                <w:kern w:val="2"/>
                <w:sz w:val="21"/>
                <w:szCs w:val="21"/>
                <w:highlight w:val="none"/>
              </w:rPr>
              <w:t>2、地面漫流影响途径：项目生活污水经三级化粪池处理后排入</w:t>
            </w:r>
            <w:r>
              <w:rPr>
                <w:rFonts w:hint="eastAsia" w:ascii="宋体" w:hAnsi="宋体"/>
                <w:bCs/>
                <w:color w:val="auto"/>
                <w:kern w:val="2"/>
                <w:sz w:val="21"/>
                <w:szCs w:val="21"/>
                <w:highlight w:val="none"/>
                <w:lang w:val="en-US" w:eastAsia="zh-CN"/>
              </w:rPr>
              <w:t>园洲镇第五</w:t>
            </w:r>
            <w:r>
              <w:rPr>
                <w:rFonts w:hint="eastAsia" w:ascii="宋体" w:hAnsi="宋体"/>
                <w:bCs/>
                <w:color w:val="auto"/>
                <w:kern w:val="2"/>
                <w:sz w:val="21"/>
                <w:szCs w:val="21"/>
                <w:highlight w:val="none"/>
              </w:rPr>
              <w:t xml:space="preserve">生活污水处理厂，不涉及地面漫流影响途径。 </w:t>
            </w:r>
          </w:p>
          <w:p>
            <w:pPr>
              <w:pStyle w:val="121"/>
              <w:adjustRightInd w:val="0"/>
              <w:snapToGrid w:val="0"/>
              <w:spacing w:line="360" w:lineRule="auto"/>
              <w:ind w:firstLine="420"/>
              <w:rPr>
                <w:rFonts w:hint="eastAsia" w:ascii="宋体" w:hAnsi="宋体"/>
                <w:bCs/>
                <w:color w:val="auto"/>
                <w:kern w:val="2"/>
                <w:sz w:val="21"/>
                <w:szCs w:val="21"/>
                <w:highlight w:val="none"/>
              </w:rPr>
            </w:pPr>
            <w:r>
              <w:rPr>
                <w:rFonts w:hint="eastAsia" w:ascii="宋体" w:hAnsi="宋体"/>
                <w:bCs/>
                <w:color w:val="auto"/>
                <w:kern w:val="2"/>
                <w:sz w:val="21"/>
                <w:szCs w:val="21"/>
                <w:highlight w:val="none"/>
              </w:rPr>
              <w:t xml:space="preserve">3、垂直入渗影响途径：项目使用的厂房均硬底化，一般固废仓和危废仓均做好防风挡雨、防渗漏等措施，因此可防止泄漏物料下渗到土壤和地下水；故不涉及垂直入渗影响途径。 </w:t>
            </w:r>
          </w:p>
          <w:p>
            <w:pPr>
              <w:pStyle w:val="121"/>
              <w:adjustRightInd w:val="0"/>
              <w:snapToGrid w:val="0"/>
              <w:spacing w:line="360" w:lineRule="auto"/>
              <w:ind w:firstLine="420"/>
              <w:rPr>
                <w:rFonts w:hint="eastAsia" w:ascii="宋体" w:hAnsi="宋体"/>
                <w:bCs/>
                <w:color w:val="auto"/>
                <w:kern w:val="2"/>
                <w:sz w:val="21"/>
                <w:szCs w:val="21"/>
                <w:highlight w:val="none"/>
              </w:rPr>
            </w:pPr>
            <w:r>
              <w:rPr>
                <w:rFonts w:hint="eastAsia" w:ascii="宋体" w:hAnsi="宋体"/>
                <w:bCs/>
                <w:color w:val="auto"/>
                <w:kern w:val="2"/>
                <w:sz w:val="21"/>
                <w:szCs w:val="21"/>
                <w:highlight w:val="none"/>
              </w:rPr>
              <w:t>本项目不涉及大气沉降、地面漫流和垂直渗入影响途径，且项目所在建筑均已水泥硬底化和防渗处理。即使发生泄漏事故，泄漏的废水均可以控制在建筑范围内，因此项目不存在土壤、地下水环境污染途径；故不提出跟踪监测的相关要求。</w:t>
            </w:r>
          </w:p>
          <w:p>
            <w:pPr>
              <w:spacing w:line="360" w:lineRule="auto"/>
              <w:ind w:firstLine="413" w:firstLineChars="196"/>
              <w:rPr>
                <w:b/>
                <w:color w:val="auto"/>
                <w:szCs w:val="21"/>
                <w:highlight w:val="none"/>
              </w:rPr>
            </w:pPr>
            <w:r>
              <w:rPr>
                <w:rFonts w:hint="eastAsia"/>
                <w:b/>
                <w:color w:val="auto"/>
                <w:szCs w:val="21"/>
                <w:highlight w:val="none"/>
                <w:lang w:bidi="ar"/>
              </w:rPr>
              <w:t>六</w:t>
            </w:r>
            <w:r>
              <w:rPr>
                <w:b/>
                <w:color w:val="auto"/>
                <w:szCs w:val="21"/>
                <w:highlight w:val="none"/>
                <w:lang w:bidi="ar"/>
              </w:rPr>
              <w:t>、</w:t>
            </w:r>
            <w:r>
              <w:rPr>
                <w:rFonts w:hint="eastAsia"/>
                <w:b/>
                <w:color w:val="auto"/>
                <w:szCs w:val="21"/>
                <w:highlight w:val="none"/>
                <w:lang w:bidi="ar"/>
              </w:rPr>
              <w:t>环境</w:t>
            </w:r>
            <w:r>
              <w:rPr>
                <w:b/>
                <w:color w:val="auto"/>
                <w:spacing w:val="10"/>
                <w:szCs w:val="21"/>
                <w:highlight w:val="none"/>
                <w:lang w:bidi="ar"/>
              </w:rPr>
              <w:t>风险</w:t>
            </w:r>
          </w:p>
          <w:p>
            <w:pPr>
              <w:widowControl/>
              <w:adjustRightInd w:val="0"/>
              <w:snapToGrid w:val="0"/>
              <w:spacing w:line="360" w:lineRule="auto"/>
              <w:ind w:firstLine="422" w:firstLineChars="200"/>
              <w:rPr>
                <w:b/>
                <w:bCs/>
                <w:color w:val="auto"/>
                <w:kern w:val="0"/>
                <w:szCs w:val="21"/>
                <w:highlight w:val="none"/>
              </w:rPr>
            </w:pPr>
            <w:r>
              <w:rPr>
                <w:rFonts w:hint="eastAsia"/>
                <w:b/>
                <w:bCs/>
                <w:color w:val="auto"/>
                <w:kern w:val="0"/>
                <w:szCs w:val="21"/>
                <w:highlight w:val="none"/>
              </w:rPr>
              <w:t>（1）Q值计算</w:t>
            </w:r>
          </w:p>
          <w:p>
            <w:pPr>
              <w:widowControl/>
              <w:adjustRightInd w:val="0"/>
              <w:snapToGrid w:val="0"/>
              <w:spacing w:line="360" w:lineRule="auto"/>
              <w:ind w:firstLine="420" w:firstLineChars="200"/>
              <w:rPr>
                <w:color w:val="auto"/>
                <w:kern w:val="0"/>
                <w:szCs w:val="21"/>
                <w:highlight w:val="none"/>
              </w:rPr>
            </w:pPr>
            <w:r>
              <w:rPr>
                <w:rFonts w:ascii="Times New Roman" w:hAnsi="Times New Roman" w:cs="Times New Roman"/>
                <w:color w:val="auto"/>
                <w:kern w:val="0"/>
                <w:szCs w:val="21"/>
                <w:highlight w:val="none"/>
                <w:lang w:val="en-US" w:eastAsia="zh-CN"/>
              </w:rPr>
              <w:t>根据《建设项目环境风险评价技术导则》（HJ169-2018）附录B，本项目涉及的危险物质为</w:t>
            </w:r>
            <w:r>
              <w:rPr>
                <w:rFonts w:hint="eastAsia" w:ascii="Times New Roman" w:hAnsi="Times New Roman" w:cs="Times New Roman"/>
                <w:color w:val="auto"/>
                <w:kern w:val="0"/>
                <w:szCs w:val="21"/>
                <w:highlight w:val="none"/>
                <w:lang w:val="en-US" w:eastAsia="zh-CN"/>
              </w:rPr>
              <w:t>机油、废机油，主要分布：危险废物暂存间、仓库。</w:t>
            </w:r>
            <w:r>
              <w:rPr>
                <w:color w:val="auto"/>
                <w:kern w:val="0"/>
                <w:szCs w:val="21"/>
                <w:highlight w:val="none"/>
              </w:rPr>
              <w:t>对照《建设项目环境风险评价技术导则》（HJ169-2018）附录B、《危险化学品重大危险源辨识》（GB18218-2009）的表1、2以及《企业突发环境事件风险分级方法》（HJ941-2018）附录A，</w:t>
            </w:r>
            <w:r>
              <w:rPr>
                <w:rFonts w:hint="eastAsia"/>
                <w:color w:val="auto"/>
                <w:kern w:val="0"/>
                <w:szCs w:val="21"/>
                <w:highlight w:val="none"/>
              </w:rPr>
              <w:t>项目</w:t>
            </w:r>
            <w:r>
              <w:rPr>
                <w:color w:val="auto"/>
                <w:kern w:val="0"/>
                <w:szCs w:val="21"/>
                <w:highlight w:val="none"/>
              </w:rPr>
              <w:t>生</w:t>
            </w:r>
            <w:r>
              <w:rPr>
                <w:rFonts w:hint="eastAsia"/>
                <w:color w:val="auto"/>
                <w:kern w:val="0"/>
                <w:szCs w:val="21"/>
                <w:highlight w:val="none"/>
              </w:rPr>
              <w:t>设备保养过程中</w:t>
            </w:r>
            <w:r>
              <w:rPr>
                <w:rFonts w:hint="eastAsia"/>
                <w:color w:val="auto"/>
                <w:kern w:val="0"/>
                <w:szCs w:val="21"/>
                <w:highlight w:val="none"/>
                <w:lang w:val="en-US" w:eastAsia="zh-CN"/>
              </w:rPr>
              <w:t>使用的机油和</w:t>
            </w:r>
            <w:r>
              <w:rPr>
                <w:rFonts w:hint="eastAsia"/>
                <w:color w:val="auto"/>
                <w:kern w:val="0"/>
                <w:szCs w:val="21"/>
                <w:highlight w:val="none"/>
              </w:rPr>
              <w:t>产生的废</w:t>
            </w:r>
            <w:r>
              <w:rPr>
                <w:rFonts w:hint="eastAsia"/>
                <w:color w:val="auto"/>
                <w:kern w:val="0"/>
                <w:szCs w:val="21"/>
                <w:highlight w:val="none"/>
                <w:lang w:val="en-US" w:eastAsia="zh-CN"/>
              </w:rPr>
              <w:t>机</w:t>
            </w:r>
            <w:r>
              <w:rPr>
                <w:color w:val="auto"/>
                <w:kern w:val="0"/>
                <w:szCs w:val="21"/>
                <w:highlight w:val="none"/>
              </w:rPr>
              <w:t>油，</w:t>
            </w:r>
            <w:r>
              <w:rPr>
                <w:rFonts w:hint="eastAsia"/>
                <w:color w:val="auto"/>
                <w:kern w:val="0"/>
                <w:szCs w:val="21"/>
                <w:highlight w:val="none"/>
              </w:rPr>
              <w:t>属于《建设项目环境风险评价技术导则》（HJ169-2018）附录B中</w:t>
            </w:r>
            <w:r>
              <w:rPr>
                <w:color w:val="auto"/>
                <w:kern w:val="0"/>
                <w:szCs w:val="21"/>
                <w:highlight w:val="none"/>
              </w:rPr>
              <w:t>的</w:t>
            </w:r>
            <w:r>
              <w:rPr>
                <w:rFonts w:hint="eastAsia"/>
                <w:color w:val="auto"/>
                <w:kern w:val="0"/>
                <w:szCs w:val="21"/>
                <w:highlight w:val="none"/>
              </w:rPr>
              <w:t>风险物质，根据其最大储存量及临界量计算Q值。</w:t>
            </w:r>
          </w:p>
          <w:p>
            <w:pPr>
              <w:numPr>
                <w:ilvl w:val="0"/>
                <w:numId w:val="0"/>
              </w:numPr>
              <w:adjustRightInd w:val="0"/>
              <w:snapToGrid w:val="0"/>
              <w:spacing w:line="360" w:lineRule="auto"/>
              <w:ind w:left="322" w:leftChars="0"/>
              <w:jc w:val="center"/>
              <w:rPr>
                <w:b/>
                <w:color w:val="auto"/>
                <w:highlight w:val="none"/>
              </w:rPr>
            </w:pPr>
            <w:r>
              <w:rPr>
                <w:rFonts w:hint="eastAsia"/>
                <w:b/>
                <w:color w:val="auto"/>
                <w:highlight w:val="none"/>
                <w:lang w:val="en-US" w:eastAsia="zh-CN"/>
              </w:rPr>
              <w:t xml:space="preserve">表4-20 </w:t>
            </w:r>
            <w:r>
              <w:rPr>
                <w:rFonts w:hint="eastAsia"/>
                <w:b/>
                <w:color w:val="auto"/>
                <w:highlight w:val="none"/>
              </w:rPr>
              <w:t>项目危险</w:t>
            </w:r>
            <w:r>
              <w:rPr>
                <w:b/>
                <w:color w:val="auto"/>
                <w:highlight w:val="none"/>
              </w:rPr>
              <w:t>物质</w:t>
            </w:r>
            <w:r>
              <w:rPr>
                <w:rFonts w:hint="eastAsia"/>
                <w:b/>
                <w:color w:val="auto"/>
                <w:highlight w:val="none"/>
              </w:rPr>
              <w:t>Q值计算</w:t>
            </w:r>
          </w:p>
          <w:tbl>
            <w:tblPr>
              <w:tblStyle w:val="35"/>
              <w:tblW w:w="5000"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2541"/>
              <w:gridCol w:w="1809"/>
              <w:gridCol w:w="2600"/>
              <w:gridCol w:w="1475"/>
              <w:gridCol w:w="1006"/>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7" w:type="pct"/>
                  <w:tcBorders>
                    <w:tl2br w:val="nil"/>
                    <w:tr2bl w:val="nil"/>
                  </w:tcBorders>
                  <w:vAlign w:val="center"/>
                </w:tcPr>
                <w:p>
                  <w:pPr>
                    <w:autoSpaceDE w:val="0"/>
                    <w:autoSpaceDN w:val="0"/>
                    <w:adjustRightInd w:val="0"/>
                    <w:snapToGrid w:val="0"/>
                    <w:jc w:val="center"/>
                    <w:rPr>
                      <w:b/>
                      <w:bCs/>
                      <w:color w:val="auto"/>
                      <w:szCs w:val="21"/>
                      <w:highlight w:val="none"/>
                    </w:rPr>
                  </w:pPr>
                  <w:r>
                    <w:rPr>
                      <w:rFonts w:hint="eastAsia"/>
                      <w:b/>
                      <w:bCs/>
                      <w:color w:val="auto"/>
                      <w:szCs w:val="21"/>
                      <w:highlight w:val="none"/>
                    </w:rPr>
                    <w:t>原辅材料</w:t>
                  </w:r>
                  <w:r>
                    <w:rPr>
                      <w:b/>
                      <w:bCs/>
                      <w:color w:val="auto"/>
                      <w:szCs w:val="21"/>
                      <w:highlight w:val="none"/>
                    </w:rPr>
                    <w:t>名称</w:t>
                  </w:r>
                </w:p>
              </w:tc>
              <w:tc>
                <w:tcPr>
                  <w:tcW w:w="959" w:type="pct"/>
                  <w:tcBorders>
                    <w:tl2br w:val="nil"/>
                    <w:tr2bl w:val="nil"/>
                  </w:tcBorders>
                  <w:vAlign w:val="center"/>
                </w:tcPr>
                <w:p>
                  <w:pPr>
                    <w:autoSpaceDE w:val="0"/>
                    <w:autoSpaceDN w:val="0"/>
                    <w:adjustRightInd w:val="0"/>
                    <w:snapToGrid w:val="0"/>
                    <w:jc w:val="center"/>
                    <w:rPr>
                      <w:b/>
                      <w:bCs/>
                      <w:color w:val="auto"/>
                      <w:szCs w:val="21"/>
                      <w:highlight w:val="none"/>
                    </w:rPr>
                  </w:pPr>
                  <w:r>
                    <w:rPr>
                      <w:rFonts w:hint="eastAsia"/>
                      <w:b/>
                      <w:bCs/>
                      <w:color w:val="auto"/>
                      <w:szCs w:val="21"/>
                      <w:highlight w:val="none"/>
                    </w:rPr>
                    <w:t>风险物质名称</w:t>
                  </w:r>
                </w:p>
              </w:tc>
              <w:tc>
                <w:tcPr>
                  <w:tcW w:w="1378" w:type="pct"/>
                  <w:tcBorders>
                    <w:tl2br w:val="nil"/>
                    <w:tr2bl w:val="nil"/>
                  </w:tcBorders>
                  <w:vAlign w:val="center"/>
                </w:tcPr>
                <w:p>
                  <w:pPr>
                    <w:autoSpaceDE w:val="0"/>
                    <w:autoSpaceDN w:val="0"/>
                    <w:adjustRightInd w:val="0"/>
                    <w:snapToGrid w:val="0"/>
                    <w:jc w:val="center"/>
                    <w:rPr>
                      <w:b/>
                      <w:bCs/>
                      <w:color w:val="auto"/>
                      <w:szCs w:val="21"/>
                      <w:highlight w:val="none"/>
                    </w:rPr>
                  </w:pPr>
                  <w:r>
                    <w:rPr>
                      <w:b/>
                      <w:bCs/>
                      <w:color w:val="auto"/>
                      <w:szCs w:val="21"/>
                      <w:highlight w:val="none"/>
                    </w:rPr>
                    <w:t>最大储存量（t）</w:t>
                  </w:r>
                </w:p>
              </w:tc>
              <w:tc>
                <w:tcPr>
                  <w:tcW w:w="780" w:type="pct"/>
                  <w:tcBorders>
                    <w:tl2br w:val="nil"/>
                    <w:tr2bl w:val="nil"/>
                  </w:tcBorders>
                  <w:vAlign w:val="center"/>
                </w:tcPr>
                <w:p>
                  <w:pPr>
                    <w:autoSpaceDE w:val="0"/>
                    <w:autoSpaceDN w:val="0"/>
                    <w:adjustRightInd w:val="0"/>
                    <w:snapToGrid w:val="0"/>
                    <w:jc w:val="center"/>
                    <w:rPr>
                      <w:b/>
                      <w:bCs/>
                      <w:color w:val="auto"/>
                      <w:szCs w:val="21"/>
                      <w:highlight w:val="none"/>
                    </w:rPr>
                  </w:pPr>
                  <w:r>
                    <w:rPr>
                      <w:b/>
                      <w:bCs/>
                      <w:color w:val="auto"/>
                      <w:szCs w:val="21"/>
                      <w:highlight w:val="none"/>
                    </w:rPr>
                    <w:t>临界量（t）</w:t>
                  </w:r>
                </w:p>
              </w:tc>
              <w:tc>
                <w:tcPr>
                  <w:tcW w:w="533" w:type="pct"/>
                  <w:tcBorders>
                    <w:tl2br w:val="nil"/>
                    <w:tr2bl w:val="nil"/>
                  </w:tcBorders>
                  <w:vAlign w:val="center"/>
                </w:tcPr>
                <w:p>
                  <w:pPr>
                    <w:autoSpaceDE w:val="0"/>
                    <w:autoSpaceDN w:val="0"/>
                    <w:adjustRightInd w:val="0"/>
                    <w:snapToGrid w:val="0"/>
                    <w:jc w:val="center"/>
                    <w:rPr>
                      <w:b/>
                      <w:bCs/>
                      <w:color w:val="auto"/>
                      <w:szCs w:val="21"/>
                      <w:highlight w:val="none"/>
                    </w:rPr>
                  </w:pPr>
                  <w:r>
                    <w:rPr>
                      <w:b/>
                      <w:bCs/>
                      <w:color w:val="auto"/>
                      <w:szCs w:val="21"/>
                      <w:highlight w:val="none"/>
                    </w:rPr>
                    <w:t>Q</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347" w:type="pct"/>
                  <w:tcBorders>
                    <w:tl2br w:val="nil"/>
                    <w:tr2bl w:val="nil"/>
                  </w:tcBorders>
                  <w:vAlign w:val="center"/>
                </w:tcPr>
                <w:p>
                  <w:pPr>
                    <w:autoSpaceDE w:val="0"/>
                    <w:autoSpaceDN w:val="0"/>
                    <w:adjustRightInd w:val="0"/>
                    <w:snapToGrid w:val="0"/>
                    <w:jc w:val="center"/>
                    <w:rPr>
                      <w:color w:val="auto"/>
                      <w:szCs w:val="21"/>
                      <w:highlight w:val="none"/>
                    </w:rPr>
                  </w:pPr>
                  <w:r>
                    <w:rPr>
                      <w:rFonts w:hint="eastAsia"/>
                      <w:color w:val="auto"/>
                      <w:kern w:val="0"/>
                      <w:szCs w:val="21"/>
                      <w:highlight w:val="none"/>
                      <w:lang w:val="en-US" w:eastAsia="zh-CN"/>
                    </w:rPr>
                    <w:t>机</w:t>
                  </w:r>
                  <w:r>
                    <w:rPr>
                      <w:color w:val="auto"/>
                      <w:kern w:val="0"/>
                      <w:szCs w:val="21"/>
                      <w:highlight w:val="none"/>
                    </w:rPr>
                    <w:t>油</w:t>
                  </w:r>
                </w:p>
              </w:tc>
              <w:tc>
                <w:tcPr>
                  <w:tcW w:w="959" w:type="pct"/>
                  <w:tcBorders>
                    <w:tl2br w:val="nil"/>
                    <w:tr2bl w:val="nil"/>
                  </w:tcBorders>
                  <w:vAlign w:val="center"/>
                </w:tcPr>
                <w:p>
                  <w:pPr>
                    <w:autoSpaceDE w:val="0"/>
                    <w:autoSpaceDN w:val="0"/>
                    <w:adjustRightInd w:val="0"/>
                    <w:snapToGrid w:val="0"/>
                    <w:jc w:val="center"/>
                    <w:rPr>
                      <w:color w:val="auto"/>
                      <w:szCs w:val="21"/>
                      <w:highlight w:val="none"/>
                    </w:rPr>
                  </w:pPr>
                  <w:r>
                    <w:rPr>
                      <w:rFonts w:hint="eastAsia"/>
                      <w:color w:val="auto"/>
                      <w:szCs w:val="21"/>
                      <w:highlight w:val="none"/>
                    </w:rPr>
                    <w:t>矿物油</w:t>
                  </w:r>
                </w:p>
              </w:tc>
              <w:tc>
                <w:tcPr>
                  <w:tcW w:w="1378" w:type="pct"/>
                  <w:tcBorders>
                    <w:tl2br w:val="nil"/>
                    <w:tr2bl w:val="nil"/>
                  </w:tcBorders>
                  <w:vAlign w:val="center"/>
                </w:tcPr>
                <w:p>
                  <w:pPr>
                    <w:autoSpaceDE w:val="0"/>
                    <w:autoSpaceDN w:val="0"/>
                    <w:adjustRightInd w:val="0"/>
                    <w:snapToGrid w:val="0"/>
                    <w:jc w:val="center"/>
                    <w:rPr>
                      <w:color w:val="auto"/>
                      <w:szCs w:val="21"/>
                      <w:highlight w:val="none"/>
                    </w:rPr>
                  </w:pPr>
                  <w:r>
                    <w:rPr>
                      <w:rFonts w:hint="eastAsia"/>
                      <w:color w:val="auto"/>
                      <w:szCs w:val="21"/>
                      <w:highlight w:val="none"/>
                    </w:rPr>
                    <w:t>0.1</w:t>
                  </w:r>
                </w:p>
              </w:tc>
              <w:tc>
                <w:tcPr>
                  <w:tcW w:w="780" w:type="pct"/>
                  <w:tcBorders>
                    <w:tl2br w:val="nil"/>
                    <w:tr2bl w:val="nil"/>
                  </w:tcBorders>
                  <w:vAlign w:val="center"/>
                </w:tcPr>
                <w:p>
                  <w:pPr>
                    <w:autoSpaceDE w:val="0"/>
                    <w:autoSpaceDN w:val="0"/>
                    <w:adjustRightInd w:val="0"/>
                    <w:snapToGrid w:val="0"/>
                    <w:jc w:val="center"/>
                    <w:rPr>
                      <w:color w:val="auto"/>
                      <w:szCs w:val="21"/>
                      <w:highlight w:val="none"/>
                    </w:rPr>
                  </w:pPr>
                  <w:r>
                    <w:rPr>
                      <w:color w:val="auto"/>
                      <w:szCs w:val="21"/>
                      <w:highlight w:val="none"/>
                    </w:rPr>
                    <w:t>2500</w:t>
                  </w:r>
                </w:p>
              </w:tc>
              <w:tc>
                <w:tcPr>
                  <w:tcW w:w="533" w:type="pct"/>
                  <w:tcBorders>
                    <w:tl2br w:val="nil"/>
                    <w:tr2bl w:val="nil"/>
                  </w:tcBorders>
                  <w:vAlign w:val="center"/>
                </w:tcPr>
                <w:p>
                  <w:pPr>
                    <w:widowControl/>
                    <w:adjustRightInd w:val="0"/>
                    <w:snapToGrid w:val="0"/>
                    <w:jc w:val="center"/>
                    <w:textAlignment w:val="center"/>
                    <w:rPr>
                      <w:color w:val="auto"/>
                      <w:szCs w:val="21"/>
                      <w:highlight w:val="none"/>
                    </w:rPr>
                  </w:pPr>
                  <w:r>
                    <w:rPr>
                      <w:rFonts w:hint="eastAsia"/>
                      <w:color w:val="auto"/>
                      <w:szCs w:val="21"/>
                      <w:highlight w:val="none"/>
                    </w:rPr>
                    <w:t>0.00004</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7" w:type="pct"/>
                  <w:tcBorders>
                    <w:tl2br w:val="nil"/>
                    <w:tr2bl w:val="nil"/>
                  </w:tcBorders>
                  <w:vAlign w:val="center"/>
                </w:tcPr>
                <w:p>
                  <w:pPr>
                    <w:widowControl/>
                    <w:adjustRightInd w:val="0"/>
                    <w:snapToGrid w:val="0"/>
                    <w:jc w:val="center"/>
                    <w:rPr>
                      <w:color w:val="auto"/>
                      <w:kern w:val="0"/>
                      <w:szCs w:val="21"/>
                      <w:highlight w:val="none"/>
                      <w:lang w:bidi="ar"/>
                    </w:rPr>
                  </w:pPr>
                  <w:r>
                    <w:rPr>
                      <w:color w:val="auto"/>
                      <w:kern w:val="0"/>
                      <w:szCs w:val="21"/>
                      <w:highlight w:val="none"/>
                    </w:rPr>
                    <w:t>危险废物</w:t>
                  </w:r>
                  <w:r>
                    <w:rPr>
                      <w:rFonts w:hint="eastAsia"/>
                      <w:color w:val="auto"/>
                      <w:kern w:val="0"/>
                      <w:szCs w:val="21"/>
                      <w:highlight w:val="none"/>
                    </w:rPr>
                    <w:t>（废</w:t>
                  </w:r>
                  <w:r>
                    <w:rPr>
                      <w:rFonts w:hint="eastAsia"/>
                      <w:color w:val="auto"/>
                      <w:kern w:val="0"/>
                      <w:szCs w:val="21"/>
                      <w:highlight w:val="none"/>
                      <w:lang w:val="en-US" w:eastAsia="zh-CN"/>
                    </w:rPr>
                    <w:t>机</w:t>
                  </w:r>
                  <w:r>
                    <w:rPr>
                      <w:color w:val="auto"/>
                      <w:kern w:val="0"/>
                      <w:szCs w:val="21"/>
                      <w:highlight w:val="none"/>
                    </w:rPr>
                    <w:t>油）</w:t>
                  </w:r>
                </w:p>
              </w:tc>
              <w:tc>
                <w:tcPr>
                  <w:tcW w:w="959" w:type="pct"/>
                  <w:tcBorders>
                    <w:tl2br w:val="nil"/>
                    <w:tr2bl w:val="nil"/>
                  </w:tcBorders>
                  <w:vAlign w:val="center"/>
                </w:tcPr>
                <w:p>
                  <w:pPr>
                    <w:autoSpaceDE w:val="0"/>
                    <w:autoSpaceDN w:val="0"/>
                    <w:adjustRightInd w:val="0"/>
                    <w:snapToGrid w:val="0"/>
                    <w:jc w:val="center"/>
                    <w:rPr>
                      <w:color w:val="auto"/>
                      <w:szCs w:val="21"/>
                      <w:highlight w:val="none"/>
                    </w:rPr>
                  </w:pPr>
                  <w:r>
                    <w:rPr>
                      <w:rFonts w:hint="eastAsia"/>
                      <w:color w:val="auto"/>
                      <w:szCs w:val="21"/>
                      <w:highlight w:val="none"/>
                    </w:rPr>
                    <w:t>矿物油</w:t>
                  </w:r>
                </w:p>
              </w:tc>
              <w:tc>
                <w:tcPr>
                  <w:tcW w:w="1378" w:type="pct"/>
                  <w:tcBorders>
                    <w:tl2br w:val="nil"/>
                    <w:tr2bl w:val="nil"/>
                  </w:tcBorders>
                  <w:vAlign w:val="center"/>
                </w:tcPr>
                <w:p>
                  <w:pPr>
                    <w:widowControl/>
                    <w:adjustRightInd w:val="0"/>
                    <w:snapToGrid w:val="0"/>
                    <w:jc w:val="center"/>
                    <w:rPr>
                      <w:color w:val="auto"/>
                      <w:kern w:val="0"/>
                      <w:szCs w:val="21"/>
                      <w:highlight w:val="none"/>
                      <w:lang w:bidi="ar"/>
                    </w:rPr>
                  </w:pPr>
                  <w:r>
                    <w:rPr>
                      <w:rFonts w:hint="eastAsia"/>
                      <w:color w:val="auto"/>
                      <w:kern w:val="0"/>
                      <w:szCs w:val="21"/>
                      <w:highlight w:val="none"/>
                      <w:lang w:bidi="ar"/>
                    </w:rPr>
                    <w:t>0.1</w:t>
                  </w:r>
                </w:p>
              </w:tc>
              <w:tc>
                <w:tcPr>
                  <w:tcW w:w="780" w:type="pct"/>
                  <w:tcBorders>
                    <w:tl2br w:val="nil"/>
                    <w:tr2bl w:val="nil"/>
                  </w:tcBorders>
                  <w:vAlign w:val="center"/>
                </w:tcPr>
                <w:p>
                  <w:pPr>
                    <w:autoSpaceDE w:val="0"/>
                    <w:autoSpaceDN w:val="0"/>
                    <w:adjustRightInd w:val="0"/>
                    <w:snapToGrid w:val="0"/>
                    <w:jc w:val="center"/>
                    <w:rPr>
                      <w:color w:val="auto"/>
                      <w:szCs w:val="21"/>
                      <w:highlight w:val="none"/>
                    </w:rPr>
                  </w:pPr>
                  <w:r>
                    <w:rPr>
                      <w:color w:val="auto"/>
                      <w:szCs w:val="21"/>
                      <w:highlight w:val="none"/>
                    </w:rPr>
                    <w:t>2500</w:t>
                  </w:r>
                </w:p>
              </w:tc>
              <w:tc>
                <w:tcPr>
                  <w:tcW w:w="533" w:type="pct"/>
                  <w:tcBorders>
                    <w:tl2br w:val="nil"/>
                    <w:tr2bl w:val="nil"/>
                  </w:tcBorders>
                  <w:vAlign w:val="center"/>
                </w:tcPr>
                <w:p>
                  <w:pPr>
                    <w:widowControl/>
                    <w:adjustRightInd w:val="0"/>
                    <w:snapToGrid w:val="0"/>
                    <w:jc w:val="center"/>
                    <w:textAlignment w:val="center"/>
                    <w:rPr>
                      <w:color w:val="auto"/>
                      <w:kern w:val="0"/>
                      <w:szCs w:val="21"/>
                      <w:highlight w:val="none"/>
                      <w:lang w:bidi="ar"/>
                    </w:rPr>
                  </w:pPr>
                  <w:r>
                    <w:rPr>
                      <w:rFonts w:hint="eastAsia"/>
                      <w:color w:val="auto"/>
                      <w:szCs w:val="21"/>
                      <w:highlight w:val="none"/>
                    </w:rPr>
                    <w:t>0.00004</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66" w:type="pct"/>
                  <w:gridSpan w:val="4"/>
                  <w:tcBorders>
                    <w:tl2br w:val="nil"/>
                    <w:tr2bl w:val="nil"/>
                  </w:tcBorders>
                  <w:vAlign w:val="center"/>
                </w:tcPr>
                <w:p>
                  <w:pPr>
                    <w:autoSpaceDE w:val="0"/>
                    <w:autoSpaceDN w:val="0"/>
                    <w:adjustRightInd w:val="0"/>
                    <w:snapToGrid w:val="0"/>
                    <w:jc w:val="center"/>
                    <w:rPr>
                      <w:color w:val="auto"/>
                      <w:szCs w:val="21"/>
                      <w:highlight w:val="none"/>
                    </w:rPr>
                  </w:pPr>
                  <w:r>
                    <w:rPr>
                      <w:color w:val="auto"/>
                      <w:szCs w:val="21"/>
                      <w:highlight w:val="none"/>
                    </w:rPr>
                    <w:t>合计</w:t>
                  </w:r>
                </w:p>
              </w:tc>
              <w:tc>
                <w:tcPr>
                  <w:tcW w:w="533" w:type="pct"/>
                  <w:tcBorders>
                    <w:tl2br w:val="nil"/>
                    <w:tr2bl w:val="nil"/>
                  </w:tcBorders>
                  <w:vAlign w:val="center"/>
                </w:tcPr>
                <w:p>
                  <w:pPr>
                    <w:widowControl/>
                    <w:adjustRightInd w:val="0"/>
                    <w:snapToGrid w:val="0"/>
                    <w:jc w:val="center"/>
                    <w:textAlignment w:val="center"/>
                    <w:rPr>
                      <w:color w:val="auto"/>
                      <w:szCs w:val="21"/>
                      <w:highlight w:val="none"/>
                    </w:rPr>
                  </w:pPr>
                  <w:r>
                    <w:rPr>
                      <w:color w:val="auto"/>
                      <w:kern w:val="0"/>
                      <w:szCs w:val="21"/>
                      <w:highlight w:val="none"/>
                      <w:lang w:bidi="ar"/>
                    </w:rPr>
                    <w:t>0.00</w:t>
                  </w:r>
                  <w:r>
                    <w:rPr>
                      <w:rFonts w:hint="eastAsia"/>
                      <w:color w:val="auto"/>
                      <w:kern w:val="0"/>
                      <w:szCs w:val="21"/>
                      <w:highlight w:val="none"/>
                      <w:lang w:bidi="ar"/>
                    </w:rPr>
                    <w:t>0</w:t>
                  </w:r>
                  <w:r>
                    <w:rPr>
                      <w:color w:val="auto"/>
                      <w:kern w:val="0"/>
                      <w:szCs w:val="21"/>
                      <w:highlight w:val="none"/>
                      <w:lang w:bidi="ar"/>
                    </w:rPr>
                    <w:t>0</w:t>
                  </w:r>
                  <w:r>
                    <w:rPr>
                      <w:rFonts w:hint="eastAsia"/>
                      <w:color w:val="auto"/>
                      <w:kern w:val="0"/>
                      <w:szCs w:val="21"/>
                      <w:highlight w:val="none"/>
                      <w:lang w:bidi="ar"/>
                    </w:rPr>
                    <w:t>8</w:t>
                  </w:r>
                </w:p>
              </w:tc>
            </w:tr>
          </w:tbl>
          <w:p>
            <w:pPr>
              <w:widowControl/>
              <w:spacing w:before="120" w:beforeLines="50" w:line="360" w:lineRule="auto"/>
              <w:ind w:firstLine="420" w:firstLineChars="200"/>
              <w:rPr>
                <w:color w:val="auto"/>
                <w:highlight w:val="none"/>
              </w:rPr>
            </w:pPr>
            <w:r>
              <w:rPr>
                <w:rFonts w:hint="eastAsia"/>
                <w:color w:val="auto"/>
                <w:highlight w:val="none"/>
              </w:rPr>
              <w:t>由上表可知，项目危险物质数量与临界量比值Q小于1，项目环境风险潜势等级为Ⅰ级，因此，项目环境风险评价工作等级为简单分析。</w:t>
            </w:r>
          </w:p>
          <w:p>
            <w:pPr>
              <w:widowControl/>
              <w:adjustRightInd w:val="0"/>
              <w:snapToGrid w:val="0"/>
              <w:spacing w:line="360" w:lineRule="auto"/>
              <w:ind w:firstLine="422" w:firstLineChars="200"/>
              <w:rPr>
                <w:rFonts w:hint="eastAsia" w:ascii="Times New Roman" w:hAnsi="Times New Roman" w:cs="Times New Roman"/>
                <w:b/>
                <w:bCs/>
                <w:color w:val="auto"/>
                <w:kern w:val="0"/>
                <w:szCs w:val="21"/>
                <w:highlight w:val="none"/>
              </w:rPr>
            </w:pPr>
            <w:r>
              <w:rPr>
                <w:rFonts w:hint="eastAsia" w:ascii="Times New Roman" w:hAnsi="Times New Roman" w:cs="Times New Roman"/>
                <w:b/>
                <w:bCs/>
                <w:color w:val="auto"/>
                <w:kern w:val="0"/>
                <w:szCs w:val="21"/>
                <w:highlight w:val="none"/>
              </w:rPr>
              <w:t>（2）危险物质和风险源分布情况及可能影响途径</w:t>
            </w:r>
          </w:p>
          <w:p>
            <w:pPr>
              <w:widowControl/>
              <w:adjustRightInd w:val="0"/>
              <w:snapToGrid w:val="0"/>
              <w:spacing w:line="360" w:lineRule="auto"/>
              <w:ind w:firstLine="420" w:firstLineChars="200"/>
              <w:rPr>
                <w:rFonts w:hint="eastAsia" w:ascii="Times New Roman" w:hAnsi="Times New Roman" w:cs="Times New Roman"/>
                <w:color w:val="auto"/>
                <w:kern w:val="0"/>
                <w:szCs w:val="21"/>
                <w:highlight w:val="none"/>
              </w:rPr>
            </w:pPr>
            <w:r>
              <w:rPr>
                <w:rFonts w:hint="eastAsia" w:ascii="Times New Roman" w:hAnsi="Times New Roman" w:cs="Times New Roman"/>
                <w:color w:val="auto"/>
                <w:kern w:val="0"/>
                <w:szCs w:val="21"/>
                <w:highlight w:val="none"/>
              </w:rPr>
              <w:t>通过对本项目所涉及的物质、生产设施、环保设施进行风险识别，得出项目可能存在的风险源及可能发生的风险事故如下表。</w:t>
            </w:r>
          </w:p>
          <w:p>
            <w:pPr>
              <w:numPr>
                <w:ilvl w:val="0"/>
                <w:numId w:val="0"/>
              </w:numPr>
              <w:adjustRightInd w:val="0"/>
              <w:snapToGrid w:val="0"/>
              <w:spacing w:line="360" w:lineRule="auto"/>
              <w:jc w:val="center"/>
              <w:rPr>
                <w:rFonts w:hint="eastAsia" w:ascii="Times New Roman" w:hAnsi="Times New Roman" w:cs="Times New Roman"/>
                <w:color w:val="auto"/>
                <w:highlight w:val="none"/>
                <w:lang w:val="en-US" w:eastAsia="zh-CN"/>
              </w:rPr>
            </w:pPr>
            <w:r>
              <w:rPr>
                <w:rFonts w:hint="eastAsia" w:ascii="Times New Roman" w:hAnsi="Times New Roman" w:cs="Times New Roman"/>
                <w:b/>
                <w:color w:val="auto"/>
                <w:highlight w:val="none"/>
                <w:lang w:val="en-US" w:eastAsia="zh-CN"/>
              </w:rPr>
              <w:t>表4-21 项目危险物质和风险源分布情况及可能影响途径</w:t>
            </w:r>
          </w:p>
          <w:tbl>
            <w:tblPr>
              <w:tblStyle w:val="3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8"/>
              <w:gridCol w:w="974"/>
              <w:gridCol w:w="1616"/>
              <w:gridCol w:w="898"/>
              <w:gridCol w:w="54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269" w:type="pct"/>
                  <w:noWrap w:val="0"/>
                  <w:vAlign w:val="center"/>
                </w:tcPr>
                <w:p>
                  <w:pPr>
                    <w:keepNext w:val="0"/>
                    <w:keepLines w:val="0"/>
                    <w:pageBreakBefore w:val="0"/>
                    <w:widowControl w:val="0"/>
                    <w:kinsoku/>
                    <w:wordWrap/>
                    <w:overflowPunct/>
                    <w:autoSpaceDE/>
                    <w:autoSpaceDN/>
                    <w:bidi w:val="0"/>
                    <w:adjustRightInd w:val="0"/>
                    <w:snapToGrid w:val="0"/>
                    <w:spacing w:after="0" w:line="240" w:lineRule="auto"/>
                    <w:jc w:val="center"/>
                    <w:textAlignment w:val="auto"/>
                    <w:rPr>
                      <w:rFonts w:ascii="Times New Roman" w:hAnsi="Times New Roman" w:eastAsia="宋体" w:cs="Times New Roman"/>
                      <w:b/>
                      <w:bCs/>
                      <w:color w:val="auto"/>
                      <w:kern w:val="2"/>
                      <w:sz w:val="21"/>
                      <w:szCs w:val="21"/>
                      <w:highlight w:val="none"/>
                      <w:lang w:val="en-US" w:eastAsia="zh-CN" w:bidi="ar-SA"/>
                    </w:rPr>
                  </w:pPr>
                  <w:r>
                    <w:rPr>
                      <w:rFonts w:ascii="Times New Roman" w:hAnsi="Times New Roman" w:eastAsia="宋体" w:cs="Times New Roman"/>
                      <w:b/>
                      <w:bCs/>
                      <w:color w:val="auto"/>
                      <w:kern w:val="2"/>
                      <w:sz w:val="21"/>
                      <w:szCs w:val="21"/>
                      <w:highlight w:val="none"/>
                      <w:lang w:val="en-US" w:eastAsia="zh-CN" w:bidi="ar-SA"/>
                    </w:rPr>
                    <w:t>序号</w:t>
                  </w:r>
                </w:p>
              </w:tc>
              <w:tc>
                <w:tcPr>
                  <w:tcW w:w="516" w:type="pct"/>
                  <w:noWrap w:val="0"/>
                  <w:vAlign w:val="center"/>
                </w:tcPr>
                <w:p>
                  <w:pPr>
                    <w:keepNext w:val="0"/>
                    <w:keepLines w:val="0"/>
                    <w:pageBreakBefore w:val="0"/>
                    <w:widowControl w:val="0"/>
                    <w:kinsoku/>
                    <w:wordWrap/>
                    <w:overflowPunct/>
                    <w:autoSpaceDE/>
                    <w:autoSpaceDN/>
                    <w:bidi w:val="0"/>
                    <w:adjustRightInd w:val="0"/>
                    <w:snapToGrid w:val="0"/>
                    <w:spacing w:after="0" w:line="240" w:lineRule="auto"/>
                    <w:jc w:val="center"/>
                    <w:textAlignment w:val="auto"/>
                    <w:rPr>
                      <w:rFonts w:ascii="Times New Roman" w:hAnsi="Times New Roman" w:eastAsia="宋体" w:cs="Times New Roman"/>
                      <w:b/>
                      <w:bCs/>
                      <w:color w:val="auto"/>
                      <w:kern w:val="2"/>
                      <w:sz w:val="21"/>
                      <w:szCs w:val="21"/>
                      <w:highlight w:val="none"/>
                      <w:lang w:val="en-US" w:eastAsia="zh-CN" w:bidi="ar-SA"/>
                    </w:rPr>
                  </w:pPr>
                  <w:r>
                    <w:rPr>
                      <w:rFonts w:ascii="Times New Roman" w:hAnsi="Times New Roman" w:eastAsia="宋体" w:cs="Times New Roman"/>
                      <w:b/>
                      <w:bCs/>
                      <w:color w:val="auto"/>
                      <w:kern w:val="2"/>
                      <w:sz w:val="21"/>
                      <w:szCs w:val="21"/>
                      <w:highlight w:val="none"/>
                      <w:lang w:val="en-US" w:eastAsia="zh-CN" w:bidi="ar-SA"/>
                    </w:rPr>
                    <w:t>风险源</w:t>
                  </w:r>
                </w:p>
              </w:tc>
              <w:tc>
                <w:tcPr>
                  <w:tcW w:w="856" w:type="pct"/>
                  <w:noWrap w:val="0"/>
                  <w:vAlign w:val="center"/>
                </w:tcPr>
                <w:p>
                  <w:pPr>
                    <w:keepNext w:val="0"/>
                    <w:keepLines w:val="0"/>
                    <w:pageBreakBefore w:val="0"/>
                    <w:widowControl w:val="0"/>
                    <w:kinsoku/>
                    <w:wordWrap/>
                    <w:overflowPunct/>
                    <w:autoSpaceDE/>
                    <w:autoSpaceDN/>
                    <w:bidi w:val="0"/>
                    <w:adjustRightInd w:val="0"/>
                    <w:snapToGrid w:val="0"/>
                    <w:spacing w:after="0" w:line="240" w:lineRule="auto"/>
                    <w:jc w:val="center"/>
                    <w:textAlignment w:val="auto"/>
                    <w:rPr>
                      <w:rFonts w:ascii="Times New Roman" w:hAnsi="Times New Roman" w:eastAsia="宋体" w:cs="Times New Roman"/>
                      <w:b/>
                      <w:bCs/>
                      <w:color w:val="auto"/>
                      <w:kern w:val="2"/>
                      <w:sz w:val="21"/>
                      <w:szCs w:val="21"/>
                      <w:highlight w:val="none"/>
                      <w:lang w:val="en-US" w:eastAsia="zh-CN" w:bidi="ar-SA"/>
                    </w:rPr>
                  </w:pPr>
                  <w:r>
                    <w:rPr>
                      <w:rFonts w:ascii="Times New Roman" w:hAnsi="Times New Roman" w:eastAsia="宋体" w:cs="Times New Roman"/>
                      <w:b/>
                      <w:bCs/>
                      <w:color w:val="auto"/>
                      <w:kern w:val="2"/>
                      <w:sz w:val="21"/>
                      <w:szCs w:val="21"/>
                      <w:highlight w:val="none"/>
                      <w:lang w:val="en-US" w:eastAsia="zh-CN" w:bidi="ar-SA"/>
                    </w:rPr>
                    <w:t>危险特性</w:t>
                  </w:r>
                </w:p>
              </w:tc>
              <w:tc>
                <w:tcPr>
                  <w:tcW w:w="476" w:type="pct"/>
                  <w:noWrap w:val="0"/>
                  <w:vAlign w:val="center"/>
                </w:tcPr>
                <w:p>
                  <w:pPr>
                    <w:keepNext w:val="0"/>
                    <w:keepLines w:val="0"/>
                    <w:pageBreakBefore w:val="0"/>
                    <w:widowControl w:val="0"/>
                    <w:kinsoku/>
                    <w:wordWrap/>
                    <w:overflowPunct/>
                    <w:topLinePunct/>
                    <w:autoSpaceDE/>
                    <w:autoSpaceDN/>
                    <w:bidi w:val="0"/>
                    <w:adjustRightInd/>
                    <w:snapToGrid w:val="0"/>
                    <w:spacing w:after="0"/>
                    <w:jc w:val="center"/>
                    <w:textAlignment w:val="auto"/>
                    <w:rPr>
                      <w:rFonts w:ascii="Times New Roman" w:hAnsi="Times New Roman" w:eastAsia="宋体" w:cs="Times New Roman"/>
                      <w:b/>
                      <w:bCs/>
                      <w:color w:val="auto"/>
                      <w:kern w:val="2"/>
                      <w:sz w:val="21"/>
                      <w:szCs w:val="21"/>
                      <w:highlight w:val="none"/>
                    </w:rPr>
                  </w:pPr>
                  <w:r>
                    <w:rPr>
                      <w:rFonts w:ascii="Times New Roman" w:hAnsi="Times New Roman" w:eastAsia="宋体" w:cs="Times New Roman"/>
                      <w:b/>
                      <w:bCs/>
                      <w:color w:val="auto"/>
                      <w:kern w:val="2"/>
                      <w:sz w:val="21"/>
                      <w:szCs w:val="21"/>
                      <w:highlight w:val="none"/>
                    </w:rPr>
                    <w:t>分布情况</w:t>
                  </w:r>
                </w:p>
              </w:tc>
              <w:tc>
                <w:tcPr>
                  <w:tcW w:w="2880" w:type="pct"/>
                  <w:noWrap w:val="0"/>
                  <w:vAlign w:val="center"/>
                </w:tcPr>
                <w:p>
                  <w:pPr>
                    <w:keepNext w:val="0"/>
                    <w:keepLines w:val="0"/>
                    <w:pageBreakBefore w:val="0"/>
                    <w:widowControl w:val="0"/>
                    <w:kinsoku/>
                    <w:wordWrap/>
                    <w:overflowPunct/>
                    <w:topLinePunct/>
                    <w:autoSpaceDE/>
                    <w:autoSpaceDN/>
                    <w:bidi w:val="0"/>
                    <w:adjustRightInd/>
                    <w:snapToGrid w:val="0"/>
                    <w:spacing w:after="0"/>
                    <w:jc w:val="center"/>
                    <w:textAlignment w:val="auto"/>
                    <w:rPr>
                      <w:rFonts w:ascii="Times New Roman" w:hAnsi="Times New Roman" w:eastAsia="宋体" w:cs="Times New Roman"/>
                      <w:b/>
                      <w:bCs/>
                      <w:color w:val="auto"/>
                      <w:kern w:val="2"/>
                      <w:sz w:val="21"/>
                      <w:szCs w:val="21"/>
                      <w:highlight w:val="none"/>
                    </w:rPr>
                  </w:pPr>
                  <w:r>
                    <w:rPr>
                      <w:rFonts w:ascii="Times New Roman" w:hAnsi="Times New Roman" w:eastAsia="宋体" w:cs="Times New Roman"/>
                      <w:b/>
                      <w:bCs/>
                      <w:color w:val="auto"/>
                      <w:kern w:val="2"/>
                      <w:sz w:val="21"/>
                      <w:szCs w:val="21"/>
                      <w:highlight w:val="none"/>
                    </w:rPr>
                    <w:t>可能影响环境的途径及方式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269" w:type="pct"/>
                  <w:noWrap w:val="0"/>
                  <w:vAlign w:val="center"/>
                </w:tcPr>
                <w:p>
                  <w:pPr>
                    <w:keepNext w:val="0"/>
                    <w:keepLines w:val="0"/>
                    <w:pageBreakBefore w:val="0"/>
                    <w:widowControl w:val="0"/>
                    <w:kinsoku/>
                    <w:wordWrap/>
                    <w:overflowPunct/>
                    <w:autoSpaceDE/>
                    <w:autoSpaceDN/>
                    <w:bidi w:val="0"/>
                    <w:adjustRightInd w:val="0"/>
                    <w:snapToGrid w:val="0"/>
                    <w:spacing w:after="0" w:line="240" w:lineRule="auto"/>
                    <w:jc w:val="center"/>
                    <w:textAlignment w:val="auto"/>
                    <w:rPr>
                      <w:rFonts w:ascii="Times New Roman" w:hAnsi="Times New Roman" w:eastAsia="宋体" w:cs="Times New Roman"/>
                      <w:color w:val="auto"/>
                      <w:kern w:val="2"/>
                      <w:sz w:val="21"/>
                      <w:szCs w:val="21"/>
                      <w:highlight w:val="none"/>
                      <w:lang w:val="en-US" w:eastAsia="zh-CN" w:bidi="ar-SA"/>
                    </w:rPr>
                  </w:pPr>
                  <w:r>
                    <w:rPr>
                      <w:rFonts w:ascii="Times New Roman" w:hAnsi="Times New Roman" w:eastAsia="宋体" w:cs="Times New Roman"/>
                      <w:color w:val="auto"/>
                      <w:kern w:val="2"/>
                      <w:sz w:val="21"/>
                      <w:szCs w:val="21"/>
                      <w:highlight w:val="none"/>
                      <w:lang w:val="en-US" w:eastAsia="zh-CN" w:bidi="ar-SA"/>
                    </w:rPr>
                    <w:t>1</w:t>
                  </w:r>
                </w:p>
              </w:tc>
              <w:tc>
                <w:tcPr>
                  <w:tcW w:w="516" w:type="pct"/>
                  <w:noWrap w:val="0"/>
                  <w:vAlign w:val="center"/>
                </w:tcPr>
                <w:p>
                  <w:pPr>
                    <w:keepNext w:val="0"/>
                    <w:keepLines w:val="0"/>
                    <w:pageBreakBefore w:val="0"/>
                    <w:widowControl w:val="0"/>
                    <w:kinsoku/>
                    <w:wordWrap/>
                    <w:overflowPunct/>
                    <w:autoSpaceDE/>
                    <w:autoSpaceDN/>
                    <w:bidi w:val="0"/>
                    <w:adjustRightInd w:val="0"/>
                    <w:snapToGrid w:val="0"/>
                    <w:spacing w:after="0" w:line="240" w:lineRule="auto"/>
                    <w:jc w:val="center"/>
                    <w:textAlignment w:val="auto"/>
                    <w:rPr>
                      <w:rFonts w:ascii="Times New Roman" w:hAnsi="Times New Roman" w:eastAsia="宋体" w:cs="Times New Roman"/>
                      <w:color w:val="auto"/>
                      <w:kern w:val="2"/>
                      <w:sz w:val="21"/>
                      <w:szCs w:val="21"/>
                      <w:highlight w:val="none"/>
                      <w:lang w:val="en-US" w:eastAsia="zh-CN" w:bidi="ar-SA"/>
                    </w:rPr>
                  </w:pPr>
                  <w:r>
                    <w:rPr>
                      <w:rFonts w:ascii="Times New Roman" w:hAnsi="Times New Roman" w:eastAsia="宋体" w:cs="Times New Roman"/>
                      <w:color w:val="auto"/>
                      <w:kern w:val="2"/>
                      <w:sz w:val="21"/>
                      <w:szCs w:val="21"/>
                      <w:highlight w:val="none"/>
                      <w:lang w:val="en-US" w:eastAsia="zh-CN" w:bidi="ar-SA"/>
                    </w:rPr>
                    <w:t>危险废物</w:t>
                  </w:r>
                </w:p>
              </w:tc>
              <w:tc>
                <w:tcPr>
                  <w:tcW w:w="856" w:type="pct"/>
                  <w:noWrap w:val="0"/>
                  <w:vAlign w:val="center"/>
                </w:tcPr>
                <w:p>
                  <w:pPr>
                    <w:keepNext w:val="0"/>
                    <w:keepLines w:val="0"/>
                    <w:pageBreakBefore w:val="0"/>
                    <w:widowControl w:val="0"/>
                    <w:kinsoku/>
                    <w:wordWrap/>
                    <w:overflowPunct/>
                    <w:autoSpaceDE/>
                    <w:autoSpaceDN/>
                    <w:bidi w:val="0"/>
                    <w:adjustRightInd w:val="0"/>
                    <w:snapToGrid w:val="0"/>
                    <w:spacing w:after="0" w:line="240" w:lineRule="auto"/>
                    <w:jc w:val="center"/>
                    <w:textAlignment w:val="auto"/>
                    <w:rPr>
                      <w:rFonts w:ascii="Times New Roman" w:hAnsi="Times New Roman" w:eastAsia="宋体" w:cs="Times New Roman"/>
                      <w:color w:val="auto"/>
                      <w:kern w:val="2"/>
                      <w:sz w:val="21"/>
                      <w:szCs w:val="21"/>
                      <w:highlight w:val="none"/>
                      <w:lang w:val="en-US" w:eastAsia="zh-CN" w:bidi="ar-SA"/>
                    </w:rPr>
                  </w:pPr>
                  <w:r>
                    <w:rPr>
                      <w:rFonts w:ascii="Times New Roman" w:hAnsi="Times New Roman" w:eastAsia="宋体" w:cs="Times New Roman"/>
                      <w:color w:val="auto"/>
                      <w:kern w:val="2"/>
                      <w:sz w:val="21"/>
                      <w:szCs w:val="21"/>
                      <w:highlight w:val="none"/>
                      <w:lang w:val="en-US" w:eastAsia="zh-CN" w:bidi="ar-SA"/>
                    </w:rPr>
                    <w:t>泄漏</w:t>
                  </w:r>
                </w:p>
              </w:tc>
              <w:tc>
                <w:tcPr>
                  <w:tcW w:w="476" w:type="pct"/>
                  <w:noWrap w:val="0"/>
                  <w:vAlign w:val="center"/>
                </w:tcPr>
                <w:p>
                  <w:pPr>
                    <w:keepNext w:val="0"/>
                    <w:keepLines w:val="0"/>
                    <w:pageBreakBefore w:val="0"/>
                    <w:widowControl w:val="0"/>
                    <w:kinsoku/>
                    <w:wordWrap/>
                    <w:overflowPunct/>
                    <w:topLinePunct/>
                    <w:autoSpaceDE/>
                    <w:autoSpaceDN/>
                    <w:bidi w:val="0"/>
                    <w:adjustRightInd/>
                    <w:snapToGrid w:val="0"/>
                    <w:spacing w:after="0"/>
                    <w:jc w:val="center"/>
                    <w:textAlignment w:val="auto"/>
                    <w:rPr>
                      <w:rFonts w:ascii="Times New Roman" w:hAnsi="Times New Roman" w:eastAsia="宋体" w:cs="Times New Roman"/>
                      <w:color w:val="auto"/>
                      <w:kern w:val="2"/>
                      <w:sz w:val="21"/>
                      <w:szCs w:val="21"/>
                      <w:highlight w:val="none"/>
                    </w:rPr>
                  </w:pPr>
                  <w:r>
                    <w:rPr>
                      <w:rFonts w:ascii="Times New Roman" w:hAnsi="Times New Roman" w:eastAsia="宋体" w:cs="Times New Roman"/>
                      <w:color w:val="auto"/>
                      <w:kern w:val="2"/>
                      <w:sz w:val="21"/>
                      <w:szCs w:val="21"/>
                      <w:highlight w:val="none"/>
                    </w:rPr>
                    <w:t>危废仓库</w:t>
                  </w:r>
                </w:p>
              </w:tc>
              <w:tc>
                <w:tcPr>
                  <w:tcW w:w="2880" w:type="pct"/>
                  <w:noWrap w:val="0"/>
                  <w:vAlign w:val="center"/>
                </w:tcPr>
                <w:p>
                  <w:pPr>
                    <w:keepNext w:val="0"/>
                    <w:keepLines w:val="0"/>
                    <w:pageBreakBefore w:val="0"/>
                    <w:widowControl w:val="0"/>
                    <w:kinsoku/>
                    <w:wordWrap/>
                    <w:overflowPunct/>
                    <w:topLinePunct/>
                    <w:autoSpaceDE/>
                    <w:autoSpaceDN/>
                    <w:bidi w:val="0"/>
                    <w:adjustRightInd/>
                    <w:snapToGrid w:val="0"/>
                    <w:spacing w:after="0"/>
                    <w:jc w:val="center"/>
                    <w:textAlignment w:val="auto"/>
                    <w:rPr>
                      <w:rFonts w:ascii="Times New Roman" w:hAnsi="Times New Roman" w:eastAsia="宋体" w:cs="Times New Roman"/>
                      <w:color w:val="auto"/>
                      <w:kern w:val="2"/>
                      <w:sz w:val="21"/>
                      <w:szCs w:val="21"/>
                      <w:highlight w:val="none"/>
                    </w:rPr>
                  </w:pPr>
                  <w:r>
                    <w:rPr>
                      <w:rFonts w:ascii="Times New Roman" w:hAnsi="Times New Roman" w:eastAsia="宋体" w:cs="Times New Roman"/>
                      <w:color w:val="auto"/>
                      <w:kern w:val="2"/>
                      <w:sz w:val="21"/>
                      <w:szCs w:val="21"/>
                      <w:highlight w:val="none"/>
                    </w:rPr>
                    <w:t>地表水、地下水：径流下渗；大气：</w:t>
                  </w:r>
                  <w:r>
                    <w:rPr>
                      <w:rFonts w:hint="eastAsia" w:ascii="Times New Roman" w:hAnsi="Times New Roman" w:eastAsia="宋体" w:cs="Times New Roman"/>
                      <w:color w:val="auto"/>
                      <w:kern w:val="2"/>
                      <w:sz w:val="21"/>
                      <w:szCs w:val="21"/>
                      <w:highlight w:val="none"/>
                      <w:lang w:val="en-US" w:eastAsia="zh-CN"/>
                    </w:rPr>
                    <w:t>环</w:t>
                  </w:r>
                  <w:r>
                    <w:rPr>
                      <w:rFonts w:ascii="Times New Roman" w:hAnsi="Times New Roman" w:eastAsia="宋体" w:cs="Times New Roman"/>
                      <w:color w:val="auto"/>
                      <w:kern w:val="2"/>
                      <w:sz w:val="21"/>
                      <w:szCs w:val="21"/>
                      <w:highlight w:val="none"/>
                    </w:rPr>
                    <w:t>境影响较小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269" w:type="pct"/>
                  <w:noWrap w:val="0"/>
                  <w:vAlign w:val="center"/>
                </w:tcPr>
                <w:p>
                  <w:pPr>
                    <w:keepNext w:val="0"/>
                    <w:keepLines w:val="0"/>
                    <w:pageBreakBefore w:val="0"/>
                    <w:widowControl w:val="0"/>
                    <w:kinsoku/>
                    <w:wordWrap/>
                    <w:overflowPunct/>
                    <w:topLinePunct/>
                    <w:autoSpaceDE/>
                    <w:autoSpaceDN/>
                    <w:bidi w:val="0"/>
                    <w:adjustRightInd/>
                    <w:snapToGrid w:val="0"/>
                    <w:spacing w:after="0"/>
                    <w:jc w:val="center"/>
                    <w:textAlignment w:val="auto"/>
                    <w:rPr>
                      <w:rFonts w:ascii="Times New Roman" w:hAnsi="Times New Roman" w:eastAsia="宋体" w:cs="Times New Roman"/>
                      <w:color w:val="auto"/>
                      <w:kern w:val="2"/>
                      <w:sz w:val="21"/>
                      <w:szCs w:val="21"/>
                      <w:highlight w:val="none"/>
                      <w:lang w:val="en-US" w:eastAsia="zh-CN" w:bidi="ar-SA"/>
                    </w:rPr>
                  </w:pPr>
                  <w:r>
                    <w:rPr>
                      <w:rFonts w:ascii="Times New Roman" w:hAnsi="Times New Roman" w:eastAsia="宋体" w:cs="Times New Roman"/>
                      <w:color w:val="auto"/>
                      <w:kern w:val="2"/>
                      <w:sz w:val="21"/>
                      <w:szCs w:val="21"/>
                      <w:highlight w:val="none"/>
                    </w:rPr>
                    <w:t>2</w:t>
                  </w:r>
                </w:p>
              </w:tc>
              <w:tc>
                <w:tcPr>
                  <w:tcW w:w="516" w:type="pct"/>
                  <w:noWrap w:val="0"/>
                  <w:vAlign w:val="center"/>
                </w:tcPr>
                <w:p>
                  <w:pPr>
                    <w:keepNext w:val="0"/>
                    <w:keepLines w:val="0"/>
                    <w:pageBreakBefore w:val="0"/>
                    <w:widowControl w:val="0"/>
                    <w:kinsoku/>
                    <w:wordWrap/>
                    <w:overflowPunct/>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原料化学品</w:t>
                  </w:r>
                </w:p>
              </w:tc>
              <w:tc>
                <w:tcPr>
                  <w:tcW w:w="856" w:type="pct"/>
                  <w:noWrap w:val="0"/>
                  <w:vAlign w:val="center"/>
                </w:tcPr>
                <w:p>
                  <w:pPr>
                    <w:keepNext w:val="0"/>
                    <w:keepLines w:val="0"/>
                    <w:pageBreakBefore w:val="0"/>
                    <w:widowControl w:val="0"/>
                    <w:kinsoku/>
                    <w:wordWrap/>
                    <w:overflowPunct/>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泄露</w:t>
                  </w:r>
                </w:p>
              </w:tc>
              <w:tc>
                <w:tcPr>
                  <w:tcW w:w="476" w:type="pct"/>
                  <w:noWrap w:val="0"/>
                  <w:vAlign w:val="center"/>
                </w:tcPr>
                <w:p>
                  <w:pPr>
                    <w:keepNext w:val="0"/>
                    <w:keepLines w:val="0"/>
                    <w:pageBreakBefore w:val="0"/>
                    <w:widowControl w:val="0"/>
                    <w:kinsoku/>
                    <w:wordWrap/>
                    <w:overflowPunct/>
                    <w:topLinePunct/>
                    <w:autoSpaceDE/>
                    <w:autoSpaceDN/>
                    <w:bidi w:val="0"/>
                    <w:adjustRightInd/>
                    <w:snapToGrid w:val="0"/>
                    <w:spacing w:after="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原料仓库</w:t>
                  </w:r>
                </w:p>
              </w:tc>
              <w:tc>
                <w:tcPr>
                  <w:tcW w:w="2880" w:type="pct"/>
                  <w:noWrap w:val="0"/>
                  <w:vAlign w:val="center"/>
                </w:tcPr>
                <w:p>
                  <w:pPr>
                    <w:keepNext w:val="0"/>
                    <w:keepLines w:val="0"/>
                    <w:pageBreakBefore w:val="0"/>
                    <w:widowControl w:val="0"/>
                    <w:kinsoku/>
                    <w:wordWrap/>
                    <w:overflowPunct/>
                    <w:topLinePunct/>
                    <w:autoSpaceDE/>
                    <w:autoSpaceDN/>
                    <w:bidi w:val="0"/>
                    <w:adjustRightInd/>
                    <w:snapToGrid w:val="0"/>
                    <w:spacing w:after="0"/>
                    <w:jc w:val="center"/>
                    <w:textAlignment w:val="auto"/>
                    <w:rPr>
                      <w:rFonts w:ascii="Times New Roman" w:hAnsi="Times New Roman" w:eastAsia="宋体" w:cs="Times New Roman"/>
                      <w:color w:val="auto"/>
                      <w:kern w:val="2"/>
                      <w:sz w:val="21"/>
                      <w:szCs w:val="21"/>
                      <w:highlight w:val="none"/>
                    </w:rPr>
                  </w:pPr>
                  <w:r>
                    <w:rPr>
                      <w:rFonts w:ascii="Times New Roman" w:hAnsi="Times New Roman" w:eastAsia="宋体" w:cs="Times New Roman"/>
                      <w:color w:val="auto"/>
                      <w:kern w:val="2"/>
                      <w:sz w:val="21"/>
                      <w:szCs w:val="21"/>
                      <w:highlight w:val="none"/>
                    </w:rPr>
                    <w:t>地表水、地下水：径流下渗；大气：</w:t>
                  </w:r>
                  <w:r>
                    <w:rPr>
                      <w:rFonts w:hint="eastAsia" w:ascii="Times New Roman" w:hAnsi="Times New Roman" w:eastAsia="宋体" w:cs="Times New Roman"/>
                      <w:color w:val="auto"/>
                      <w:kern w:val="2"/>
                      <w:sz w:val="21"/>
                      <w:szCs w:val="21"/>
                      <w:highlight w:val="none"/>
                      <w:lang w:val="en-US" w:eastAsia="zh-CN"/>
                    </w:rPr>
                    <w:t>环</w:t>
                  </w:r>
                  <w:r>
                    <w:rPr>
                      <w:rFonts w:ascii="Times New Roman" w:hAnsi="Times New Roman" w:eastAsia="宋体" w:cs="Times New Roman"/>
                      <w:color w:val="auto"/>
                      <w:kern w:val="2"/>
                      <w:sz w:val="21"/>
                      <w:szCs w:val="21"/>
                      <w:highlight w:val="none"/>
                    </w:rPr>
                    <w:t>境影响较小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69" w:type="pct"/>
                  <w:noWrap w:val="0"/>
                  <w:vAlign w:val="center"/>
                </w:tcPr>
                <w:p>
                  <w:pPr>
                    <w:keepNext w:val="0"/>
                    <w:keepLines w:val="0"/>
                    <w:pageBreakBefore w:val="0"/>
                    <w:widowControl w:val="0"/>
                    <w:kinsoku/>
                    <w:wordWrap/>
                    <w:overflowPunct/>
                    <w:topLinePunct/>
                    <w:autoSpaceDE/>
                    <w:autoSpaceDN/>
                    <w:bidi w:val="0"/>
                    <w:adjustRightInd/>
                    <w:snapToGrid w:val="0"/>
                    <w:spacing w:after="0"/>
                    <w:jc w:val="center"/>
                    <w:textAlignment w:val="auto"/>
                    <w:rPr>
                      <w:rFonts w:ascii="Times New Roman" w:hAnsi="Times New Roman" w:eastAsia="宋体" w:cs="Times New Roman"/>
                      <w:color w:val="auto"/>
                      <w:kern w:val="2"/>
                      <w:sz w:val="21"/>
                      <w:szCs w:val="21"/>
                      <w:highlight w:val="none"/>
                      <w:lang w:val="en-US" w:eastAsia="zh-CN" w:bidi="ar-SA"/>
                    </w:rPr>
                  </w:pPr>
                  <w:r>
                    <w:rPr>
                      <w:rFonts w:ascii="Times New Roman" w:hAnsi="Times New Roman" w:eastAsia="宋体" w:cs="Times New Roman"/>
                      <w:color w:val="auto"/>
                      <w:kern w:val="2"/>
                      <w:sz w:val="21"/>
                      <w:szCs w:val="21"/>
                      <w:highlight w:val="none"/>
                    </w:rPr>
                    <w:t>3</w:t>
                  </w:r>
                </w:p>
              </w:tc>
              <w:tc>
                <w:tcPr>
                  <w:tcW w:w="516" w:type="pct"/>
                  <w:noWrap w:val="0"/>
                  <w:vAlign w:val="center"/>
                </w:tcPr>
                <w:p>
                  <w:pPr>
                    <w:keepNext w:val="0"/>
                    <w:keepLines w:val="0"/>
                    <w:pageBreakBefore w:val="0"/>
                    <w:widowControl w:val="0"/>
                    <w:kinsoku/>
                    <w:wordWrap/>
                    <w:overflowPunct/>
                    <w:topLinePunct/>
                    <w:autoSpaceDE/>
                    <w:autoSpaceDN/>
                    <w:bidi w:val="0"/>
                    <w:adjustRightInd/>
                    <w:snapToGrid w:val="0"/>
                    <w:spacing w:after="0"/>
                    <w:jc w:val="center"/>
                    <w:textAlignment w:val="auto"/>
                    <w:rPr>
                      <w:rFonts w:ascii="Times New Roman" w:hAnsi="Times New Roman" w:eastAsia="宋体" w:cs="Times New Roman"/>
                      <w:color w:val="auto"/>
                      <w:kern w:val="2"/>
                      <w:sz w:val="21"/>
                      <w:szCs w:val="21"/>
                      <w:highlight w:val="none"/>
                    </w:rPr>
                  </w:pPr>
                  <w:r>
                    <w:rPr>
                      <w:rFonts w:ascii="Times New Roman" w:hAnsi="Times New Roman" w:eastAsia="宋体" w:cs="Times New Roman"/>
                      <w:color w:val="auto"/>
                      <w:kern w:val="2"/>
                      <w:sz w:val="21"/>
                      <w:szCs w:val="21"/>
                      <w:highlight w:val="none"/>
                    </w:rPr>
                    <w:t>废气处理设施故障</w:t>
                  </w:r>
                </w:p>
              </w:tc>
              <w:tc>
                <w:tcPr>
                  <w:tcW w:w="856" w:type="pct"/>
                  <w:noWrap w:val="0"/>
                  <w:vAlign w:val="center"/>
                </w:tcPr>
                <w:p>
                  <w:pPr>
                    <w:keepNext w:val="0"/>
                    <w:keepLines w:val="0"/>
                    <w:pageBreakBefore w:val="0"/>
                    <w:widowControl w:val="0"/>
                    <w:kinsoku/>
                    <w:wordWrap/>
                    <w:overflowPunct/>
                    <w:topLinePunct/>
                    <w:autoSpaceDE/>
                    <w:autoSpaceDN/>
                    <w:bidi w:val="0"/>
                    <w:adjustRightInd/>
                    <w:snapToGrid w:val="0"/>
                    <w:spacing w:after="0"/>
                    <w:jc w:val="center"/>
                    <w:textAlignment w:val="auto"/>
                    <w:rPr>
                      <w:rFonts w:ascii="Times New Roman" w:hAnsi="Times New Roman" w:eastAsia="宋体" w:cs="Times New Roman"/>
                      <w:color w:val="auto"/>
                      <w:kern w:val="2"/>
                      <w:sz w:val="21"/>
                      <w:szCs w:val="21"/>
                      <w:highlight w:val="none"/>
                    </w:rPr>
                  </w:pPr>
                  <w:r>
                    <w:rPr>
                      <w:rFonts w:ascii="Times New Roman" w:hAnsi="Times New Roman" w:eastAsia="宋体" w:cs="Times New Roman"/>
                      <w:color w:val="auto"/>
                      <w:kern w:val="2"/>
                      <w:sz w:val="21"/>
                      <w:szCs w:val="21"/>
                      <w:highlight w:val="none"/>
                    </w:rPr>
                    <w:t>产生的废气超标排放</w:t>
                  </w:r>
                </w:p>
              </w:tc>
              <w:tc>
                <w:tcPr>
                  <w:tcW w:w="476" w:type="pct"/>
                  <w:noWrap w:val="0"/>
                  <w:vAlign w:val="center"/>
                </w:tcPr>
                <w:p>
                  <w:pPr>
                    <w:keepNext w:val="0"/>
                    <w:keepLines w:val="0"/>
                    <w:pageBreakBefore w:val="0"/>
                    <w:widowControl w:val="0"/>
                    <w:kinsoku/>
                    <w:wordWrap/>
                    <w:overflowPunct/>
                    <w:topLinePunct/>
                    <w:autoSpaceDE/>
                    <w:autoSpaceDN/>
                    <w:bidi w:val="0"/>
                    <w:adjustRightInd/>
                    <w:snapToGrid w:val="0"/>
                    <w:spacing w:after="0"/>
                    <w:jc w:val="center"/>
                    <w:textAlignment w:val="auto"/>
                    <w:rPr>
                      <w:rFonts w:ascii="Times New Roman" w:hAnsi="Times New Roman" w:eastAsia="宋体" w:cs="Times New Roman"/>
                      <w:color w:val="auto"/>
                      <w:kern w:val="2"/>
                      <w:sz w:val="21"/>
                      <w:szCs w:val="21"/>
                      <w:highlight w:val="none"/>
                    </w:rPr>
                  </w:pPr>
                  <w:r>
                    <w:rPr>
                      <w:rFonts w:ascii="Times New Roman" w:hAnsi="Times New Roman" w:eastAsia="宋体" w:cs="Times New Roman"/>
                      <w:color w:val="auto"/>
                      <w:kern w:val="2"/>
                      <w:sz w:val="21"/>
                      <w:szCs w:val="21"/>
                      <w:highlight w:val="none"/>
                    </w:rPr>
                    <w:t xml:space="preserve">二级活性炭装置 </w:t>
                  </w:r>
                </w:p>
              </w:tc>
              <w:tc>
                <w:tcPr>
                  <w:tcW w:w="2880" w:type="pct"/>
                  <w:noWrap w:val="0"/>
                  <w:vAlign w:val="center"/>
                </w:tcPr>
                <w:p>
                  <w:pPr>
                    <w:keepNext w:val="0"/>
                    <w:keepLines w:val="0"/>
                    <w:pageBreakBefore w:val="0"/>
                    <w:widowControl w:val="0"/>
                    <w:kinsoku/>
                    <w:wordWrap/>
                    <w:overflowPunct/>
                    <w:topLinePunct/>
                    <w:autoSpaceDE/>
                    <w:autoSpaceDN/>
                    <w:bidi w:val="0"/>
                    <w:adjustRightInd/>
                    <w:snapToGrid w:val="0"/>
                    <w:spacing w:after="0"/>
                    <w:jc w:val="both"/>
                    <w:textAlignment w:val="auto"/>
                    <w:rPr>
                      <w:rFonts w:ascii="Times New Roman" w:hAnsi="Times New Roman" w:eastAsia="宋体" w:cs="Times New Roman"/>
                      <w:color w:val="auto"/>
                      <w:kern w:val="2"/>
                      <w:sz w:val="21"/>
                      <w:szCs w:val="21"/>
                      <w:highlight w:val="none"/>
                    </w:rPr>
                  </w:pPr>
                  <w:r>
                    <w:rPr>
                      <w:rFonts w:ascii="Times New Roman" w:hAnsi="Times New Roman" w:eastAsia="宋体" w:cs="Times New Roman"/>
                      <w:color w:val="auto"/>
                      <w:kern w:val="2"/>
                      <w:sz w:val="21"/>
                      <w:szCs w:val="21"/>
                      <w:highlight w:val="none"/>
                    </w:rPr>
                    <w:t>大气：废气处理设施部分出现故障，生产过程中产生的废气不能及时处理直接排放到大气中；地表水、地下水：对地表水、地下水环境影响较小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69" w:type="pct"/>
                  <w:noWrap w:val="0"/>
                  <w:vAlign w:val="center"/>
                </w:tcPr>
                <w:p>
                  <w:pPr>
                    <w:keepNext w:val="0"/>
                    <w:keepLines w:val="0"/>
                    <w:pageBreakBefore w:val="0"/>
                    <w:widowControl w:val="0"/>
                    <w:kinsoku/>
                    <w:wordWrap/>
                    <w:overflowPunct/>
                    <w:topLinePunct/>
                    <w:autoSpaceDE/>
                    <w:autoSpaceDN/>
                    <w:bidi w:val="0"/>
                    <w:adjustRightInd/>
                    <w:snapToGrid w:val="0"/>
                    <w:spacing w:after="0"/>
                    <w:jc w:val="center"/>
                    <w:textAlignment w:val="auto"/>
                    <w:rPr>
                      <w:rFonts w:hint="eastAsia"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4</w:t>
                  </w:r>
                </w:p>
              </w:tc>
              <w:tc>
                <w:tcPr>
                  <w:tcW w:w="516" w:type="pct"/>
                  <w:noWrap w:val="0"/>
                  <w:vAlign w:val="center"/>
                </w:tcPr>
                <w:p>
                  <w:pPr>
                    <w:keepNext w:val="0"/>
                    <w:keepLines w:val="0"/>
                    <w:pageBreakBefore w:val="0"/>
                    <w:widowControl w:val="0"/>
                    <w:kinsoku/>
                    <w:wordWrap/>
                    <w:overflowPunct/>
                    <w:topLinePunct/>
                    <w:autoSpaceDE/>
                    <w:autoSpaceDN/>
                    <w:bidi w:val="0"/>
                    <w:adjustRightInd/>
                    <w:snapToGrid w:val="0"/>
                    <w:spacing w:after="0"/>
                    <w:jc w:val="center"/>
                    <w:textAlignment w:val="auto"/>
                    <w:rPr>
                      <w:rFonts w:ascii="Times New Roman" w:hAnsi="Times New Roman" w:eastAsia="宋体" w:cs="Times New Roman"/>
                      <w:color w:val="auto"/>
                      <w:kern w:val="2"/>
                      <w:sz w:val="21"/>
                      <w:szCs w:val="21"/>
                      <w:highlight w:val="none"/>
                    </w:rPr>
                  </w:pPr>
                  <w:r>
                    <w:rPr>
                      <w:rFonts w:ascii="Times New Roman" w:hAnsi="Times New Roman" w:eastAsia="宋体" w:cs="Times New Roman"/>
                      <w:color w:val="auto"/>
                      <w:kern w:val="2"/>
                      <w:sz w:val="21"/>
                      <w:szCs w:val="21"/>
                      <w:highlight w:val="none"/>
                    </w:rPr>
                    <w:t>火灾</w:t>
                  </w:r>
                </w:p>
              </w:tc>
              <w:tc>
                <w:tcPr>
                  <w:tcW w:w="856" w:type="pct"/>
                  <w:noWrap w:val="0"/>
                  <w:vAlign w:val="center"/>
                </w:tcPr>
                <w:p>
                  <w:pPr>
                    <w:keepNext w:val="0"/>
                    <w:keepLines w:val="0"/>
                    <w:pageBreakBefore w:val="0"/>
                    <w:widowControl w:val="0"/>
                    <w:kinsoku/>
                    <w:wordWrap/>
                    <w:overflowPunct/>
                    <w:topLinePunct/>
                    <w:autoSpaceDE/>
                    <w:autoSpaceDN/>
                    <w:bidi w:val="0"/>
                    <w:adjustRightInd/>
                    <w:snapToGrid w:val="0"/>
                    <w:spacing w:after="0"/>
                    <w:jc w:val="center"/>
                    <w:textAlignment w:val="auto"/>
                    <w:rPr>
                      <w:rFonts w:ascii="Times New Roman" w:hAnsi="Times New Roman" w:eastAsia="宋体" w:cs="Times New Roman"/>
                      <w:color w:val="auto"/>
                      <w:kern w:val="2"/>
                      <w:sz w:val="21"/>
                      <w:szCs w:val="21"/>
                      <w:highlight w:val="none"/>
                    </w:rPr>
                  </w:pPr>
                  <w:r>
                    <w:rPr>
                      <w:rFonts w:ascii="Times New Roman" w:hAnsi="Times New Roman" w:eastAsia="宋体" w:cs="Times New Roman"/>
                      <w:color w:val="auto"/>
                      <w:kern w:val="2"/>
                      <w:sz w:val="21"/>
                      <w:szCs w:val="21"/>
                      <w:highlight w:val="none"/>
                    </w:rPr>
                    <w:t>燃烧烟尘及污染物污染周围大气 环境</w:t>
                  </w:r>
                </w:p>
              </w:tc>
              <w:tc>
                <w:tcPr>
                  <w:tcW w:w="476" w:type="pct"/>
                  <w:noWrap w:val="0"/>
                  <w:vAlign w:val="center"/>
                </w:tcPr>
                <w:p>
                  <w:pPr>
                    <w:keepNext w:val="0"/>
                    <w:keepLines w:val="0"/>
                    <w:pageBreakBefore w:val="0"/>
                    <w:widowControl w:val="0"/>
                    <w:kinsoku/>
                    <w:wordWrap/>
                    <w:overflowPunct/>
                    <w:topLinePunct/>
                    <w:autoSpaceDE/>
                    <w:autoSpaceDN/>
                    <w:bidi w:val="0"/>
                    <w:adjustRightInd/>
                    <w:snapToGrid w:val="0"/>
                    <w:spacing w:after="0"/>
                    <w:jc w:val="center"/>
                    <w:textAlignment w:val="auto"/>
                    <w:rPr>
                      <w:rFonts w:ascii="Times New Roman" w:hAnsi="Times New Roman" w:eastAsia="宋体" w:cs="Times New Roman"/>
                      <w:color w:val="auto"/>
                      <w:kern w:val="2"/>
                      <w:sz w:val="21"/>
                      <w:szCs w:val="21"/>
                      <w:highlight w:val="none"/>
                    </w:rPr>
                  </w:pPr>
                  <w:r>
                    <w:rPr>
                      <w:rFonts w:ascii="Times New Roman" w:hAnsi="Times New Roman" w:eastAsia="宋体" w:cs="Times New Roman"/>
                      <w:color w:val="auto"/>
                      <w:kern w:val="2"/>
                      <w:sz w:val="21"/>
                      <w:szCs w:val="21"/>
                      <w:highlight w:val="none"/>
                    </w:rPr>
                    <w:t>生产车间</w:t>
                  </w:r>
                </w:p>
              </w:tc>
              <w:tc>
                <w:tcPr>
                  <w:tcW w:w="2880" w:type="pct"/>
                  <w:noWrap w:val="0"/>
                  <w:vAlign w:val="center"/>
                </w:tcPr>
                <w:p>
                  <w:pPr>
                    <w:keepNext w:val="0"/>
                    <w:keepLines w:val="0"/>
                    <w:pageBreakBefore w:val="0"/>
                    <w:widowControl w:val="0"/>
                    <w:kinsoku/>
                    <w:wordWrap/>
                    <w:overflowPunct/>
                    <w:topLinePunct/>
                    <w:autoSpaceDE/>
                    <w:autoSpaceDN/>
                    <w:bidi w:val="0"/>
                    <w:adjustRightInd/>
                    <w:snapToGrid w:val="0"/>
                    <w:spacing w:after="0"/>
                    <w:jc w:val="both"/>
                    <w:textAlignment w:val="auto"/>
                    <w:rPr>
                      <w:rFonts w:ascii="Times New Roman" w:hAnsi="Times New Roman" w:eastAsia="宋体" w:cs="Times New Roman"/>
                      <w:color w:val="auto"/>
                      <w:kern w:val="2"/>
                      <w:sz w:val="21"/>
                      <w:szCs w:val="21"/>
                      <w:highlight w:val="none"/>
                    </w:rPr>
                  </w:pPr>
                  <w:r>
                    <w:rPr>
                      <w:rFonts w:ascii="Times New Roman" w:hAnsi="Times New Roman" w:eastAsia="宋体" w:cs="Times New Roman"/>
                      <w:color w:val="auto"/>
                      <w:kern w:val="2"/>
                      <w:sz w:val="21"/>
                      <w:szCs w:val="21"/>
                      <w:highlight w:val="none"/>
                    </w:rPr>
                    <w:t>大气：可能发生火灾爆炸事故，产生大量烟尘、CO、SO</w:t>
                  </w:r>
                  <w:r>
                    <w:rPr>
                      <w:rFonts w:ascii="Times New Roman" w:hAnsi="Times New Roman" w:eastAsia="宋体" w:cs="Times New Roman"/>
                      <w:color w:val="auto"/>
                      <w:kern w:val="2"/>
                      <w:sz w:val="21"/>
                      <w:szCs w:val="21"/>
                      <w:highlight w:val="none"/>
                      <w:vertAlign w:val="subscript"/>
                    </w:rPr>
                    <w:t>2</w:t>
                  </w:r>
                  <w:r>
                    <w:rPr>
                      <w:rFonts w:ascii="Times New Roman" w:hAnsi="Times New Roman" w:eastAsia="宋体" w:cs="Times New Roman"/>
                      <w:color w:val="auto"/>
                      <w:kern w:val="2"/>
                      <w:sz w:val="21"/>
                      <w:szCs w:val="21"/>
                      <w:highlight w:val="none"/>
                    </w:rPr>
                    <w:t xml:space="preserve"> 等，扩散到大气中；地表水、地下水：对地表水、地下水环境影响较小</w:t>
                  </w:r>
                </w:p>
              </w:tc>
            </w:tr>
          </w:tbl>
          <w:p>
            <w:pPr>
              <w:widowControl/>
              <w:spacing w:before="120" w:beforeLines="50" w:line="360" w:lineRule="auto"/>
              <w:ind w:firstLine="422" w:firstLineChars="200"/>
              <w:rPr>
                <w:rFonts w:hint="eastAsia"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（3）风险防范措施</w:t>
            </w:r>
          </w:p>
          <w:p>
            <w:pPr>
              <w:widowControl/>
              <w:adjustRightInd w:val="0"/>
              <w:snapToGrid w:val="0"/>
              <w:spacing w:line="360" w:lineRule="auto"/>
              <w:ind w:firstLine="420" w:firstLineChars="200"/>
              <w:rPr>
                <w:rFonts w:ascii="Times New Roman" w:hAnsi="Times New Roman" w:cs="Times New Roman"/>
                <w:color w:val="auto"/>
                <w:kern w:val="0"/>
                <w:szCs w:val="21"/>
                <w:highlight w:val="none"/>
                <w:lang w:val="en-US" w:eastAsia="zh-CN"/>
              </w:rPr>
            </w:pPr>
            <w:r>
              <w:rPr>
                <w:rFonts w:ascii="Times New Roman" w:hAnsi="Times New Roman" w:cs="Times New Roman"/>
                <w:color w:val="auto"/>
                <w:kern w:val="0"/>
                <w:szCs w:val="21"/>
                <w:highlight w:val="none"/>
                <w:lang w:val="en-US" w:eastAsia="zh-CN"/>
              </w:rPr>
              <w:t>物质泄漏风险防范措施：</w:t>
            </w:r>
          </w:p>
          <w:p>
            <w:pPr>
              <w:widowControl/>
              <w:adjustRightInd w:val="0"/>
              <w:snapToGrid w:val="0"/>
              <w:spacing w:line="360" w:lineRule="auto"/>
              <w:ind w:firstLine="420" w:firstLineChars="200"/>
              <w:rPr>
                <w:rFonts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①</w:t>
            </w:r>
            <w:r>
              <w:rPr>
                <w:rFonts w:ascii="Times New Roman" w:hAnsi="Times New Roman" w:cs="Times New Roman"/>
                <w:color w:val="auto"/>
                <w:kern w:val="0"/>
                <w:szCs w:val="21"/>
                <w:highlight w:val="none"/>
                <w:lang w:val="en-US" w:eastAsia="zh-CN"/>
              </w:rPr>
              <w:t>根据应急要求，在生产车间、电房和仓库等风险单元配备应急设备，如灭火器、消防沙等；</w:t>
            </w:r>
          </w:p>
          <w:p>
            <w:pPr>
              <w:widowControl/>
              <w:adjustRightInd w:val="0"/>
              <w:snapToGrid w:val="0"/>
              <w:spacing w:line="360" w:lineRule="auto"/>
              <w:ind w:firstLine="420" w:firstLineChars="200"/>
              <w:rPr>
                <w:rFonts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②</w:t>
            </w:r>
            <w:r>
              <w:rPr>
                <w:rFonts w:ascii="Times New Roman" w:hAnsi="Times New Roman" w:cs="Times New Roman"/>
                <w:color w:val="auto"/>
                <w:kern w:val="0"/>
                <w:szCs w:val="21"/>
                <w:highlight w:val="none"/>
                <w:lang w:val="en-US" w:eastAsia="zh-CN"/>
              </w:rPr>
              <w:t>原辅料液体集中收集存放于原料房，定期检查存放情况。仓库应阴凉通风，设泄漏应急设备及收容材料等。当发生泄漏后，液体则用砂土或其它不燃性吸附剂混合吸收。</w:t>
            </w:r>
          </w:p>
          <w:p>
            <w:pPr>
              <w:widowControl/>
              <w:adjustRightInd w:val="0"/>
              <w:snapToGrid w:val="0"/>
              <w:spacing w:line="360" w:lineRule="auto"/>
              <w:ind w:firstLine="420" w:firstLineChars="200"/>
              <w:rPr>
                <w:rFonts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③</w:t>
            </w:r>
            <w:r>
              <w:rPr>
                <w:rFonts w:ascii="Times New Roman" w:hAnsi="Times New Roman" w:cs="Times New Roman"/>
                <w:color w:val="auto"/>
                <w:kern w:val="0"/>
                <w:szCs w:val="21"/>
                <w:highlight w:val="none"/>
                <w:lang w:val="en-US" w:eastAsia="zh-CN"/>
              </w:rPr>
              <w:t>危险废物按照规范设置专门收集容器和储存场所，储存场所采取地面硬化处理，存放场所设置围堰、防渗漏措施，危险废物委托有危险废物处理资质的单位处理；</w:t>
            </w:r>
          </w:p>
          <w:p>
            <w:pPr>
              <w:widowControl/>
              <w:adjustRightInd w:val="0"/>
              <w:snapToGrid w:val="0"/>
              <w:spacing w:line="360" w:lineRule="auto"/>
              <w:ind w:firstLine="422" w:firstLineChars="200"/>
              <w:rPr>
                <w:rFonts w:hint="eastAsia" w:ascii="Times New Roman" w:hAnsi="Times New Roman" w:cs="Times New Roman"/>
                <w:b/>
                <w:bCs/>
                <w:color w:val="auto"/>
                <w:kern w:val="0"/>
                <w:szCs w:val="21"/>
                <w:highlight w:val="none"/>
                <w:lang w:val="en-US" w:eastAsia="zh-CN"/>
              </w:rPr>
            </w:pPr>
            <w:r>
              <w:rPr>
                <w:rFonts w:hint="eastAsia" w:ascii="Times New Roman" w:hAnsi="Times New Roman" w:cs="Times New Roman"/>
                <w:b/>
                <w:bCs/>
                <w:color w:val="auto"/>
                <w:kern w:val="0"/>
                <w:szCs w:val="21"/>
                <w:highlight w:val="none"/>
                <w:lang w:val="en-US" w:eastAsia="zh-CN"/>
              </w:rPr>
              <w:t>废气处理装置故障风险防范措施包括：</w:t>
            </w:r>
          </w:p>
          <w:p>
            <w:pPr>
              <w:widowControl/>
              <w:adjustRightInd w:val="0"/>
              <w:snapToGrid w:val="0"/>
              <w:spacing w:line="360" w:lineRule="auto"/>
              <w:ind w:firstLine="420" w:firstLineChars="200"/>
              <w:rPr>
                <w:rFonts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①</w:t>
            </w:r>
            <w:r>
              <w:rPr>
                <w:rFonts w:ascii="Times New Roman" w:hAnsi="Times New Roman" w:cs="Times New Roman"/>
                <w:color w:val="auto"/>
                <w:kern w:val="0"/>
                <w:szCs w:val="21"/>
                <w:highlight w:val="none"/>
                <w:lang w:val="en-US" w:eastAsia="zh-CN"/>
              </w:rPr>
              <w:t>废气治理风险防范措施除加强操作人员工作素质外，主要在于对废气治理装置的日常运行维护，保证各废气处理系统处于良好的工作状态，最大程度减少废气治理风险事故发生的可能性。如发现人为原因不开启废气治理设施，责任人应受行政和经济处罚，并承担事故排放责任。若废气治理措施因故不能运行，则生产必须停止。</w:t>
            </w:r>
          </w:p>
          <w:p>
            <w:pPr>
              <w:widowControl/>
              <w:adjustRightInd w:val="0"/>
              <w:snapToGrid w:val="0"/>
              <w:spacing w:line="360" w:lineRule="auto"/>
              <w:ind w:firstLine="420" w:firstLineChars="200"/>
              <w:rPr>
                <w:rFonts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②</w:t>
            </w:r>
            <w:r>
              <w:rPr>
                <w:rFonts w:ascii="Times New Roman" w:hAnsi="Times New Roman" w:cs="Times New Roman"/>
                <w:color w:val="auto"/>
                <w:kern w:val="0"/>
                <w:szCs w:val="21"/>
                <w:highlight w:val="none"/>
                <w:lang w:val="en-US" w:eastAsia="zh-CN"/>
              </w:rPr>
              <w:t>为确保处理效率，在车间设备检修期间，废气处理设施也应同时进行检修，日常应有专人负责进行维护。</w:t>
            </w:r>
          </w:p>
          <w:p>
            <w:pPr>
              <w:widowControl/>
              <w:adjustRightInd w:val="0"/>
              <w:snapToGrid w:val="0"/>
              <w:spacing w:line="360" w:lineRule="auto"/>
              <w:ind w:firstLine="420" w:firstLineChars="200"/>
              <w:rPr>
                <w:rFonts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③</w:t>
            </w:r>
            <w:r>
              <w:rPr>
                <w:rFonts w:ascii="Times New Roman" w:hAnsi="Times New Roman" w:cs="Times New Roman"/>
                <w:color w:val="auto"/>
                <w:kern w:val="0"/>
                <w:szCs w:val="21"/>
                <w:highlight w:val="none"/>
                <w:lang w:val="en-US" w:eastAsia="zh-CN"/>
              </w:rPr>
              <w:t>加强车间通风，严格遵守安全操作规程和消防安全管理制度。</w:t>
            </w:r>
          </w:p>
          <w:p>
            <w:pPr>
              <w:widowControl/>
              <w:adjustRightInd w:val="0"/>
              <w:snapToGrid w:val="0"/>
              <w:spacing w:line="360" w:lineRule="auto"/>
              <w:ind w:firstLine="422" w:firstLineChars="200"/>
              <w:rPr>
                <w:rFonts w:hint="eastAsia" w:ascii="Times New Roman" w:hAnsi="Times New Roman" w:cs="Times New Roman"/>
                <w:b/>
                <w:bCs/>
                <w:color w:val="auto"/>
                <w:kern w:val="0"/>
                <w:szCs w:val="21"/>
                <w:highlight w:val="none"/>
                <w:lang w:val="en-US" w:eastAsia="zh-CN"/>
              </w:rPr>
            </w:pPr>
            <w:r>
              <w:rPr>
                <w:rFonts w:hint="eastAsia" w:ascii="Times New Roman" w:hAnsi="Times New Roman" w:cs="Times New Roman"/>
                <w:b/>
                <w:bCs/>
                <w:color w:val="auto"/>
                <w:kern w:val="0"/>
                <w:szCs w:val="21"/>
                <w:highlight w:val="none"/>
                <w:lang w:val="en-US" w:eastAsia="zh-CN"/>
              </w:rPr>
              <w:t>为了防止火灾事故等危险因素发生，建议采取以下措施：</w:t>
            </w:r>
          </w:p>
          <w:p>
            <w:pPr>
              <w:widowControl/>
              <w:adjustRightInd w:val="0"/>
              <w:snapToGrid w:val="0"/>
              <w:spacing w:line="360" w:lineRule="auto"/>
              <w:ind w:firstLine="420" w:firstLineChars="200"/>
              <w:rPr>
                <w:rFonts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①</w:t>
            </w:r>
            <w:r>
              <w:rPr>
                <w:rFonts w:ascii="Times New Roman" w:hAnsi="Times New Roman" w:cs="Times New Roman"/>
                <w:color w:val="auto"/>
                <w:kern w:val="0"/>
                <w:szCs w:val="21"/>
                <w:highlight w:val="none"/>
                <w:lang w:val="en-US" w:eastAsia="zh-CN"/>
              </w:rPr>
              <w:t xml:space="preserve">总平面布置根据功能分区布置，各构筑物均按火灾危险等级要求进行设计，生产车间及原料危险贮场等地面应根据需要做防腐防渗处理。 </w:t>
            </w:r>
          </w:p>
          <w:p>
            <w:pPr>
              <w:widowControl/>
              <w:adjustRightInd w:val="0"/>
              <w:snapToGrid w:val="0"/>
              <w:spacing w:line="360" w:lineRule="auto"/>
              <w:ind w:firstLine="420" w:firstLineChars="200"/>
              <w:rPr>
                <w:rFonts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②</w:t>
            </w:r>
            <w:r>
              <w:rPr>
                <w:rFonts w:ascii="Times New Roman" w:hAnsi="Times New Roman" w:cs="Times New Roman"/>
                <w:color w:val="auto"/>
                <w:kern w:val="0"/>
                <w:szCs w:val="21"/>
                <w:highlight w:val="none"/>
                <w:lang w:val="en-US" w:eastAsia="zh-CN"/>
              </w:rPr>
              <w:t xml:space="preserve">生产现场设置各种安全标志。 </w:t>
            </w:r>
          </w:p>
          <w:p>
            <w:pPr>
              <w:widowControl/>
              <w:adjustRightInd w:val="0"/>
              <w:snapToGrid w:val="0"/>
              <w:spacing w:line="360" w:lineRule="auto"/>
              <w:ind w:firstLine="420" w:firstLineChars="200"/>
              <w:rPr>
                <w:rFonts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③</w:t>
            </w:r>
            <w:r>
              <w:rPr>
                <w:rFonts w:ascii="Times New Roman" w:hAnsi="Times New Roman" w:cs="Times New Roman"/>
                <w:color w:val="auto"/>
                <w:kern w:val="0"/>
                <w:szCs w:val="21"/>
                <w:highlight w:val="none"/>
                <w:lang w:val="en-US" w:eastAsia="zh-CN"/>
              </w:rPr>
              <w:t xml:space="preserve">车间应禁止明火。 </w:t>
            </w:r>
          </w:p>
          <w:p>
            <w:pPr>
              <w:widowControl/>
              <w:adjustRightInd w:val="0"/>
              <w:snapToGrid w:val="0"/>
              <w:spacing w:line="360" w:lineRule="auto"/>
              <w:ind w:firstLine="420" w:firstLineChars="200"/>
              <w:rPr>
                <w:rFonts w:hint="eastAsia"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④</w:t>
            </w:r>
            <w:r>
              <w:rPr>
                <w:rFonts w:ascii="Times New Roman" w:hAnsi="Times New Roman" w:cs="Times New Roman"/>
                <w:color w:val="auto"/>
                <w:kern w:val="0"/>
                <w:szCs w:val="21"/>
                <w:highlight w:val="none"/>
                <w:lang w:val="en-US" w:eastAsia="zh-CN"/>
              </w:rPr>
              <w:t>做好人员培训工作，要求职工持证上岗，规范操作机械设备及流程。 本项目总图布置符合《建筑设计防火规范》（GB50016-2014)的有关规定。根据现场勘查结果，本项目生产车间切实做到通风、防晒、防火、防爆，并按照国家标准和国家有关规定进行维护、保养，保证符合安全运行要求。该项目设置了基本的消防及火灾报警系统。</w:t>
            </w:r>
          </w:p>
          <w:p>
            <w:pPr>
              <w:widowControl/>
              <w:adjustRightInd w:val="0"/>
              <w:snapToGrid w:val="0"/>
              <w:spacing w:line="360" w:lineRule="auto"/>
              <w:ind w:firstLine="422" w:firstLineChars="200"/>
              <w:rPr>
                <w:rFonts w:hint="eastAsia" w:ascii="Times New Roman" w:hAnsi="Times New Roman" w:cs="Times New Roman"/>
                <w:b/>
                <w:bCs/>
                <w:color w:val="auto"/>
                <w:kern w:val="0"/>
                <w:szCs w:val="21"/>
                <w:highlight w:val="none"/>
                <w:lang w:val="en-US" w:eastAsia="zh-CN"/>
              </w:rPr>
            </w:pPr>
            <w:r>
              <w:rPr>
                <w:rFonts w:hint="eastAsia" w:ascii="Times New Roman" w:hAnsi="Times New Roman" w:cs="Times New Roman"/>
                <w:b/>
                <w:bCs/>
                <w:color w:val="auto"/>
                <w:kern w:val="0"/>
                <w:szCs w:val="21"/>
                <w:highlight w:val="none"/>
                <w:lang w:val="en-US" w:eastAsia="zh-CN"/>
              </w:rPr>
              <w:t>水环境风险防范措施：</w:t>
            </w:r>
          </w:p>
          <w:p>
            <w:pPr>
              <w:widowControl/>
              <w:adjustRightInd w:val="0"/>
              <w:snapToGrid w:val="0"/>
              <w:spacing w:line="360" w:lineRule="auto"/>
              <w:ind w:firstLine="420" w:firstLineChars="200"/>
              <w:rPr>
                <w:rFonts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仓库必须防腐、防渗；危险废物暂存间的地面采用粘土铺地，再在上层铺设10-15cm的水泥进行硬化，并铺设环氧树脂防渗；通过上述措施可使重点污染区防渗层渗透系数≤10 -10cm/s，防止污染地下水。</w:t>
            </w:r>
          </w:p>
          <w:p>
            <w:pPr>
              <w:widowControl/>
              <w:adjustRightInd w:val="0"/>
              <w:snapToGrid w:val="0"/>
              <w:spacing w:line="360" w:lineRule="auto"/>
              <w:ind w:firstLine="422" w:firstLineChars="200"/>
              <w:rPr>
                <w:rFonts w:hint="eastAsia" w:ascii="Times New Roman" w:hAnsi="Times New Roman" w:cs="Times New Roman"/>
                <w:b/>
                <w:bCs/>
                <w:color w:val="auto"/>
                <w:kern w:val="0"/>
                <w:szCs w:val="21"/>
                <w:highlight w:val="none"/>
                <w:lang w:val="en-US" w:eastAsia="zh-CN"/>
              </w:rPr>
            </w:pPr>
            <w:r>
              <w:rPr>
                <w:rFonts w:hint="eastAsia" w:ascii="Times New Roman" w:hAnsi="Times New Roman" w:cs="Times New Roman"/>
                <w:b/>
                <w:bCs/>
                <w:color w:val="auto"/>
                <w:kern w:val="0"/>
                <w:szCs w:val="21"/>
                <w:highlight w:val="none"/>
                <w:lang w:val="en-US" w:eastAsia="zh-CN"/>
              </w:rPr>
              <w:t>大气环境风险防范措施：</w:t>
            </w:r>
          </w:p>
          <w:p>
            <w:pPr>
              <w:widowControl/>
              <w:adjustRightInd w:val="0"/>
              <w:snapToGrid w:val="0"/>
              <w:spacing w:line="360" w:lineRule="auto"/>
              <w:ind w:firstLine="420" w:firstLineChars="200"/>
              <w:rPr>
                <w:rFonts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（1）定期对废气处理设施进行检测和维修，以降低因设备故障造成的事故排放。</w:t>
            </w:r>
          </w:p>
          <w:p>
            <w:pPr>
              <w:widowControl/>
              <w:adjustRightInd w:val="0"/>
              <w:snapToGrid w:val="0"/>
              <w:spacing w:line="360" w:lineRule="auto"/>
              <w:ind w:firstLine="420" w:firstLineChars="200"/>
              <w:rPr>
                <w:rFonts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（2）建立各废气处理设施操作规范及安全操作指引，并由应急指挥部定期组织培训及操作考核。</w:t>
            </w:r>
          </w:p>
          <w:p>
            <w:pPr>
              <w:widowControl/>
              <w:adjustRightInd w:val="0"/>
              <w:snapToGrid w:val="0"/>
              <w:spacing w:line="360" w:lineRule="auto"/>
              <w:ind w:firstLine="420" w:firstLineChars="200"/>
              <w:rPr>
                <w:rFonts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（3）在发生泄露事故时，应及时组织人群转移，以减少对人群的伤害。</w:t>
            </w:r>
          </w:p>
          <w:p>
            <w:pPr>
              <w:widowControl/>
              <w:adjustRightInd w:val="0"/>
              <w:snapToGrid w:val="0"/>
              <w:spacing w:line="360" w:lineRule="auto"/>
              <w:ind w:firstLine="422" w:firstLineChars="200"/>
              <w:rPr>
                <w:rFonts w:hint="eastAsia" w:ascii="Times New Roman" w:hAnsi="Times New Roman" w:cs="Times New Roman"/>
                <w:b/>
                <w:bCs/>
                <w:color w:val="auto"/>
                <w:kern w:val="0"/>
                <w:szCs w:val="21"/>
                <w:highlight w:val="none"/>
                <w:lang w:val="en-US" w:eastAsia="zh-CN"/>
              </w:rPr>
            </w:pPr>
            <w:r>
              <w:rPr>
                <w:rFonts w:hint="eastAsia" w:ascii="Times New Roman" w:hAnsi="Times New Roman" w:cs="Times New Roman"/>
                <w:b/>
                <w:bCs/>
                <w:color w:val="auto"/>
                <w:kern w:val="0"/>
                <w:szCs w:val="21"/>
                <w:highlight w:val="none"/>
                <w:lang w:val="en-US" w:eastAsia="zh-CN"/>
              </w:rPr>
              <w:t>事故预防管理措施：</w:t>
            </w:r>
          </w:p>
          <w:p>
            <w:pPr>
              <w:widowControl/>
              <w:adjustRightInd w:val="0"/>
              <w:snapToGrid w:val="0"/>
              <w:spacing w:line="360" w:lineRule="auto"/>
              <w:ind w:firstLine="420" w:firstLineChars="200"/>
              <w:rPr>
                <w:bCs/>
                <w:color w:val="auto"/>
                <w:spacing w:val="-10"/>
                <w:szCs w:val="21"/>
                <w:highlight w:val="none"/>
              </w:rPr>
            </w:pPr>
            <w:r>
              <w:rPr>
                <w:rFonts w:hint="eastAsia" w:ascii="Times New Roman" w:hAnsi="Times New Roman" w:cs="Times New Roman"/>
                <w:color w:val="auto"/>
                <w:kern w:val="0"/>
                <w:szCs w:val="21"/>
                <w:highlight w:val="none"/>
                <w:lang w:val="en-US" w:eastAsia="zh-CN"/>
              </w:rPr>
              <w:t>编制突发环境应急预案，并按照预案内容配备相关应急物质并做好相关的演练工作。</w:t>
            </w:r>
          </w:p>
        </w:tc>
      </w:tr>
    </w:tbl>
    <w:p>
      <w:pPr>
        <w:adjustRightInd w:val="0"/>
        <w:snapToGrid w:val="0"/>
        <w:jc w:val="center"/>
        <w:rPr>
          <w:rFonts w:ascii="宋体" w:hAnsi="宋体" w:cs="宋体"/>
          <w:bCs/>
          <w:color w:val="auto"/>
          <w:szCs w:val="21"/>
        </w:rPr>
        <w:sectPr>
          <w:pgSz w:w="11907" w:h="16840"/>
          <w:pgMar w:top="1701" w:right="1531" w:bottom="2127" w:left="1531" w:header="851" w:footer="851" w:gutter="0"/>
          <w:cols w:space="720" w:num="1"/>
          <w:docGrid w:linePitch="312" w:charSpace="0"/>
        </w:sectPr>
      </w:pPr>
    </w:p>
    <w:p>
      <w:pPr>
        <w:pStyle w:val="33"/>
        <w:numPr>
          <w:ilvl w:val="0"/>
          <w:numId w:val="7"/>
        </w:numPr>
        <w:jc w:val="center"/>
        <w:outlineLvl w:val="0"/>
        <w:rPr>
          <w:rFonts w:cs="宋体"/>
          <w:snapToGrid w:val="0"/>
          <w:color w:val="auto"/>
          <w:sz w:val="30"/>
          <w:szCs w:val="30"/>
        </w:rPr>
      </w:pPr>
      <w:bookmarkStart w:id="2" w:name="_Hlk54167917"/>
      <w:r>
        <w:rPr>
          <w:rFonts w:hint="eastAsia" w:cs="宋体"/>
          <w:snapToGrid w:val="0"/>
          <w:color w:val="auto"/>
          <w:sz w:val="30"/>
          <w:szCs w:val="30"/>
        </w:rPr>
        <w:t>环境保护措施监督检查清单</w:t>
      </w:r>
      <w:bookmarkEnd w:id="2"/>
    </w:p>
    <w:tbl>
      <w:tblPr>
        <w:tblStyle w:val="35"/>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1680"/>
        <w:gridCol w:w="1111"/>
        <w:gridCol w:w="1535"/>
        <w:gridCol w:w="320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842" w:type="pct"/>
            <w:tcBorders>
              <w:tl2br w:val="single" w:color="auto" w:sz="4" w:space="0"/>
            </w:tcBorders>
          </w:tcPr>
          <w:p>
            <w:pPr>
              <w:adjustRightInd w:val="0"/>
              <w:snapToGrid w:val="0"/>
              <w:ind w:firstLine="840"/>
              <w:rPr>
                <w:rFonts w:cs="宋体"/>
                <w:color w:val="auto"/>
                <w:sz w:val="21"/>
                <w:szCs w:val="21"/>
              </w:rPr>
            </w:pPr>
            <w:r>
              <w:rPr>
                <w:rFonts w:hint="eastAsia" w:cs="宋体"/>
                <w:color w:val="auto"/>
                <w:sz w:val="21"/>
                <w:szCs w:val="21"/>
              </w:rPr>
              <w:t>内容</w:t>
            </w:r>
          </w:p>
          <w:p>
            <w:pPr>
              <w:adjustRightInd w:val="0"/>
              <w:snapToGrid w:val="0"/>
              <w:rPr>
                <w:rFonts w:cs="宋体"/>
                <w:color w:val="auto"/>
                <w:sz w:val="21"/>
                <w:szCs w:val="21"/>
              </w:rPr>
            </w:pPr>
            <w:r>
              <w:rPr>
                <w:rFonts w:hint="eastAsia" w:cs="宋体"/>
                <w:color w:val="auto"/>
                <w:sz w:val="21"/>
                <w:szCs w:val="21"/>
              </w:rPr>
              <w:t>要素</w:t>
            </w:r>
          </w:p>
        </w:tc>
        <w:tc>
          <w:tcPr>
            <w:tcW w:w="927" w:type="pct"/>
            <w:vAlign w:val="center"/>
          </w:tcPr>
          <w:p>
            <w:pPr>
              <w:adjustRightInd w:val="0"/>
              <w:snapToGrid w:val="0"/>
              <w:jc w:val="center"/>
              <w:rPr>
                <w:rFonts w:cs="宋体"/>
                <w:color w:val="auto"/>
                <w:sz w:val="21"/>
                <w:szCs w:val="21"/>
              </w:rPr>
            </w:pPr>
            <w:r>
              <w:rPr>
                <w:rFonts w:hint="eastAsia" w:cs="宋体"/>
                <w:color w:val="auto"/>
                <w:sz w:val="21"/>
                <w:szCs w:val="21"/>
              </w:rPr>
              <w:t>排放口(编号、名称)/污染源</w:t>
            </w:r>
          </w:p>
        </w:tc>
        <w:tc>
          <w:tcPr>
            <w:tcW w:w="613" w:type="pct"/>
            <w:vAlign w:val="center"/>
          </w:tcPr>
          <w:p>
            <w:pPr>
              <w:adjustRightInd w:val="0"/>
              <w:snapToGrid w:val="0"/>
              <w:jc w:val="center"/>
              <w:rPr>
                <w:rFonts w:cs="宋体"/>
                <w:color w:val="auto"/>
                <w:sz w:val="21"/>
                <w:szCs w:val="21"/>
              </w:rPr>
            </w:pPr>
            <w:r>
              <w:rPr>
                <w:rFonts w:hint="eastAsia" w:cs="宋体"/>
                <w:color w:val="auto"/>
                <w:sz w:val="21"/>
                <w:szCs w:val="21"/>
              </w:rPr>
              <w:t>污染物项目</w:t>
            </w:r>
          </w:p>
        </w:tc>
        <w:tc>
          <w:tcPr>
            <w:tcW w:w="847" w:type="pct"/>
            <w:vAlign w:val="center"/>
          </w:tcPr>
          <w:p>
            <w:pPr>
              <w:adjustRightInd w:val="0"/>
              <w:snapToGrid w:val="0"/>
              <w:jc w:val="center"/>
              <w:rPr>
                <w:rFonts w:cs="宋体"/>
                <w:color w:val="auto"/>
                <w:sz w:val="21"/>
                <w:szCs w:val="21"/>
              </w:rPr>
            </w:pPr>
            <w:r>
              <w:rPr>
                <w:rFonts w:hint="eastAsia" w:cs="宋体"/>
                <w:color w:val="auto"/>
                <w:sz w:val="21"/>
                <w:szCs w:val="21"/>
              </w:rPr>
              <w:t>环境保护措施</w:t>
            </w:r>
          </w:p>
        </w:tc>
        <w:tc>
          <w:tcPr>
            <w:tcW w:w="1770" w:type="pct"/>
            <w:vAlign w:val="center"/>
          </w:tcPr>
          <w:p>
            <w:pPr>
              <w:adjustRightInd w:val="0"/>
              <w:snapToGrid w:val="0"/>
              <w:jc w:val="center"/>
              <w:rPr>
                <w:rFonts w:cs="宋体"/>
                <w:color w:val="auto"/>
                <w:sz w:val="21"/>
                <w:szCs w:val="21"/>
              </w:rPr>
            </w:pPr>
            <w:r>
              <w:rPr>
                <w:rFonts w:hint="eastAsia" w:cs="宋体"/>
                <w:color w:val="auto"/>
                <w:sz w:val="21"/>
                <w:szCs w:val="21"/>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42" w:type="pct"/>
            <w:vMerge w:val="restart"/>
            <w:vAlign w:val="center"/>
          </w:tcPr>
          <w:p>
            <w:pPr>
              <w:adjustRightInd w:val="0"/>
              <w:snapToGrid w:val="0"/>
              <w:jc w:val="center"/>
              <w:rPr>
                <w:rFonts w:cs="宋体"/>
                <w:color w:val="auto"/>
                <w:sz w:val="21"/>
                <w:szCs w:val="21"/>
              </w:rPr>
            </w:pPr>
            <w:r>
              <w:rPr>
                <w:rFonts w:hint="eastAsia" w:cs="宋体"/>
                <w:color w:val="auto"/>
                <w:sz w:val="21"/>
                <w:szCs w:val="21"/>
              </w:rPr>
              <w:t>大气环境</w:t>
            </w:r>
          </w:p>
        </w:tc>
        <w:tc>
          <w:tcPr>
            <w:tcW w:w="927" w:type="pct"/>
            <w:vAlign w:val="center"/>
          </w:tcPr>
          <w:p>
            <w:pPr>
              <w:adjustRightInd w:val="0"/>
              <w:snapToGrid w:val="0"/>
              <w:jc w:val="center"/>
              <w:rPr>
                <w:rFonts w:cs="宋体"/>
                <w:color w:val="auto"/>
                <w:sz w:val="21"/>
                <w:szCs w:val="21"/>
              </w:rPr>
            </w:pPr>
            <w:r>
              <w:rPr>
                <w:rFonts w:cs="宋体"/>
                <w:color w:val="auto"/>
                <w:sz w:val="21"/>
                <w:szCs w:val="21"/>
              </w:rPr>
              <w:t>DA001</w:t>
            </w:r>
            <w:r>
              <w:rPr>
                <w:rFonts w:hint="eastAsia" w:cs="宋体"/>
                <w:color w:val="auto"/>
                <w:sz w:val="21"/>
                <w:szCs w:val="21"/>
              </w:rPr>
              <w:t>投料、混合搅拌废气排放口</w:t>
            </w:r>
          </w:p>
        </w:tc>
        <w:tc>
          <w:tcPr>
            <w:tcW w:w="613" w:type="pct"/>
            <w:vAlign w:val="center"/>
          </w:tcPr>
          <w:p>
            <w:pPr>
              <w:adjustRightInd w:val="0"/>
              <w:snapToGrid w:val="0"/>
              <w:jc w:val="center"/>
              <w:rPr>
                <w:rFonts w:cs="宋体"/>
                <w:color w:val="auto"/>
                <w:sz w:val="21"/>
                <w:szCs w:val="21"/>
              </w:rPr>
            </w:pPr>
            <w:r>
              <w:rPr>
                <w:rFonts w:hint="eastAsia" w:cs="宋体"/>
                <w:color w:val="auto"/>
                <w:sz w:val="21"/>
                <w:szCs w:val="21"/>
              </w:rPr>
              <w:t>颗粒物、非甲烷总烃</w:t>
            </w:r>
          </w:p>
        </w:tc>
        <w:tc>
          <w:tcPr>
            <w:tcW w:w="847" w:type="pct"/>
            <w:vAlign w:val="center"/>
          </w:tcPr>
          <w:p>
            <w:pPr>
              <w:adjustRightInd w:val="0"/>
              <w:snapToGrid w:val="0"/>
              <w:jc w:val="center"/>
              <w:rPr>
                <w:rFonts w:cs="宋体"/>
                <w:color w:val="auto"/>
                <w:sz w:val="21"/>
                <w:szCs w:val="21"/>
              </w:rPr>
            </w:pPr>
            <w:r>
              <w:rPr>
                <w:rFonts w:hint="eastAsia"/>
                <w:color w:val="auto"/>
                <w:sz w:val="21"/>
                <w:szCs w:val="21"/>
              </w:rPr>
              <w:t>布袋除</w:t>
            </w:r>
            <w:r>
              <w:rPr>
                <w:color w:val="auto"/>
                <w:sz w:val="21"/>
                <w:szCs w:val="21"/>
              </w:rPr>
              <w:t>尘器+</w:t>
            </w:r>
            <w:r>
              <w:rPr>
                <w:rFonts w:hint="eastAsia"/>
                <w:color w:val="auto"/>
                <w:sz w:val="21"/>
                <w:szCs w:val="21"/>
                <w:lang w:val="en-US" w:eastAsia="zh-CN"/>
              </w:rPr>
              <w:t>二</w:t>
            </w:r>
            <w:r>
              <w:rPr>
                <w:rFonts w:hint="eastAsia"/>
                <w:color w:val="auto"/>
                <w:sz w:val="21"/>
                <w:szCs w:val="21"/>
              </w:rPr>
              <w:t>级活性炭吸附装置</w:t>
            </w:r>
            <w:r>
              <w:rPr>
                <w:color w:val="auto"/>
                <w:sz w:val="21"/>
                <w:szCs w:val="21"/>
              </w:rPr>
              <w:t>15</w:t>
            </w:r>
            <w:r>
              <w:rPr>
                <w:rFonts w:hint="eastAsia"/>
                <w:color w:val="auto"/>
                <w:sz w:val="21"/>
                <w:szCs w:val="21"/>
              </w:rPr>
              <w:t>米</w:t>
            </w:r>
            <w:r>
              <w:rPr>
                <w:color w:val="auto"/>
                <w:sz w:val="21"/>
                <w:szCs w:val="21"/>
              </w:rPr>
              <w:t>高排气筒</w:t>
            </w:r>
          </w:p>
        </w:tc>
        <w:tc>
          <w:tcPr>
            <w:tcW w:w="1770" w:type="pct"/>
            <w:vAlign w:val="center"/>
          </w:tcPr>
          <w:p>
            <w:pPr>
              <w:widowControl/>
              <w:jc w:val="center"/>
              <w:rPr>
                <w:rFonts w:hint="eastAsia"/>
                <w:color w:val="FF0000"/>
                <w:sz w:val="21"/>
                <w:szCs w:val="21"/>
              </w:rPr>
            </w:pPr>
            <w:r>
              <w:rPr>
                <w:rFonts w:hint="eastAsia"/>
                <w:color w:val="FF0000"/>
                <w:sz w:val="21"/>
                <w:szCs w:val="21"/>
              </w:rPr>
              <w:t>《</w:t>
            </w:r>
            <w:r>
              <w:rPr>
                <w:rFonts w:hint="eastAsia"/>
                <w:color w:val="FF0000"/>
                <w:sz w:val="21"/>
                <w:szCs w:val="21"/>
                <w:lang w:val="en-US" w:eastAsia="zh-CN"/>
              </w:rPr>
              <w:t>橡胶制品</w:t>
            </w:r>
            <w:r>
              <w:rPr>
                <w:rFonts w:hint="eastAsia"/>
                <w:color w:val="FF0000"/>
                <w:sz w:val="21"/>
                <w:szCs w:val="21"/>
              </w:rPr>
              <w:t>工业污染物排放标准》（GB</w:t>
            </w:r>
            <w:r>
              <w:rPr>
                <w:rFonts w:hint="eastAsia"/>
                <w:color w:val="FF0000"/>
                <w:sz w:val="21"/>
                <w:szCs w:val="21"/>
                <w:lang w:val="en-US" w:eastAsia="zh-CN"/>
              </w:rPr>
              <w:t>27632</w:t>
            </w:r>
            <w:r>
              <w:rPr>
                <w:rFonts w:hint="eastAsia"/>
                <w:color w:val="FF0000"/>
                <w:sz w:val="21"/>
                <w:szCs w:val="21"/>
              </w:rPr>
              <w:t>-201</w:t>
            </w:r>
            <w:r>
              <w:rPr>
                <w:rFonts w:hint="eastAsia"/>
                <w:color w:val="FF0000"/>
                <w:sz w:val="21"/>
                <w:szCs w:val="21"/>
                <w:lang w:val="en-US" w:eastAsia="zh-CN"/>
              </w:rPr>
              <w:t>1</w:t>
            </w:r>
            <w:r>
              <w:rPr>
                <w:rFonts w:hint="eastAsia"/>
                <w:color w:val="FF0000"/>
                <w:sz w:val="21"/>
                <w:szCs w:val="21"/>
              </w:rPr>
              <w:t>）表5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42" w:type="pct"/>
            <w:vMerge w:val="continue"/>
            <w:vAlign w:val="center"/>
          </w:tcPr>
          <w:p>
            <w:pPr>
              <w:adjustRightInd w:val="0"/>
              <w:snapToGrid w:val="0"/>
              <w:jc w:val="center"/>
              <w:rPr>
                <w:rFonts w:cs="宋体"/>
                <w:color w:val="auto"/>
                <w:sz w:val="21"/>
                <w:szCs w:val="21"/>
              </w:rPr>
            </w:pPr>
          </w:p>
        </w:tc>
        <w:tc>
          <w:tcPr>
            <w:tcW w:w="927" w:type="pct"/>
            <w:vMerge w:val="restart"/>
            <w:vAlign w:val="center"/>
          </w:tcPr>
          <w:p>
            <w:pPr>
              <w:adjustRightInd w:val="0"/>
              <w:snapToGrid w:val="0"/>
              <w:jc w:val="center"/>
              <w:rPr>
                <w:rFonts w:cs="宋体"/>
                <w:color w:val="auto"/>
                <w:sz w:val="21"/>
                <w:szCs w:val="21"/>
              </w:rPr>
            </w:pPr>
            <w:r>
              <w:rPr>
                <w:rFonts w:hint="eastAsia" w:cs="宋体"/>
                <w:color w:val="auto"/>
                <w:sz w:val="21"/>
                <w:szCs w:val="21"/>
              </w:rPr>
              <w:t>厂界</w:t>
            </w:r>
          </w:p>
        </w:tc>
        <w:tc>
          <w:tcPr>
            <w:tcW w:w="613" w:type="pct"/>
            <w:vAlign w:val="center"/>
          </w:tcPr>
          <w:p>
            <w:pPr>
              <w:adjustRightInd w:val="0"/>
              <w:snapToGrid w:val="0"/>
              <w:jc w:val="center"/>
              <w:rPr>
                <w:rFonts w:cs="宋体"/>
                <w:color w:val="auto"/>
                <w:sz w:val="21"/>
                <w:szCs w:val="21"/>
              </w:rPr>
            </w:pPr>
            <w:r>
              <w:rPr>
                <w:rFonts w:hint="eastAsia" w:cs="宋体"/>
                <w:color w:val="auto"/>
                <w:sz w:val="21"/>
                <w:szCs w:val="21"/>
              </w:rPr>
              <w:t>颗粒物</w:t>
            </w:r>
          </w:p>
        </w:tc>
        <w:tc>
          <w:tcPr>
            <w:tcW w:w="847" w:type="pct"/>
            <w:vMerge w:val="restart"/>
            <w:vAlign w:val="center"/>
          </w:tcPr>
          <w:p>
            <w:pPr>
              <w:adjustRightInd w:val="0"/>
              <w:snapToGrid w:val="0"/>
              <w:jc w:val="center"/>
              <w:rPr>
                <w:color w:val="auto"/>
                <w:sz w:val="21"/>
                <w:szCs w:val="21"/>
              </w:rPr>
            </w:pPr>
            <w:r>
              <w:rPr>
                <w:rFonts w:hint="eastAsia" w:cs="宋体"/>
                <w:color w:val="auto"/>
                <w:sz w:val="21"/>
                <w:szCs w:val="21"/>
              </w:rPr>
              <w:t>加强</w:t>
            </w:r>
            <w:r>
              <w:rPr>
                <w:rFonts w:cs="宋体"/>
                <w:color w:val="auto"/>
                <w:sz w:val="21"/>
                <w:szCs w:val="21"/>
              </w:rPr>
              <w:t>车间密闭</w:t>
            </w:r>
          </w:p>
        </w:tc>
        <w:tc>
          <w:tcPr>
            <w:tcW w:w="1770" w:type="pct"/>
            <w:vMerge w:val="restart"/>
            <w:vAlign w:val="center"/>
          </w:tcPr>
          <w:p>
            <w:pPr>
              <w:widowControl/>
              <w:jc w:val="center"/>
              <w:rPr>
                <w:rFonts w:hint="eastAsia"/>
                <w:color w:val="FF0000"/>
                <w:sz w:val="21"/>
                <w:szCs w:val="21"/>
              </w:rPr>
            </w:pPr>
            <w:r>
              <w:rPr>
                <w:rFonts w:hint="eastAsia"/>
                <w:color w:val="FF0000"/>
                <w:sz w:val="21"/>
                <w:szCs w:val="21"/>
              </w:rPr>
              <w:t>《</w:t>
            </w:r>
            <w:r>
              <w:rPr>
                <w:rFonts w:hint="eastAsia"/>
                <w:color w:val="FF0000"/>
                <w:sz w:val="21"/>
                <w:szCs w:val="21"/>
                <w:lang w:val="en-US" w:eastAsia="zh-CN"/>
              </w:rPr>
              <w:t>橡胶制品</w:t>
            </w:r>
            <w:r>
              <w:rPr>
                <w:rFonts w:hint="eastAsia"/>
                <w:color w:val="FF0000"/>
                <w:sz w:val="21"/>
                <w:szCs w:val="21"/>
              </w:rPr>
              <w:t>工业污染物排放标准》（GB</w:t>
            </w:r>
            <w:r>
              <w:rPr>
                <w:rFonts w:hint="eastAsia"/>
                <w:color w:val="FF0000"/>
                <w:sz w:val="21"/>
                <w:szCs w:val="21"/>
                <w:lang w:val="en-US" w:eastAsia="zh-CN"/>
              </w:rPr>
              <w:t>27632</w:t>
            </w:r>
            <w:r>
              <w:rPr>
                <w:rFonts w:hint="eastAsia"/>
                <w:color w:val="FF0000"/>
                <w:sz w:val="21"/>
                <w:szCs w:val="21"/>
              </w:rPr>
              <w:t>-201</w:t>
            </w:r>
            <w:r>
              <w:rPr>
                <w:rFonts w:hint="eastAsia"/>
                <w:color w:val="FF0000"/>
                <w:sz w:val="21"/>
                <w:szCs w:val="21"/>
                <w:lang w:val="en-US" w:eastAsia="zh-CN"/>
              </w:rPr>
              <w:t>1</w:t>
            </w:r>
            <w:r>
              <w:rPr>
                <w:rFonts w:hint="eastAsia"/>
                <w:color w:val="FF0000"/>
                <w:sz w:val="21"/>
                <w:szCs w:val="21"/>
              </w:rPr>
              <w:t>）表</w:t>
            </w:r>
            <w:r>
              <w:rPr>
                <w:rFonts w:hint="eastAsia"/>
                <w:color w:val="FF0000"/>
                <w:sz w:val="21"/>
                <w:szCs w:val="21"/>
                <w:lang w:val="en-US" w:eastAsia="zh-CN"/>
              </w:rPr>
              <w:t>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42" w:type="pct"/>
            <w:vMerge w:val="continue"/>
            <w:vAlign w:val="center"/>
          </w:tcPr>
          <w:p>
            <w:pPr>
              <w:adjustRightInd w:val="0"/>
              <w:snapToGrid w:val="0"/>
              <w:jc w:val="center"/>
              <w:rPr>
                <w:rFonts w:cs="宋体"/>
                <w:color w:val="auto"/>
                <w:sz w:val="21"/>
                <w:szCs w:val="21"/>
              </w:rPr>
            </w:pPr>
          </w:p>
        </w:tc>
        <w:tc>
          <w:tcPr>
            <w:tcW w:w="927" w:type="pct"/>
            <w:vMerge w:val="continue"/>
            <w:vAlign w:val="center"/>
          </w:tcPr>
          <w:p>
            <w:pPr>
              <w:adjustRightInd w:val="0"/>
              <w:snapToGrid w:val="0"/>
              <w:jc w:val="center"/>
              <w:rPr>
                <w:rFonts w:cs="宋体"/>
                <w:color w:val="auto"/>
                <w:sz w:val="21"/>
                <w:szCs w:val="21"/>
              </w:rPr>
            </w:pPr>
          </w:p>
        </w:tc>
        <w:tc>
          <w:tcPr>
            <w:tcW w:w="613" w:type="pct"/>
            <w:vAlign w:val="center"/>
          </w:tcPr>
          <w:p>
            <w:pPr>
              <w:adjustRightInd w:val="0"/>
              <w:snapToGrid w:val="0"/>
              <w:jc w:val="center"/>
              <w:rPr>
                <w:rFonts w:cs="宋体"/>
                <w:color w:val="auto"/>
                <w:sz w:val="21"/>
                <w:szCs w:val="21"/>
              </w:rPr>
            </w:pPr>
            <w:r>
              <w:rPr>
                <w:rFonts w:hint="eastAsia" w:cs="宋体"/>
                <w:color w:val="auto"/>
                <w:sz w:val="21"/>
                <w:szCs w:val="21"/>
              </w:rPr>
              <w:t>非</w:t>
            </w:r>
            <w:r>
              <w:rPr>
                <w:rFonts w:cs="宋体"/>
                <w:color w:val="auto"/>
                <w:sz w:val="21"/>
                <w:szCs w:val="21"/>
              </w:rPr>
              <w:t>甲烷总烃</w:t>
            </w:r>
          </w:p>
        </w:tc>
        <w:tc>
          <w:tcPr>
            <w:tcW w:w="847" w:type="pct"/>
            <w:vMerge w:val="continue"/>
            <w:vAlign w:val="center"/>
          </w:tcPr>
          <w:p>
            <w:pPr>
              <w:adjustRightInd w:val="0"/>
              <w:snapToGrid w:val="0"/>
              <w:jc w:val="center"/>
              <w:rPr>
                <w:color w:val="auto"/>
                <w:sz w:val="21"/>
                <w:szCs w:val="21"/>
              </w:rPr>
            </w:pPr>
          </w:p>
        </w:tc>
        <w:tc>
          <w:tcPr>
            <w:tcW w:w="1770" w:type="pct"/>
            <w:vMerge w:val="continue"/>
            <w:vAlign w:val="center"/>
          </w:tcPr>
          <w:p>
            <w:pPr>
              <w:pStyle w:val="121"/>
              <w:ind w:firstLine="0" w:firstLineChars="0"/>
              <w:jc w:val="center"/>
              <w:rPr>
                <w:color w:val="auto"/>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842" w:type="pct"/>
            <w:vMerge w:val="continue"/>
            <w:vAlign w:val="center"/>
          </w:tcPr>
          <w:p>
            <w:pPr>
              <w:adjustRightInd w:val="0"/>
              <w:snapToGrid w:val="0"/>
              <w:jc w:val="center"/>
              <w:rPr>
                <w:rFonts w:cs="宋体"/>
                <w:color w:val="auto"/>
                <w:sz w:val="21"/>
                <w:szCs w:val="21"/>
              </w:rPr>
            </w:pPr>
          </w:p>
        </w:tc>
        <w:tc>
          <w:tcPr>
            <w:tcW w:w="927" w:type="pct"/>
            <w:vAlign w:val="center"/>
          </w:tcPr>
          <w:p>
            <w:pPr>
              <w:adjustRightInd w:val="0"/>
              <w:snapToGrid w:val="0"/>
              <w:jc w:val="center"/>
              <w:rPr>
                <w:rFonts w:cs="宋体"/>
                <w:color w:val="auto"/>
                <w:sz w:val="21"/>
                <w:szCs w:val="21"/>
              </w:rPr>
            </w:pPr>
            <w:r>
              <w:rPr>
                <w:rFonts w:hint="eastAsia" w:cs="宋体"/>
                <w:color w:val="auto"/>
                <w:sz w:val="21"/>
                <w:szCs w:val="21"/>
              </w:rPr>
              <w:t>厂</w:t>
            </w:r>
            <w:r>
              <w:rPr>
                <w:rFonts w:cs="宋体"/>
                <w:color w:val="auto"/>
                <w:sz w:val="21"/>
                <w:szCs w:val="21"/>
              </w:rPr>
              <w:t>区内</w:t>
            </w:r>
          </w:p>
        </w:tc>
        <w:tc>
          <w:tcPr>
            <w:tcW w:w="613" w:type="pct"/>
            <w:vAlign w:val="center"/>
          </w:tcPr>
          <w:p>
            <w:pPr>
              <w:adjustRightInd w:val="0"/>
              <w:snapToGrid w:val="0"/>
              <w:jc w:val="center"/>
              <w:rPr>
                <w:rFonts w:cs="宋体"/>
                <w:color w:val="auto"/>
                <w:sz w:val="21"/>
                <w:szCs w:val="21"/>
              </w:rPr>
            </w:pPr>
            <w:r>
              <w:rPr>
                <w:rFonts w:hint="eastAsia" w:cs="宋体"/>
                <w:color w:val="auto"/>
                <w:sz w:val="21"/>
                <w:szCs w:val="21"/>
              </w:rPr>
              <w:t>非</w:t>
            </w:r>
            <w:r>
              <w:rPr>
                <w:rFonts w:cs="宋体"/>
                <w:color w:val="auto"/>
                <w:sz w:val="21"/>
                <w:szCs w:val="21"/>
              </w:rPr>
              <w:t>甲烷总烃</w:t>
            </w:r>
          </w:p>
        </w:tc>
        <w:tc>
          <w:tcPr>
            <w:tcW w:w="847" w:type="pct"/>
            <w:vMerge w:val="continue"/>
            <w:vAlign w:val="center"/>
          </w:tcPr>
          <w:p>
            <w:pPr>
              <w:adjustRightInd w:val="0"/>
              <w:snapToGrid w:val="0"/>
              <w:jc w:val="center"/>
              <w:rPr>
                <w:rFonts w:cs="宋体"/>
                <w:color w:val="auto"/>
                <w:sz w:val="21"/>
                <w:szCs w:val="21"/>
              </w:rPr>
            </w:pPr>
          </w:p>
        </w:tc>
        <w:tc>
          <w:tcPr>
            <w:tcW w:w="1770" w:type="pct"/>
            <w:vAlign w:val="center"/>
          </w:tcPr>
          <w:p>
            <w:pPr>
              <w:widowControl/>
              <w:jc w:val="center"/>
              <w:rPr>
                <w:bCs/>
                <w:color w:val="auto"/>
                <w:sz w:val="21"/>
                <w:szCs w:val="21"/>
              </w:rPr>
            </w:pPr>
            <w:r>
              <w:rPr>
                <w:rFonts w:hint="eastAsia"/>
                <w:color w:val="auto"/>
                <w:sz w:val="21"/>
                <w:szCs w:val="21"/>
              </w:rPr>
              <w:t>《固定污染源挥发性有机物综合排放标准》（DB44/2367-2022）表</w:t>
            </w:r>
            <w:r>
              <w:rPr>
                <w:color w:val="auto"/>
                <w:sz w:val="21"/>
                <w:szCs w:val="21"/>
              </w:rPr>
              <w:t>3</w:t>
            </w:r>
            <w:r>
              <w:rPr>
                <w:rFonts w:hint="eastAsia"/>
                <w:color w:val="auto"/>
                <w:sz w:val="21"/>
                <w:szCs w:val="21"/>
              </w:rPr>
              <w:t>排</w:t>
            </w:r>
            <w:r>
              <w:rPr>
                <w:color w:val="auto"/>
                <w:sz w:val="21"/>
                <w:szCs w:val="21"/>
              </w:rPr>
              <w:t>放限值要求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42" w:type="pct"/>
            <w:vAlign w:val="center"/>
          </w:tcPr>
          <w:p>
            <w:pPr>
              <w:adjustRightInd w:val="0"/>
              <w:snapToGrid w:val="0"/>
              <w:jc w:val="center"/>
              <w:rPr>
                <w:rFonts w:cs="宋体"/>
                <w:color w:val="auto"/>
                <w:sz w:val="21"/>
                <w:szCs w:val="21"/>
              </w:rPr>
            </w:pPr>
            <w:r>
              <w:rPr>
                <w:rFonts w:hint="eastAsia" w:cs="宋体"/>
                <w:color w:val="auto"/>
                <w:sz w:val="21"/>
                <w:szCs w:val="21"/>
              </w:rPr>
              <w:t>地表水环境</w:t>
            </w:r>
          </w:p>
        </w:tc>
        <w:tc>
          <w:tcPr>
            <w:tcW w:w="927" w:type="pct"/>
            <w:vAlign w:val="center"/>
          </w:tcPr>
          <w:p>
            <w:pPr>
              <w:adjustRightInd w:val="0"/>
              <w:snapToGrid w:val="0"/>
              <w:jc w:val="center"/>
              <w:rPr>
                <w:rFonts w:cs="宋体"/>
                <w:color w:val="auto"/>
                <w:sz w:val="21"/>
                <w:szCs w:val="21"/>
              </w:rPr>
            </w:pPr>
            <w:r>
              <w:rPr>
                <w:rFonts w:hint="eastAsia" w:cs="宋体"/>
                <w:color w:val="auto"/>
                <w:sz w:val="21"/>
                <w:szCs w:val="21"/>
              </w:rPr>
              <w:t>生活污水</w:t>
            </w:r>
          </w:p>
        </w:tc>
        <w:tc>
          <w:tcPr>
            <w:tcW w:w="613" w:type="pct"/>
            <w:vAlign w:val="center"/>
          </w:tcPr>
          <w:p>
            <w:pPr>
              <w:adjustRightInd w:val="0"/>
              <w:snapToGrid w:val="0"/>
              <w:jc w:val="center"/>
              <w:rPr>
                <w:color w:val="auto"/>
                <w:sz w:val="21"/>
                <w:szCs w:val="21"/>
              </w:rPr>
            </w:pPr>
            <w:r>
              <w:rPr>
                <w:rFonts w:hint="eastAsia"/>
                <w:color w:val="auto"/>
                <w:sz w:val="21"/>
                <w:szCs w:val="21"/>
              </w:rPr>
              <w:t>COD</w:t>
            </w:r>
            <w:r>
              <w:rPr>
                <w:rFonts w:hint="eastAsia"/>
                <w:color w:val="auto"/>
                <w:sz w:val="21"/>
                <w:szCs w:val="21"/>
                <w:vertAlign w:val="subscript"/>
              </w:rPr>
              <w:t>Cr</w:t>
            </w:r>
            <w:r>
              <w:rPr>
                <w:rFonts w:hint="eastAsia"/>
                <w:color w:val="auto"/>
                <w:sz w:val="21"/>
                <w:szCs w:val="21"/>
              </w:rPr>
              <w:t>、BOD</w:t>
            </w:r>
            <w:r>
              <w:rPr>
                <w:rFonts w:hint="eastAsia"/>
                <w:color w:val="auto"/>
                <w:sz w:val="21"/>
                <w:szCs w:val="21"/>
                <w:vertAlign w:val="subscript"/>
              </w:rPr>
              <w:t>5</w:t>
            </w:r>
            <w:r>
              <w:rPr>
                <w:rFonts w:hint="eastAsia"/>
                <w:color w:val="auto"/>
                <w:sz w:val="21"/>
                <w:szCs w:val="21"/>
              </w:rPr>
              <w:t>、SS</w:t>
            </w:r>
          </w:p>
          <w:p>
            <w:pPr>
              <w:adjustRightInd w:val="0"/>
              <w:snapToGrid w:val="0"/>
              <w:jc w:val="center"/>
              <w:rPr>
                <w:rFonts w:cs="宋体"/>
                <w:color w:val="auto"/>
                <w:sz w:val="21"/>
                <w:szCs w:val="21"/>
              </w:rPr>
            </w:pPr>
            <w:r>
              <w:rPr>
                <w:rFonts w:hint="eastAsia"/>
                <w:color w:val="auto"/>
                <w:sz w:val="21"/>
                <w:szCs w:val="21"/>
              </w:rPr>
              <w:t>NH</w:t>
            </w:r>
            <w:r>
              <w:rPr>
                <w:rFonts w:hint="eastAsia"/>
                <w:color w:val="auto"/>
                <w:sz w:val="21"/>
                <w:szCs w:val="21"/>
                <w:vertAlign w:val="subscript"/>
              </w:rPr>
              <w:t>3</w:t>
            </w:r>
            <w:r>
              <w:rPr>
                <w:rFonts w:hint="eastAsia"/>
                <w:color w:val="auto"/>
                <w:sz w:val="21"/>
                <w:szCs w:val="21"/>
              </w:rPr>
              <w:t>-N、TN、</w:t>
            </w:r>
            <w:r>
              <w:rPr>
                <w:color w:val="auto"/>
                <w:sz w:val="21"/>
                <w:szCs w:val="21"/>
              </w:rPr>
              <w:t>TP</w:t>
            </w:r>
          </w:p>
        </w:tc>
        <w:tc>
          <w:tcPr>
            <w:tcW w:w="847" w:type="pct"/>
            <w:vAlign w:val="center"/>
          </w:tcPr>
          <w:p>
            <w:pPr>
              <w:adjustRightInd w:val="0"/>
              <w:snapToGrid w:val="0"/>
              <w:jc w:val="center"/>
              <w:rPr>
                <w:rFonts w:cs="宋体"/>
                <w:color w:val="auto"/>
                <w:sz w:val="21"/>
                <w:szCs w:val="21"/>
              </w:rPr>
            </w:pPr>
            <w:r>
              <w:rPr>
                <w:color w:val="auto"/>
                <w:kern w:val="0"/>
                <w:sz w:val="21"/>
                <w:szCs w:val="21"/>
              </w:rPr>
              <w:t>经三级化粪池预处理后通过市政污水管网排入</w:t>
            </w:r>
            <w:r>
              <w:rPr>
                <w:rFonts w:hint="eastAsia"/>
                <w:color w:val="auto"/>
                <w:kern w:val="0"/>
                <w:sz w:val="21"/>
                <w:szCs w:val="21"/>
                <w:lang w:val="en-US" w:eastAsia="zh-CN"/>
              </w:rPr>
              <w:t>园洲镇第五</w:t>
            </w:r>
            <w:r>
              <w:rPr>
                <w:rFonts w:hint="eastAsia" w:cs="宋体"/>
                <w:bCs/>
                <w:color w:val="auto"/>
                <w:kern w:val="0"/>
                <w:sz w:val="21"/>
                <w:szCs w:val="21"/>
                <w:lang w:bidi="ar"/>
              </w:rPr>
              <w:t>生活污水处理厂</w:t>
            </w:r>
            <w:r>
              <w:rPr>
                <w:color w:val="auto"/>
                <w:kern w:val="0"/>
                <w:sz w:val="21"/>
                <w:szCs w:val="21"/>
              </w:rPr>
              <w:t>处理</w:t>
            </w:r>
          </w:p>
        </w:tc>
        <w:tc>
          <w:tcPr>
            <w:tcW w:w="1770" w:type="pct"/>
            <w:vAlign w:val="center"/>
          </w:tcPr>
          <w:p>
            <w:pPr>
              <w:adjustRightInd w:val="0"/>
              <w:snapToGrid w:val="0"/>
              <w:jc w:val="center"/>
              <w:rPr>
                <w:rFonts w:cs="宋体"/>
                <w:color w:val="auto"/>
                <w:sz w:val="21"/>
                <w:szCs w:val="21"/>
              </w:rPr>
            </w:pPr>
            <w:r>
              <w:rPr>
                <w:rFonts w:hint="eastAsia"/>
                <w:bCs/>
                <w:color w:val="auto"/>
                <w:sz w:val="21"/>
                <w:szCs w:val="21"/>
              </w:rPr>
              <w:t>《城镇污水处理厂污染物排放标准》（GB18918-2002）一级A标准和《水污染物排放限值》（DB4426-2001）第二时段一级标准两</w:t>
            </w:r>
            <w:r>
              <w:rPr>
                <w:bCs/>
                <w:color w:val="auto"/>
                <w:sz w:val="21"/>
                <w:szCs w:val="21"/>
              </w:rPr>
              <w:t>者较严</w:t>
            </w:r>
            <w:r>
              <w:rPr>
                <w:rFonts w:hint="eastAsia" w:ascii="Times New Roman" w:hAnsi="Times New Roman" w:cs="Times New Roman"/>
                <w:bCs/>
                <w:color w:val="auto"/>
                <w:sz w:val="21"/>
                <w:szCs w:val="21"/>
              </w:rPr>
              <w:t>值</w:t>
            </w:r>
            <w:r>
              <w:rPr>
                <w:rFonts w:ascii="Times New Roman" w:hAnsi="Times New Roman" w:cs="Times New Roman"/>
                <w:bCs/>
                <w:color w:val="auto"/>
                <w:sz w:val="21"/>
                <w:szCs w:val="21"/>
              </w:rPr>
              <w:t>（氨氮、总磷指标达到Ⅴ类地表水标准）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42" w:type="pct"/>
            <w:vAlign w:val="center"/>
          </w:tcPr>
          <w:p>
            <w:pPr>
              <w:adjustRightInd w:val="0"/>
              <w:snapToGrid w:val="0"/>
              <w:jc w:val="center"/>
              <w:rPr>
                <w:rFonts w:cs="宋体"/>
                <w:color w:val="auto"/>
                <w:sz w:val="21"/>
                <w:szCs w:val="21"/>
              </w:rPr>
            </w:pPr>
            <w:r>
              <w:rPr>
                <w:rFonts w:hint="eastAsia" w:cs="宋体"/>
                <w:color w:val="auto"/>
                <w:sz w:val="21"/>
                <w:szCs w:val="21"/>
              </w:rPr>
              <w:t>声环境</w:t>
            </w:r>
          </w:p>
        </w:tc>
        <w:tc>
          <w:tcPr>
            <w:tcW w:w="927" w:type="pct"/>
            <w:vAlign w:val="center"/>
          </w:tcPr>
          <w:p>
            <w:pPr>
              <w:adjustRightInd w:val="0"/>
              <w:snapToGrid w:val="0"/>
              <w:jc w:val="center"/>
              <w:rPr>
                <w:rFonts w:cs="宋体"/>
                <w:color w:val="auto"/>
                <w:sz w:val="21"/>
                <w:szCs w:val="21"/>
              </w:rPr>
            </w:pPr>
            <w:r>
              <w:rPr>
                <w:rFonts w:hint="eastAsia" w:cs="宋体"/>
                <w:color w:val="auto"/>
                <w:sz w:val="21"/>
                <w:szCs w:val="21"/>
              </w:rPr>
              <w:t>生产设备</w:t>
            </w:r>
          </w:p>
        </w:tc>
        <w:tc>
          <w:tcPr>
            <w:tcW w:w="613" w:type="pct"/>
            <w:vAlign w:val="center"/>
          </w:tcPr>
          <w:p>
            <w:pPr>
              <w:adjustRightInd w:val="0"/>
              <w:snapToGrid w:val="0"/>
              <w:jc w:val="center"/>
              <w:rPr>
                <w:rFonts w:cs="宋体"/>
                <w:color w:val="auto"/>
                <w:sz w:val="21"/>
                <w:szCs w:val="21"/>
              </w:rPr>
            </w:pPr>
            <w:r>
              <w:rPr>
                <w:rFonts w:hint="eastAsia" w:cs="宋体"/>
                <w:color w:val="auto"/>
                <w:sz w:val="21"/>
                <w:szCs w:val="21"/>
              </w:rPr>
              <w:t>机械噪声</w:t>
            </w:r>
          </w:p>
        </w:tc>
        <w:tc>
          <w:tcPr>
            <w:tcW w:w="847" w:type="pct"/>
            <w:vAlign w:val="center"/>
          </w:tcPr>
          <w:p>
            <w:pPr>
              <w:jc w:val="center"/>
              <w:rPr>
                <w:rFonts w:cs="宋体"/>
                <w:color w:val="auto"/>
                <w:sz w:val="21"/>
                <w:szCs w:val="21"/>
              </w:rPr>
            </w:pPr>
            <w:r>
              <w:rPr>
                <w:color w:val="auto"/>
                <w:sz w:val="21"/>
                <w:szCs w:val="21"/>
              </w:rPr>
              <w:t>隔音、消音、安装减振</w:t>
            </w:r>
            <w:r>
              <w:rPr>
                <w:color w:val="auto"/>
                <w:kern w:val="0"/>
                <w:sz w:val="21"/>
                <w:szCs w:val="21"/>
              </w:rPr>
              <w:t>垫</w:t>
            </w:r>
            <w:r>
              <w:rPr>
                <w:color w:val="auto"/>
                <w:sz w:val="21"/>
                <w:szCs w:val="21"/>
              </w:rPr>
              <w:t>、合理布局等措施</w:t>
            </w:r>
          </w:p>
        </w:tc>
        <w:tc>
          <w:tcPr>
            <w:tcW w:w="1770" w:type="pct"/>
            <w:vAlign w:val="center"/>
          </w:tcPr>
          <w:p>
            <w:pPr>
              <w:pStyle w:val="126"/>
              <w:snapToGrid w:val="0"/>
              <w:spacing w:line="240" w:lineRule="auto"/>
              <w:rPr>
                <w:rFonts w:cs="宋体"/>
                <w:color w:val="auto"/>
                <w:sz w:val="21"/>
                <w:szCs w:val="21"/>
              </w:rPr>
            </w:pPr>
            <w:r>
              <w:rPr>
                <w:color w:val="auto"/>
                <w:sz w:val="21"/>
                <w:szCs w:val="21"/>
              </w:rPr>
              <w:t>《工业企业厂界环境噪声排放标准》（GB12348-2008）2类标准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42" w:type="pct"/>
            <w:vAlign w:val="center"/>
          </w:tcPr>
          <w:p>
            <w:pPr>
              <w:adjustRightInd w:val="0"/>
              <w:snapToGrid w:val="0"/>
              <w:jc w:val="center"/>
              <w:rPr>
                <w:rFonts w:cs="宋体"/>
                <w:color w:val="auto"/>
                <w:sz w:val="21"/>
                <w:szCs w:val="21"/>
              </w:rPr>
            </w:pPr>
            <w:r>
              <w:rPr>
                <w:rFonts w:hint="eastAsia" w:cs="宋体"/>
                <w:color w:val="auto"/>
                <w:sz w:val="21"/>
                <w:szCs w:val="21"/>
              </w:rPr>
              <w:t>电磁辐射</w:t>
            </w:r>
          </w:p>
        </w:tc>
        <w:tc>
          <w:tcPr>
            <w:tcW w:w="4157" w:type="pct"/>
            <w:gridSpan w:val="4"/>
            <w:vAlign w:val="center"/>
          </w:tcPr>
          <w:p>
            <w:pPr>
              <w:adjustRightInd w:val="0"/>
              <w:snapToGrid w:val="0"/>
              <w:jc w:val="left"/>
              <w:rPr>
                <w:rFonts w:cs="宋体"/>
                <w:color w:val="auto"/>
                <w:sz w:val="21"/>
                <w:szCs w:val="21"/>
              </w:rPr>
            </w:pPr>
            <w:r>
              <w:rPr>
                <w:rFonts w:hint="eastAsia" w:cs="宋体"/>
                <w:color w:val="auto"/>
                <w:sz w:val="21"/>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42" w:type="pct"/>
            <w:vAlign w:val="center"/>
          </w:tcPr>
          <w:p>
            <w:pPr>
              <w:adjustRightInd w:val="0"/>
              <w:snapToGrid w:val="0"/>
              <w:jc w:val="center"/>
              <w:rPr>
                <w:rFonts w:cs="宋体"/>
                <w:color w:val="auto"/>
                <w:sz w:val="21"/>
                <w:szCs w:val="21"/>
              </w:rPr>
            </w:pPr>
            <w:r>
              <w:rPr>
                <w:rFonts w:hint="eastAsia" w:cs="宋体"/>
                <w:color w:val="auto"/>
                <w:sz w:val="21"/>
                <w:szCs w:val="21"/>
              </w:rPr>
              <w:t>固体废物</w:t>
            </w:r>
          </w:p>
        </w:tc>
        <w:tc>
          <w:tcPr>
            <w:tcW w:w="4157" w:type="pct"/>
            <w:gridSpan w:val="4"/>
            <w:vAlign w:val="center"/>
          </w:tcPr>
          <w:p>
            <w:pPr>
              <w:adjustRightInd w:val="0"/>
              <w:snapToGrid w:val="0"/>
              <w:jc w:val="left"/>
              <w:rPr>
                <w:rFonts w:cs="宋体"/>
                <w:color w:val="auto"/>
                <w:sz w:val="21"/>
                <w:szCs w:val="21"/>
              </w:rPr>
            </w:pPr>
            <w:r>
              <w:rPr>
                <w:rFonts w:hint="eastAsia"/>
                <w:color w:val="auto"/>
                <w:kern w:val="0"/>
                <w:sz w:val="21"/>
                <w:szCs w:val="21"/>
              </w:rPr>
              <w:t>一般工业</w:t>
            </w:r>
            <w:r>
              <w:rPr>
                <w:color w:val="auto"/>
                <w:kern w:val="0"/>
                <w:sz w:val="21"/>
                <w:szCs w:val="21"/>
              </w:rPr>
              <w:t>固体废物交专业回收单位回收处理</w:t>
            </w:r>
            <w:r>
              <w:rPr>
                <w:rFonts w:hint="eastAsia"/>
                <w:bCs/>
                <w:color w:val="auto"/>
                <w:sz w:val="21"/>
                <w:szCs w:val="21"/>
              </w:rPr>
              <w:t>，</w:t>
            </w:r>
            <w:r>
              <w:rPr>
                <w:rFonts w:hint="eastAsia"/>
                <w:color w:val="auto"/>
                <w:kern w:val="0"/>
                <w:sz w:val="21"/>
                <w:szCs w:val="21"/>
              </w:rPr>
              <w:t>危险废物</w:t>
            </w:r>
            <w:r>
              <w:rPr>
                <w:color w:val="auto"/>
                <w:kern w:val="0"/>
                <w:sz w:val="21"/>
                <w:szCs w:val="21"/>
              </w:rPr>
              <w:t>交有资质</w:t>
            </w:r>
            <w:r>
              <w:rPr>
                <w:rFonts w:hint="eastAsia"/>
                <w:color w:val="auto"/>
                <w:kern w:val="0"/>
                <w:sz w:val="21"/>
                <w:szCs w:val="21"/>
              </w:rPr>
              <w:t>单位</w:t>
            </w:r>
            <w:r>
              <w:rPr>
                <w:color w:val="auto"/>
                <w:kern w:val="0"/>
                <w:sz w:val="21"/>
                <w:szCs w:val="21"/>
              </w:rPr>
              <w:t>处置</w:t>
            </w:r>
            <w:r>
              <w:rPr>
                <w:rFonts w:hint="eastAsia"/>
                <w:color w:val="auto"/>
                <w:sz w:val="21"/>
                <w:szCs w:val="21"/>
              </w:rPr>
              <w:t>，</w:t>
            </w:r>
            <w:r>
              <w:rPr>
                <w:rFonts w:hint="eastAsia"/>
                <w:color w:val="auto"/>
                <w:kern w:val="0"/>
                <w:sz w:val="21"/>
                <w:szCs w:val="21"/>
              </w:rPr>
              <w:t>员工生活垃圾交由环卫部门统一清运。</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842" w:type="pct"/>
            <w:vAlign w:val="center"/>
          </w:tcPr>
          <w:p>
            <w:pPr>
              <w:adjustRightInd w:val="0"/>
              <w:snapToGrid w:val="0"/>
              <w:jc w:val="center"/>
              <w:rPr>
                <w:rFonts w:cs="宋体"/>
                <w:color w:val="auto"/>
                <w:sz w:val="21"/>
                <w:szCs w:val="21"/>
              </w:rPr>
            </w:pPr>
            <w:r>
              <w:rPr>
                <w:rFonts w:hint="eastAsia" w:cs="宋体"/>
                <w:color w:val="auto"/>
                <w:sz w:val="21"/>
                <w:szCs w:val="21"/>
              </w:rPr>
              <w:t>土壤及地下水</w:t>
            </w:r>
          </w:p>
          <w:p>
            <w:pPr>
              <w:adjustRightInd w:val="0"/>
              <w:snapToGrid w:val="0"/>
              <w:jc w:val="center"/>
              <w:rPr>
                <w:rFonts w:cs="宋体"/>
                <w:color w:val="auto"/>
                <w:sz w:val="21"/>
                <w:szCs w:val="21"/>
              </w:rPr>
            </w:pPr>
            <w:r>
              <w:rPr>
                <w:rFonts w:hint="eastAsia" w:cs="宋体"/>
                <w:color w:val="auto"/>
                <w:sz w:val="21"/>
                <w:szCs w:val="21"/>
              </w:rPr>
              <w:t>污染防治措施</w:t>
            </w:r>
          </w:p>
        </w:tc>
        <w:tc>
          <w:tcPr>
            <w:tcW w:w="4157" w:type="pct"/>
            <w:gridSpan w:val="4"/>
            <w:vAlign w:val="center"/>
          </w:tcPr>
          <w:p>
            <w:pPr>
              <w:pStyle w:val="121"/>
              <w:ind w:firstLine="0" w:firstLineChars="0"/>
              <w:jc w:val="left"/>
              <w:rPr>
                <w:rFonts w:ascii="宋体" w:hAnsi="宋体"/>
                <w:bCs/>
                <w:color w:val="auto"/>
                <w:kern w:val="2"/>
                <w:sz w:val="21"/>
                <w:szCs w:val="21"/>
              </w:rPr>
            </w:pPr>
            <w:r>
              <w:rPr>
                <w:rFonts w:hint="eastAsia" w:ascii="宋体" w:hAnsi="宋体"/>
                <w:bCs/>
                <w:color w:val="auto"/>
                <w:kern w:val="2"/>
                <w:sz w:val="21"/>
                <w:szCs w:val="21"/>
              </w:rPr>
              <w:t>本项目无地下水、土壤污染途径，故不开展地下水、土壤环境影</w:t>
            </w:r>
            <w:r>
              <w:rPr>
                <w:rFonts w:ascii="宋体" w:hAnsi="宋体"/>
                <w:bCs/>
                <w:color w:val="auto"/>
                <w:kern w:val="2"/>
                <w:sz w:val="21"/>
                <w:szCs w:val="21"/>
              </w:rPr>
              <w:t>响评价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842" w:type="pct"/>
            <w:vAlign w:val="center"/>
          </w:tcPr>
          <w:p>
            <w:pPr>
              <w:adjustRightInd w:val="0"/>
              <w:snapToGrid w:val="0"/>
              <w:jc w:val="center"/>
              <w:rPr>
                <w:rFonts w:cs="宋体"/>
                <w:color w:val="auto"/>
                <w:sz w:val="21"/>
                <w:szCs w:val="21"/>
              </w:rPr>
            </w:pPr>
            <w:r>
              <w:rPr>
                <w:rFonts w:hint="eastAsia" w:cs="宋体"/>
                <w:color w:val="auto"/>
                <w:sz w:val="21"/>
                <w:szCs w:val="21"/>
              </w:rPr>
              <w:t>生态保护措施</w:t>
            </w:r>
          </w:p>
        </w:tc>
        <w:tc>
          <w:tcPr>
            <w:tcW w:w="4157" w:type="pct"/>
            <w:gridSpan w:val="4"/>
            <w:vAlign w:val="center"/>
          </w:tcPr>
          <w:p>
            <w:pPr>
              <w:adjustRightInd w:val="0"/>
              <w:snapToGrid w:val="0"/>
              <w:jc w:val="left"/>
              <w:rPr>
                <w:rFonts w:cs="宋体"/>
                <w:color w:val="auto"/>
                <w:sz w:val="21"/>
                <w:szCs w:val="21"/>
              </w:rPr>
            </w:pPr>
            <w:r>
              <w:rPr>
                <w:rFonts w:hint="eastAsia" w:cs="宋体"/>
                <w:color w:val="auto"/>
                <w:sz w:val="21"/>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842" w:type="pct"/>
            <w:vAlign w:val="center"/>
          </w:tcPr>
          <w:p>
            <w:pPr>
              <w:adjustRightInd w:val="0"/>
              <w:snapToGrid w:val="0"/>
              <w:jc w:val="center"/>
              <w:rPr>
                <w:rFonts w:cs="宋体"/>
                <w:color w:val="auto"/>
                <w:spacing w:val="-8"/>
                <w:sz w:val="21"/>
                <w:szCs w:val="21"/>
              </w:rPr>
            </w:pPr>
            <w:r>
              <w:rPr>
                <w:rFonts w:hint="eastAsia" w:cs="宋体"/>
                <w:color w:val="auto"/>
                <w:spacing w:val="-8"/>
                <w:sz w:val="21"/>
                <w:szCs w:val="21"/>
              </w:rPr>
              <w:t>环境风险</w:t>
            </w:r>
          </w:p>
          <w:p>
            <w:pPr>
              <w:adjustRightInd w:val="0"/>
              <w:snapToGrid w:val="0"/>
              <w:jc w:val="center"/>
              <w:rPr>
                <w:rFonts w:cs="宋体"/>
                <w:color w:val="auto"/>
                <w:spacing w:val="-8"/>
                <w:sz w:val="21"/>
                <w:szCs w:val="21"/>
              </w:rPr>
            </w:pPr>
            <w:r>
              <w:rPr>
                <w:rFonts w:hint="eastAsia" w:cs="宋体"/>
                <w:color w:val="auto"/>
                <w:spacing w:val="-8"/>
                <w:sz w:val="21"/>
                <w:szCs w:val="21"/>
              </w:rPr>
              <w:t>防范措施</w:t>
            </w:r>
          </w:p>
        </w:tc>
        <w:tc>
          <w:tcPr>
            <w:tcW w:w="4157" w:type="pct"/>
            <w:gridSpan w:val="4"/>
            <w:vAlign w:val="center"/>
          </w:tcPr>
          <w:p>
            <w:pPr>
              <w:adjustRightInd w:val="0"/>
              <w:snapToGrid w:val="0"/>
              <w:jc w:val="left"/>
              <w:rPr>
                <w:rFonts w:cs="宋体"/>
                <w:color w:val="auto"/>
                <w:sz w:val="21"/>
                <w:szCs w:val="21"/>
              </w:rPr>
            </w:pPr>
            <w:r>
              <w:rPr>
                <w:rFonts w:hint="eastAsia" w:cs="宋体"/>
                <w:color w:val="auto"/>
                <w:sz w:val="21"/>
                <w:szCs w:val="21"/>
              </w:rPr>
              <w:t>强化安全生产及环境保护意识的教育，提高职工的素质，加强操作人员的上岗前的培训，进行安全生产、消防、环保、工业卫生等方面的技术培训教育；定期检查安全消防设施的完好性，确保其处于即用状态，以备在事故发生时，能及时、高效率的发挥作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42" w:type="pct"/>
            <w:vAlign w:val="center"/>
          </w:tcPr>
          <w:p>
            <w:pPr>
              <w:adjustRightInd w:val="0"/>
              <w:snapToGrid w:val="0"/>
              <w:jc w:val="center"/>
              <w:rPr>
                <w:rFonts w:cs="宋体"/>
                <w:color w:val="auto"/>
                <w:spacing w:val="-8"/>
                <w:sz w:val="21"/>
                <w:szCs w:val="21"/>
              </w:rPr>
            </w:pPr>
            <w:r>
              <w:rPr>
                <w:rFonts w:hint="eastAsia" w:cs="宋体"/>
                <w:color w:val="auto"/>
                <w:spacing w:val="-8"/>
                <w:sz w:val="21"/>
                <w:szCs w:val="21"/>
              </w:rPr>
              <w:t>其他环境</w:t>
            </w:r>
          </w:p>
          <w:p>
            <w:pPr>
              <w:adjustRightInd w:val="0"/>
              <w:snapToGrid w:val="0"/>
              <w:jc w:val="center"/>
              <w:rPr>
                <w:rFonts w:cs="宋体"/>
                <w:color w:val="auto"/>
                <w:spacing w:val="-8"/>
                <w:sz w:val="21"/>
                <w:szCs w:val="21"/>
              </w:rPr>
            </w:pPr>
            <w:r>
              <w:rPr>
                <w:rFonts w:hint="eastAsia" w:cs="宋体"/>
                <w:color w:val="auto"/>
                <w:spacing w:val="-8"/>
                <w:sz w:val="21"/>
                <w:szCs w:val="21"/>
              </w:rPr>
              <w:t>管理要求</w:t>
            </w:r>
          </w:p>
        </w:tc>
        <w:tc>
          <w:tcPr>
            <w:tcW w:w="4157" w:type="pct"/>
            <w:gridSpan w:val="4"/>
            <w:vAlign w:val="center"/>
          </w:tcPr>
          <w:p>
            <w:pPr>
              <w:adjustRightInd w:val="0"/>
              <w:snapToGrid w:val="0"/>
              <w:jc w:val="left"/>
              <w:rPr>
                <w:rFonts w:cs="宋体"/>
                <w:color w:val="auto"/>
                <w:sz w:val="21"/>
                <w:szCs w:val="21"/>
              </w:rPr>
            </w:pPr>
            <w:r>
              <w:rPr>
                <w:rFonts w:hint="eastAsia" w:cs="宋体"/>
                <w:color w:val="auto"/>
                <w:sz w:val="21"/>
                <w:szCs w:val="21"/>
              </w:rPr>
              <w:t>无</w:t>
            </w:r>
          </w:p>
        </w:tc>
      </w:tr>
    </w:tbl>
    <w:p>
      <w:pPr>
        <w:pStyle w:val="33"/>
        <w:jc w:val="center"/>
        <w:outlineLvl w:val="0"/>
        <w:rPr>
          <w:rFonts w:cs="宋体"/>
          <w:snapToGrid w:val="0"/>
          <w:color w:val="auto"/>
          <w:sz w:val="30"/>
          <w:szCs w:val="30"/>
        </w:rPr>
      </w:pPr>
    </w:p>
    <w:p>
      <w:pPr>
        <w:pStyle w:val="33"/>
        <w:jc w:val="center"/>
        <w:outlineLvl w:val="0"/>
        <w:rPr>
          <w:rFonts w:ascii="黑体" w:hAnsi="黑体" w:eastAsia="黑体"/>
          <w:snapToGrid w:val="0"/>
          <w:color w:val="auto"/>
          <w:sz w:val="30"/>
          <w:szCs w:val="30"/>
        </w:rPr>
      </w:pPr>
      <w:r>
        <w:rPr>
          <w:snapToGrid w:val="0"/>
          <w:color w:val="auto"/>
        </w:rPr>
        <w:br w:type="page"/>
      </w:r>
      <w:r>
        <w:rPr>
          <w:rFonts w:hint="eastAsia" w:cs="宋体"/>
          <w:snapToGrid w:val="0"/>
          <w:color w:val="auto"/>
          <w:sz w:val="30"/>
          <w:szCs w:val="30"/>
        </w:rPr>
        <w:t>六、结论</w:t>
      </w:r>
    </w:p>
    <w:tbl>
      <w:tblPr>
        <w:tblStyle w:val="3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vAlign w:val="center"/>
          </w:tcPr>
          <w:p>
            <w:pPr>
              <w:spacing w:line="360" w:lineRule="auto"/>
              <w:ind w:firstLine="404" w:firstLineChars="200"/>
              <w:jc w:val="center"/>
              <w:rPr>
                <w:rFonts w:ascii="宋体" w:cs="宋体"/>
                <w:color w:val="auto"/>
                <w:sz w:val="24"/>
              </w:rPr>
            </w:pPr>
            <w:r>
              <w:rPr>
                <w:rFonts w:hint="eastAsia" w:cs="宋体"/>
                <w:color w:val="auto"/>
                <w:spacing w:val="-4"/>
                <w:szCs w:val="21"/>
              </w:rPr>
              <w:t>综上所述，该项目从环境保护角度分析是可行的。</w:t>
            </w:r>
          </w:p>
        </w:tc>
      </w:tr>
    </w:tbl>
    <w:p>
      <w:pPr>
        <w:pStyle w:val="62"/>
        <w:jc w:val="both"/>
        <w:rPr>
          <w:rFonts w:ascii="Times New Roman" w:cs="Times New Roman"/>
          <w:b/>
          <w:bCs/>
          <w:color w:val="auto"/>
        </w:rPr>
        <w:sectPr>
          <w:footerReference r:id="rId7" w:type="default"/>
          <w:pgSz w:w="11906" w:h="16838"/>
          <w:pgMar w:top="1701" w:right="1531" w:bottom="1701" w:left="1531" w:header="851" w:footer="851" w:gutter="0"/>
          <w:cols w:space="720" w:num="1"/>
          <w:docGrid w:linePitch="312" w:charSpace="0"/>
        </w:sectPr>
      </w:pPr>
    </w:p>
    <w:p>
      <w:pPr>
        <w:pStyle w:val="33"/>
        <w:adjustRightInd w:val="0"/>
        <w:snapToGrid w:val="0"/>
        <w:spacing w:before="0" w:beforeAutospacing="0" w:after="0" w:afterAutospacing="0"/>
        <w:rPr>
          <w:rFonts w:ascii="Times New Roman" w:hAnsi="Times New Roman"/>
          <w:snapToGrid w:val="0"/>
          <w:color w:val="auto"/>
          <w:kern w:val="21"/>
          <w:sz w:val="21"/>
          <w:szCs w:val="21"/>
        </w:rPr>
      </w:pPr>
      <w:r>
        <w:rPr>
          <w:rFonts w:ascii="Times New Roman" w:hAnsi="Times New Roman"/>
          <w:snapToGrid w:val="0"/>
          <w:color w:val="auto"/>
          <w:kern w:val="21"/>
          <w:sz w:val="32"/>
          <w:szCs w:val="32"/>
        </w:rPr>
        <w:t>附表</w:t>
      </w:r>
    </w:p>
    <w:p>
      <w:pPr>
        <w:pStyle w:val="33"/>
        <w:adjustRightInd w:val="0"/>
        <w:snapToGrid w:val="0"/>
        <w:spacing w:before="0" w:beforeAutospacing="0" w:after="0" w:afterAutospacing="0"/>
        <w:jc w:val="center"/>
        <w:outlineLvl w:val="0"/>
        <w:rPr>
          <w:rFonts w:ascii="Times New Roman" w:hAnsi="Times New Roman"/>
          <w:snapToGrid w:val="0"/>
          <w:color w:val="auto"/>
          <w:kern w:val="21"/>
          <w:sz w:val="38"/>
          <w:szCs w:val="38"/>
        </w:rPr>
      </w:pPr>
      <w:r>
        <w:rPr>
          <w:rFonts w:ascii="Times New Roman" w:hAnsi="Times New Roman"/>
          <w:snapToGrid w:val="0"/>
          <w:color w:val="auto"/>
          <w:kern w:val="21"/>
          <w:sz w:val="38"/>
          <w:szCs w:val="38"/>
        </w:rPr>
        <w:t>建设项目污染物排放量汇总表</w:t>
      </w:r>
    </w:p>
    <w:tbl>
      <w:tblPr>
        <w:tblStyle w:val="35"/>
        <w:tblW w:w="14845"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655"/>
        <w:gridCol w:w="1477"/>
        <w:gridCol w:w="1774"/>
        <w:gridCol w:w="1328"/>
        <w:gridCol w:w="1774"/>
        <w:gridCol w:w="1625"/>
        <w:gridCol w:w="1836"/>
        <w:gridCol w:w="2041"/>
        <w:gridCol w:w="133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655" w:type="dxa"/>
            <w:tcBorders>
              <w:tl2br w:val="single" w:color="auto" w:sz="4" w:space="0"/>
            </w:tcBorders>
            <w:tcMar>
              <w:left w:w="28" w:type="dxa"/>
              <w:right w:w="28" w:type="dxa"/>
            </w:tcMar>
            <w:vAlign w:val="center"/>
          </w:tcPr>
          <w:p>
            <w:pPr>
              <w:pStyle w:val="61"/>
              <w:spacing w:beforeLines="0" w:afterLines="0" w:line="240" w:lineRule="auto"/>
              <w:jc w:val="right"/>
              <w:rPr>
                <w:rFonts w:ascii="Times New Roman" w:eastAsia="新宋体"/>
                <w:snapToGrid w:val="0"/>
                <w:color w:val="auto"/>
                <w:kern w:val="21"/>
                <w:szCs w:val="21"/>
              </w:rPr>
            </w:pPr>
            <w:r>
              <w:rPr>
                <w:rFonts w:ascii="Times New Roman" w:eastAsia="新宋体"/>
                <w:snapToGrid w:val="0"/>
                <w:color w:val="auto"/>
                <w:kern w:val="21"/>
                <w:szCs w:val="21"/>
              </w:rPr>
              <w:t>项目</w:t>
            </w:r>
          </w:p>
          <w:p>
            <w:pPr>
              <w:pStyle w:val="61"/>
              <w:spacing w:beforeLines="0" w:afterLines="0" w:line="240" w:lineRule="auto"/>
              <w:jc w:val="left"/>
              <w:rPr>
                <w:rFonts w:ascii="Times New Roman" w:eastAsia="新宋体"/>
                <w:snapToGrid w:val="0"/>
                <w:color w:val="auto"/>
                <w:kern w:val="21"/>
                <w:szCs w:val="21"/>
              </w:rPr>
            </w:pPr>
            <w:r>
              <w:rPr>
                <w:rFonts w:ascii="Times New Roman" w:eastAsia="新宋体"/>
                <w:snapToGrid w:val="0"/>
                <w:color w:val="auto"/>
                <w:kern w:val="21"/>
                <w:szCs w:val="21"/>
              </w:rPr>
              <w:t>分类</w:t>
            </w:r>
          </w:p>
        </w:tc>
        <w:tc>
          <w:tcPr>
            <w:tcW w:w="1477" w:type="dxa"/>
            <w:tcMar>
              <w:left w:w="28" w:type="dxa"/>
              <w:right w:w="28" w:type="dxa"/>
            </w:tcMar>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污染物名称</w:t>
            </w:r>
          </w:p>
        </w:tc>
        <w:tc>
          <w:tcPr>
            <w:tcW w:w="1774" w:type="dxa"/>
            <w:tcMar>
              <w:left w:w="28" w:type="dxa"/>
              <w:right w:w="28" w:type="dxa"/>
            </w:tcMar>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现有工程</w:t>
            </w:r>
          </w:p>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排放量（固体废物产生量）</w:t>
            </w:r>
            <w:r>
              <w:rPr>
                <w:rFonts w:ascii="Times New Roman" w:eastAsia="新宋体"/>
                <w:snapToGrid w:val="0"/>
                <w:color w:val="auto"/>
                <w:kern w:val="21"/>
                <w:szCs w:val="21"/>
              </w:rPr>
              <w:fldChar w:fldCharType="begin"/>
            </w:r>
            <w:r>
              <w:rPr>
                <w:rFonts w:ascii="Times New Roman" w:eastAsia="新宋体"/>
                <w:snapToGrid w:val="0"/>
                <w:color w:val="auto"/>
                <w:kern w:val="21"/>
                <w:szCs w:val="21"/>
              </w:rPr>
              <w:instrText xml:space="preserve"> = 1 \* GB3 \* MERGEFORMAT </w:instrText>
            </w:r>
            <w:r>
              <w:rPr>
                <w:rFonts w:ascii="Times New Roman" w:eastAsia="新宋体"/>
                <w:snapToGrid w:val="0"/>
                <w:color w:val="auto"/>
                <w:kern w:val="21"/>
                <w:szCs w:val="21"/>
              </w:rPr>
              <w:fldChar w:fldCharType="separate"/>
            </w:r>
            <w:r>
              <w:rPr>
                <w:rFonts w:hint="eastAsia" w:ascii="Times New Roman" w:eastAsia="新宋体" w:cs="宋体"/>
                <w:color w:val="auto"/>
                <w:kern w:val="21"/>
                <w:szCs w:val="21"/>
              </w:rPr>
              <w:t>①</w:t>
            </w:r>
            <w:r>
              <w:rPr>
                <w:rFonts w:ascii="Times New Roman" w:eastAsia="新宋体"/>
                <w:snapToGrid w:val="0"/>
                <w:color w:val="auto"/>
                <w:kern w:val="21"/>
                <w:szCs w:val="21"/>
              </w:rPr>
              <w:fldChar w:fldCharType="end"/>
            </w:r>
          </w:p>
        </w:tc>
        <w:tc>
          <w:tcPr>
            <w:tcW w:w="1328" w:type="dxa"/>
            <w:tcMar>
              <w:left w:w="28" w:type="dxa"/>
              <w:right w:w="28" w:type="dxa"/>
            </w:tcMar>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现有工程</w:t>
            </w:r>
          </w:p>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许可排放量</w:t>
            </w:r>
          </w:p>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fldChar w:fldCharType="begin"/>
            </w:r>
            <w:r>
              <w:rPr>
                <w:rFonts w:ascii="Times New Roman" w:eastAsia="新宋体"/>
                <w:snapToGrid w:val="0"/>
                <w:color w:val="auto"/>
                <w:kern w:val="21"/>
                <w:szCs w:val="21"/>
              </w:rPr>
              <w:instrText xml:space="preserve"> = 2 \* GB3 \* MERGEFORMAT </w:instrText>
            </w:r>
            <w:r>
              <w:rPr>
                <w:rFonts w:ascii="Times New Roman" w:eastAsia="新宋体"/>
                <w:snapToGrid w:val="0"/>
                <w:color w:val="auto"/>
                <w:kern w:val="21"/>
                <w:szCs w:val="21"/>
              </w:rPr>
              <w:fldChar w:fldCharType="separate"/>
            </w:r>
            <w:r>
              <w:rPr>
                <w:rFonts w:hint="eastAsia" w:ascii="Times New Roman" w:eastAsia="新宋体" w:cs="宋体"/>
                <w:snapToGrid w:val="0"/>
                <w:color w:val="auto"/>
                <w:kern w:val="21"/>
                <w:szCs w:val="21"/>
              </w:rPr>
              <w:t>②</w:t>
            </w:r>
            <w:r>
              <w:rPr>
                <w:rFonts w:ascii="Times New Roman" w:eastAsia="新宋体"/>
                <w:snapToGrid w:val="0"/>
                <w:color w:val="auto"/>
                <w:kern w:val="21"/>
                <w:szCs w:val="21"/>
              </w:rPr>
              <w:fldChar w:fldCharType="end"/>
            </w:r>
          </w:p>
        </w:tc>
        <w:tc>
          <w:tcPr>
            <w:tcW w:w="1774" w:type="dxa"/>
            <w:tcMar>
              <w:left w:w="28" w:type="dxa"/>
              <w:right w:w="28" w:type="dxa"/>
            </w:tcMar>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在建工程</w:t>
            </w:r>
          </w:p>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排放量（固体废物产生量）</w:t>
            </w:r>
            <w:r>
              <w:rPr>
                <w:rFonts w:ascii="Times New Roman" w:eastAsia="新宋体"/>
                <w:snapToGrid w:val="0"/>
                <w:color w:val="auto"/>
                <w:kern w:val="21"/>
                <w:szCs w:val="21"/>
              </w:rPr>
              <w:fldChar w:fldCharType="begin"/>
            </w:r>
            <w:r>
              <w:rPr>
                <w:rFonts w:ascii="Times New Roman" w:eastAsia="新宋体"/>
                <w:snapToGrid w:val="0"/>
                <w:color w:val="auto"/>
                <w:kern w:val="21"/>
                <w:szCs w:val="21"/>
              </w:rPr>
              <w:instrText xml:space="preserve"> = 3 \* GB3 \* MERGEFORMAT </w:instrText>
            </w:r>
            <w:r>
              <w:rPr>
                <w:rFonts w:ascii="Times New Roman" w:eastAsia="新宋体"/>
                <w:snapToGrid w:val="0"/>
                <w:color w:val="auto"/>
                <w:kern w:val="21"/>
                <w:szCs w:val="21"/>
              </w:rPr>
              <w:fldChar w:fldCharType="separate"/>
            </w:r>
            <w:r>
              <w:rPr>
                <w:rFonts w:hint="eastAsia" w:ascii="Times New Roman" w:eastAsia="新宋体" w:cs="宋体"/>
                <w:color w:val="auto"/>
                <w:kern w:val="21"/>
                <w:szCs w:val="21"/>
              </w:rPr>
              <w:t>③</w:t>
            </w:r>
            <w:r>
              <w:rPr>
                <w:rFonts w:ascii="Times New Roman" w:eastAsia="新宋体"/>
                <w:snapToGrid w:val="0"/>
                <w:color w:val="auto"/>
                <w:kern w:val="21"/>
                <w:szCs w:val="21"/>
              </w:rPr>
              <w:fldChar w:fldCharType="end"/>
            </w:r>
          </w:p>
        </w:tc>
        <w:tc>
          <w:tcPr>
            <w:tcW w:w="1625" w:type="dxa"/>
            <w:tcMar>
              <w:left w:w="28" w:type="dxa"/>
              <w:right w:w="28" w:type="dxa"/>
            </w:tcMar>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本项目</w:t>
            </w:r>
          </w:p>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排放量（固体废物产生量）</w:t>
            </w:r>
            <w:r>
              <w:rPr>
                <w:rFonts w:ascii="Times New Roman" w:eastAsia="新宋体"/>
                <w:snapToGrid w:val="0"/>
                <w:color w:val="auto"/>
                <w:kern w:val="21"/>
                <w:szCs w:val="21"/>
              </w:rPr>
              <w:fldChar w:fldCharType="begin"/>
            </w:r>
            <w:r>
              <w:rPr>
                <w:rFonts w:ascii="Times New Roman" w:eastAsia="新宋体"/>
                <w:snapToGrid w:val="0"/>
                <w:color w:val="auto"/>
                <w:kern w:val="21"/>
                <w:szCs w:val="21"/>
              </w:rPr>
              <w:instrText xml:space="preserve"> = 4 \* GB3 \* MERGEFORMAT </w:instrText>
            </w:r>
            <w:r>
              <w:rPr>
                <w:rFonts w:ascii="Times New Roman" w:eastAsia="新宋体"/>
                <w:snapToGrid w:val="0"/>
                <w:color w:val="auto"/>
                <w:kern w:val="21"/>
                <w:szCs w:val="21"/>
              </w:rPr>
              <w:fldChar w:fldCharType="separate"/>
            </w:r>
            <w:r>
              <w:rPr>
                <w:rFonts w:hint="eastAsia" w:ascii="Times New Roman" w:eastAsia="新宋体" w:cs="宋体"/>
                <w:color w:val="auto"/>
                <w:kern w:val="21"/>
                <w:szCs w:val="21"/>
              </w:rPr>
              <w:t>④</w:t>
            </w:r>
            <w:r>
              <w:rPr>
                <w:rFonts w:ascii="Times New Roman" w:eastAsia="新宋体"/>
                <w:snapToGrid w:val="0"/>
                <w:color w:val="auto"/>
                <w:kern w:val="21"/>
                <w:szCs w:val="21"/>
              </w:rPr>
              <w:fldChar w:fldCharType="end"/>
            </w:r>
          </w:p>
        </w:tc>
        <w:tc>
          <w:tcPr>
            <w:tcW w:w="1836" w:type="dxa"/>
            <w:tcMar>
              <w:left w:w="28" w:type="dxa"/>
              <w:right w:w="28" w:type="dxa"/>
            </w:tcMar>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以新带老削减量</w:t>
            </w:r>
          </w:p>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（新建项目不填）</w:t>
            </w:r>
            <w:r>
              <w:rPr>
                <w:rFonts w:ascii="Times New Roman" w:eastAsia="新宋体"/>
                <w:snapToGrid w:val="0"/>
                <w:color w:val="auto"/>
                <w:kern w:val="21"/>
                <w:szCs w:val="21"/>
              </w:rPr>
              <w:fldChar w:fldCharType="begin"/>
            </w:r>
            <w:r>
              <w:rPr>
                <w:rFonts w:ascii="Times New Roman" w:eastAsia="新宋体"/>
                <w:snapToGrid w:val="0"/>
                <w:color w:val="auto"/>
                <w:kern w:val="21"/>
                <w:szCs w:val="21"/>
              </w:rPr>
              <w:instrText xml:space="preserve"> = 5 \* GB3 \* MERGEFORMAT </w:instrText>
            </w:r>
            <w:r>
              <w:rPr>
                <w:rFonts w:ascii="Times New Roman" w:eastAsia="新宋体"/>
                <w:snapToGrid w:val="0"/>
                <w:color w:val="auto"/>
                <w:kern w:val="21"/>
                <w:szCs w:val="21"/>
              </w:rPr>
              <w:fldChar w:fldCharType="separate"/>
            </w:r>
            <w:r>
              <w:rPr>
                <w:rFonts w:hint="eastAsia" w:ascii="Times New Roman" w:eastAsia="新宋体" w:cs="宋体"/>
                <w:color w:val="auto"/>
                <w:kern w:val="21"/>
                <w:szCs w:val="21"/>
              </w:rPr>
              <w:t>⑤</w:t>
            </w:r>
            <w:r>
              <w:rPr>
                <w:rFonts w:ascii="Times New Roman" w:eastAsia="新宋体"/>
                <w:snapToGrid w:val="0"/>
                <w:color w:val="auto"/>
                <w:kern w:val="21"/>
                <w:szCs w:val="21"/>
              </w:rPr>
              <w:fldChar w:fldCharType="end"/>
            </w:r>
          </w:p>
        </w:tc>
        <w:tc>
          <w:tcPr>
            <w:tcW w:w="2041" w:type="dxa"/>
            <w:tcMar>
              <w:left w:w="28" w:type="dxa"/>
              <w:right w:w="28" w:type="dxa"/>
            </w:tcMar>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本项目建成后</w:t>
            </w:r>
          </w:p>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全厂排放量（固体废物产生量）</w:t>
            </w:r>
            <w:r>
              <w:rPr>
                <w:rFonts w:ascii="Times New Roman" w:eastAsia="新宋体"/>
                <w:snapToGrid w:val="0"/>
                <w:color w:val="auto"/>
                <w:kern w:val="21"/>
                <w:szCs w:val="21"/>
              </w:rPr>
              <w:fldChar w:fldCharType="begin"/>
            </w:r>
            <w:r>
              <w:rPr>
                <w:rFonts w:ascii="Times New Roman" w:eastAsia="新宋体"/>
                <w:snapToGrid w:val="0"/>
                <w:color w:val="auto"/>
                <w:kern w:val="21"/>
                <w:szCs w:val="21"/>
              </w:rPr>
              <w:instrText xml:space="preserve"> = 6 \* GB3 \* MERGEFORMAT </w:instrText>
            </w:r>
            <w:r>
              <w:rPr>
                <w:rFonts w:ascii="Times New Roman" w:eastAsia="新宋体"/>
                <w:snapToGrid w:val="0"/>
                <w:color w:val="auto"/>
                <w:kern w:val="21"/>
                <w:szCs w:val="21"/>
              </w:rPr>
              <w:fldChar w:fldCharType="separate"/>
            </w:r>
            <w:r>
              <w:rPr>
                <w:rFonts w:hint="eastAsia" w:ascii="Times New Roman" w:eastAsia="新宋体" w:cs="宋体"/>
                <w:color w:val="auto"/>
                <w:kern w:val="21"/>
                <w:szCs w:val="21"/>
              </w:rPr>
              <w:t>⑥</w:t>
            </w:r>
            <w:r>
              <w:rPr>
                <w:rFonts w:ascii="Times New Roman" w:eastAsia="新宋体"/>
                <w:snapToGrid w:val="0"/>
                <w:color w:val="auto"/>
                <w:kern w:val="21"/>
                <w:szCs w:val="21"/>
              </w:rPr>
              <w:fldChar w:fldCharType="end"/>
            </w:r>
          </w:p>
        </w:tc>
        <w:tc>
          <w:tcPr>
            <w:tcW w:w="1335" w:type="dxa"/>
            <w:tcMar>
              <w:left w:w="28" w:type="dxa"/>
              <w:right w:w="28" w:type="dxa"/>
            </w:tcMar>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变化量</w:t>
            </w:r>
          </w:p>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fldChar w:fldCharType="begin"/>
            </w:r>
            <w:r>
              <w:rPr>
                <w:rFonts w:ascii="Times New Roman" w:eastAsia="新宋体"/>
                <w:snapToGrid w:val="0"/>
                <w:color w:val="auto"/>
                <w:kern w:val="21"/>
                <w:szCs w:val="21"/>
              </w:rPr>
              <w:instrText xml:space="preserve"> = 7 \* GB3 \* MERGEFORMAT </w:instrText>
            </w:r>
            <w:r>
              <w:rPr>
                <w:rFonts w:ascii="Times New Roman" w:eastAsia="新宋体"/>
                <w:snapToGrid w:val="0"/>
                <w:color w:val="auto"/>
                <w:kern w:val="21"/>
                <w:szCs w:val="21"/>
              </w:rPr>
              <w:fldChar w:fldCharType="separate"/>
            </w:r>
            <w:r>
              <w:rPr>
                <w:rFonts w:hint="eastAsia" w:ascii="Times New Roman" w:eastAsia="新宋体" w:cs="宋体"/>
                <w:color w:val="auto"/>
                <w:kern w:val="21"/>
                <w:szCs w:val="21"/>
              </w:rPr>
              <w:t>⑦</w:t>
            </w:r>
            <w:r>
              <w:rPr>
                <w:rFonts w:ascii="Times New Roman" w:eastAsia="新宋体"/>
                <w:snapToGrid w:val="0"/>
                <w:color w:val="auto"/>
                <w:kern w:val="21"/>
                <w:szCs w:val="21"/>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655" w:type="dxa"/>
            <w:vMerge w:val="restart"/>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废气</w:t>
            </w:r>
          </w:p>
        </w:tc>
        <w:tc>
          <w:tcPr>
            <w:tcW w:w="1477" w:type="dxa"/>
            <w:vAlign w:val="center"/>
          </w:tcPr>
          <w:p>
            <w:pPr>
              <w:pStyle w:val="61"/>
              <w:spacing w:beforeLines="0" w:afterLines="0" w:line="240" w:lineRule="auto"/>
              <w:rPr>
                <w:rFonts w:ascii="Times New Roman" w:eastAsia="新宋体"/>
                <w:snapToGrid w:val="0"/>
                <w:color w:val="auto"/>
                <w:kern w:val="21"/>
                <w:szCs w:val="21"/>
              </w:rPr>
            </w:pPr>
            <w:r>
              <w:rPr>
                <w:rFonts w:hint="eastAsia" w:ascii="Times New Roman" w:eastAsia="新宋体"/>
                <w:snapToGrid w:val="0"/>
                <w:color w:val="auto"/>
                <w:kern w:val="21"/>
                <w:szCs w:val="21"/>
              </w:rPr>
              <w:t>非甲烷总烃（t/a）</w:t>
            </w:r>
          </w:p>
        </w:tc>
        <w:tc>
          <w:tcPr>
            <w:tcW w:w="1774"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w:t>
            </w:r>
          </w:p>
        </w:tc>
        <w:tc>
          <w:tcPr>
            <w:tcW w:w="1328"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w:t>
            </w:r>
          </w:p>
        </w:tc>
        <w:tc>
          <w:tcPr>
            <w:tcW w:w="1774"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w:t>
            </w:r>
          </w:p>
        </w:tc>
        <w:tc>
          <w:tcPr>
            <w:tcW w:w="1625" w:type="dxa"/>
            <w:vAlign w:val="center"/>
          </w:tcPr>
          <w:p>
            <w:pPr>
              <w:pStyle w:val="61"/>
              <w:spacing w:beforeLines="0" w:afterLines="0" w:line="240" w:lineRule="auto"/>
              <w:rPr>
                <w:rFonts w:hint="default" w:ascii="Times New Roman" w:eastAsia="新宋体"/>
                <w:snapToGrid w:val="0"/>
                <w:color w:val="auto"/>
                <w:kern w:val="21"/>
                <w:szCs w:val="21"/>
                <w:lang w:val="en-US" w:eastAsia="zh-CN"/>
              </w:rPr>
            </w:pPr>
            <w:r>
              <w:rPr>
                <w:rFonts w:ascii="Times New Roman" w:eastAsia="新宋体"/>
                <w:snapToGrid w:val="0"/>
                <w:color w:val="auto"/>
                <w:kern w:val="21"/>
                <w:szCs w:val="21"/>
              </w:rPr>
              <w:t>0.</w:t>
            </w:r>
            <w:r>
              <w:rPr>
                <w:rFonts w:hint="eastAsia" w:ascii="Times New Roman" w:eastAsia="新宋体"/>
                <w:snapToGrid w:val="0"/>
                <w:color w:val="auto"/>
                <w:kern w:val="21"/>
                <w:szCs w:val="21"/>
              </w:rPr>
              <w:t>0378</w:t>
            </w:r>
            <w:r>
              <w:rPr>
                <w:rFonts w:hint="eastAsia" w:ascii="Times New Roman" w:eastAsia="新宋体"/>
                <w:snapToGrid w:val="0"/>
                <w:color w:val="auto"/>
                <w:kern w:val="21"/>
                <w:szCs w:val="21"/>
                <w:lang w:val="en-US" w:eastAsia="zh-CN"/>
              </w:rPr>
              <w:t>t/a</w:t>
            </w:r>
          </w:p>
        </w:tc>
        <w:tc>
          <w:tcPr>
            <w:tcW w:w="1836"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w:t>
            </w:r>
          </w:p>
        </w:tc>
        <w:tc>
          <w:tcPr>
            <w:tcW w:w="2041"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w:t>
            </w:r>
            <w:r>
              <w:rPr>
                <w:rFonts w:hint="eastAsia" w:ascii="Times New Roman" w:eastAsia="新宋体"/>
                <w:snapToGrid w:val="0"/>
                <w:color w:val="auto"/>
                <w:kern w:val="21"/>
                <w:szCs w:val="21"/>
              </w:rPr>
              <w:t>0378</w:t>
            </w:r>
            <w:r>
              <w:rPr>
                <w:rFonts w:hint="eastAsia" w:ascii="Times New Roman" w:eastAsia="新宋体"/>
                <w:snapToGrid w:val="0"/>
                <w:color w:val="auto"/>
                <w:kern w:val="21"/>
                <w:szCs w:val="21"/>
                <w:lang w:val="en-US" w:eastAsia="zh-CN"/>
              </w:rPr>
              <w:t>t/a</w:t>
            </w:r>
          </w:p>
        </w:tc>
        <w:tc>
          <w:tcPr>
            <w:tcW w:w="1335" w:type="dxa"/>
            <w:vAlign w:val="center"/>
          </w:tcPr>
          <w:p>
            <w:pPr>
              <w:pStyle w:val="61"/>
              <w:spacing w:beforeLines="0" w:afterLines="0" w:line="240" w:lineRule="auto"/>
              <w:rPr>
                <w:rFonts w:ascii="Times New Roman" w:eastAsia="新宋体"/>
                <w:snapToGrid w:val="0"/>
                <w:color w:val="auto"/>
                <w:kern w:val="21"/>
                <w:szCs w:val="21"/>
              </w:rPr>
            </w:pPr>
            <w:r>
              <w:rPr>
                <w:rFonts w:hint="eastAsia" w:ascii="Times New Roman" w:eastAsia="新宋体"/>
                <w:snapToGrid w:val="0"/>
                <w:color w:val="auto"/>
                <w:kern w:val="21"/>
                <w:szCs w:val="21"/>
              </w:rPr>
              <w:t>+</w:t>
            </w:r>
            <w:r>
              <w:rPr>
                <w:rFonts w:ascii="Times New Roman" w:eastAsia="新宋体"/>
                <w:snapToGrid w:val="0"/>
                <w:color w:val="auto"/>
                <w:kern w:val="21"/>
                <w:szCs w:val="21"/>
              </w:rPr>
              <w:t>0.</w:t>
            </w:r>
            <w:r>
              <w:rPr>
                <w:rFonts w:hint="eastAsia" w:ascii="Times New Roman" w:eastAsia="新宋体"/>
                <w:snapToGrid w:val="0"/>
                <w:color w:val="auto"/>
                <w:kern w:val="21"/>
                <w:szCs w:val="21"/>
              </w:rPr>
              <w:t>0378</w:t>
            </w:r>
            <w:r>
              <w:rPr>
                <w:rFonts w:hint="eastAsia" w:ascii="Times New Roman" w:eastAsia="新宋体"/>
                <w:snapToGrid w:val="0"/>
                <w:color w:val="auto"/>
                <w:kern w:val="21"/>
                <w:szCs w:val="21"/>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655" w:type="dxa"/>
            <w:vMerge w:val="continue"/>
            <w:vAlign w:val="center"/>
          </w:tcPr>
          <w:p>
            <w:pPr>
              <w:pStyle w:val="61"/>
              <w:spacing w:beforeLines="0" w:afterLines="0" w:line="240" w:lineRule="auto"/>
              <w:rPr>
                <w:rFonts w:ascii="Times New Roman" w:eastAsia="新宋体"/>
                <w:snapToGrid w:val="0"/>
                <w:color w:val="auto"/>
                <w:kern w:val="21"/>
                <w:szCs w:val="21"/>
              </w:rPr>
            </w:pPr>
          </w:p>
        </w:tc>
        <w:tc>
          <w:tcPr>
            <w:tcW w:w="1477" w:type="dxa"/>
            <w:vAlign w:val="center"/>
          </w:tcPr>
          <w:p>
            <w:pPr>
              <w:pStyle w:val="61"/>
              <w:spacing w:beforeLines="0" w:afterLines="0" w:line="240" w:lineRule="auto"/>
              <w:rPr>
                <w:rFonts w:ascii="Times New Roman" w:eastAsia="新宋体"/>
                <w:snapToGrid w:val="0"/>
                <w:color w:val="auto"/>
                <w:kern w:val="21"/>
                <w:szCs w:val="21"/>
              </w:rPr>
            </w:pPr>
            <w:r>
              <w:rPr>
                <w:rFonts w:hint="eastAsia" w:ascii="Times New Roman" w:eastAsia="新宋体"/>
                <w:snapToGrid w:val="0"/>
                <w:color w:val="auto"/>
                <w:kern w:val="21"/>
                <w:szCs w:val="21"/>
              </w:rPr>
              <w:t>颗粒物（t/a）</w:t>
            </w:r>
          </w:p>
        </w:tc>
        <w:tc>
          <w:tcPr>
            <w:tcW w:w="1774"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w:t>
            </w:r>
          </w:p>
        </w:tc>
        <w:tc>
          <w:tcPr>
            <w:tcW w:w="1328"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w:t>
            </w:r>
          </w:p>
        </w:tc>
        <w:tc>
          <w:tcPr>
            <w:tcW w:w="1774"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w:t>
            </w:r>
          </w:p>
        </w:tc>
        <w:tc>
          <w:tcPr>
            <w:tcW w:w="1625"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0.0</w:t>
            </w:r>
            <w:r>
              <w:rPr>
                <w:rFonts w:hint="eastAsia" w:ascii="Times New Roman" w:eastAsia="新宋体"/>
                <w:snapToGrid w:val="0"/>
                <w:color w:val="auto"/>
                <w:kern w:val="21"/>
                <w:szCs w:val="21"/>
              </w:rPr>
              <w:t>7997</w:t>
            </w:r>
            <w:r>
              <w:rPr>
                <w:rFonts w:hint="eastAsia" w:ascii="Times New Roman" w:eastAsia="新宋体"/>
                <w:snapToGrid w:val="0"/>
                <w:color w:val="auto"/>
                <w:kern w:val="21"/>
                <w:szCs w:val="21"/>
                <w:lang w:val="en-US" w:eastAsia="zh-CN"/>
              </w:rPr>
              <w:t>t/a</w:t>
            </w:r>
          </w:p>
        </w:tc>
        <w:tc>
          <w:tcPr>
            <w:tcW w:w="1836"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w:t>
            </w:r>
          </w:p>
        </w:tc>
        <w:tc>
          <w:tcPr>
            <w:tcW w:w="2041"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0.0</w:t>
            </w:r>
            <w:r>
              <w:rPr>
                <w:rFonts w:hint="eastAsia" w:ascii="Times New Roman" w:eastAsia="新宋体"/>
                <w:snapToGrid w:val="0"/>
                <w:color w:val="auto"/>
                <w:kern w:val="21"/>
                <w:szCs w:val="21"/>
              </w:rPr>
              <w:t>7997</w:t>
            </w:r>
            <w:r>
              <w:rPr>
                <w:rFonts w:hint="eastAsia" w:ascii="Times New Roman" w:eastAsia="新宋体"/>
                <w:snapToGrid w:val="0"/>
                <w:color w:val="auto"/>
                <w:kern w:val="21"/>
                <w:szCs w:val="21"/>
                <w:lang w:val="en-US" w:eastAsia="zh-CN"/>
              </w:rPr>
              <w:t>t/a</w:t>
            </w:r>
          </w:p>
        </w:tc>
        <w:tc>
          <w:tcPr>
            <w:tcW w:w="1335" w:type="dxa"/>
            <w:vAlign w:val="center"/>
          </w:tcPr>
          <w:p>
            <w:pPr>
              <w:pStyle w:val="61"/>
              <w:spacing w:beforeLines="0" w:afterLines="0" w:line="240" w:lineRule="auto"/>
              <w:rPr>
                <w:rFonts w:ascii="Times New Roman" w:eastAsia="新宋体"/>
                <w:snapToGrid w:val="0"/>
                <w:color w:val="auto"/>
                <w:kern w:val="21"/>
                <w:szCs w:val="21"/>
              </w:rPr>
            </w:pPr>
            <w:r>
              <w:rPr>
                <w:rFonts w:hint="eastAsia" w:ascii="Times New Roman" w:eastAsia="新宋体"/>
                <w:snapToGrid w:val="0"/>
                <w:color w:val="auto"/>
                <w:kern w:val="21"/>
                <w:szCs w:val="21"/>
              </w:rPr>
              <w:t>+</w:t>
            </w:r>
            <w:r>
              <w:rPr>
                <w:rFonts w:ascii="Times New Roman" w:eastAsia="新宋体"/>
                <w:snapToGrid w:val="0"/>
                <w:color w:val="auto"/>
                <w:kern w:val="21"/>
                <w:szCs w:val="21"/>
              </w:rPr>
              <w:t>0.0</w:t>
            </w:r>
            <w:r>
              <w:rPr>
                <w:rFonts w:hint="eastAsia" w:ascii="Times New Roman" w:eastAsia="新宋体"/>
                <w:snapToGrid w:val="0"/>
                <w:color w:val="auto"/>
                <w:kern w:val="21"/>
                <w:szCs w:val="21"/>
              </w:rPr>
              <w:t>7997</w:t>
            </w:r>
            <w:r>
              <w:rPr>
                <w:rFonts w:hint="eastAsia" w:ascii="Times New Roman" w:eastAsia="新宋体"/>
                <w:snapToGrid w:val="0"/>
                <w:color w:val="auto"/>
                <w:kern w:val="21"/>
                <w:szCs w:val="21"/>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655" w:type="dxa"/>
            <w:vMerge w:val="restart"/>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废水</w:t>
            </w:r>
          </w:p>
        </w:tc>
        <w:tc>
          <w:tcPr>
            <w:tcW w:w="1477"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color w:val="auto"/>
                <w:szCs w:val="21"/>
              </w:rPr>
              <w:t>废水量（万吨/年）</w:t>
            </w:r>
          </w:p>
        </w:tc>
        <w:tc>
          <w:tcPr>
            <w:tcW w:w="1774"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w:t>
            </w:r>
          </w:p>
        </w:tc>
        <w:tc>
          <w:tcPr>
            <w:tcW w:w="1328"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w:t>
            </w:r>
          </w:p>
        </w:tc>
        <w:tc>
          <w:tcPr>
            <w:tcW w:w="1774"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w:t>
            </w:r>
          </w:p>
        </w:tc>
        <w:tc>
          <w:tcPr>
            <w:tcW w:w="1625"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0.0</w:t>
            </w:r>
            <w:r>
              <w:rPr>
                <w:rFonts w:hint="eastAsia" w:ascii="Times New Roman" w:eastAsia="新宋体"/>
                <w:snapToGrid w:val="0"/>
                <w:color w:val="auto"/>
                <w:kern w:val="21"/>
                <w:szCs w:val="21"/>
              </w:rPr>
              <w:t>08</w:t>
            </w:r>
            <w:r>
              <w:rPr>
                <w:rFonts w:hint="eastAsia" w:ascii="Times New Roman" w:eastAsia="新宋体"/>
                <w:snapToGrid w:val="0"/>
                <w:color w:val="auto"/>
                <w:kern w:val="21"/>
                <w:szCs w:val="21"/>
                <w:lang w:val="en-US" w:eastAsia="zh-CN"/>
              </w:rPr>
              <w:t>t/a</w:t>
            </w:r>
          </w:p>
        </w:tc>
        <w:tc>
          <w:tcPr>
            <w:tcW w:w="1836"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w:t>
            </w:r>
          </w:p>
        </w:tc>
        <w:tc>
          <w:tcPr>
            <w:tcW w:w="2041"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0.0</w:t>
            </w:r>
            <w:r>
              <w:rPr>
                <w:rFonts w:hint="eastAsia" w:ascii="Times New Roman" w:eastAsia="新宋体"/>
                <w:snapToGrid w:val="0"/>
                <w:color w:val="auto"/>
                <w:kern w:val="21"/>
                <w:szCs w:val="21"/>
              </w:rPr>
              <w:t>08</w:t>
            </w:r>
            <w:r>
              <w:rPr>
                <w:rFonts w:hint="eastAsia" w:ascii="Times New Roman" w:eastAsia="新宋体"/>
                <w:snapToGrid w:val="0"/>
                <w:color w:val="auto"/>
                <w:kern w:val="21"/>
                <w:szCs w:val="21"/>
                <w:lang w:val="en-US" w:eastAsia="zh-CN"/>
              </w:rPr>
              <w:t>t/a</w:t>
            </w:r>
          </w:p>
        </w:tc>
        <w:tc>
          <w:tcPr>
            <w:tcW w:w="1335" w:type="dxa"/>
            <w:vAlign w:val="center"/>
          </w:tcPr>
          <w:p>
            <w:pPr>
              <w:pStyle w:val="61"/>
              <w:spacing w:beforeLines="0" w:afterLines="0" w:line="240" w:lineRule="auto"/>
              <w:rPr>
                <w:rFonts w:ascii="Times New Roman" w:eastAsia="新宋体"/>
                <w:snapToGrid w:val="0"/>
                <w:color w:val="auto"/>
                <w:kern w:val="21"/>
                <w:szCs w:val="21"/>
              </w:rPr>
            </w:pPr>
            <w:r>
              <w:rPr>
                <w:rFonts w:hint="eastAsia" w:ascii="Times New Roman" w:eastAsia="新宋体"/>
                <w:snapToGrid w:val="0"/>
                <w:color w:val="auto"/>
                <w:kern w:val="21"/>
                <w:szCs w:val="21"/>
              </w:rPr>
              <w:t>+</w:t>
            </w:r>
            <w:r>
              <w:rPr>
                <w:rFonts w:ascii="Times New Roman" w:eastAsia="新宋体"/>
                <w:snapToGrid w:val="0"/>
                <w:color w:val="auto"/>
                <w:kern w:val="21"/>
                <w:szCs w:val="21"/>
              </w:rPr>
              <w:t>0.0</w:t>
            </w:r>
            <w:r>
              <w:rPr>
                <w:rFonts w:hint="eastAsia" w:ascii="Times New Roman" w:eastAsia="新宋体"/>
                <w:snapToGrid w:val="0"/>
                <w:color w:val="auto"/>
                <w:kern w:val="21"/>
                <w:szCs w:val="21"/>
              </w:rPr>
              <w:t>08</w:t>
            </w:r>
            <w:r>
              <w:rPr>
                <w:rFonts w:hint="eastAsia" w:ascii="Times New Roman" w:eastAsia="新宋体"/>
                <w:snapToGrid w:val="0"/>
                <w:color w:val="auto"/>
                <w:kern w:val="21"/>
                <w:szCs w:val="21"/>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655" w:type="dxa"/>
            <w:vMerge w:val="continue"/>
            <w:vAlign w:val="center"/>
          </w:tcPr>
          <w:p>
            <w:pPr>
              <w:pStyle w:val="61"/>
              <w:spacing w:beforeLines="0" w:afterLines="0" w:line="240" w:lineRule="auto"/>
              <w:rPr>
                <w:rFonts w:ascii="Times New Roman" w:eastAsia="新宋体"/>
                <w:snapToGrid w:val="0"/>
                <w:color w:val="auto"/>
                <w:kern w:val="21"/>
                <w:szCs w:val="21"/>
              </w:rPr>
            </w:pPr>
          </w:p>
        </w:tc>
        <w:tc>
          <w:tcPr>
            <w:tcW w:w="1477"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color w:val="auto"/>
                <w:szCs w:val="21"/>
              </w:rPr>
              <w:t>COD</w:t>
            </w:r>
            <w:r>
              <w:rPr>
                <w:rFonts w:ascii="Times New Roman" w:eastAsia="新宋体"/>
                <w:color w:val="auto"/>
                <w:szCs w:val="21"/>
                <w:vertAlign w:val="subscript"/>
              </w:rPr>
              <w:t>Cr</w:t>
            </w:r>
            <w:r>
              <w:rPr>
                <w:rFonts w:hint="eastAsia" w:ascii="Times New Roman" w:eastAsia="新宋体"/>
                <w:snapToGrid w:val="0"/>
                <w:color w:val="auto"/>
                <w:kern w:val="21"/>
                <w:szCs w:val="21"/>
              </w:rPr>
              <w:t>（t/a）</w:t>
            </w:r>
          </w:p>
        </w:tc>
        <w:tc>
          <w:tcPr>
            <w:tcW w:w="1774"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w:t>
            </w:r>
          </w:p>
        </w:tc>
        <w:tc>
          <w:tcPr>
            <w:tcW w:w="1328"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w:t>
            </w:r>
          </w:p>
        </w:tc>
        <w:tc>
          <w:tcPr>
            <w:tcW w:w="1774"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w:t>
            </w:r>
          </w:p>
        </w:tc>
        <w:tc>
          <w:tcPr>
            <w:tcW w:w="1625"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0.0</w:t>
            </w:r>
            <w:r>
              <w:rPr>
                <w:rFonts w:hint="eastAsia" w:ascii="Times New Roman" w:eastAsia="新宋体"/>
                <w:snapToGrid w:val="0"/>
                <w:color w:val="auto"/>
                <w:kern w:val="21"/>
                <w:szCs w:val="21"/>
                <w:lang w:val="en-US" w:eastAsia="zh-CN"/>
              </w:rPr>
              <w:t>96t/a</w:t>
            </w:r>
          </w:p>
        </w:tc>
        <w:tc>
          <w:tcPr>
            <w:tcW w:w="1836"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w:t>
            </w:r>
          </w:p>
        </w:tc>
        <w:tc>
          <w:tcPr>
            <w:tcW w:w="2041"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0.0</w:t>
            </w:r>
            <w:r>
              <w:rPr>
                <w:rFonts w:hint="eastAsia" w:ascii="Times New Roman" w:eastAsia="新宋体"/>
                <w:snapToGrid w:val="0"/>
                <w:color w:val="auto"/>
                <w:kern w:val="21"/>
                <w:szCs w:val="21"/>
                <w:lang w:val="en-US" w:eastAsia="zh-CN"/>
              </w:rPr>
              <w:t>96t/a</w:t>
            </w:r>
          </w:p>
        </w:tc>
        <w:tc>
          <w:tcPr>
            <w:tcW w:w="1335" w:type="dxa"/>
            <w:vAlign w:val="center"/>
          </w:tcPr>
          <w:p>
            <w:pPr>
              <w:pStyle w:val="61"/>
              <w:spacing w:beforeLines="0" w:afterLines="0" w:line="240" w:lineRule="auto"/>
              <w:rPr>
                <w:rFonts w:ascii="Times New Roman" w:eastAsia="新宋体"/>
                <w:snapToGrid w:val="0"/>
                <w:color w:val="auto"/>
                <w:kern w:val="21"/>
                <w:szCs w:val="21"/>
              </w:rPr>
            </w:pPr>
            <w:r>
              <w:rPr>
                <w:rFonts w:hint="eastAsia" w:ascii="Times New Roman" w:eastAsia="新宋体"/>
                <w:snapToGrid w:val="0"/>
                <w:color w:val="auto"/>
                <w:kern w:val="21"/>
                <w:szCs w:val="21"/>
              </w:rPr>
              <w:t>+</w:t>
            </w:r>
            <w:r>
              <w:rPr>
                <w:rFonts w:ascii="Times New Roman" w:eastAsia="新宋体"/>
                <w:snapToGrid w:val="0"/>
                <w:color w:val="auto"/>
                <w:kern w:val="21"/>
                <w:szCs w:val="21"/>
              </w:rPr>
              <w:t>0.0</w:t>
            </w:r>
            <w:r>
              <w:rPr>
                <w:rFonts w:hint="eastAsia" w:ascii="Times New Roman" w:eastAsia="新宋体"/>
                <w:snapToGrid w:val="0"/>
                <w:color w:val="auto"/>
                <w:kern w:val="21"/>
                <w:szCs w:val="21"/>
                <w:lang w:val="en-US" w:eastAsia="zh-CN"/>
              </w:rPr>
              <w:t>96t/a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655" w:type="dxa"/>
            <w:vMerge w:val="continue"/>
            <w:vAlign w:val="center"/>
          </w:tcPr>
          <w:p>
            <w:pPr>
              <w:pStyle w:val="61"/>
              <w:spacing w:beforeLines="0" w:afterLines="0" w:line="240" w:lineRule="auto"/>
              <w:rPr>
                <w:rFonts w:ascii="Times New Roman" w:eastAsia="新宋体"/>
                <w:snapToGrid w:val="0"/>
                <w:color w:val="auto"/>
                <w:kern w:val="21"/>
                <w:szCs w:val="21"/>
              </w:rPr>
            </w:pPr>
          </w:p>
        </w:tc>
        <w:tc>
          <w:tcPr>
            <w:tcW w:w="1477"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color w:val="auto"/>
                <w:szCs w:val="21"/>
              </w:rPr>
              <w:t>NH</w:t>
            </w:r>
            <w:r>
              <w:rPr>
                <w:rFonts w:ascii="Times New Roman" w:eastAsia="新宋体"/>
                <w:color w:val="auto"/>
                <w:szCs w:val="21"/>
                <w:vertAlign w:val="subscript"/>
              </w:rPr>
              <w:t>3</w:t>
            </w:r>
            <w:r>
              <w:rPr>
                <w:rFonts w:ascii="Times New Roman" w:eastAsia="新宋体"/>
                <w:color w:val="auto"/>
                <w:szCs w:val="21"/>
              </w:rPr>
              <w:t>-N</w:t>
            </w:r>
            <w:r>
              <w:rPr>
                <w:rFonts w:hint="eastAsia" w:ascii="Times New Roman" w:eastAsia="新宋体"/>
                <w:snapToGrid w:val="0"/>
                <w:color w:val="auto"/>
                <w:kern w:val="21"/>
                <w:szCs w:val="21"/>
              </w:rPr>
              <w:t>（t/a）</w:t>
            </w:r>
          </w:p>
        </w:tc>
        <w:tc>
          <w:tcPr>
            <w:tcW w:w="1774"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w:t>
            </w:r>
          </w:p>
        </w:tc>
        <w:tc>
          <w:tcPr>
            <w:tcW w:w="1328"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w:t>
            </w:r>
          </w:p>
        </w:tc>
        <w:tc>
          <w:tcPr>
            <w:tcW w:w="1774"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w:t>
            </w:r>
          </w:p>
        </w:tc>
        <w:tc>
          <w:tcPr>
            <w:tcW w:w="1625"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0.00</w:t>
            </w:r>
            <w:r>
              <w:rPr>
                <w:rFonts w:hint="eastAsia" w:ascii="Times New Roman" w:eastAsia="新宋体"/>
                <w:snapToGrid w:val="0"/>
                <w:color w:val="auto"/>
                <w:kern w:val="21"/>
                <w:szCs w:val="21"/>
                <w:lang w:val="en-US" w:eastAsia="zh-CN"/>
              </w:rPr>
              <w:t>4</w:t>
            </w:r>
            <w:r>
              <w:rPr>
                <w:rFonts w:hint="eastAsia" w:ascii="Times New Roman" w:eastAsia="新宋体"/>
                <w:snapToGrid w:val="0"/>
                <w:color w:val="auto"/>
                <w:kern w:val="21"/>
                <w:szCs w:val="21"/>
              </w:rPr>
              <w:t>8</w:t>
            </w:r>
            <w:r>
              <w:rPr>
                <w:rFonts w:hint="eastAsia" w:ascii="Times New Roman" w:eastAsia="新宋体"/>
                <w:snapToGrid w:val="0"/>
                <w:color w:val="auto"/>
                <w:kern w:val="21"/>
                <w:szCs w:val="21"/>
                <w:lang w:val="en-US" w:eastAsia="zh-CN"/>
              </w:rPr>
              <w:t>t/a</w:t>
            </w:r>
          </w:p>
        </w:tc>
        <w:tc>
          <w:tcPr>
            <w:tcW w:w="1836"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w:t>
            </w:r>
          </w:p>
        </w:tc>
        <w:tc>
          <w:tcPr>
            <w:tcW w:w="2041"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0.00</w:t>
            </w:r>
            <w:r>
              <w:rPr>
                <w:rFonts w:hint="eastAsia" w:ascii="Times New Roman" w:eastAsia="新宋体"/>
                <w:snapToGrid w:val="0"/>
                <w:color w:val="auto"/>
                <w:kern w:val="21"/>
                <w:szCs w:val="21"/>
                <w:lang w:val="en-US" w:eastAsia="zh-CN"/>
              </w:rPr>
              <w:t>4</w:t>
            </w:r>
            <w:r>
              <w:rPr>
                <w:rFonts w:hint="eastAsia" w:ascii="Times New Roman" w:eastAsia="新宋体"/>
                <w:snapToGrid w:val="0"/>
                <w:color w:val="auto"/>
                <w:kern w:val="21"/>
                <w:szCs w:val="21"/>
              </w:rPr>
              <w:t>8</w:t>
            </w:r>
            <w:r>
              <w:rPr>
                <w:rFonts w:hint="eastAsia" w:ascii="Times New Roman" w:eastAsia="新宋体"/>
                <w:snapToGrid w:val="0"/>
                <w:color w:val="auto"/>
                <w:kern w:val="21"/>
                <w:szCs w:val="21"/>
                <w:lang w:val="en-US" w:eastAsia="zh-CN"/>
              </w:rPr>
              <w:t>t/a</w:t>
            </w:r>
          </w:p>
        </w:tc>
        <w:tc>
          <w:tcPr>
            <w:tcW w:w="1335" w:type="dxa"/>
            <w:vAlign w:val="center"/>
          </w:tcPr>
          <w:p>
            <w:pPr>
              <w:pStyle w:val="61"/>
              <w:spacing w:beforeLines="0" w:afterLines="0" w:line="240" w:lineRule="auto"/>
              <w:rPr>
                <w:rFonts w:ascii="Times New Roman" w:eastAsia="新宋体"/>
                <w:snapToGrid w:val="0"/>
                <w:color w:val="auto"/>
                <w:kern w:val="21"/>
                <w:szCs w:val="21"/>
              </w:rPr>
            </w:pPr>
            <w:r>
              <w:rPr>
                <w:rFonts w:hint="eastAsia" w:ascii="Times New Roman" w:eastAsia="新宋体"/>
                <w:snapToGrid w:val="0"/>
                <w:color w:val="auto"/>
                <w:kern w:val="21"/>
                <w:szCs w:val="21"/>
              </w:rPr>
              <w:t>+</w:t>
            </w:r>
            <w:r>
              <w:rPr>
                <w:rFonts w:ascii="Times New Roman" w:eastAsia="新宋体"/>
                <w:snapToGrid w:val="0"/>
                <w:color w:val="auto"/>
                <w:kern w:val="21"/>
                <w:szCs w:val="21"/>
              </w:rPr>
              <w:t>0.00</w:t>
            </w:r>
            <w:r>
              <w:rPr>
                <w:rFonts w:hint="eastAsia" w:ascii="Times New Roman" w:eastAsia="新宋体"/>
                <w:snapToGrid w:val="0"/>
                <w:color w:val="auto"/>
                <w:kern w:val="21"/>
                <w:szCs w:val="21"/>
                <w:lang w:val="en-US" w:eastAsia="zh-CN"/>
              </w:rPr>
              <w:t>4</w:t>
            </w:r>
            <w:r>
              <w:rPr>
                <w:rFonts w:hint="eastAsia" w:ascii="Times New Roman" w:eastAsia="新宋体"/>
                <w:snapToGrid w:val="0"/>
                <w:color w:val="auto"/>
                <w:kern w:val="21"/>
                <w:szCs w:val="21"/>
              </w:rPr>
              <w:t>8</w:t>
            </w:r>
            <w:r>
              <w:rPr>
                <w:rFonts w:hint="eastAsia" w:ascii="Times New Roman" w:eastAsia="新宋体"/>
                <w:snapToGrid w:val="0"/>
                <w:color w:val="auto"/>
                <w:kern w:val="21"/>
                <w:szCs w:val="21"/>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655" w:type="dxa"/>
            <w:vMerge w:val="restart"/>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一般工业</w:t>
            </w:r>
          </w:p>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固体废物</w:t>
            </w:r>
          </w:p>
        </w:tc>
        <w:tc>
          <w:tcPr>
            <w:tcW w:w="1477" w:type="dxa"/>
            <w:vAlign w:val="center"/>
          </w:tcPr>
          <w:p>
            <w:pPr>
              <w:adjustRightInd w:val="0"/>
              <w:snapToGrid w:val="0"/>
              <w:ind w:left="-105" w:leftChars="-50" w:right="-105" w:rightChars="-50"/>
              <w:jc w:val="center"/>
              <w:rPr>
                <w:rFonts w:eastAsia="新宋体"/>
                <w:color w:val="auto"/>
                <w:szCs w:val="21"/>
              </w:rPr>
            </w:pPr>
            <w:r>
              <w:rPr>
                <w:rFonts w:eastAsia="新宋体"/>
                <w:color w:val="auto"/>
                <w:szCs w:val="21"/>
              </w:rPr>
              <w:t>布袋除尘器收集的粉尘</w:t>
            </w:r>
            <w:r>
              <w:rPr>
                <w:rFonts w:hint="eastAsia" w:eastAsia="新宋体"/>
                <w:snapToGrid w:val="0"/>
                <w:color w:val="auto"/>
                <w:kern w:val="21"/>
                <w:szCs w:val="21"/>
              </w:rPr>
              <w:t>（t/a）</w:t>
            </w:r>
          </w:p>
        </w:tc>
        <w:tc>
          <w:tcPr>
            <w:tcW w:w="1774"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w:t>
            </w:r>
          </w:p>
        </w:tc>
        <w:tc>
          <w:tcPr>
            <w:tcW w:w="1328"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w:t>
            </w:r>
          </w:p>
        </w:tc>
        <w:tc>
          <w:tcPr>
            <w:tcW w:w="1774"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w:t>
            </w:r>
          </w:p>
        </w:tc>
        <w:tc>
          <w:tcPr>
            <w:tcW w:w="1625" w:type="dxa"/>
            <w:vAlign w:val="center"/>
          </w:tcPr>
          <w:p>
            <w:pPr>
              <w:pStyle w:val="61"/>
              <w:spacing w:beforeLines="0" w:afterLines="0" w:line="240" w:lineRule="auto"/>
              <w:rPr>
                <w:rFonts w:ascii="Times New Roman" w:eastAsia="新宋体"/>
                <w:snapToGrid w:val="0"/>
                <w:color w:val="auto"/>
                <w:kern w:val="21"/>
                <w:szCs w:val="21"/>
              </w:rPr>
            </w:pPr>
            <w:r>
              <w:rPr>
                <w:rFonts w:hint="eastAsia" w:ascii="Times New Roman" w:eastAsia="新宋体"/>
                <w:snapToGrid w:val="0"/>
                <w:color w:val="auto"/>
                <w:kern w:val="21"/>
                <w:szCs w:val="21"/>
              </w:rPr>
              <w:t>0.2452</w:t>
            </w:r>
            <w:r>
              <w:rPr>
                <w:rFonts w:hint="eastAsia" w:ascii="Times New Roman" w:eastAsia="新宋体"/>
                <w:snapToGrid w:val="0"/>
                <w:color w:val="auto"/>
                <w:kern w:val="21"/>
                <w:szCs w:val="21"/>
                <w:lang w:val="en-US" w:eastAsia="zh-CN"/>
              </w:rPr>
              <w:t>t/a</w:t>
            </w:r>
          </w:p>
        </w:tc>
        <w:tc>
          <w:tcPr>
            <w:tcW w:w="1836"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w:t>
            </w:r>
          </w:p>
        </w:tc>
        <w:tc>
          <w:tcPr>
            <w:tcW w:w="2041" w:type="dxa"/>
            <w:vAlign w:val="center"/>
          </w:tcPr>
          <w:p>
            <w:pPr>
              <w:pStyle w:val="61"/>
              <w:spacing w:beforeLines="0" w:afterLines="0" w:line="240" w:lineRule="auto"/>
              <w:rPr>
                <w:rFonts w:ascii="Times New Roman" w:eastAsia="新宋体"/>
                <w:snapToGrid w:val="0"/>
                <w:color w:val="auto"/>
                <w:kern w:val="21"/>
                <w:szCs w:val="21"/>
              </w:rPr>
            </w:pPr>
            <w:r>
              <w:rPr>
                <w:rFonts w:hint="eastAsia" w:ascii="Times New Roman" w:eastAsia="新宋体"/>
                <w:snapToGrid w:val="0"/>
                <w:color w:val="auto"/>
                <w:kern w:val="21"/>
                <w:szCs w:val="21"/>
              </w:rPr>
              <w:t>0.2452</w:t>
            </w:r>
            <w:r>
              <w:rPr>
                <w:rFonts w:hint="eastAsia" w:ascii="Times New Roman" w:eastAsia="新宋体"/>
                <w:snapToGrid w:val="0"/>
                <w:color w:val="auto"/>
                <w:kern w:val="21"/>
                <w:szCs w:val="21"/>
                <w:lang w:val="en-US" w:eastAsia="zh-CN"/>
              </w:rPr>
              <w:t>t/a</w:t>
            </w:r>
          </w:p>
        </w:tc>
        <w:tc>
          <w:tcPr>
            <w:tcW w:w="1335" w:type="dxa"/>
            <w:vAlign w:val="center"/>
          </w:tcPr>
          <w:p>
            <w:pPr>
              <w:pStyle w:val="61"/>
              <w:spacing w:beforeLines="0" w:afterLines="0" w:line="240" w:lineRule="auto"/>
              <w:rPr>
                <w:rFonts w:ascii="Times New Roman" w:eastAsia="新宋体"/>
                <w:snapToGrid w:val="0"/>
                <w:color w:val="auto"/>
                <w:kern w:val="21"/>
                <w:szCs w:val="21"/>
              </w:rPr>
            </w:pPr>
            <w:r>
              <w:rPr>
                <w:rFonts w:hint="eastAsia" w:ascii="Times New Roman" w:eastAsia="新宋体"/>
                <w:snapToGrid w:val="0"/>
                <w:color w:val="auto"/>
                <w:kern w:val="21"/>
                <w:szCs w:val="21"/>
              </w:rPr>
              <w:t>+0.2452</w:t>
            </w:r>
            <w:r>
              <w:rPr>
                <w:rFonts w:hint="eastAsia" w:ascii="Times New Roman" w:eastAsia="新宋体"/>
                <w:snapToGrid w:val="0"/>
                <w:color w:val="auto"/>
                <w:kern w:val="21"/>
                <w:szCs w:val="21"/>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1655" w:type="dxa"/>
            <w:vMerge w:val="continue"/>
            <w:vAlign w:val="center"/>
          </w:tcPr>
          <w:p>
            <w:pPr>
              <w:pStyle w:val="61"/>
              <w:spacing w:beforeLines="0" w:afterLines="0" w:line="240" w:lineRule="auto"/>
              <w:rPr>
                <w:rFonts w:ascii="Times New Roman" w:eastAsia="新宋体"/>
                <w:snapToGrid w:val="0"/>
                <w:color w:val="auto"/>
                <w:kern w:val="21"/>
                <w:szCs w:val="21"/>
              </w:rPr>
            </w:pPr>
          </w:p>
        </w:tc>
        <w:tc>
          <w:tcPr>
            <w:tcW w:w="1477" w:type="dxa"/>
            <w:vAlign w:val="center"/>
          </w:tcPr>
          <w:p>
            <w:pPr>
              <w:adjustRightInd w:val="0"/>
              <w:snapToGrid w:val="0"/>
              <w:ind w:left="-105" w:leftChars="-50" w:right="-105" w:rightChars="-50"/>
              <w:jc w:val="center"/>
              <w:rPr>
                <w:rFonts w:hint="default" w:eastAsia="新宋体"/>
                <w:color w:val="auto"/>
                <w:szCs w:val="21"/>
                <w:lang w:val="en-US" w:eastAsia="zh-CN"/>
              </w:rPr>
            </w:pPr>
            <w:r>
              <w:rPr>
                <w:rFonts w:hint="eastAsia" w:eastAsia="新宋体"/>
                <w:color w:val="auto"/>
                <w:szCs w:val="21"/>
                <w:lang w:val="en-US" w:eastAsia="zh-CN"/>
              </w:rPr>
              <w:t>废包装材料</w:t>
            </w:r>
            <w:r>
              <w:rPr>
                <w:rFonts w:hint="eastAsia" w:eastAsia="新宋体"/>
                <w:snapToGrid w:val="0"/>
                <w:color w:val="auto"/>
                <w:kern w:val="21"/>
                <w:szCs w:val="21"/>
              </w:rPr>
              <w:t>（t/a）</w:t>
            </w:r>
          </w:p>
        </w:tc>
        <w:tc>
          <w:tcPr>
            <w:tcW w:w="1774" w:type="dxa"/>
            <w:vAlign w:val="center"/>
          </w:tcPr>
          <w:p>
            <w:pPr>
              <w:pStyle w:val="61"/>
              <w:spacing w:beforeLines="0" w:afterLines="0" w:line="240" w:lineRule="auto"/>
              <w:rPr>
                <w:rFonts w:ascii="Times New Roman" w:hAnsi="Times New Roman" w:eastAsia="新宋体" w:cs="Times New Roman"/>
                <w:snapToGrid w:val="0"/>
                <w:color w:val="auto"/>
                <w:kern w:val="21"/>
                <w:sz w:val="21"/>
                <w:szCs w:val="21"/>
                <w:lang w:val="en-US" w:eastAsia="zh-CN" w:bidi="ar-SA"/>
              </w:rPr>
            </w:pPr>
            <w:r>
              <w:rPr>
                <w:rFonts w:ascii="Times New Roman" w:eastAsia="新宋体"/>
                <w:snapToGrid w:val="0"/>
                <w:color w:val="auto"/>
                <w:kern w:val="21"/>
                <w:szCs w:val="21"/>
              </w:rPr>
              <w:t>0</w:t>
            </w:r>
          </w:p>
        </w:tc>
        <w:tc>
          <w:tcPr>
            <w:tcW w:w="1328" w:type="dxa"/>
            <w:vAlign w:val="center"/>
          </w:tcPr>
          <w:p>
            <w:pPr>
              <w:pStyle w:val="61"/>
              <w:spacing w:beforeLines="0" w:afterLines="0" w:line="240" w:lineRule="auto"/>
              <w:rPr>
                <w:rFonts w:ascii="Times New Roman" w:hAnsi="Times New Roman" w:eastAsia="新宋体" w:cs="Times New Roman"/>
                <w:snapToGrid w:val="0"/>
                <w:color w:val="auto"/>
                <w:kern w:val="21"/>
                <w:sz w:val="21"/>
                <w:szCs w:val="21"/>
                <w:lang w:val="en-US" w:eastAsia="zh-CN" w:bidi="ar-SA"/>
              </w:rPr>
            </w:pPr>
            <w:r>
              <w:rPr>
                <w:rFonts w:ascii="Times New Roman" w:eastAsia="新宋体"/>
                <w:snapToGrid w:val="0"/>
                <w:color w:val="auto"/>
                <w:kern w:val="21"/>
                <w:szCs w:val="21"/>
              </w:rPr>
              <w:t>0</w:t>
            </w:r>
          </w:p>
        </w:tc>
        <w:tc>
          <w:tcPr>
            <w:tcW w:w="1774" w:type="dxa"/>
            <w:vAlign w:val="center"/>
          </w:tcPr>
          <w:p>
            <w:pPr>
              <w:pStyle w:val="61"/>
              <w:spacing w:beforeLines="0" w:afterLines="0" w:line="240" w:lineRule="auto"/>
              <w:rPr>
                <w:rFonts w:ascii="Times New Roman" w:hAnsi="Times New Roman" w:eastAsia="新宋体" w:cs="Times New Roman"/>
                <w:snapToGrid w:val="0"/>
                <w:color w:val="auto"/>
                <w:kern w:val="21"/>
                <w:sz w:val="21"/>
                <w:szCs w:val="21"/>
                <w:lang w:val="en-US" w:eastAsia="zh-CN" w:bidi="ar-SA"/>
              </w:rPr>
            </w:pPr>
            <w:r>
              <w:rPr>
                <w:rFonts w:ascii="Times New Roman" w:eastAsia="新宋体"/>
                <w:snapToGrid w:val="0"/>
                <w:color w:val="auto"/>
                <w:kern w:val="21"/>
                <w:szCs w:val="21"/>
              </w:rPr>
              <w:t>0</w:t>
            </w:r>
          </w:p>
        </w:tc>
        <w:tc>
          <w:tcPr>
            <w:tcW w:w="1625" w:type="dxa"/>
            <w:vAlign w:val="center"/>
          </w:tcPr>
          <w:p>
            <w:pPr>
              <w:pStyle w:val="61"/>
              <w:spacing w:beforeLines="0" w:afterLines="0" w:line="240" w:lineRule="auto"/>
              <w:rPr>
                <w:rFonts w:hint="default" w:ascii="Times New Roman" w:eastAsia="新宋体"/>
                <w:snapToGrid w:val="0"/>
                <w:color w:val="auto"/>
                <w:kern w:val="21"/>
                <w:szCs w:val="21"/>
                <w:lang w:val="en-US" w:eastAsia="zh-CN"/>
              </w:rPr>
            </w:pPr>
            <w:r>
              <w:rPr>
                <w:rFonts w:hint="eastAsia" w:ascii="Times New Roman" w:eastAsia="新宋体"/>
                <w:snapToGrid w:val="0"/>
                <w:color w:val="auto"/>
                <w:kern w:val="21"/>
                <w:szCs w:val="21"/>
                <w:lang w:val="en-US" w:eastAsia="zh-CN"/>
              </w:rPr>
              <w:t>0.05t/a</w:t>
            </w:r>
          </w:p>
        </w:tc>
        <w:tc>
          <w:tcPr>
            <w:tcW w:w="1836"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w:t>
            </w:r>
          </w:p>
        </w:tc>
        <w:tc>
          <w:tcPr>
            <w:tcW w:w="2041" w:type="dxa"/>
            <w:vAlign w:val="center"/>
          </w:tcPr>
          <w:p>
            <w:pPr>
              <w:pStyle w:val="61"/>
              <w:spacing w:beforeLines="0" w:afterLines="0" w:line="240" w:lineRule="auto"/>
              <w:rPr>
                <w:rFonts w:hint="eastAsia" w:ascii="Times New Roman" w:eastAsia="新宋体"/>
                <w:snapToGrid w:val="0"/>
                <w:color w:val="auto"/>
                <w:kern w:val="21"/>
                <w:szCs w:val="21"/>
              </w:rPr>
            </w:pPr>
            <w:r>
              <w:rPr>
                <w:rFonts w:hint="eastAsia" w:ascii="Times New Roman" w:eastAsia="新宋体"/>
                <w:snapToGrid w:val="0"/>
                <w:color w:val="auto"/>
                <w:kern w:val="21"/>
                <w:szCs w:val="21"/>
                <w:lang w:val="en-US" w:eastAsia="zh-CN"/>
              </w:rPr>
              <w:t>0.05t/a</w:t>
            </w:r>
          </w:p>
        </w:tc>
        <w:tc>
          <w:tcPr>
            <w:tcW w:w="1335" w:type="dxa"/>
            <w:vAlign w:val="center"/>
          </w:tcPr>
          <w:p>
            <w:pPr>
              <w:pStyle w:val="61"/>
              <w:spacing w:beforeLines="0" w:afterLines="0" w:line="240" w:lineRule="auto"/>
              <w:rPr>
                <w:rFonts w:hint="eastAsia" w:ascii="Times New Roman" w:eastAsia="新宋体"/>
                <w:snapToGrid w:val="0"/>
                <w:color w:val="auto"/>
                <w:kern w:val="21"/>
                <w:szCs w:val="21"/>
                <w:lang w:val="en-US" w:eastAsia="zh-CN"/>
              </w:rPr>
            </w:pPr>
            <w:r>
              <w:rPr>
                <w:rFonts w:hint="eastAsia" w:ascii="Times New Roman" w:eastAsia="新宋体"/>
                <w:snapToGrid w:val="0"/>
                <w:color w:val="auto"/>
                <w:kern w:val="21"/>
                <w:szCs w:val="21"/>
                <w:lang w:val="en-US" w:eastAsia="zh-CN"/>
              </w:rPr>
              <w:t>+0.05t/a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655" w:type="dxa"/>
            <w:vMerge w:val="restart"/>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危险废物</w:t>
            </w:r>
          </w:p>
        </w:tc>
        <w:tc>
          <w:tcPr>
            <w:tcW w:w="1477" w:type="dxa"/>
            <w:vAlign w:val="center"/>
          </w:tcPr>
          <w:p>
            <w:pPr>
              <w:adjustRightInd w:val="0"/>
              <w:snapToGrid w:val="0"/>
              <w:ind w:left="-105" w:leftChars="-50" w:right="-105" w:rightChars="-50"/>
              <w:jc w:val="center"/>
              <w:rPr>
                <w:rFonts w:eastAsia="新宋体"/>
                <w:color w:val="auto"/>
                <w:szCs w:val="21"/>
              </w:rPr>
            </w:pPr>
            <w:r>
              <w:rPr>
                <w:rFonts w:hint="eastAsia" w:eastAsia="新宋体"/>
                <w:snapToGrid w:val="0"/>
                <w:color w:val="auto"/>
                <w:kern w:val="21"/>
                <w:szCs w:val="21"/>
              </w:rPr>
              <w:t>含油废抹布</w:t>
            </w:r>
            <w:r>
              <w:rPr>
                <w:rFonts w:hint="eastAsia" w:eastAsia="新宋体"/>
                <w:snapToGrid w:val="0"/>
                <w:color w:val="auto"/>
                <w:kern w:val="21"/>
                <w:szCs w:val="21"/>
                <w:lang w:val="en-US" w:eastAsia="zh-CN"/>
              </w:rPr>
              <w:t>和废手套</w:t>
            </w:r>
            <w:r>
              <w:rPr>
                <w:rFonts w:hint="eastAsia" w:eastAsia="新宋体"/>
                <w:snapToGrid w:val="0"/>
                <w:color w:val="auto"/>
                <w:kern w:val="21"/>
                <w:szCs w:val="21"/>
              </w:rPr>
              <w:t>（t/a）</w:t>
            </w:r>
          </w:p>
        </w:tc>
        <w:tc>
          <w:tcPr>
            <w:tcW w:w="1774" w:type="dxa"/>
            <w:vAlign w:val="center"/>
          </w:tcPr>
          <w:p>
            <w:pPr>
              <w:pStyle w:val="61"/>
              <w:spacing w:beforeLines="0" w:afterLines="0" w:line="240" w:lineRule="auto"/>
              <w:rPr>
                <w:rFonts w:ascii="Times New Roman" w:eastAsia="新宋体"/>
                <w:snapToGrid w:val="0"/>
                <w:color w:val="auto"/>
                <w:kern w:val="21"/>
                <w:szCs w:val="21"/>
              </w:rPr>
            </w:pPr>
            <w:r>
              <w:rPr>
                <w:rFonts w:hint="eastAsia" w:ascii="Times New Roman" w:eastAsia="新宋体"/>
                <w:snapToGrid w:val="0"/>
                <w:color w:val="auto"/>
                <w:kern w:val="21"/>
                <w:szCs w:val="21"/>
              </w:rPr>
              <w:t>0</w:t>
            </w:r>
          </w:p>
        </w:tc>
        <w:tc>
          <w:tcPr>
            <w:tcW w:w="1328" w:type="dxa"/>
            <w:vAlign w:val="center"/>
          </w:tcPr>
          <w:p>
            <w:pPr>
              <w:pStyle w:val="61"/>
              <w:spacing w:beforeLines="0" w:afterLines="0" w:line="240" w:lineRule="auto"/>
              <w:rPr>
                <w:rFonts w:ascii="Times New Roman" w:eastAsia="新宋体"/>
                <w:snapToGrid w:val="0"/>
                <w:color w:val="auto"/>
                <w:kern w:val="21"/>
                <w:szCs w:val="21"/>
              </w:rPr>
            </w:pPr>
            <w:r>
              <w:rPr>
                <w:rFonts w:hint="eastAsia" w:ascii="Times New Roman" w:eastAsia="新宋体"/>
                <w:snapToGrid w:val="0"/>
                <w:color w:val="auto"/>
                <w:kern w:val="21"/>
                <w:szCs w:val="21"/>
              </w:rPr>
              <w:t>0</w:t>
            </w:r>
          </w:p>
        </w:tc>
        <w:tc>
          <w:tcPr>
            <w:tcW w:w="1774" w:type="dxa"/>
            <w:vAlign w:val="center"/>
          </w:tcPr>
          <w:p>
            <w:pPr>
              <w:pStyle w:val="61"/>
              <w:spacing w:beforeLines="0" w:afterLines="0" w:line="240" w:lineRule="auto"/>
              <w:rPr>
                <w:rFonts w:ascii="Times New Roman" w:eastAsia="新宋体"/>
                <w:snapToGrid w:val="0"/>
                <w:color w:val="auto"/>
                <w:kern w:val="21"/>
                <w:szCs w:val="21"/>
              </w:rPr>
            </w:pPr>
            <w:r>
              <w:rPr>
                <w:rFonts w:hint="eastAsia" w:ascii="Times New Roman" w:eastAsia="新宋体"/>
                <w:snapToGrid w:val="0"/>
                <w:color w:val="auto"/>
                <w:kern w:val="21"/>
                <w:szCs w:val="21"/>
              </w:rPr>
              <w:t>0</w:t>
            </w:r>
          </w:p>
        </w:tc>
        <w:tc>
          <w:tcPr>
            <w:tcW w:w="1625" w:type="dxa"/>
            <w:vAlign w:val="center"/>
          </w:tcPr>
          <w:p>
            <w:pPr>
              <w:pStyle w:val="107"/>
              <w:widowControl w:val="0"/>
              <w:adjustRightInd w:val="0"/>
              <w:snapToGrid w:val="0"/>
              <w:jc w:val="center"/>
              <w:textAlignment w:val="baseline"/>
              <w:rPr>
                <w:rFonts w:ascii="Times New Roman" w:hAnsi="Times New Roman" w:eastAsia="新宋体" w:cs="Times New Roman"/>
                <w:color w:val="auto"/>
              </w:rPr>
            </w:pPr>
            <w:r>
              <w:rPr>
                <w:rFonts w:ascii="Times New Roman" w:hAnsi="Times New Roman" w:eastAsia="新宋体" w:cs="Times New Roman"/>
                <w:color w:val="auto"/>
              </w:rPr>
              <w:t>0.</w:t>
            </w:r>
            <w:r>
              <w:rPr>
                <w:rFonts w:hint="eastAsia" w:ascii="Times New Roman" w:hAnsi="Times New Roman" w:eastAsia="新宋体" w:cs="Times New Roman"/>
                <w:color w:val="auto"/>
              </w:rPr>
              <w:t>0</w:t>
            </w:r>
            <w:r>
              <w:rPr>
                <w:rFonts w:ascii="Times New Roman" w:hAnsi="Times New Roman" w:eastAsia="新宋体" w:cs="Times New Roman"/>
                <w:color w:val="auto"/>
              </w:rPr>
              <w:t>5</w:t>
            </w:r>
            <w:r>
              <w:rPr>
                <w:rFonts w:hint="eastAsia" w:ascii="Times New Roman" w:eastAsia="新宋体"/>
                <w:snapToGrid w:val="0"/>
                <w:color w:val="auto"/>
                <w:kern w:val="21"/>
                <w:szCs w:val="21"/>
                <w:lang w:val="en-US" w:eastAsia="zh-CN"/>
              </w:rPr>
              <w:t>t/a</w:t>
            </w:r>
          </w:p>
        </w:tc>
        <w:tc>
          <w:tcPr>
            <w:tcW w:w="1836" w:type="dxa"/>
            <w:vAlign w:val="center"/>
          </w:tcPr>
          <w:p>
            <w:pPr>
              <w:pStyle w:val="61"/>
              <w:spacing w:beforeLines="0" w:afterLines="0" w:line="240" w:lineRule="auto"/>
              <w:rPr>
                <w:rFonts w:ascii="Times New Roman" w:eastAsia="新宋体"/>
                <w:snapToGrid w:val="0"/>
                <w:color w:val="auto"/>
                <w:kern w:val="21"/>
                <w:szCs w:val="21"/>
              </w:rPr>
            </w:pPr>
            <w:r>
              <w:rPr>
                <w:rFonts w:hint="eastAsia" w:ascii="Times New Roman" w:eastAsia="新宋体"/>
                <w:snapToGrid w:val="0"/>
                <w:color w:val="auto"/>
                <w:kern w:val="21"/>
                <w:szCs w:val="21"/>
              </w:rPr>
              <w:t>0</w:t>
            </w:r>
          </w:p>
        </w:tc>
        <w:tc>
          <w:tcPr>
            <w:tcW w:w="2041" w:type="dxa"/>
            <w:vAlign w:val="center"/>
          </w:tcPr>
          <w:p>
            <w:pPr>
              <w:pStyle w:val="107"/>
              <w:widowControl w:val="0"/>
              <w:adjustRightInd w:val="0"/>
              <w:snapToGrid w:val="0"/>
              <w:jc w:val="center"/>
              <w:textAlignment w:val="baseline"/>
              <w:rPr>
                <w:rFonts w:ascii="Times New Roman" w:hAnsi="Times New Roman" w:eastAsia="新宋体" w:cs="Times New Roman"/>
                <w:color w:val="auto"/>
              </w:rPr>
            </w:pPr>
            <w:r>
              <w:rPr>
                <w:rFonts w:ascii="Times New Roman" w:hAnsi="Times New Roman" w:eastAsia="新宋体" w:cs="Times New Roman"/>
                <w:color w:val="auto"/>
              </w:rPr>
              <w:t>0.</w:t>
            </w:r>
            <w:r>
              <w:rPr>
                <w:rFonts w:hint="eastAsia" w:ascii="Times New Roman" w:hAnsi="Times New Roman" w:eastAsia="新宋体" w:cs="Times New Roman"/>
                <w:color w:val="auto"/>
              </w:rPr>
              <w:t>0</w:t>
            </w:r>
            <w:r>
              <w:rPr>
                <w:rFonts w:ascii="Times New Roman" w:hAnsi="Times New Roman" w:eastAsia="新宋体" w:cs="Times New Roman"/>
                <w:color w:val="auto"/>
              </w:rPr>
              <w:t>5</w:t>
            </w:r>
            <w:r>
              <w:rPr>
                <w:rFonts w:hint="eastAsia" w:ascii="Times New Roman" w:eastAsia="新宋体"/>
                <w:snapToGrid w:val="0"/>
                <w:color w:val="auto"/>
                <w:kern w:val="21"/>
                <w:szCs w:val="21"/>
                <w:lang w:val="en-US" w:eastAsia="zh-CN"/>
              </w:rPr>
              <w:t>t/a</w:t>
            </w:r>
          </w:p>
        </w:tc>
        <w:tc>
          <w:tcPr>
            <w:tcW w:w="1335" w:type="dxa"/>
            <w:vAlign w:val="center"/>
          </w:tcPr>
          <w:p>
            <w:pPr>
              <w:pStyle w:val="107"/>
              <w:widowControl w:val="0"/>
              <w:adjustRightInd w:val="0"/>
              <w:snapToGrid w:val="0"/>
              <w:jc w:val="center"/>
              <w:textAlignment w:val="baseline"/>
              <w:rPr>
                <w:rFonts w:ascii="Times New Roman" w:hAnsi="Times New Roman" w:eastAsia="新宋体" w:cs="Times New Roman"/>
                <w:color w:val="auto"/>
              </w:rPr>
            </w:pPr>
            <w:r>
              <w:rPr>
                <w:rFonts w:ascii="Times New Roman" w:hAnsi="Times New Roman" w:eastAsia="新宋体" w:cs="Times New Roman"/>
                <w:color w:val="auto"/>
              </w:rPr>
              <w:t>+0.</w:t>
            </w:r>
            <w:r>
              <w:rPr>
                <w:rFonts w:hint="eastAsia" w:ascii="Times New Roman" w:hAnsi="Times New Roman" w:eastAsia="新宋体" w:cs="Times New Roman"/>
                <w:color w:val="auto"/>
              </w:rPr>
              <w:t>0</w:t>
            </w:r>
            <w:r>
              <w:rPr>
                <w:rFonts w:ascii="Times New Roman" w:hAnsi="Times New Roman" w:eastAsia="新宋体" w:cs="Times New Roman"/>
                <w:color w:val="auto"/>
              </w:rPr>
              <w:t>5</w:t>
            </w:r>
            <w:r>
              <w:rPr>
                <w:rFonts w:hint="eastAsia" w:ascii="Times New Roman" w:eastAsia="新宋体"/>
                <w:snapToGrid w:val="0"/>
                <w:color w:val="auto"/>
                <w:kern w:val="21"/>
                <w:szCs w:val="21"/>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655" w:type="dxa"/>
            <w:vMerge w:val="continue"/>
            <w:vAlign w:val="center"/>
          </w:tcPr>
          <w:p>
            <w:pPr>
              <w:pStyle w:val="61"/>
              <w:spacing w:beforeLines="0" w:afterLines="0" w:line="240" w:lineRule="auto"/>
              <w:rPr>
                <w:rFonts w:ascii="Times New Roman" w:eastAsia="新宋体"/>
                <w:snapToGrid w:val="0"/>
                <w:color w:val="auto"/>
                <w:kern w:val="21"/>
                <w:szCs w:val="21"/>
              </w:rPr>
            </w:pPr>
          </w:p>
        </w:tc>
        <w:tc>
          <w:tcPr>
            <w:tcW w:w="1477" w:type="dxa"/>
            <w:vAlign w:val="center"/>
          </w:tcPr>
          <w:p>
            <w:pPr>
              <w:adjustRightInd w:val="0"/>
              <w:snapToGrid w:val="0"/>
              <w:ind w:left="-105" w:leftChars="-50" w:right="-105" w:rightChars="-50"/>
              <w:jc w:val="center"/>
              <w:rPr>
                <w:rFonts w:eastAsia="新宋体"/>
                <w:color w:val="auto"/>
                <w:szCs w:val="21"/>
              </w:rPr>
            </w:pPr>
            <w:r>
              <w:rPr>
                <w:rFonts w:hint="eastAsia" w:eastAsia="新宋体"/>
                <w:color w:val="auto"/>
                <w:szCs w:val="21"/>
              </w:rPr>
              <w:t>废</w:t>
            </w:r>
            <w:r>
              <w:rPr>
                <w:rFonts w:hint="eastAsia" w:eastAsia="新宋体"/>
                <w:color w:val="auto"/>
                <w:szCs w:val="21"/>
                <w:lang w:val="en-US" w:eastAsia="zh-CN"/>
              </w:rPr>
              <w:t>包装</w:t>
            </w:r>
            <w:r>
              <w:rPr>
                <w:rFonts w:hint="eastAsia" w:eastAsia="新宋体"/>
                <w:color w:val="auto"/>
                <w:szCs w:val="21"/>
              </w:rPr>
              <w:t>桶</w:t>
            </w:r>
            <w:r>
              <w:rPr>
                <w:rFonts w:hint="eastAsia" w:eastAsia="新宋体"/>
                <w:snapToGrid w:val="0"/>
                <w:color w:val="auto"/>
                <w:kern w:val="21"/>
                <w:szCs w:val="21"/>
              </w:rPr>
              <w:t>（t/a）</w:t>
            </w:r>
          </w:p>
        </w:tc>
        <w:tc>
          <w:tcPr>
            <w:tcW w:w="1774" w:type="dxa"/>
            <w:vAlign w:val="center"/>
          </w:tcPr>
          <w:p>
            <w:pPr>
              <w:pStyle w:val="61"/>
              <w:spacing w:beforeLines="0" w:afterLines="0" w:line="240" w:lineRule="auto"/>
              <w:rPr>
                <w:rFonts w:ascii="Times New Roman" w:eastAsia="新宋体"/>
                <w:snapToGrid w:val="0"/>
                <w:color w:val="auto"/>
                <w:kern w:val="21"/>
                <w:szCs w:val="21"/>
              </w:rPr>
            </w:pPr>
            <w:r>
              <w:rPr>
                <w:rFonts w:hint="eastAsia" w:ascii="Times New Roman" w:eastAsia="新宋体"/>
                <w:snapToGrid w:val="0"/>
                <w:color w:val="auto"/>
                <w:kern w:val="21"/>
                <w:szCs w:val="21"/>
              </w:rPr>
              <w:t>0</w:t>
            </w:r>
          </w:p>
        </w:tc>
        <w:tc>
          <w:tcPr>
            <w:tcW w:w="1328" w:type="dxa"/>
            <w:vAlign w:val="center"/>
          </w:tcPr>
          <w:p>
            <w:pPr>
              <w:pStyle w:val="61"/>
              <w:spacing w:beforeLines="0" w:afterLines="0" w:line="240" w:lineRule="auto"/>
              <w:rPr>
                <w:rFonts w:ascii="Times New Roman" w:eastAsia="新宋体"/>
                <w:snapToGrid w:val="0"/>
                <w:color w:val="auto"/>
                <w:kern w:val="21"/>
                <w:szCs w:val="21"/>
              </w:rPr>
            </w:pPr>
            <w:r>
              <w:rPr>
                <w:rFonts w:hint="eastAsia" w:ascii="Times New Roman" w:eastAsia="新宋体"/>
                <w:snapToGrid w:val="0"/>
                <w:color w:val="auto"/>
                <w:kern w:val="21"/>
                <w:szCs w:val="21"/>
              </w:rPr>
              <w:t>0</w:t>
            </w:r>
          </w:p>
        </w:tc>
        <w:tc>
          <w:tcPr>
            <w:tcW w:w="1774" w:type="dxa"/>
            <w:vAlign w:val="center"/>
          </w:tcPr>
          <w:p>
            <w:pPr>
              <w:pStyle w:val="61"/>
              <w:spacing w:beforeLines="0" w:afterLines="0" w:line="240" w:lineRule="auto"/>
              <w:rPr>
                <w:rFonts w:ascii="Times New Roman" w:eastAsia="新宋体"/>
                <w:snapToGrid w:val="0"/>
                <w:color w:val="auto"/>
                <w:kern w:val="21"/>
                <w:szCs w:val="21"/>
              </w:rPr>
            </w:pPr>
            <w:r>
              <w:rPr>
                <w:rFonts w:hint="eastAsia" w:ascii="Times New Roman" w:eastAsia="新宋体"/>
                <w:snapToGrid w:val="0"/>
                <w:color w:val="auto"/>
                <w:kern w:val="21"/>
                <w:szCs w:val="21"/>
              </w:rPr>
              <w:t>0</w:t>
            </w:r>
          </w:p>
        </w:tc>
        <w:tc>
          <w:tcPr>
            <w:tcW w:w="1625" w:type="dxa"/>
            <w:vAlign w:val="center"/>
          </w:tcPr>
          <w:p>
            <w:pPr>
              <w:pStyle w:val="107"/>
              <w:widowControl w:val="0"/>
              <w:adjustRightInd w:val="0"/>
              <w:snapToGrid w:val="0"/>
              <w:jc w:val="center"/>
              <w:textAlignment w:val="baseline"/>
              <w:rPr>
                <w:rFonts w:ascii="Times New Roman" w:hAnsi="Times New Roman" w:eastAsia="新宋体" w:cs="Times New Roman"/>
                <w:color w:val="auto"/>
              </w:rPr>
            </w:pPr>
            <w:r>
              <w:rPr>
                <w:rFonts w:hint="eastAsia" w:ascii="Times New Roman" w:hAnsi="Times New Roman" w:eastAsia="新宋体" w:cs="Times New Roman"/>
                <w:color w:val="auto"/>
              </w:rPr>
              <w:t>0.05</w:t>
            </w:r>
            <w:r>
              <w:rPr>
                <w:rFonts w:hint="eastAsia" w:ascii="Times New Roman" w:eastAsia="新宋体"/>
                <w:snapToGrid w:val="0"/>
                <w:color w:val="auto"/>
                <w:kern w:val="21"/>
                <w:szCs w:val="21"/>
                <w:lang w:val="en-US" w:eastAsia="zh-CN"/>
              </w:rPr>
              <w:t>t/a</w:t>
            </w:r>
          </w:p>
        </w:tc>
        <w:tc>
          <w:tcPr>
            <w:tcW w:w="1836" w:type="dxa"/>
            <w:vAlign w:val="center"/>
          </w:tcPr>
          <w:p>
            <w:pPr>
              <w:pStyle w:val="61"/>
              <w:spacing w:beforeLines="0" w:afterLines="0" w:line="240" w:lineRule="auto"/>
              <w:rPr>
                <w:rFonts w:ascii="Times New Roman" w:eastAsia="新宋体"/>
                <w:snapToGrid w:val="0"/>
                <w:color w:val="auto"/>
                <w:kern w:val="21"/>
                <w:szCs w:val="21"/>
              </w:rPr>
            </w:pPr>
            <w:r>
              <w:rPr>
                <w:rFonts w:hint="eastAsia" w:ascii="Times New Roman" w:eastAsia="新宋体"/>
                <w:snapToGrid w:val="0"/>
                <w:color w:val="auto"/>
                <w:kern w:val="21"/>
                <w:szCs w:val="21"/>
              </w:rPr>
              <w:t>0</w:t>
            </w:r>
          </w:p>
        </w:tc>
        <w:tc>
          <w:tcPr>
            <w:tcW w:w="2041" w:type="dxa"/>
            <w:vAlign w:val="center"/>
          </w:tcPr>
          <w:p>
            <w:pPr>
              <w:pStyle w:val="107"/>
              <w:widowControl w:val="0"/>
              <w:adjustRightInd w:val="0"/>
              <w:snapToGrid w:val="0"/>
              <w:jc w:val="center"/>
              <w:textAlignment w:val="baseline"/>
              <w:rPr>
                <w:rFonts w:ascii="Times New Roman" w:hAnsi="Times New Roman" w:eastAsia="新宋体" w:cs="Times New Roman"/>
                <w:color w:val="auto"/>
              </w:rPr>
            </w:pPr>
            <w:r>
              <w:rPr>
                <w:rFonts w:hint="eastAsia" w:ascii="Times New Roman" w:hAnsi="Times New Roman" w:eastAsia="新宋体" w:cs="Times New Roman"/>
                <w:color w:val="auto"/>
              </w:rPr>
              <w:t>0.05</w:t>
            </w:r>
            <w:r>
              <w:rPr>
                <w:rFonts w:hint="eastAsia" w:ascii="Times New Roman" w:eastAsia="新宋体"/>
                <w:snapToGrid w:val="0"/>
                <w:color w:val="auto"/>
                <w:kern w:val="21"/>
                <w:szCs w:val="21"/>
                <w:lang w:val="en-US" w:eastAsia="zh-CN"/>
              </w:rPr>
              <w:t>t/a</w:t>
            </w:r>
          </w:p>
        </w:tc>
        <w:tc>
          <w:tcPr>
            <w:tcW w:w="1335" w:type="dxa"/>
            <w:vAlign w:val="center"/>
          </w:tcPr>
          <w:p>
            <w:pPr>
              <w:pStyle w:val="107"/>
              <w:widowControl w:val="0"/>
              <w:adjustRightInd w:val="0"/>
              <w:snapToGrid w:val="0"/>
              <w:jc w:val="center"/>
              <w:textAlignment w:val="baseline"/>
              <w:rPr>
                <w:rFonts w:ascii="Times New Roman" w:hAnsi="Times New Roman" w:eastAsia="新宋体" w:cs="Times New Roman"/>
                <w:color w:val="auto"/>
              </w:rPr>
            </w:pPr>
            <w:r>
              <w:rPr>
                <w:rFonts w:ascii="Times New Roman" w:hAnsi="Times New Roman" w:eastAsia="新宋体" w:cs="Times New Roman"/>
                <w:color w:val="auto"/>
              </w:rPr>
              <w:t>+0.</w:t>
            </w:r>
            <w:r>
              <w:rPr>
                <w:rFonts w:hint="eastAsia" w:ascii="Times New Roman" w:hAnsi="Times New Roman" w:eastAsia="新宋体" w:cs="Times New Roman"/>
                <w:color w:val="auto"/>
              </w:rPr>
              <w:t>0</w:t>
            </w:r>
            <w:r>
              <w:rPr>
                <w:rFonts w:ascii="Times New Roman" w:hAnsi="Times New Roman" w:eastAsia="新宋体" w:cs="Times New Roman"/>
                <w:color w:val="auto"/>
              </w:rPr>
              <w:t>5</w:t>
            </w:r>
            <w:r>
              <w:rPr>
                <w:rFonts w:hint="eastAsia" w:ascii="Times New Roman" w:eastAsia="新宋体"/>
                <w:snapToGrid w:val="0"/>
                <w:color w:val="auto"/>
                <w:kern w:val="21"/>
                <w:szCs w:val="21"/>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655" w:type="dxa"/>
            <w:vMerge w:val="continue"/>
            <w:vAlign w:val="center"/>
          </w:tcPr>
          <w:p>
            <w:pPr>
              <w:pStyle w:val="61"/>
              <w:spacing w:beforeLines="0" w:afterLines="0" w:line="240" w:lineRule="auto"/>
              <w:rPr>
                <w:rFonts w:ascii="Times New Roman" w:eastAsia="新宋体"/>
                <w:snapToGrid w:val="0"/>
                <w:color w:val="auto"/>
                <w:kern w:val="21"/>
                <w:szCs w:val="21"/>
              </w:rPr>
            </w:pPr>
          </w:p>
        </w:tc>
        <w:tc>
          <w:tcPr>
            <w:tcW w:w="1477" w:type="dxa"/>
            <w:vAlign w:val="center"/>
          </w:tcPr>
          <w:p>
            <w:pPr>
              <w:adjustRightInd w:val="0"/>
              <w:snapToGrid w:val="0"/>
              <w:ind w:left="-105" w:leftChars="-50" w:right="-105" w:rightChars="-50"/>
              <w:jc w:val="center"/>
              <w:rPr>
                <w:rFonts w:eastAsia="新宋体"/>
                <w:color w:val="auto"/>
                <w:szCs w:val="21"/>
              </w:rPr>
            </w:pPr>
            <w:r>
              <w:rPr>
                <w:rFonts w:hint="eastAsia" w:eastAsia="新宋体"/>
                <w:color w:val="auto"/>
                <w:szCs w:val="21"/>
              </w:rPr>
              <w:t>废</w:t>
            </w:r>
            <w:r>
              <w:rPr>
                <w:rFonts w:hint="eastAsia" w:eastAsia="新宋体"/>
                <w:color w:val="auto"/>
                <w:szCs w:val="21"/>
                <w:lang w:val="en-US" w:eastAsia="zh-CN"/>
              </w:rPr>
              <w:t>机</w:t>
            </w:r>
            <w:r>
              <w:rPr>
                <w:rFonts w:hint="eastAsia" w:eastAsia="新宋体"/>
                <w:color w:val="auto"/>
                <w:szCs w:val="21"/>
              </w:rPr>
              <w:t>油</w:t>
            </w:r>
            <w:r>
              <w:rPr>
                <w:rFonts w:hint="eastAsia" w:eastAsia="新宋体"/>
                <w:snapToGrid w:val="0"/>
                <w:color w:val="auto"/>
                <w:kern w:val="21"/>
                <w:szCs w:val="21"/>
              </w:rPr>
              <w:t>（t/a）</w:t>
            </w:r>
          </w:p>
        </w:tc>
        <w:tc>
          <w:tcPr>
            <w:tcW w:w="1774" w:type="dxa"/>
            <w:vAlign w:val="center"/>
          </w:tcPr>
          <w:p>
            <w:pPr>
              <w:pStyle w:val="61"/>
              <w:spacing w:beforeLines="0" w:afterLines="0" w:line="240" w:lineRule="auto"/>
              <w:rPr>
                <w:rFonts w:ascii="Times New Roman" w:eastAsia="新宋体"/>
                <w:snapToGrid w:val="0"/>
                <w:color w:val="auto"/>
                <w:kern w:val="21"/>
                <w:szCs w:val="21"/>
              </w:rPr>
            </w:pPr>
            <w:r>
              <w:rPr>
                <w:rFonts w:hint="eastAsia" w:ascii="Times New Roman" w:eastAsia="新宋体"/>
                <w:snapToGrid w:val="0"/>
                <w:color w:val="auto"/>
                <w:kern w:val="21"/>
                <w:szCs w:val="21"/>
              </w:rPr>
              <w:t>0</w:t>
            </w:r>
          </w:p>
        </w:tc>
        <w:tc>
          <w:tcPr>
            <w:tcW w:w="1328" w:type="dxa"/>
            <w:vAlign w:val="center"/>
          </w:tcPr>
          <w:p>
            <w:pPr>
              <w:pStyle w:val="61"/>
              <w:spacing w:beforeLines="0" w:afterLines="0" w:line="240" w:lineRule="auto"/>
              <w:rPr>
                <w:rFonts w:ascii="Times New Roman" w:eastAsia="新宋体"/>
                <w:snapToGrid w:val="0"/>
                <w:color w:val="auto"/>
                <w:kern w:val="21"/>
                <w:szCs w:val="21"/>
              </w:rPr>
            </w:pPr>
            <w:r>
              <w:rPr>
                <w:rFonts w:hint="eastAsia" w:eastAsia="新宋体"/>
                <w:color w:val="auto"/>
                <w:szCs w:val="21"/>
              </w:rPr>
              <w:t>0</w:t>
            </w:r>
          </w:p>
        </w:tc>
        <w:tc>
          <w:tcPr>
            <w:tcW w:w="1774" w:type="dxa"/>
            <w:vAlign w:val="center"/>
          </w:tcPr>
          <w:p>
            <w:pPr>
              <w:pStyle w:val="61"/>
              <w:spacing w:beforeLines="0" w:afterLines="0" w:line="240" w:lineRule="auto"/>
              <w:rPr>
                <w:rFonts w:ascii="Times New Roman" w:eastAsia="新宋体"/>
                <w:snapToGrid w:val="0"/>
                <w:color w:val="auto"/>
                <w:kern w:val="21"/>
                <w:szCs w:val="21"/>
              </w:rPr>
            </w:pPr>
            <w:r>
              <w:rPr>
                <w:rFonts w:hint="eastAsia" w:eastAsia="新宋体"/>
                <w:color w:val="auto"/>
                <w:szCs w:val="21"/>
              </w:rPr>
              <w:t>0</w:t>
            </w:r>
          </w:p>
        </w:tc>
        <w:tc>
          <w:tcPr>
            <w:tcW w:w="1625" w:type="dxa"/>
            <w:vAlign w:val="center"/>
          </w:tcPr>
          <w:p>
            <w:pPr>
              <w:pStyle w:val="107"/>
              <w:widowControl w:val="0"/>
              <w:adjustRightInd w:val="0"/>
              <w:snapToGrid w:val="0"/>
              <w:jc w:val="center"/>
              <w:textAlignment w:val="baseline"/>
              <w:rPr>
                <w:rFonts w:ascii="Times New Roman" w:hAnsi="Times New Roman" w:eastAsia="新宋体" w:cs="Times New Roman"/>
                <w:color w:val="auto"/>
              </w:rPr>
            </w:pPr>
            <w:r>
              <w:rPr>
                <w:rFonts w:hint="eastAsia" w:ascii="Times New Roman" w:hAnsi="Times New Roman" w:eastAsia="新宋体" w:cs="Times New Roman"/>
                <w:color w:val="auto"/>
              </w:rPr>
              <w:t>0.1</w:t>
            </w:r>
            <w:r>
              <w:rPr>
                <w:rFonts w:hint="eastAsia" w:ascii="Times New Roman" w:eastAsia="新宋体"/>
                <w:snapToGrid w:val="0"/>
                <w:color w:val="auto"/>
                <w:kern w:val="21"/>
                <w:szCs w:val="21"/>
                <w:lang w:val="en-US" w:eastAsia="zh-CN"/>
              </w:rPr>
              <w:t>t/a</w:t>
            </w:r>
          </w:p>
        </w:tc>
        <w:tc>
          <w:tcPr>
            <w:tcW w:w="1836" w:type="dxa"/>
            <w:vAlign w:val="center"/>
          </w:tcPr>
          <w:p>
            <w:pPr>
              <w:pStyle w:val="61"/>
              <w:spacing w:beforeLines="0" w:afterLines="0" w:line="240" w:lineRule="auto"/>
              <w:rPr>
                <w:rFonts w:ascii="Times New Roman" w:eastAsia="新宋体"/>
                <w:snapToGrid w:val="0"/>
                <w:color w:val="auto"/>
                <w:kern w:val="21"/>
                <w:szCs w:val="21"/>
              </w:rPr>
            </w:pPr>
            <w:r>
              <w:rPr>
                <w:rFonts w:hint="eastAsia" w:ascii="Times New Roman" w:eastAsia="新宋体"/>
                <w:snapToGrid w:val="0"/>
                <w:color w:val="auto"/>
                <w:kern w:val="21"/>
                <w:szCs w:val="21"/>
              </w:rPr>
              <w:t>0</w:t>
            </w:r>
          </w:p>
        </w:tc>
        <w:tc>
          <w:tcPr>
            <w:tcW w:w="2041" w:type="dxa"/>
            <w:vAlign w:val="center"/>
          </w:tcPr>
          <w:p>
            <w:pPr>
              <w:pStyle w:val="107"/>
              <w:widowControl w:val="0"/>
              <w:adjustRightInd w:val="0"/>
              <w:snapToGrid w:val="0"/>
              <w:jc w:val="center"/>
              <w:textAlignment w:val="baseline"/>
              <w:rPr>
                <w:rFonts w:ascii="Times New Roman" w:hAnsi="Times New Roman" w:eastAsia="新宋体" w:cs="Times New Roman"/>
                <w:color w:val="auto"/>
              </w:rPr>
            </w:pPr>
            <w:r>
              <w:rPr>
                <w:rFonts w:hint="eastAsia" w:ascii="Times New Roman" w:hAnsi="Times New Roman" w:eastAsia="新宋体" w:cs="Times New Roman"/>
                <w:color w:val="auto"/>
              </w:rPr>
              <w:t>0.1</w:t>
            </w:r>
            <w:r>
              <w:rPr>
                <w:rFonts w:hint="eastAsia" w:ascii="Times New Roman" w:eastAsia="新宋体"/>
                <w:snapToGrid w:val="0"/>
                <w:color w:val="auto"/>
                <w:kern w:val="21"/>
                <w:szCs w:val="21"/>
                <w:lang w:val="en-US" w:eastAsia="zh-CN"/>
              </w:rPr>
              <w:t>t/a</w:t>
            </w:r>
          </w:p>
        </w:tc>
        <w:tc>
          <w:tcPr>
            <w:tcW w:w="1335" w:type="dxa"/>
            <w:vAlign w:val="center"/>
          </w:tcPr>
          <w:p>
            <w:pPr>
              <w:pStyle w:val="107"/>
              <w:widowControl w:val="0"/>
              <w:adjustRightInd w:val="0"/>
              <w:snapToGrid w:val="0"/>
              <w:jc w:val="center"/>
              <w:textAlignment w:val="baseline"/>
              <w:rPr>
                <w:rFonts w:ascii="Times New Roman" w:hAnsi="Times New Roman" w:eastAsia="新宋体" w:cs="Times New Roman"/>
                <w:color w:val="auto"/>
              </w:rPr>
            </w:pPr>
            <w:r>
              <w:rPr>
                <w:rFonts w:ascii="Times New Roman" w:hAnsi="Times New Roman" w:eastAsia="新宋体" w:cs="Times New Roman"/>
                <w:color w:val="auto"/>
              </w:rPr>
              <w:t>+</w:t>
            </w:r>
            <w:r>
              <w:rPr>
                <w:rFonts w:hint="eastAsia" w:ascii="Times New Roman" w:hAnsi="Times New Roman" w:eastAsia="新宋体" w:cs="Times New Roman"/>
                <w:color w:val="auto"/>
              </w:rPr>
              <w:t>0.1</w:t>
            </w:r>
            <w:r>
              <w:rPr>
                <w:rFonts w:hint="eastAsia" w:ascii="Times New Roman" w:eastAsia="新宋体"/>
                <w:snapToGrid w:val="0"/>
                <w:color w:val="auto"/>
                <w:kern w:val="21"/>
                <w:szCs w:val="21"/>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655" w:type="dxa"/>
            <w:vMerge w:val="continue"/>
          </w:tcPr>
          <w:p>
            <w:pPr>
              <w:pStyle w:val="61"/>
              <w:spacing w:beforeLines="0" w:afterLines="0" w:line="240" w:lineRule="auto"/>
              <w:rPr>
                <w:rFonts w:ascii="Times New Roman" w:eastAsia="新宋体"/>
                <w:snapToGrid w:val="0"/>
                <w:color w:val="auto"/>
                <w:kern w:val="21"/>
                <w:szCs w:val="21"/>
              </w:rPr>
            </w:pPr>
          </w:p>
        </w:tc>
        <w:tc>
          <w:tcPr>
            <w:tcW w:w="1477" w:type="dxa"/>
            <w:vAlign w:val="center"/>
          </w:tcPr>
          <w:p>
            <w:pPr>
              <w:adjustRightInd w:val="0"/>
              <w:snapToGrid w:val="0"/>
              <w:ind w:left="-105" w:leftChars="-50" w:right="-105" w:rightChars="-50"/>
              <w:jc w:val="center"/>
              <w:rPr>
                <w:rFonts w:eastAsia="新宋体"/>
                <w:color w:val="auto"/>
                <w:szCs w:val="21"/>
              </w:rPr>
            </w:pPr>
            <w:r>
              <w:rPr>
                <w:rFonts w:eastAsia="新宋体"/>
                <w:color w:val="auto"/>
                <w:szCs w:val="21"/>
              </w:rPr>
              <w:t>废活性炭</w:t>
            </w:r>
            <w:r>
              <w:rPr>
                <w:rFonts w:hint="eastAsia" w:eastAsia="新宋体"/>
                <w:snapToGrid w:val="0"/>
                <w:color w:val="auto"/>
                <w:kern w:val="21"/>
                <w:szCs w:val="21"/>
              </w:rPr>
              <w:t>（t/a）</w:t>
            </w:r>
          </w:p>
        </w:tc>
        <w:tc>
          <w:tcPr>
            <w:tcW w:w="1774"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w:t>
            </w:r>
          </w:p>
        </w:tc>
        <w:tc>
          <w:tcPr>
            <w:tcW w:w="1328"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w:t>
            </w:r>
          </w:p>
        </w:tc>
        <w:tc>
          <w:tcPr>
            <w:tcW w:w="1774"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w:t>
            </w:r>
          </w:p>
        </w:tc>
        <w:tc>
          <w:tcPr>
            <w:tcW w:w="1625" w:type="dxa"/>
            <w:vAlign w:val="center"/>
          </w:tcPr>
          <w:p>
            <w:pPr>
              <w:adjustRightInd w:val="0"/>
              <w:snapToGrid w:val="0"/>
              <w:jc w:val="center"/>
              <w:textAlignment w:val="baseline"/>
              <w:rPr>
                <w:rFonts w:eastAsia="新宋体"/>
                <w:color w:val="auto"/>
                <w:kern w:val="0"/>
                <w:szCs w:val="21"/>
              </w:rPr>
            </w:pPr>
            <w:r>
              <w:rPr>
                <w:rFonts w:eastAsia="新宋体"/>
                <w:color w:val="auto"/>
              </w:rPr>
              <w:t>0.</w:t>
            </w:r>
            <w:r>
              <w:rPr>
                <w:rFonts w:hint="eastAsia" w:eastAsia="新宋体"/>
                <w:color w:val="auto"/>
              </w:rPr>
              <w:t>8567</w:t>
            </w:r>
            <w:r>
              <w:rPr>
                <w:rFonts w:hint="eastAsia" w:ascii="Times New Roman" w:eastAsia="新宋体"/>
                <w:snapToGrid w:val="0"/>
                <w:color w:val="auto"/>
                <w:kern w:val="21"/>
                <w:szCs w:val="21"/>
                <w:lang w:val="en-US" w:eastAsia="zh-CN"/>
              </w:rPr>
              <w:t>t/a</w:t>
            </w:r>
          </w:p>
        </w:tc>
        <w:tc>
          <w:tcPr>
            <w:tcW w:w="1836" w:type="dxa"/>
            <w:vAlign w:val="center"/>
          </w:tcPr>
          <w:p>
            <w:pPr>
              <w:pStyle w:val="61"/>
              <w:spacing w:beforeLines="0" w:afterLines="0" w:line="240" w:lineRule="auto"/>
              <w:rPr>
                <w:rFonts w:ascii="Times New Roman" w:eastAsia="新宋体"/>
                <w:snapToGrid w:val="0"/>
                <w:color w:val="auto"/>
                <w:kern w:val="21"/>
                <w:szCs w:val="21"/>
              </w:rPr>
            </w:pPr>
            <w:r>
              <w:rPr>
                <w:rFonts w:ascii="Times New Roman" w:eastAsia="新宋体"/>
                <w:snapToGrid w:val="0"/>
                <w:color w:val="auto"/>
                <w:kern w:val="21"/>
                <w:szCs w:val="21"/>
              </w:rPr>
              <w:t>0</w:t>
            </w:r>
          </w:p>
        </w:tc>
        <w:tc>
          <w:tcPr>
            <w:tcW w:w="2041" w:type="dxa"/>
            <w:vAlign w:val="center"/>
          </w:tcPr>
          <w:p>
            <w:pPr>
              <w:adjustRightInd w:val="0"/>
              <w:snapToGrid w:val="0"/>
              <w:jc w:val="center"/>
              <w:textAlignment w:val="baseline"/>
              <w:rPr>
                <w:rFonts w:eastAsia="新宋体"/>
                <w:color w:val="auto"/>
                <w:kern w:val="0"/>
                <w:szCs w:val="21"/>
              </w:rPr>
            </w:pPr>
            <w:r>
              <w:rPr>
                <w:rFonts w:eastAsia="新宋体"/>
                <w:color w:val="auto"/>
              </w:rPr>
              <w:t>0.</w:t>
            </w:r>
            <w:r>
              <w:rPr>
                <w:rFonts w:hint="eastAsia" w:eastAsia="新宋体"/>
                <w:color w:val="auto"/>
              </w:rPr>
              <w:t>8567</w:t>
            </w:r>
            <w:r>
              <w:rPr>
                <w:rFonts w:hint="eastAsia" w:ascii="Times New Roman" w:eastAsia="新宋体"/>
                <w:snapToGrid w:val="0"/>
                <w:color w:val="auto"/>
                <w:kern w:val="21"/>
                <w:szCs w:val="21"/>
                <w:lang w:val="en-US" w:eastAsia="zh-CN"/>
              </w:rPr>
              <w:t>t/a</w:t>
            </w:r>
          </w:p>
        </w:tc>
        <w:tc>
          <w:tcPr>
            <w:tcW w:w="1335" w:type="dxa"/>
            <w:vAlign w:val="center"/>
          </w:tcPr>
          <w:p>
            <w:pPr>
              <w:adjustRightInd w:val="0"/>
              <w:snapToGrid w:val="0"/>
              <w:jc w:val="center"/>
              <w:textAlignment w:val="baseline"/>
              <w:rPr>
                <w:rFonts w:eastAsia="新宋体"/>
                <w:color w:val="auto"/>
                <w:kern w:val="0"/>
                <w:szCs w:val="21"/>
              </w:rPr>
            </w:pPr>
            <w:r>
              <w:rPr>
                <w:rFonts w:eastAsia="新宋体"/>
                <w:color w:val="auto"/>
              </w:rPr>
              <w:t>+0.</w:t>
            </w:r>
            <w:r>
              <w:rPr>
                <w:rFonts w:hint="eastAsia" w:eastAsia="新宋体"/>
                <w:color w:val="auto"/>
              </w:rPr>
              <w:t>8567</w:t>
            </w:r>
            <w:r>
              <w:rPr>
                <w:rFonts w:hint="eastAsia" w:ascii="Times New Roman" w:eastAsia="新宋体"/>
                <w:snapToGrid w:val="0"/>
                <w:color w:val="auto"/>
                <w:kern w:val="21"/>
                <w:szCs w:val="21"/>
                <w:lang w:val="en-US" w:eastAsia="zh-CN"/>
              </w:rPr>
              <w:t>t/a</w:t>
            </w:r>
          </w:p>
        </w:tc>
      </w:tr>
    </w:tbl>
    <w:p>
      <w:pPr>
        <w:pStyle w:val="61"/>
        <w:spacing w:before="249" w:beforeLines="80" w:after="31"/>
        <w:jc w:val="left"/>
        <w:rPr>
          <w:rFonts w:ascii="Times New Roman"/>
          <w:snapToGrid w:val="0"/>
          <w:color w:val="auto"/>
          <w:kern w:val="21"/>
          <w:szCs w:val="21"/>
        </w:rPr>
      </w:pPr>
      <w:r>
        <w:rPr>
          <w:rFonts w:ascii="Times New Roman"/>
          <w:snapToGrid w:val="0"/>
          <w:color w:val="auto"/>
          <w:kern w:val="21"/>
          <w:szCs w:val="21"/>
        </w:rPr>
        <w:t>注：</w:t>
      </w:r>
      <w:r>
        <w:rPr>
          <w:rFonts w:ascii="Times New Roman"/>
          <w:snapToGrid w:val="0"/>
          <w:color w:val="auto"/>
          <w:kern w:val="21"/>
          <w:szCs w:val="21"/>
        </w:rPr>
        <w:fldChar w:fldCharType="begin"/>
      </w:r>
      <w:r>
        <w:rPr>
          <w:rFonts w:ascii="Times New Roman"/>
          <w:snapToGrid w:val="0"/>
          <w:color w:val="auto"/>
          <w:kern w:val="21"/>
          <w:szCs w:val="21"/>
        </w:rPr>
        <w:instrText xml:space="preserve"> = 6 \* GB3 \* MERGEFORMAT </w:instrText>
      </w:r>
      <w:r>
        <w:rPr>
          <w:rFonts w:ascii="Times New Roman"/>
          <w:snapToGrid w:val="0"/>
          <w:color w:val="auto"/>
          <w:kern w:val="21"/>
          <w:szCs w:val="21"/>
        </w:rPr>
        <w:fldChar w:fldCharType="separate"/>
      </w:r>
      <w:r>
        <w:rPr>
          <w:rFonts w:hint="eastAsia" w:ascii="Times New Roman" w:cs="宋体"/>
          <w:color w:val="auto"/>
          <w:kern w:val="21"/>
          <w:szCs w:val="21"/>
        </w:rPr>
        <w:t>⑥</w:t>
      </w:r>
      <w:r>
        <w:rPr>
          <w:rFonts w:ascii="Times New Roman"/>
          <w:snapToGrid w:val="0"/>
          <w:color w:val="auto"/>
          <w:kern w:val="21"/>
          <w:szCs w:val="21"/>
        </w:rPr>
        <w:fldChar w:fldCharType="end"/>
      </w:r>
      <w:r>
        <w:rPr>
          <w:rFonts w:ascii="Times New Roman"/>
          <w:snapToGrid w:val="0"/>
          <w:color w:val="auto"/>
          <w:kern w:val="21"/>
          <w:szCs w:val="21"/>
        </w:rPr>
        <w:t>=</w:t>
      </w:r>
      <w:r>
        <w:rPr>
          <w:rFonts w:ascii="Times New Roman"/>
          <w:snapToGrid w:val="0"/>
          <w:color w:val="auto"/>
          <w:kern w:val="21"/>
          <w:szCs w:val="21"/>
        </w:rPr>
        <w:fldChar w:fldCharType="begin"/>
      </w:r>
      <w:r>
        <w:rPr>
          <w:rFonts w:ascii="Times New Roman"/>
          <w:snapToGrid w:val="0"/>
          <w:color w:val="auto"/>
          <w:kern w:val="21"/>
          <w:szCs w:val="21"/>
        </w:rPr>
        <w:instrText xml:space="preserve"> = 1 \* GB3 \* MERGEFORMAT </w:instrText>
      </w:r>
      <w:r>
        <w:rPr>
          <w:rFonts w:ascii="Times New Roman"/>
          <w:snapToGrid w:val="0"/>
          <w:color w:val="auto"/>
          <w:kern w:val="21"/>
          <w:szCs w:val="21"/>
        </w:rPr>
        <w:fldChar w:fldCharType="separate"/>
      </w:r>
      <w:r>
        <w:rPr>
          <w:rFonts w:hint="eastAsia" w:ascii="Times New Roman" w:cs="宋体"/>
          <w:color w:val="auto"/>
          <w:kern w:val="21"/>
          <w:szCs w:val="21"/>
        </w:rPr>
        <w:t>①</w:t>
      </w:r>
      <w:r>
        <w:rPr>
          <w:rFonts w:ascii="Times New Roman"/>
          <w:snapToGrid w:val="0"/>
          <w:color w:val="auto"/>
          <w:kern w:val="21"/>
          <w:szCs w:val="21"/>
        </w:rPr>
        <w:fldChar w:fldCharType="end"/>
      </w:r>
      <w:r>
        <w:rPr>
          <w:rFonts w:ascii="Times New Roman"/>
          <w:snapToGrid w:val="0"/>
          <w:color w:val="auto"/>
          <w:kern w:val="21"/>
          <w:szCs w:val="21"/>
        </w:rPr>
        <w:t>+</w:t>
      </w:r>
      <w:r>
        <w:rPr>
          <w:rFonts w:ascii="Times New Roman"/>
          <w:snapToGrid w:val="0"/>
          <w:color w:val="auto"/>
          <w:kern w:val="21"/>
          <w:szCs w:val="21"/>
        </w:rPr>
        <w:fldChar w:fldCharType="begin"/>
      </w:r>
      <w:r>
        <w:rPr>
          <w:rFonts w:ascii="Times New Roman"/>
          <w:snapToGrid w:val="0"/>
          <w:color w:val="auto"/>
          <w:kern w:val="21"/>
          <w:szCs w:val="21"/>
        </w:rPr>
        <w:instrText xml:space="preserve"> = 3 \* GB3 \* MERGEFORMAT </w:instrText>
      </w:r>
      <w:r>
        <w:rPr>
          <w:rFonts w:ascii="Times New Roman"/>
          <w:snapToGrid w:val="0"/>
          <w:color w:val="auto"/>
          <w:kern w:val="21"/>
          <w:szCs w:val="21"/>
        </w:rPr>
        <w:fldChar w:fldCharType="separate"/>
      </w:r>
      <w:r>
        <w:rPr>
          <w:rFonts w:hint="eastAsia" w:ascii="Times New Roman" w:cs="宋体"/>
          <w:color w:val="auto"/>
          <w:kern w:val="21"/>
          <w:szCs w:val="21"/>
        </w:rPr>
        <w:t>③</w:t>
      </w:r>
      <w:r>
        <w:rPr>
          <w:rFonts w:ascii="Times New Roman"/>
          <w:snapToGrid w:val="0"/>
          <w:color w:val="auto"/>
          <w:kern w:val="21"/>
          <w:szCs w:val="21"/>
        </w:rPr>
        <w:fldChar w:fldCharType="end"/>
      </w:r>
      <w:r>
        <w:rPr>
          <w:rFonts w:ascii="Times New Roman"/>
          <w:snapToGrid w:val="0"/>
          <w:color w:val="auto"/>
          <w:kern w:val="21"/>
          <w:szCs w:val="21"/>
        </w:rPr>
        <w:t>+</w:t>
      </w:r>
      <w:r>
        <w:rPr>
          <w:rFonts w:ascii="Times New Roman"/>
          <w:snapToGrid w:val="0"/>
          <w:color w:val="auto"/>
          <w:kern w:val="21"/>
          <w:szCs w:val="21"/>
        </w:rPr>
        <w:fldChar w:fldCharType="begin"/>
      </w:r>
      <w:r>
        <w:rPr>
          <w:rFonts w:ascii="Times New Roman"/>
          <w:snapToGrid w:val="0"/>
          <w:color w:val="auto"/>
          <w:kern w:val="21"/>
          <w:szCs w:val="21"/>
        </w:rPr>
        <w:instrText xml:space="preserve"> = 4 \* GB3 \* MERGEFORMAT </w:instrText>
      </w:r>
      <w:r>
        <w:rPr>
          <w:rFonts w:ascii="Times New Roman"/>
          <w:snapToGrid w:val="0"/>
          <w:color w:val="auto"/>
          <w:kern w:val="21"/>
          <w:szCs w:val="21"/>
        </w:rPr>
        <w:fldChar w:fldCharType="separate"/>
      </w:r>
      <w:r>
        <w:rPr>
          <w:rFonts w:hint="eastAsia" w:ascii="Times New Roman" w:cs="宋体"/>
          <w:color w:val="auto"/>
          <w:kern w:val="21"/>
          <w:szCs w:val="21"/>
        </w:rPr>
        <w:t>④</w:t>
      </w:r>
      <w:r>
        <w:rPr>
          <w:rFonts w:ascii="Times New Roman"/>
          <w:snapToGrid w:val="0"/>
          <w:color w:val="auto"/>
          <w:kern w:val="21"/>
          <w:szCs w:val="21"/>
        </w:rPr>
        <w:fldChar w:fldCharType="end"/>
      </w:r>
      <w:r>
        <w:rPr>
          <w:rFonts w:ascii="Times New Roman"/>
          <w:snapToGrid w:val="0"/>
          <w:color w:val="auto"/>
          <w:kern w:val="21"/>
          <w:szCs w:val="21"/>
        </w:rPr>
        <w:t>-</w:t>
      </w:r>
      <w:r>
        <w:rPr>
          <w:rFonts w:ascii="Times New Roman"/>
          <w:snapToGrid w:val="0"/>
          <w:color w:val="auto"/>
          <w:kern w:val="21"/>
          <w:szCs w:val="21"/>
        </w:rPr>
        <w:fldChar w:fldCharType="begin"/>
      </w:r>
      <w:r>
        <w:rPr>
          <w:rFonts w:ascii="Times New Roman"/>
          <w:snapToGrid w:val="0"/>
          <w:color w:val="auto"/>
          <w:kern w:val="21"/>
          <w:szCs w:val="21"/>
        </w:rPr>
        <w:instrText xml:space="preserve"> = 5 \* GB3 \* MERGEFORMAT </w:instrText>
      </w:r>
      <w:r>
        <w:rPr>
          <w:rFonts w:ascii="Times New Roman"/>
          <w:snapToGrid w:val="0"/>
          <w:color w:val="auto"/>
          <w:kern w:val="21"/>
          <w:szCs w:val="21"/>
        </w:rPr>
        <w:fldChar w:fldCharType="separate"/>
      </w:r>
      <w:r>
        <w:rPr>
          <w:rFonts w:hint="eastAsia" w:ascii="Times New Roman" w:cs="宋体"/>
          <w:color w:val="auto"/>
          <w:kern w:val="21"/>
          <w:szCs w:val="21"/>
        </w:rPr>
        <w:t>⑤</w:t>
      </w:r>
      <w:r>
        <w:rPr>
          <w:rFonts w:ascii="Times New Roman"/>
          <w:snapToGrid w:val="0"/>
          <w:color w:val="auto"/>
          <w:kern w:val="21"/>
          <w:szCs w:val="21"/>
        </w:rPr>
        <w:fldChar w:fldCharType="end"/>
      </w:r>
      <w:r>
        <w:rPr>
          <w:rFonts w:ascii="Times New Roman"/>
          <w:snapToGrid w:val="0"/>
          <w:color w:val="auto"/>
          <w:kern w:val="21"/>
          <w:szCs w:val="21"/>
        </w:rPr>
        <w:t>；</w:t>
      </w:r>
      <w:r>
        <w:rPr>
          <w:rFonts w:ascii="Times New Roman"/>
          <w:snapToGrid w:val="0"/>
          <w:color w:val="auto"/>
          <w:kern w:val="21"/>
          <w:szCs w:val="21"/>
        </w:rPr>
        <w:fldChar w:fldCharType="begin"/>
      </w:r>
      <w:r>
        <w:rPr>
          <w:rFonts w:ascii="Times New Roman"/>
          <w:snapToGrid w:val="0"/>
          <w:color w:val="auto"/>
          <w:kern w:val="21"/>
          <w:szCs w:val="21"/>
        </w:rPr>
        <w:instrText xml:space="preserve"> = 7 \* GB3 \* MERGEFORMAT </w:instrText>
      </w:r>
      <w:r>
        <w:rPr>
          <w:rFonts w:ascii="Times New Roman"/>
          <w:snapToGrid w:val="0"/>
          <w:color w:val="auto"/>
          <w:kern w:val="21"/>
          <w:szCs w:val="21"/>
        </w:rPr>
        <w:fldChar w:fldCharType="separate"/>
      </w:r>
      <w:r>
        <w:rPr>
          <w:rFonts w:hint="eastAsia" w:ascii="Times New Roman" w:cs="宋体"/>
          <w:color w:val="auto"/>
          <w:kern w:val="21"/>
          <w:szCs w:val="21"/>
        </w:rPr>
        <w:t>⑦</w:t>
      </w:r>
      <w:r>
        <w:rPr>
          <w:rFonts w:ascii="Times New Roman"/>
          <w:snapToGrid w:val="0"/>
          <w:color w:val="auto"/>
          <w:kern w:val="21"/>
          <w:szCs w:val="21"/>
        </w:rPr>
        <w:fldChar w:fldCharType="end"/>
      </w:r>
      <w:r>
        <w:rPr>
          <w:rFonts w:ascii="Times New Roman"/>
          <w:snapToGrid w:val="0"/>
          <w:color w:val="auto"/>
          <w:kern w:val="21"/>
          <w:szCs w:val="21"/>
        </w:rPr>
        <w:t>=</w:t>
      </w:r>
      <w:r>
        <w:rPr>
          <w:rFonts w:ascii="Times New Roman"/>
          <w:snapToGrid w:val="0"/>
          <w:color w:val="auto"/>
          <w:kern w:val="21"/>
          <w:szCs w:val="21"/>
        </w:rPr>
        <w:fldChar w:fldCharType="begin"/>
      </w:r>
      <w:r>
        <w:rPr>
          <w:rFonts w:ascii="Times New Roman"/>
          <w:snapToGrid w:val="0"/>
          <w:color w:val="auto"/>
          <w:kern w:val="21"/>
          <w:szCs w:val="21"/>
        </w:rPr>
        <w:instrText xml:space="preserve"> = 6 \* GB3 \* MERGEFORMAT </w:instrText>
      </w:r>
      <w:r>
        <w:rPr>
          <w:rFonts w:ascii="Times New Roman"/>
          <w:snapToGrid w:val="0"/>
          <w:color w:val="auto"/>
          <w:kern w:val="21"/>
          <w:szCs w:val="21"/>
        </w:rPr>
        <w:fldChar w:fldCharType="separate"/>
      </w:r>
      <w:r>
        <w:rPr>
          <w:rFonts w:hint="eastAsia" w:ascii="Times New Roman" w:cs="宋体"/>
          <w:color w:val="auto"/>
          <w:kern w:val="21"/>
          <w:szCs w:val="21"/>
        </w:rPr>
        <w:t>⑥</w:t>
      </w:r>
      <w:r>
        <w:rPr>
          <w:rFonts w:ascii="Times New Roman"/>
          <w:snapToGrid w:val="0"/>
          <w:color w:val="auto"/>
          <w:kern w:val="21"/>
          <w:szCs w:val="21"/>
        </w:rPr>
        <w:fldChar w:fldCharType="end"/>
      </w:r>
      <w:r>
        <w:rPr>
          <w:rFonts w:ascii="Times New Roman"/>
          <w:snapToGrid w:val="0"/>
          <w:color w:val="auto"/>
          <w:kern w:val="21"/>
          <w:szCs w:val="21"/>
        </w:rPr>
        <w:t>-</w:t>
      </w:r>
      <w:r>
        <w:rPr>
          <w:rFonts w:ascii="Times New Roman"/>
          <w:snapToGrid w:val="0"/>
          <w:color w:val="auto"/>
          <w:kern w:val="21"/>
          <w:szCs w:val="21"/>
        </w:rPr>
        <w:fldChar w:fldCharType="begin"/>
      </w:r>
      <w:r>
        <w:rPr>
          <w:rFonts w:ascii="Times New Roman"/>
          <w:snapToGrid w:val="0"/>
          <w:color w:val="auto"/>
          <w:kern w:val="21"/>
          <w:szCs w:val="21"/>
        </w:rPr>
        <w:instrText xml:space="preserve"> = 1 \* GB3 \* MERGEFORMAT </w:instrText>
      </w:r>
      <w:r>
        <w:rPr>
          <w:rFonts w:ascii="Times New Roman"/>
          <w:snapToGrid w:val="0"/>
          <w:color w:val="auto"/>
          <w:kern w:val="21"/>
          <w:szCs w:val="21"/>
        </w:rPr>
        <w:fldChar w:fldCharType="separate"/>
      </w:r>
      <w:r>
        <w:rPr>
          <w:rFonts w:hint="eastAsia" w:ascii="Times New Roman" w:cs="宋体"/>
          <w:color w:val="auto"/>
          <w:kern w:val="21"/>
          <w:szCs w:val="21"/>
        </w:rPr>
        <w:t>①</w:t>
      </w:r>
      <w:r>
        <w:rPr>
          <w:rFonts w:ascii="Times New Roman"/>
          <w:snapToGrid w:val="0"/>
          <w:color w:val="auto"/>
          <w:kern w:val="21"/>
          <w:szCs w:val="21"/>
        </w:rPr>
        <w:fldChar w:fldCharType="end"/>
      </w:r>
    </w:p>
    <w:p>
      <w:pPr>
        <w:rPr>
          <w:snapToGrid w:val="0"/>
          <w:color w:val="auto"/>
          <w:kern w:val="21"/>
          <w:szCs w:val="21"/>
        </w:rPr>
      </w:pPr>
      <w:r>
        <w:rPr>
          <w:snapToGrid w:val="0"/>
          <w:color w:val="auto"/>
          <w:kern w:val="21"/>
          <w:szCs w:val="21"/>
        </w:rPr>
        <w:br w:type="page"/>
      </w:r>
    </w:p>
    <w:p>
      <w:pPr>
        <w:pStyle w:val="8"/>
        <w:jc w:val="center"/>
        <w:rPr>
          <w:rFonts w:hint="default"/>
          <w:color w:val="auto"/>
          <w:lang w:val="en-US" w:eastAsia="zh-CN"/>
        </w:rPr>
      </w:pPr>
    </w:p>
    <w:p>
      <w:pPr>
        <w:pStyle w:val="62"/>
        <w:jc w:val="both"/>
        <w:rPr>
          <w:rFonts w:ascii="Times New Roman" w:cs="Times New Roman"/>
          <w:b/>
          <w:bCs/>
          <w:color w:val="auto"/>
        </w:rPr>
      </w:pPr>
    </w:p>
    <w:sectPr>
      <w:pgSz w:w="16838" w:h="11906" w:orient="landscape"/>
      <w:pgMar w:top="720" w:right="720" w:bottom="720" w:left="720" w:header="851" w:footer="992" w:gutter="0"/>
      <w:cols w:space="720" w:num="1"/>
      <w:docGrid w:type="lines" w:linePitch="312" w:charSpace="61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TimesNewRomanPSMT">
    <w:altName w:val="Times New Roman"/>
    <w:panose1 w:val="00000000000000000000"/>
    <w:charset w:val="00"/>
    <w:family w:val="roman"/>
    <w:pitch w:val="default"/>
    <w:sig w:usb0="00000000" w:usb1="00000000" w:usb2="00000000" w:usb3="00000000" w:csb0="00040001" w:csb1="00000000"/>
  </w:font>
  <w:font w:name="Arial Unicode MS">
    <w:panose1 w:val="020B0604020202020204"/>
    <w:charset w:val="86"/>
    <w:family w:val="swiss"/>
    <w:pitch w:val="default"/>
    <w:sig w:usb0="FFFFFFFF" w:usb1="E9FFFFFF" w:usb2="0000003F" w:usb3="00000000" w:csb0="603F01FF" w:csb1="FFFF0000"/>
  </w:font>
  <w:font w:name="Impact">
    <w:panose1 w:val="020B0806030902050204"/>
    <w:charset w:val="00"/>
    <w:family w:val="swiss"/>
    <w:pitch w:val="default"/>
    <w:sig w:usb0="00000287" w:usb1="00000000" w:usb2="00000000" w:usb3="00000000" w:csb0="2000009F" w:csb1="DFD70000"/>
  </w:font>
  <w:font w:name="仿宋_GB2312">
    <w:altName w:val="仿宋"/>
    <w:panose1 w:val="00000000000000000000"/>
    <w:charset w:val="86"/>
    <w:family w:val="modern"/>
    <w:pitch w:val="default"/>
    <w:sig w:usb0="00000000" w:usb1="00000000" w:usb2="00000010" w:usb3="00000000" w:csb0="00040000" w:csb1="00000000"/>
  </w:font>
  <w:font w:name="MS Mincho">
    <w:altName w:val="Yu Gothic UI"/>
    <w:panose1 w:val="02020609040205080304"/>
    <w:charset w:val="80"/>
    <w:family w:val="modern"/>
    <w:pitch w:val="default"/>
    <w:sig w:usb0="00000000" w:usb1="00000000" w:usb2="00000012" w:usb3="00000000" w:csb0="0002009F" w:csb1="00000000"/>
  </w:font>
  <w:font w:name="MingLiU">
    <w:altName w:val="PMingLiU-ExtB"/>
    <w:panose1 w:val="02020509000000000000"/>
    <w:charset w:val="88"/>
    <w:family w:val="modern"/>
    <w:pitch w:val="default"/>
    <w:sig w:usb0="00000000" w:usb1="00000000" w:usb2="00000016" w:usb3="00000000" w:csb0="00100001" w:csb1="00000000"/>
  </w:font>
  <w:font w:name="等线">
    <w:panose1 w:val="02010600030101010101"/>
    <w:charset w:val="86"/>
    <w:family w:val="auto"/>
    <w:pitch w:val="default"/>
    <w:sig w:usb0="A00002BF" w:usb1="38CF7CFA" w:usb2="00000016" w:usb3="00000000" w:csb0="0004000F" w:csb1="0000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83" w:usb1="288F0000" w:usb2="0000000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framePr w:wrap="around" w:vAnchor="text" w:hAnchor="margin" w:xAlign="center" w:y="1"/>
      <w:rPr>
        <w:rStyle w:val="38"/>
      </w:rPr>
    </w:pPr>
    <w:r>
      <w:fldChar w:fldCharType="begin"/>
    </w:r>
    <w:r>
      <w:rPr>
        <w:rStyle w:val="38"/>
      </w:rPr>
      <w:instrText xml:space="preserve">PAGE  </w:instrText>
    </w:r>
    <w:r>
      <w:fldChar w:fldCharType="end"/>
    </w:r>
  </w:p>
  <w:p>
    <w:pPr>
      <w:pStyle w:val="29"/>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framePr w:wrap="around" w:vAnchor="text" w:hAnchor="margin" w:xAlign="outside" w:y="1"/>
      <w:rPr>
        <w:rStyle w:val="38"/>
        <w:rFonts w:ascii="宋体" w:hAnsi="宋体"/>
        <w:sz w:val="28"/>
        <w:szCs w:val="28"/>
      </w:rPr>
    </w:pPr>
    <w:r>
      <w:rPr>
        <w:rStyle w:val="38"/>
        <w:rFonts w:hint="eastAsia" w:ascii="宋体" w:hAnsi="宋体"/>
        <w:sz w:val="28"/>
        <w:szCs w:val="28"/>
      </w:rPr>
      <w:t>—</w:t>
    </w:r>
    <w:r>
      <w:rPr>
        <w:rStyle w:val="38"/>
        <w:rFonts w:hint="eastAsia" w:ascii="宋体" w:hAnsi="宋体"/>
        <w:sz w:val="20"/>
      </w:rPr>
      <w:t xml:space="preserve">  </w:t>
    </w:r>
    <w:r>
      <w:rPr>
        <w:rFonts w:ascii="宋体" w:hAnsi="宋体"/>
        <w:sz w:val="26"/>
        <w:szCs w:val="26"/>
      </w:rPr>
      <w:fldChar w:fldCharType="begin"/>
    </w:r>
    <w:r>
      <w:rPr>
        <w:rStyle w:val="38"/>
        <w:rFonts w:ascii="宋体" w:hAnsi="宋体"/>
        <w:sz w:val="26"/>
        <w:szCs w:val="26"/>
      </w:rPr>
      <w:instrText xml:space="preserve">PAGE  </w:instrText>
    </w:r>
    <w:r>
      <w:rPr>
        <w:rFonts w:ascii="宋体" w:hAnsi="宋体"/>
        <w:sz w:val="26"/>
        <w:szCs w:val="26"/>
      </w:rPr>
      <w:fldChar w:fldCharType="separate"/>
    </w:r>
    <w:r>
      <w:rPr>
        <w:rStyle w:val="38"/>
        <w:rFonts w:ascii="宋体" w:hAnsi="宋体"/>
        <w:sz w:val="26"/>
        <w:szCs w:val="26"/>
      </w:rPr>
      <w:t>44</w:t>
    </w:r>
    <w:r>
      <w:rPr>
        <w:rFonts w:ascii="宋体" w:hAnsi="宋体"/>
        <w:sz w:val="26"/>
        <w:szCs w:val="26"/>
      </w:rPr>
      <w:fldChar w:fldCharType="end"/>
    </w:r>
    <w:r>
      <w:rPr>
        <w:rStyle w:val="38"/>
        <w:rFonts w:hint="eastAsia" w:ascii="宋体" w:hAnsi="宋体"/>
        <w:sz w:val="20"/>
      </w:rPr>
      <w:t xml:space="preserve">  </w:t>
    </w:r>
    <w:r>
      <w:rPr>
        <w:rStyle w:val="38"/>
        <w:rFonts w:hint="eastAsia" w:ascii="宋体" w:hAnsi="宋体"/>
        <w:sz w:val="28"/>
        <w:szCs w:val="28"/>
      </w:rPr>
      <w:t>—</w:t>
    </w:r>
  </w:p>
  <w:p>
    <w:pPr>
      <w:pStyle w:val="29"/>
      <w:ind w:right="360" w:firstLine="36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532EEF"/>
    <w:multiLevelType w:val="singleLevel"/>
    <w:tmpl w:val="86532EEF"/>
    <w:lvl w:ilvl="0" w:tentative="0">
      <w:start w:val="5"/>
      <w:numFmt w:val="chineseCounting"/>
      <w:suff w:val="nothing"/>
      <w:lvlText w:val="%1、"/>
      <w:lvlJc w:val="left"/>
      <w:rPr>
        <w:rFonts w:hint="eastAsia"/>
      </w:rPr>
    </w:lvl>
  </w:abstractNum>
  <w:abstractNum w:abstractNumId="1">
    <w:nsid w:val="89ED41E6"/>
    <w:multiLevelType w:val="singleLevel"/>
    <w:tmpl w:val="89ED41E6"/>
    <w:lvl w:ilvl="0" w:tentative="0">
      <w:start w:val="1"/>
      <w:numFmt w:val="upperLetter"/>
      <w:suff w:val="nothing"/>
      <w:lvlText w:val="%1、"/>
      <w:lvlJc w:val="left"/>
    </w:lvl>
  </w:abstractNum>
  <w:abstractNum w:abstractNumId="2">
    <w:nsid w:val="DC55DEF7"/>
    <w:multiLevelType w:val="singleLevel"/>
    <w:tmpl w:val="DC55DEF7"/>
    <w:lvl w:ilvl="0" w:tentative="0">
      <w:start w:val="2"/>
      <w:numFmt w:val="decimal"/>
      <w:suff w:val="nothing"/>
      <w:lvlText w:val="（%1）"/>
      <w:lvlJc w:val="left"/>
    </w:lvl>
  </w:abstractNum>
  <w:abstractNum w:abstractNumId="3">
    <w:nsid w:val="EC644A5F"/>
    <w:multiLevelType w:val="singleLevel"/>
    <w:tmpl w:val="EC644A5F"/>
    <w:lvl w:ilvl="0" w:tentative="0">
      <w:start w:val="2"/>
      <w:numFmt w:val="decimal"/>
      <w:suff w:val="nothing"/>
      <w:lvlText w:val="%1、"/>
      <w:lvlJc w:val="left"/>
    </w:lvl>
  </w:abstractNum>
  <w:abstractNum w:abstractNumId="4">
    <w:nsid w:val="2425F653"/>
    <w:multiLevelType w:val="singleLevel"/>
    <w:tmpl w:val="2425F653"/>
    <w:lvl w:ilvl="0" w:tentative="0">
      <w:start w:val="1"/>
      <w:numFmt w:val="chineseCounting"/>
      <w:suff w:val="nothing"/>
      <w:lvlText w:val="%1、"/>
      <w:lvlJc w:val="left"/>
      <w:rPr>
        <w:rFonts w:hint="eastAsia"/>
      </w:rPr>
    </w:lvl>
  </w:abstractNum>
  <w:abstractNum w:abstractNumId="5">
    <w:nsid w:val="34A7F1CB"/>
    <w:multiLevelType w:val="singleLevel"/>
    <w:tmpl w:val="34A7F1CB"/>
    <w:lvl w:ilvl="0" w:tentative="0">
      <w:start w:val="4"/>
      <w:numFmt w:val="decimal"/>
      <w:suff w:val="nothing"/>
      <w:lvlText w:val="%1、"/>
      <w:lvlJc w:val="left"/>
    </w:lvl>
  </w:abstractNum>
  <w:abstractNum w:abstractNumId="6">
    <w:nsid w:val="733DECC9"/>
    <w:multiLevelType w:val="singleLevel"/>
    <w:tmpl w:val="733DECC9"/>
    <w:lvl w:ilvl="0" w:tentative="0">
      <w:start w:val="1"/>
      <w:numFmt w:val="bullet"/>
      <w:pStyle w:val="20"/>
      <w:lvlText w:val=""/>
      <w:lvlJc w:val="left"/>
      <w:pPr>
        <w:tabs>
          <w:tab w:val="left" w:pos="780"/>
        </w:tabs>
        <w:ind w:left="780" w:hanging="360"/>
      </w:pPr>
      <w:rPr>
        <w:rFonts w:hint="default" w:ascii="Wingdings" w:hAnsi="Wingdings"/>
      </w:rPr>
    </w:lvl>
  </w:abstractNum>
  <w:num w:numId="1">
    <w:abstractNumId w:val="6"/>
  </w:num>
  <w:num w:numId="2">
    <w:abstractNumId w:val="4"/>
  </w:num>
  <w:num w:numId="3">
    <w:abstractNumId w:val="5"/>
  </w:num>
  <w:num w:numId="4">
    <w:abstractNumId w:val="3"/>
  </w:num>
  <w:num w:numId="5">
    <w:abstractNumId w:val="2"/>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doNotHyphenateCaps/>
  <w:drawingGridVerticalSpacing w:val="156"/>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4ZDM4ZTUyNjEzYTQ4ZDgyMTBkNmQ1MjkzYzA5YTAifQ=="/>
  </w:docVars>
  <w:rsids>
    <w:rsidRoot w:val="00A14947"/>
    <w:rsid w:val="000060B3"/>
    <w:rsid w:val="00015362"/>
    <w:rsid w:val="000270BE"/>
    <w:rsid w:val="00027FC7"/>
    <w:rsid w:val="00031E24"/>
    <w:rsid w:val="0004364B"/>
    <w:rsid w:val="00061B1F"/>
    <w:rsid w:val="000733C4"/>
    <w:rsid w:val="00074783"/>
    <w:rsid w:val="0008070B"/>
    <w:rsid w:val="000810AC"/>
    <w:rsid w:val="00081A02"/>
    <w:rsid w:val="00082231"/>
    <w:rsid w:val="00092D38"/>
    <w:rsid w:val="0009377B"/>
    <w:rsid w:val="000A20C9"/>
    <w:rsid w:val="000B058F"/>
    <w:rsid w:val="000B4467"/>
    <w:rsid w:val="000B4DB9"/>
    <w:rsid w:val="000C09AC"/>
    <w:rsid w:val="000C767F"/>
    <w:rsid w:val="000D2C8A"/>
    <w:rsid w:val="000D5A44"/>
    <w:rsid w:val="000E3ED2"/>
    <w:rsid w:val="00130A17"/>
    <w:rsid w:val="00131F42"/>
    <w:rsid w:val="001357F1"/>
    <w:rsid w:val="00140FA8"/>
    <w:rsid w:val="00142FEB"/>
    <w:rsid w:val="00143A2D"/>
    <w:rsid w:val="00145A41"/>
    <w:rsid w:val="00151675"/>
    <w:rsid w:val="00157435"/>
    <w:rsid w:val="0017504D"/>
    <w:rsid w:val="0017671A"/>
    <w:rsid w:val="00177422"/>
    <w:rsid w:val="00184590"/>
    <w:rsid w:val="001870D1"/>
    <w:rsid w:val="0018781E"/>
    <w:rsid w:val="0019262D"/>
    <w:rsid w:val="001A1B35"/>
    <w:rsid w:val="001A48A2"/>
    <w:rsid w:val="001A6F61"/>
    <w:rsid w:val="001B72B8"/>
    <w:rsid w:val="001C69B3"/>
    <w:rsid w:val="001D5595"/>
    <w:rsid w:val="001D7874"/>
    <w:rsid w:val="001D7F22"/>
    <w:rsid w:val="001F0F17"/>
    <w:rsid w:val="001F3347"/>
    <w:rsid w:val="001F69E4"/>
    <w:rsid w:val="002125B4"/>
    <w:rsid w:val="002155B8"/>
    <w:rsid w:val="00224839"/>
    <w:rsid w:val="002249B2"/>
    <w:rsid w:val="00226574"/>
    <w:rsid w:val="002278EC"/>
    <w:rsid w:val="0023280E"/>
    <w:rsid w:val="002377D1"/>
    <w:rsid w:val="002506BC"/>
    <w:rsid w:val="00254345"/>
    <w:rsid w:val="00264557"/>
    <w:rsid w:val="002805AB"/>
    <w:rsid w:val="00284204"/>
    <w:rsid w:val="00291773"/>
    <w:rsid w:val="002A168C"/>
    <w:rsid w:val="002A3DC7"/>
    <w:rsid w:val="002B49E2"/>
    <w:rsid w:val="002B7B00"/>
    <w:rsid w:val="002B7C44"/>
    <w:rsid w:val="002C175F"/>
    <w:rsid w:val="002C2B17"/>
    <w:rsid w:val="002D3DD0"/>
    <w:rsid w:val="002E1F3A"/>
    <w:rsid w:val="002E298A"/>
    <w:rsid w:val="00301978"/>
    <w:rsid w:val="0030332C"/>
    <w:rsid w:val="003051C2"/>
    <w:rsid w:val="00312296"/>
    <w:rsid w:val="00314F0E"/>
    <w:rsid w:val="00321D8E"/>
    <w:rsid w:val="00325928"/>
    <w:rsid w:val="00332863"/>
    <w:rsid w:val="0033684D"/>
    <w:rsid w:val="00337B42"/>
    <w:rsid w:val="00341B42"/>
    <w:rsid w:val="0034348F"/>
    <w:rsid w:val="00356653"/>
    <w:rsid w:val="0035743F"/>
    <w:rsid w:val="00357BE2"/>
    <w:rsid w:val="0036170C"/>
    <w:rsid w:val="00366E0F"/>
    <w:rsid w:val="00381A72"/>
    <w:rsid w:val="00384676"/>
    <w:rsid w:val="00390857"/>
    <w:rsid w:val="003A4BF3"/>
    <w:rsid w:val="003B420D"/>
    <w:rsid w:val="003C6C16"/>
    <w:rsid w:val="003D794D"/>
    <w:rsid w:val="003E3058"/>
    <w:rsid w:val="003E76A9"/>
    <w:rsid w:val="003F0809"/>
    <w:rsid w:val="003F1E45"/>
    <w:rsid w:val="003F6A8C"/>
    <w:rsid w:val="003F755C"/>
    <w:rsid w:val="00406F01"/>
    <w:rsid w:val="00416D50"/>
    <w:rsid w:val="00416FD5"/>
    <w:rsid w:val="00417772"/>
    <w:rsid w:val="00420E6A"/>
    <w:rsid w:val="00425A9E"/>
    <w:rsid w:val="00426D6B"/>
    <w:rsid w:val="00431E6C"/>
    <w:rsid w:val="00433CE7"/>
    <w:rsid w:val="00452738"/>
    <w:rsid w:val="00456091"/>
    <w:rsid w:val="00466321"/>
    <w:rsid w:val="00484B9B"/>
    <w:rsid w:val="004855F6"/>
    <w:rsid w:val="0048661E"/>
    <w:rsid w:val="00494670"/>
    <w:rsid w:val="00497521"/>
    <w:rsid w:val="004A3823"/>
    <w:rsid w:val="004C6EF8"/>
    <w:rsid w:val="004E6946"/>
    <w:rsid w:val="004F1AD8"/>
    <w:rsid w:val="005039CB"/>
    <w:rsid w:val="0050558F"/>
    <w:rsid w:val="00506286"/>
    <w:rsid w:val="00510813"/>
    <w:rsid w:val="00511990"/>
    <w:rsid w:val="00511DE0"/>
    <w:rsid w:val="00514870"/>
    <w:rsid w:val="00514B9B"/>
    <w:rsid w:val="00517F02"/>
    <w:rsid w:val="00524303"/>
    <w:rsid w:val="005258A2"/>
    <w:rsid w:val="005401AE"/>
    <w:rsid w:val="00542E07"/>
    <w:rsid w:val="00545424"/>
    <w:rsid w:val="00554A7B"/>
    <w:rsid w:val="0055572C"/>
    <w:rsid w:val="0056106A"/>
    <w:rsid w:val="005720AE"/>
    <w:rsid w:val="00594D77"/>
    <w:rsid w:val="005969E4"/>
    <w:rsid w:val="005A06B7"/>
    <w:rsid w:val="005A1759"/>
    <w:rsid w:val="005A68A7"/>
    <w:rsid w:val="005D36AB"/>
    <w:rsid w:val="00614D00"/>
    <w:rsid w:val="00617CC3"/>
    <w:rsid w:val="006377A6"/>
    <w:rsid w:val="00637A3D"/>
    <w:rsid w:val="006411EF"/>
    <w:rsid w:val="006731CF"/>
    <w:rsid w:val="006748B8"/>
    <w:rsid w:val="006775C3"/>
    <w:rsid w:val="006836D3"/>
    <w:rsid w:val="0069290A"/>
    <w:rsid w:val="0069775A"/>
    <w:rsid w:val="00697813"/>
    <w:rsid w:val="006A3EE8"/>
    <w:rsid w:val="006A72BF"/>
    <w:rsid w:val="006B03F2"/>
    <w:rsid w:val="006B37DC"/>
    <w:rsid w:val="006B4F68"/>
    <w:rsid w:val="006C0592"/>
    <w:rsid w:val="006C272E"/>
    <w:rsid w:val="006C5479"/>
    <w:rsid w:val="006D13B5"/>
    <w:rsid w:val="006D7EF1"/>
    <w:rsid w:val="006E12FF"/>
    <w:rsid w:val="006E607E"/>
    <w:rsid w:val="00706C5D"/>
    <w:rsid w:val="00732922"/>
    <w:rsid w:val="00751198"/>
    <w:rsid w:val="0075162E"/>
    <w:rsid w:val="00754034"/>
    <w:rsid w:val="00756556"/>
    <w:rsid w:val="007618C4"/>
    <w:rsid w:val="00767980"/>
    <w:rsid w:val="00770B19"/>
    <w:rsid w:val="0077463F"/>
    <w:rsid w:val="007836EA"/>
    <w:rsid w:val="00784CDA"/>
    <w:rsid w:val="007906C4"/>
    <w:rsid w:val="007940EA"/>
    <w:rsid w:val="007967E8"/>
    <w:rsid w:val="007A2170"/>
    <w:rsid w:val="007A22BF"/>
    <w:rsid w:val="007A263B"/>
    <w:rsid w:val="007A3323"/>
    <w:rsid w:val="007B72B8"/>
    <w:rsid w:val="007B7A58"/>
    <w:rsid w:val="007C21B5"/>
    <w:rsid w:val="007E4BD2"/>
    <w:rsid w:val="00801393"/>
    <w:rsid w:val="00802F88"/>
    <w:rsid w:val="0081293E"/>
    <w:rsid w:val="008152BD"/>
    <w:rsid w:val="00815465"/>
    <w:rsid w:val="00817E9A"/>
    <w:rsid w:val="008306BD"/>
    <w:rsid w:val="00831A80"/>
    <w:rsid w:val="00833743"/>
    <w:rsid w:val="008340A4"/>
    <w:rsid w:val="00861C38"/>
    <w:rsid w:val="0087135F"/>
    <w:rsid w:val="00872D94"/>
    <w:rsid w:val="00880364"/>
    <w:rsid w:val="00885D24"/>
    <w:rsid w:val="00891592"/>
    <w:rsid w:val="00891E9E"/>
    <w:rsid w:val="008A2F68"/>
    <w:rsid w:val="008B4FA6"/>
    <w:rsid w:val="008B5282"/>
    <w:rsid w:val="008B7C17"/>
    <w:rsid w:val="008C2D01"/>
    <w:rsid w:val="008C40E6"/>
    <w:rsid w:val="008D0F7A"/>
    <w:rsid w:val="008D68E4"/>
    <w:rsid w:val="008E0506"/>
    <w:rsid w:val="008E0CFF"/>
    <w:rsid w:val="008E5D6B"/>
    <w:rsid w:val="008E76F0"/>
    <w:rsid w:val="008F15FE"/>
    <w:rsid w:val="008F2D29"/>
    <w:rsid w:val="008F5187"/>
    <w:rsid w:val="008F60D8"/>
    <w:rsid w:val="00902727"/>
    <w:rsid w:val="0090312B"/>
    <w:rsid w:val="0091736D"/>
    <w:rsid w:val="0093037A"/>
    <w:rsid w:val="0094154D"/>
    <w:rsid w:val="0095155F"/>
    <w:rsid w:val="00954429"/>
    <w:rsid w:val="009563CE"/>
    <w:rsid w:val="00967F5F"/>
    <w:rsid w:val="00976328"/>
    <w:rsid w:val="0097680D"/>
    <w:rsid w:val="00982438"/>
    <w:rsid w:val="0098404C"/>
    <w:rsid w:val="00985283"/>
    <w:rsid w:val="00995992"/>
    <w:rsid w:val="009A03E5"/>
    <w:rsid w:val="009A0F3B"/>
    <w:rsid w:val="009A1BB4"/>
    <w:rsid w:val="009A2628"/>
    <w:rsid w:val="009A3200"/>
    <w:rsid w:val="009B0897"/>
    <w:rsid w:val="009B7BD9"/>
    <w:rsid w:val="009C7DD5"/>
    <w:rsid w:val="009E227D"/>
    <w:rsid w:val="009E5019"/>
    <w:rsid w:val="00A04F1B"/>
    <w:rsid w:val="00A0501B"/>
    <w:rsid w:val="00A14947"/>
    <w:rsid w:val="00A32A83"/>
    <w:rsid w:val="00A368DB"/>
    <w:rsid w:val="00A423AA"/>
    <w:rsid w:val="00A53EC6"/>
    <w:rsid w:val="00A55C0F"/>
    <w:rsid w:val="00A8713F"/>
    <w:rsid w:val="00A90BA1"/>
    <w:rsid w:val="00A97A9A"/>
    <w:rsid w:val="00AA0671"/>
    <w:rsid w:val="00AA2531"/>
    <w:rsid w:val="00AB1E09"/>
    <w:rsid w:val="00AB5330"/>
    <w:rsid w:val="00AB7747"/>
    <w:rsid w:val="00AC14CE"/>
    <w:rsid w:val="00AC2A56"/>
    <w:rsid w:val="00AD055E"/>
    <w:rsid w:val="00AD47A7"/>
    <w:rsid w:val="00AF0CBF"/>
    <w:rsid w:val="00AF257F"/>
    <w:rsid w:val="00AF33CF"/>
    <w:rsid w:val="00AF4D50"/>
    <w:rsid w:val="00AF6179"/>
    <w:rsid w:val="00B07A11"/>
    <w:rsid w:val="00B1295A"/>
    <w:rsid w:val="00B20A45"/>
    <w:rsid w:val="00B22C5C"/>
    <w:rsid w:val="00B24F30"/>
    <w:rsid w:val="00B31ABF"/>
    <w:rsid w:val="00B33BE3"/>
    <w:rsid w:val="00B53B5D"/>
    <w:rsid w:val="00B6055E"/>
    <w:rsid w:val="00B6317D"/>
    <w:rsid w:val="00B7723F"/>
    <w:rsid w:val="00B80534"/>
    <w:rsid w:val="00B8433C"/>
    <w:rsid w:val="00B87491"/>
    <w:rsid w:val="00B93BEC"/>
    <w:rsid w:val="00BA29E9"/>
    <w:rsid w:val="00BA7142"/>
    <w:rsid w:val="00BB237C"/>
    <w:rsid w:val="00BB41A3"/>
    <w:rsid w:val="00BC32DC"/>
    <w:rsid w:val="00BC35B6"/>
    <w:rsid w:val="00BD1B51"/>
    <w:rsid w:val="00BD4596"/>
    <w:rsid w:val="00BE1405"/>
    <w:rsid w:val="00BE312D"/>
    <w:rsid w:val="00BF1C20"/>
    <w:rsid w:val="00C10578"/>
    <w:rsid w:val="00C135BC"/>
    <w:rsid w:val="00C15C95"/>
    <w:rsid w:val="00C22111"/>
    <w:rsid w:val="00C2596A"/>
    <w:rsid w:val="00C27537"/>
    <w:rsid w:val="00C328FE"/>
    <w:rsid w:val="00C33507"/>
    <w:rsid w:val="00C400E3"/>
    <w:rsid w:val="00C4409D"/>
    <w:rsid w:val="00C44E72"/>
    <w:rsid w:val="00C45A06"/>
    <w:rsid w:val="00C4642E"/>
    <w:rsid w:val="00C47E5B"/>
    <w:rsid w:val="00C61E4B"/>
    <w:rsid w:val="00C64BFF"/>
    <w:rsid w:val="00C704E9"/>
    <w:rsid w:val="00C763C9"/>
    <w:rsid w:val="00C80057"/>
    <w:rsid w:val="00C82232"/>
    <w:rsid w:val="00C82913"/>
    <w:rsid w:val="00C972B1"/>
    <w:rsid w:val="00CA0B08"/>
    <w:rsid w:val="00CA2CCE"/>
    <w:rsid w:val="00CA43FD"/>
    <w:rsid w:val="00CA7EF8"/>
    <w:rsid w:val="00CC489B"/>
    <w:rsid w:val="00CD2BCD"/>
    <w:rsid w:val="00CD3A4C"/>
    <w:rsid w:val="00CE10E9"/>
    <w:rsid w:val="00CE2910"/>
    <w:rsid w:val="00CE5393"/>
    <w:rsid w:val="00CF36BE"/>
    <w:rsid w:val="00CF6000"/>
    <w:rsid w:val="00D003F3"/>
    <w:rsid w:val="00D0364F"/>
    <w:rsid w:val="00D06834"/>
    <w:rsid w:val="00D308ED"/>
    <w:rsid w:val="00D348AD"/>
    <w:rsid w:val="00D36D86"/>
    <w:rsid w:val="00D428AA"/>
    <w:rsid w:val="00D50A34"/>
    <w:rsid w:val="00D53EFA"/>
    <w:rsid w:val="00D86037"/>
    <w:rsid w:val="00D94A7C"/>
    <w:rsid w:val="00D95896"/>
    <w:rsid w:val="00DB2983"/>
    <w:rsid w:val="00DC1257"/>
    <w:rsid w:val="00DC3DC0"/>
    <w:rsid w:val="00DC5B2B"/>
    <w:rsid w:val="00DD318D"/>
    <w:rsid w:val="00DF2E12"/>
    <w:rsid w:val="00DF514A"/>
    <w:rsid w:val="00DF6690"/>
    <w:rsid w:val="00DF6804"/>
    <w:rsid w:val="00E0358D"/>
    <w:rsid w:val="00E04323"/>
    <w:rsid w:val="00E070A2"/>
    <w:rsid w:val="00E2656A"/>
    <w:rsid w:val="00E412D0"/>
    <w:rsid w:val="00E56322"/>
    <w:rsid w:val="00E60982"/>
    <w:rsid w:val="00E62C62"/>
    <w:rsid w:val="00E654C1"/>
    <w:rsid w:val="00E65D97"/>
    <w:rsid w:val="00E72A5A"/>
    <w:rsid w:val="00E73354"/>
    <w:rsid w:val="00E9242D"/>
    <w:rsid w:val="00EB5255"/>
    <w:rsid w:val="00EB5C47"/>
    <w:rsid w:val="00EC5D31"/>
    <w:rsid w:val="00ED0639"/>
    <w:rsid w:val="00EF4755"/>
    <w:rsid w:val="00EF7135"/>
    <w:rsid w:val="00F027DB"/>
    <w:rsid w:val="00F14A7A"/>
    <w:rsid w:val="00F22985"/>
    <w:rsid w:val="00F3383E"/>
    <w:rsid w:val="00F465A7"/>
    <w:rsid w:val="00F50B7C"/>
    <w:rsid w:val="00F550E6"/>
    <w:rsid w:val="00F74345"/>
    <w:rsid w:val="00F80A0A"/>
    <w:rsid w:val="00F82B19"/>
    <w:rsid w:val="00F9212D"/>
    <w:rsid w:val="00F965DA"/>
    <w:rsid w:val="00FA1805"/>
    <w:rsid w:val="00FA406A"/>
    <w:rsid w:val="00FB503A"/>
    <w:rsid w:val="00FB516C"/>
    <w:rsid w:val="00FD0236"/>
    <w:rsid w:val="00FD18F4"/>
    <w:rsid w:val="00FD54DB"/>
    <w:rsid w:val="00FD619F"/>
    <w:rsid w:val="01002AE9"/>
    <w:rsid w:val="01014A25"/>
    <w:rsid w:val="01066379"/>
    <w:rsid w:val="01096168"/>
    <w:rsid w:val="01290F7E"/>
    <w:rsid w:val="01562469"/>
    <w:rsid w:val="015D1E09"/>
    <w:rsid w:val="01697252"/>
    <w:rsid w:val="016B7F69"/>
    <w:rsid w:val="01E7058D"/>
    <w:rsid w:val="01EE19B6"/>
    <w:rsid w:val="01F9076D"/>
    <w:rsid w:val="01FE5297"/>
    <w:rsid w:val="021B70B3"/>
    <w:rsid w:val="02272DCF"/>
    <w:rsid w:val="02387E49"/>
    <w:rsid w:val="0246755A"/>
    <w:rsid w:val="02697903"/>
    <w:rsid w:val="026E4BFD"/>
    <w:rsid w:val="026F1986"/>
    <w:rsid w:val="027F577A"/>
    <w:rsid w:val="02811594"/>
    <w:rsid w:val="02847BA4"/>
    <w:rsid w:val="02947BF9"/>
    <w:rsid w:val="02963DFC"/>
    <w:rsid w:val="02B83B27"/>
    <w:rsid w:val="02BA0672"/>
    <w:rsid w:val="02BA3F8E"/>
    <w:rsid w:val="02CB75A0"/>
    <w:rsid w:val="02D94F8A"/>
    <w:rsid w:val="02DB0808"/>
    <w:rsid w:val="02DC63DB"/>
    <w:rsid w:val="02E738C5"/>
    <w:rsid w:val="02F14F8F"/>
    <w:rsid w:val="02F6164E"/>
    <w:rsid w:val="02F96569"/>
    <w:rsid w:val="02FC2EB2"/>
    <w:rsid w:val="030257F8"/>
    <w:rsid w:val="032D34F3"/>
    <w:rsid w:val="032D7B98"/>
    <w:rsid w:val="033A6ADF"/>
    <w:rsid w:val="034977ED"/>
    <w:rsid w:val="034A7BDF"/>
    <w:rsid w:val="034C3D94"/>
    <w:rsid w:val="035B7E7F"/>
    <w:rsid w:val="035C1123"/>
    <w:rsid w:val="035C6A5C"/>
    <w:rsid w:val="036F4D79"/>
    <w:rsid w:val="037D69B4"/>
    <w:rsid w:val="0384632A"/>
    <w:rsid w:val="03860D7F"/>
    <w:rsid w:val="03A134A9"/>
    <w:rsid w:val="03A345FB"/>
    <w:rsid w:val="03A82039"/>
    <w:rsid w:val="03AF2536"/>
    <w:rsid w:val="03C20D8D"/>
    <w:rsid w:val="03CA6453"/>
    <w:rsid w:val="03EA7B21"/>
    <w:rsid w:val="03ED644A"/>
    <w:rsid w:val="04093FB7"/>
    <w:rsid w:val="04203592"/>
    <w:rsid w:val="042A0CA0"/>
    <w:rsid w:val="042C3E28"/>
    <w:rsid w:val="0432394D"/>
    <w:rsid w:val="04354BC7"/>
    <w:rsid w:val="043562D7"/>
    <w:rsid w:val="04454315"/>
    <w:rsid w:val="045C7510"/>
    <w:rsid w:val="045F49E7"/>
    <w:rsid w:val="04603309"/>
    <w:rsid w:val="046C5C2A"/>
    <w:rsid w:val="04DA4866"/>
    <w:rsid w:val="04DF558A"/>
    <w:rsid w:val="04E139CD"/>
    <w:rsid w:val="04E62991"/>
    <w:rsid w:val="05076F88"/>
    <w:rsid w:val="050A415F"/>
    <w:rsid w:val="05187B4A"/>
    <w:rsid w:val="051B7D1D"/>
    <w:rsid w:val="051F3A3F"/>
    <w:rsid w:val="054E0AAD"/>
    <w:rsid w:val="05751568"/>
    <w:rsid w:val="0587295E"/>
    <w:rsid w:val="05983C64"/>
    <w:rsid w:val="05B30D4D"/>
    <w:rsid w:val="05C73A75"/>
    <w:rsid w:val="05C874C3"/>
    <w:rsid w:val="05D22E07"/>
    <w:rsid w:val="05DC6F61"/>
    <w:rsid w:val="05F83EAE"/>
    <w:rsid w:val="05F95453"/>
    <w:rsid w:val="05FB322A"/>
    <w:rsid w:val="05FF033A"/>
    <w:rsid w:val="060356C3"/>
    <w:rsid w:val="06107008"/>
    <w:rsid w:val="06144ADC"/>
    <w:rsid w:val="061D118D"/>
    <w:rsid w:val="06250D55"/>
    <w:rsid w:val="06347038"/>
    <w:rsid w:val="0635785A"/>
    <w:rsid w:val="063C2593"/>
    <w:rsid w:val="063E7D85"/>
    <w:rsid w:val="06465896"/>
    <w:rsid w:val="06471FDD"/>
    <w:rsid w:val="064A16B8"/>
    <w:rsid w:val="064F11AF"/>
    <w:rsid w:val="06610BA6"/>
    <w:rsid w:val="06822AAE"/>
    <w:rsid w:val="068D4A7F"/>
    <w:rsid w:val="06921A67"/>
    <w:rsid w:val="06AB7E54"/>
    <w:rsid w:val="06BF74F7"/>
    <w:rsid w:val="06F12FC1"/>
    <w:rsid w:val="07100621"/>
    <w:rsid w:val="071851A9"/>
    <w:rsid w:val="07293586"/>
    <w:rsid w:val="07295285"/>
    <w:rsid w:val="072C43C5"/>
    <w:rsid w:val="074416F7"/>
    <w:rsid w:val="0748501A"/>
    <w:rsid w:val="074F54EA"/>
    <w:rsid w:val="075258EC"/>
    <w:rsid w:val="07526C4C"/>
    <w:rsid w:val="07535BA7"/>
    <w:rsid w:val="07636392"/>
    <w:rsid w:val="07770C56"/>
    <w:rsid w:val="077E2C46"/>
    <w:rsid w:val="078A01FC"/>
    <w:rsid w:val="079B4940"/>
    <w:rsid w:val="079C07FE"/>
    <w:rsid w:val="07A16FCE"/>
    <w:rsid w:val="07AA1BD6"/>
    <w:rsid w:val="07C455DF"/>
    <w:rsid w:val="07C640D4"/>
    <w:rsid w:val="07CE5485"/>
    <w:rsid w:val="07DC6FEC"/>
    <w:rsid w:val="07DE5849"/>
    <w:rsid w:val="07E150EC"/>
    <w:rsid w:val="07EB2EF7"/>
    <w:rsid w:val="07EF0096"/>
    <w:rsid w:val="07FB221C"/>
    <w:rsid w:val="080C7326"/>
    <w:rsid w:val="080F1ABD"/>
    <w:rsid w:val="080F56E2"/>
    <w:rsid w:val="083D37C7"/>
    <w:rsid w:val="084436ED"/>
    <w:rsid w:val="0849002C"/>
    <w:rsid w:val="084D6599"/>
    <w:rsid w:val="08566507"/>
    <w:rsid w:val="0865201E"/>
    <w:rsid w:val="0869010B"/>
    <w:rsid w:val="086B3D6F"/>
    <w:rsid w:val="08894C98"/>
    <w:rsid w:val="08AD5D44"/>
    <w:rsid w:val="08CD09BD"/>
    <w:rsid w:val="08D0493B"/>
    <w:rsid w:val="08E23F22"/>
    <w:rsid w:val="08F07A3B"/>
    <w:rsid w:val="08F40AD1"/>
    <w:rsid w:val="09142010"/>
    <w:rsid w:val="092217DD"/>
    <w:rsid w:val="093A7294"/>
    <w:rsid w:val="093B3182"/>
    <w:rsid w:val="093E76C7"/>
    <w:rsid w:val="09411EDC"/>
    <w:rsid w:val="09435F7D"/>
    <w:rsid w:val="095E38C5"/>
    <w:rsid w:val="096D36ED"/>
    <w:rsid w:val="09740B37"/>
    <w:rsid w:val="097C3657"/>
    <w:rsid w:val="098B0A35"/>
    <w:rsid w:val="09965C39"/>
    <w:rsid w:val="099C094C"/>
    <w:rsid w:val="09C31B81"/>
    <w:rsid w:val="09D55C7D"/>
    <w:rsid w:val="09FE0FE8"/>
    <w:rsid w:val="0A075AEF"/>
    <w:rsid w:val="0A1E7D15"/>
    <w:rsid w:val="0A232419"/>
    <w:rsid w:val="0A257B04"/>
    <w:rsid w:val="0A263993"/>
    <w:rsid w:val="0A2672FD"/>
    <w:rsid w:val="0A2769FA"/>
    <w:rsid w:val="0A2D3AC2"/>
    <w:rsid w:val="0A362A5C"/>
    <w:rsid w:val="0A541DCA"/>
    <w:rsid w:val="0A7A676E"/>
    <w:rsid w:val="0A8C7FBE"/>
    <w:rsid w:val="0AA755DF"/>
    <w:rsid w:val="0AB90716"/>
    <w:rsid w:val="0ABC67F5"/>
    <w:rsid w:val="0AC1393B"/>
    <w:rsid w:val="0AC505A8"/>
    <w:rsid w:val="0AD904D7"/>
    <w:rsid w:val="0ADD6F43"/>
    <w:rsid w:val="0B120D44"/>
    <w:rsid w:val="0B131F89"/>
    <w:rsid w:val="0B3B3792"/>
    <w:rsid w:val="0B5D29D2"/>
    <w:rsid w:val="0B681B8A"/>
    <w:rsid w:val="0B711A17"/>
    <w:rsid w:val="0B825071"/>
    <w:rsid w:val="0BBB2848"/>
    <w:rsid w:val="0BD27BF6"/>
    <w:rsid w:val="0BE05628"/>
    <w:rsid w:val="0BE2618D"/>
    <w:rsid w:val="0BE945C9"/>
    <w:rsid w:val="0BF57E6F"/>
    <w:rsid w:val="0C087B18"/>
    <w:rsid w:val="0C232CA2"/>
    <w:rsid w:val="0C246ED8"/>
    <w:rsid w:val="0C3B3C7D"/>
    <w:rsid w:val="0C4D2DFC"/>
    <w:rsid w:val="0C4F4DB1"/>
    <w:rsid w:val="0C560557"/>
    <w:rsid w:val="0C6638AF"/>
    <w:rsid w:val="0C6932C6"/>
    <w:rsid w:val="0C7F3317"/>
    <w:rsid w:val="0C813706"/>
    <w:rsid w:val="0CA06416"/>
    <w:rsid w:val="0CA90DB9"/>
    <w:rsid w:val="0CAB2EAE"/>
    <w:rsid w:val="0CC07731"/>
    <w:rsid w:val="0CC76AEB"/>
    <w:rsid w:val="0CE56F59"/>
    <w:rsid w:val="0CF27665"/>
    <w:rsid w:val="0D000B48"/>
    <w:rsid w:val="0D0D57A7"/>
    <w:rsid w:val="0D100416"/>
    <w:rsid w:val="0D130D53"/>
    <w:rsid w:val="0D234E65"/>
    <w:rsid w:val="0D4C5FCC"/>
    <w:rsid w:val="0D5818F6"/>
    <w:rsid w:val="0D5C498B"/>
    <w:rsid w:val="0D5D207D"/>
    <w:rsid w:val="0D601029"/>
    <w:rsid w:val="0D621C7D"/>
    <w:rsid w:val="0D676AC1"/>
    <w:rsid w:val="0D725B91"/>
    <w:rsid w:val="0D7325E7"/>
    <w:rsid w:val="0D771E9D"/>
    <w:rsid w:val="0D8B2EFA"/>
    <w:rsid w:val="0D8F564D"/>
    <w:rsid w:val="0D9B4224"/>
    <w:rsid w:val="0DB91540"/>
    <w:rsid w:val="0DD23D24"/>
    <w:rsid w:val="0DD63B3A"/>
    <w:rsid w:val="0DEC3C05"/>
    <w:rsid w:val="0DF02F5A"/>
    <w:rsid w:val="0DFB72CB"/>
    <w:rsid w:val="0DFC4779"/>
    <w:rsid w:val="0DFE11D3"/>
    <w:rsid w:val="0E0D0829"/>
    <w:rsid w:val="0E2C1D5E"/>
    <w:rsid w:val="0E344030"/>
    <w:rsid w:val="0E461FE0"/>
    <w:rsid w:val="0E4B0127"/>
    <w:rsid w:val="0E5117FD"/>
    <w:rsid w:val="0E565D64"/>
    <w:rsid w:val="0E626CA5"/>
    <w:rsid w:val="0E73034D"/>
    <w:rsid w:val="0E863BD4"/>
    <w:rsid w:val="0EA110EC"/>
    <w:rsid w:val="0EAF56C0"/>
    <w:rsid w:val="0EB04988"/>
    <w:rsid w:val="0ED1115D"/>
    <w:rsid w:val="0EF26A1D"/>
    <w:rsid w:val="0EF5250F"/>
    <w:rsid w:val="0F0E1F1F"/>
    <w:rsid w:val="0F121E91"/>
    <w:rsid w:val="0F13775A"/>
    <w:rsid w:val="0F1C6998"/>
    <w:rsid w:val="0F2740C6"/>
    <w:rsid w:val="0F2904D1"/>
    <w:rsid w:val="0F35605B"/>
    <w:rsid w:val="0F395EEF"/>
    <w:rsid w:val="0F4A318E"/>
    <w:rsid w:val="0F5F018D"/>
    <w:rsid w:val="0F5F45FE"/>
    <w:rsid w:val="0F626076"/>
    <w:rsid w:val="0F637A01"/>
    <w:rsid w:val="0F8646CC"/>
    <w:rsid w:val="0F874ADB"/>
    <w:rsid w:val="0F9A112B"/>
    <w:rsid w:val="0FA07DAE"/>
    <w:rsid w:val="0FCC1819"/>
    <w:rsid w:val="0FEA352A"/>
    <w:rsid w:val="0FF81EA3"/>
    <w:rsid w:val="0FFB6461"/>
    <w:rsid w:val="10042C22"/>
    <w:rsid w:val="100A32AE"/>
    <w:rsid w:val="10162275"/>
    <w:rsid w:val="10165E04"/>
    <w:rsid w:val="102E6A8A"/>
    <w:rsid w:val="10465A33"/>
    <w:rsid w:val="106D2F64"/>
    <w:rsid w:val="10770830"/>
    <w:rsid w:val="10806A76"/>
    <w:rsid w:val="108466E7"/>
    <w:rsid w:val="10857CCF"/>
    <w:rsid w:val="109450A5"/>
    <w:rsid w:val="109A3DDC"/>
    <w:rsid w:val="10A51DDA"/>
    <w:rsid w:val="10B63710"/>
    <w:rsid w:val="10B71D6C"/>
    <w:rsid w:val="10E80A1F"/>
    <w:rsid w:val="10EA24F6"/>
    <w:rsid w:val="10ED13FA"/>
    <w:rsid w:val="10EE4D73"/>
    <w:rsid w:val="10F10820"/>
    <w:rsid w:val="10F45200"/>
    <w:rsid w:val="110F6B16"/>
    <w:rsid w:val="111B209C"/>
    <w:rsid w:val="111C2F7A"/>
    <w:rsid w:val="114A31B7"/>
    <w:rsid w:val="114F7613"/>
    <w:rsid w:val="1157474E"/>
    <w:rsid w:val="11665CA1"/>
    <w:rsid w:val="116E7CF9"/>
    <w:rsid w:val="1172034E"/>
    <w:rsid w:val="11734DAA"/>
    <w:rsid w:val="11781169"/>
    <w:rsid w:val="1191490B"/>
    <w:rsid w:val="11A402E3"/>
    <w:rsid w:val="11AB51D8"/>
    <w:rsid w:val="11B7382F"/>
    <w:rsid w:val="11B87384"/>
    <w:rsid w:val="11DB5C73"/>
    <w:rsid w:val="11DD78FC"/>
    <w:rsid w:val="121D29EE"/>
    <w:rsid w:val="12320E62"/>
    <w:rsid w:val="12346BF2"/>
    <w:rsid w:val="12491AA8"/>
    <w:rsid w:val="124E2AD4"/>
    <w:rsid w:val="12624699"/>
    <w:rsid w:val="12827DC2"/>
    <w:rsid w:val="129D6FC2"/>
    <w:rsid w:val="12AD338B"/>
    <w:rsid w:val="12BD3689"/>
    <w:rsid w:val="12C24FEE"/>
    <w:rsid w:val="12CC1FF7"/>
    <w:rsid w:val="12D44679"/>
    <w:rsid w:val="12D747D0"/>
    <w:rsid w:val="12FA7EEB"/>
    <w:rsid w:val="13071CB9"/>
    <w:rsid w:val="13243B19"/>
    <w:rsid w:val="13303B99"/>
    <w:rsid w:val="133A28E3"/>
    <w:rsid w:val="134C020F"/>
    <w:rsid w:val="135338AB"/>
    <w:rsid w:val="13582348"/>
    <w:rsid w:val="135B2912"/>
    <w:rsid w:val="135C3131"/>
    <w:rsid w:val="13815311"/>
    <w:rsid w:val="13951726"/>
    <w:rsid w:val="13B66BF8"/>
    <w:rsid w:val="13B7731A"/>
    <w:rsid w:val="13BC7ABF"/>
    <w:rsid w:val="13CB517F"/>
    <w:rsid w:val="13FF0952"/>
    <w:rsid w:val="141808B1"/>
    <w:rsid w:val="141F0B8D"/>
    <w:rsid w:val="14396509"/>
    <w:rsid w:val="144E09AB"/>
    <w:rsid w:val="1451112D"/>
    <w:rsid w:val="1465404E"/>
    <w:rsid w:val="147062DF"/>
    <w:rsid w:val="1481622E"/>
    <w:rsid w:val="14946C8D"/>
    <w:rsid w:val="149F2FE4"/>
    <w:rsid w:val="14A066F5"/>
    <w:rsid w:val="14B139F0"/>
    <w:rsid w:val="14B34290"/>
    <w:rsid w:val="14B83137"/>
    <w:rsid w:val="14C06B07"/>
    <w:rsid w:val="14C12A92"/>
    <w:rsid w:val="14C9623B"/>
    <w:rsid w:val="14DD2C3C"/>
    <w:rsid w:val="15016AB0"/>
    <w:rsid w:val="15020EAB"/>
    <w:rsid w:val="15040EE8"/>
    <w:rsid w:val="15082937"/>
    <w:rsid w:val="15502764"/>
    <w:rsid w:val="15661DA7"/>
    <w:rsid w:val="157606A9"/>
    <w:rsid w:val="158226E9"/>
    <w:rsid w:val="15A82378"/>
    <w:rsid w:val="15B91786"/>
    <w:rsid w:val="15CD4D91"/>
    <w:rsid w:val="15CE5420"/>
    <w:rsid w:val="15EF2BF9"/>
    <w:rsid w:val="15F5265C"/>
    <w:rsid w:val="15FA284F"/>
    <w:rsid w:val="15FE3097"/>
    <w:rsid w:val="15FF1D97"/>
    <w:rsid w:val="160339EA"/>
    <w:rsid w:val="1606331B"/>
    <w:rsid w:val="16087E1D"/>
    <w:rsid w:val="16113A6D"/>
    <w:rsid w:val="16190A4A"/>
    <w:rsid w:val="161B15B6"/>
    <w:rsid w:val="163A7C04"/>
    <w:rsid w:val="163E4C73"/>
    <w:rsid w:val="16433A4D"/>
    <w:rsid w:val="164B0365"/>
    <w:rsid w:val="16895B89"/>
    <w:rsid w:val="168D7F54"/>
    <w:rsid w:val="16993FA3"/>
    <w:rsid w:val="169B2547"/>
    <w:rsid w:val="16AE11E8"/>
    <w:rsid w:val="16AE5B13"/>
    <w:rsid w:val="16BB2B89"/>
    <w:rsid w:val="16BF3A06"/>
    <w:rsid w:val="16D41219"/>
    <w:rsid w:val="16FF57F7"/>
    <w:rsid w:val="1704178B"/>
    <w:rsid w:val="17082F11"/>
    <w:rsid w:val="170B0C74"/>
    <w:rsid w:val="170E6B75"/>
    <w:rsid w:val="170F280E"/>
    <w:rsid w:val="175355F0"/>
    <w:rsid w:val="175C099D"/>
    <w:rsid w:val="176005BD"/>
    <w:rsid w:val="17611E00"/>
    <w:rsid w:val="176A3E0D"/>
    <w:rsid w:val="176C446C"/>
    <w:rsid w:val="17701D14"/>
    <w:rsid w:val="17735226"/>
    <w:rsid w:val="17842475"/>
    <w:rsid w:val="178A5188"/>
    <w:rsid w:val="17912074"/>
    <w:rsid w:val="17A77C5C"/>
    <w:rsid w:val="17C01315"/>
    <w:rsid w:val="17C50F90"/>
    <w:rsid w:val="17E868B8"/>
    <w:rsid w:val="18086902"/>
    <w:rsid w:val="182C7550"/>
    <w:rsid w:val="182E0371"/>
    <w:rsid w:val="18360723"/>
    <w:rsid w:val="18361FC3"/>
    <w:rsid w:val="18397E11"/>
    <w:rsid w:val="18424378"/>
    <w:rsid w:val="184A7AF6"/>
    <w:rsid w:val="18552487"/>
    <w:rsid w:val="185540EC"/>
    <w:rsid w:val="18564519"/>
    <w:rsid w:val="185A5BA0"/>
    <w:rsid w:val="18902376"/>
    <w:rsid w:val="189F624C"/>
    <w:rsid w:val="18AB6171"/>
    <w:rsid w:val="18C4657F"/>
    <w:rsid w:val="18D83E1D"/>
    <w:rsid w:val="18FE1699"/>
    <w:rsid w:val="1903126A"/>
    <w:rsid w:val="19093750"/>
    <w:rsid w:val="192821BD"/>
    <w:rsid w:val="192C1CF7"/>
    <w:rsid w:val="192C1E30"/>
    <w:rsid w:val="192F4CA1"/>
    <w:rsid w:val="19497D59"/>
    <w:rsid w:val="195867D5"/>
    <w:rsid w:val="19783AD2"/>
    <w:rsid w:val="197A26D9"/>
    <w:rsid w:val="19886918"/>
    <w:rsid w:val="198C783A"/>
    <w:rsid w:val="199A2A0C"/>
    <w:rsid w:val="199B6A98"/>
    <w:rsid w:val="19B0392C"/>
    <w:rsid w:val="19BA1A34"/>
    <w:rsid w:val="19C4290C"/>
    <w:rsid w:val="19D414DF"/>
    <w:rsid w:val="19E018D5"/>
    <w:rsid w:val="19EA7FD2"/>
    <w:rsid w:val="19EF437E"/>
    <w:rsid w:val="1A040198"/>
    <w:rsid w:val="1A130519"/>
    <w:rsid w:val="1A144E89"/>
    <w:rsid w:val="1A1C66C0"/>
    <w:rsid w:val="1A2718B2"/>
    <w:rsid w:val="1A29014F"/>
    <w:rsid w:val="1A2C356C"/>
    <w:rsid w:val="1A313033"/>
    <w:rsid w:val="1A3E097B"/>
    <w:rsid w:val="1A42393B"/>
    <w:rsid w:val="1A5D46E9"/>
    <w:rsid w:val="1A622072"/>
    <w:rsid w:val="1A7C1108"/>
    <w:rsid w:val="1AAD45DE"/>
    <w:rsid w:val="1AB534FD"/>
    <w:rsid w:val="1AB84123"/>
    <w:rsid w:val="1AC51124"/>
    <w:rsid w:val="1AD35BF4"/>
    <w:rsid w:val="1ADC5DEA"/>
    <w:rsid w:val="1AFD775C"/>
    <w:rsid w:val="1B046F80"/>
    <w:rsid w:val="1B0E39EE"/>
    <w:rsid w:val="1B11089E"/>
    <w:rsid w:val="1B173C98"/>
    <w:rsid w:val="1B223787"/>
    <w:rsid w:val="1B2E5A6A"/>
    <w:rsid w:val="1B302405"/>
    <w:rsid w:val="1B3267B5"/>
    <w:rsid w:val="1B40161D"/>
    <w:rsid w:val="1B405AD3"/>
    <w:rsid w:val="1B441859"/>
    <w:rsid w:val="1B50458B"/>
    <w:rsid w:val="1B6606B1"/>
    <w:rsid w:val="1B782C97"/>
    <w:rsid w:val="1B797A65"/>
    <w:rsid w:val="1B956097"/>
    <w:rsid w:val="1BA75B7F"/>
    <w:rsid w:val="1BA91B07"/>
    <w:rsid w:val="1BC1139B"/>
    <w:rsid w:val="1BE02107"/>
    <w:rsid w:val="1BE236C0"/>
    <w:rsid w:val="1BE32C43"/>
    <w:rsid w:val="1BED60EA"/>
    <w:rsid w:val="1BFB3556"/>
    <w:rsid w:val="1C181F5F"/>
    <w:rsid w:val="1C2C6540"/>
    <w:rsid w:val="1C4D1389"/>
    <w:rsid w:val="1C4F12D7"/>
    <w:rsid w:val="1C5E7925"/>
    <w:rsid w:val="1C66296E"/>
    <w:rsid w:val="1C6A5104"/>
    <w:rsid w:val="1C803A9B"/>
    <w:rsid w:val="1C8925AF"/>
    <w:rsid w:val="1C8D61B5"/>
    <w:rsid w:val="1CB72684"/>
    <w:rsid w:val="1CBF1EF2"/>
    <w:rsid w:val="1CC40998"/>
    <w:rsid w:val="1CD030B8"/>
    <w:rsid w:val="1CE046C9"/>
    <w:rsid w:val="1CEC5FF0"/>
    <w:rsid w:val="1CFD070F"/>
    <w:rsid w:val="1D264F0F"/>
    <w:rsid w:val="1D404946"/>
    <w:rsid w:val="1D4A5F82"/>
    <w:rsid w:val="1D4A6D4C"/>
    <w:rsid w:val="1D565439"/>
    <w:rsid w:val="1D5F6196"/>
    <w:rsid w:val="1D6132A5"/>
    <w:rsid w:val="1D61352C"/>
    <w:rsid w:val="1D685A4D"/>
    <w:rsid w:val="1D68634C"/>
    <w:rsid w:val="1D797E30"/>
    <w:rsid w:val="1D8E56D5"/>
    <w:rsid w:val="1D935C9B"/>
    <w:rsid w:val="1DC459AD"/>
    <w:rsid w:val="1DC62FE0"/>
    <w:rsid w:val="1DCE14AD"/>
    <w:rsid w:val="1DDF696E"/>
    <w:rsid w:val="1DEC0319"/>
    <w:rsid w:val="1DF56DF6"/>
    <w:rsid w:val="1DF64317"/>
    <w:rsid w:val="1E0A0B2F"/>
    <w:rsid w:val="1E0E51A8"/>
    <w:rsid w:val="1E13638A"/>
    <w:rsid w:val="1E491BA1"/>
    <w:rsid w:val="1E5C34DB"/>
    <w:rsid w:val="1E674F40"/>
    <w:rsid w:val="1E7A43DA"/>
    <w:rsid w:val="1E875215"/>
    <w:rsid w:val="1E8D613C"/>
    <w:rsid w:val="1E8F4232"/>
    <w:rsid w:val="1ED47912"/>
    <w:rsid w:val="1EE24C7A"/>
    <w:rsid w:val="1EE6284C"/>
    <w:rsid w:val="1EF32FE5"/>
    <w:rsid w:val="1EF45850"/>
    <w:rsid w:val="1EF96A4A"/>
    <w:rsid w:val="1F0E4C2D"/>
    <w:rsid w:val="1F604134"/>
    <w:rsid w:val="1F6A4349"/>
    <w:rsid w:val="1F724932"/>
    <w:rsid w:val="1F76525C"/>
    <w:rsid w:val="1F8A4FBC"/>
    <w:rsid w:val="1FAB7C27"/>
    <w:rsid w:val="1FAD2AA6"/>
    <w:rsid w:val="1FB14B24"/>
    <w:rsid w:val="1FB553AC"/>
    <w:rsid w:val="1FC42C95"/>
    <w:rsid w:val="1FC966FB"/>
    <w:rsid w:val="1FD94A43"/>
    <w:rsid w:val="1FE7539E"/>
    <w:rsid w:val="1FFA142A"/>
    <w:rsid w:val="1FFA58CA"/>
    <w:rsid w:val="20073CF9"/>
    <w:rsid w:val="200C0B9F"/>
    <w:rsid w:val="2023653C"/>
    <w:rsid w:val="203D202F"/>
    <w:rsid w:val="20663D67"/>
    <w:rsid w:val="20671BE0"/>
    <w:rsid w:val="20731577"/>
    <w:rsid w:val="20963CB8"/>
    <w:rsid w:val="209D0A72"/>
    <w:rsid w:val="20A15D31"/>
    <w:rsid w:val="20A81A1B"/>
    <w:rsid w:val="20B07FB6"/>
    <w:rsid w:val="20B646FB"/>
    <w:rsid w:val="20DB7180"/>
    <w:rsid w:val="20E678EC"/>
    <w:rsid w:val="20ED726E"/>
    <w:rsid w:val="20F11F82"/>
    <w:rsid w:val="20FA7A65"/>
    <w:rsid w:val="210F583E"/>
    <w:rsid w:val="21156769"/>
    <w:rsid w:val="212A5EE4"/>
    <w:rsid w:val="213B74B1"/>
    <w:rsid w:val="214178FD"/>
    <w:rsid w:val="21472A7D"/>
    <w:rsid w:val="215A2310"/>
    <w:rsid w:val="215F5667"/>
    <w:rsid w:val="216A32A5"/>
    <w:rsid w:val="21921D0D"/>
    <w:rsid w:val="219436D8"/>
    <w:rsid w:val="21C06237"/>
    <w:rsid w:val="21C77D00"/>
    <w:rsid w:val="21CE272E"/>
    <w:rsid w:val="21D20CCD"/>
    <w:rsid w:val="21DE318A"/>
    <w:rsid w:val="21E8783B"/>
    <w:rsid w:val="21EF5B80"/>
    <w:rsid w:val="21F11A32"/>
    <w:rsid w:val="22041E58"/>
    <w:rsid w:val="220646A1"/>
    <w:rsid w:val="22130E5B"/>
    <w:rsid w:val="22153171"/>
    <w:rsid w:val="2228014D"/>
    <w:rsid w:val="222A176C"/>
    <w:rsid w:val="22431452"/>
    <w:rsid w:val="224424E5"/>
    <w:rsid w:val="22576990"/>
    <w:rsid w:val="22680FDF"/>
    <w:rsid w:val="2273356A"/>
    <w:rsid w:val="22746EB0"/>
    <w:rsid w:val="227E06DD"/>
    <w:rsid w:val="22802018"/>
    <w:rsid w:val="22A8724F"/>
    <w:rsid w:val="22B14AAA"/>
    <w:rsid w:val="22B7706B"/>
    <w:rsid w:val="22BE4B0E"/>
    <w:rsid w:val="22C6011C"/>
    <w:rsid w:val="22CB7F6D"/>
    <w:rsid w:val="22CC1566"/>
    <w:rsid w:val="22F04987"/>
    <w:rsid w:val="22F47480"/>
    <w:rsid w:val="2304137A"/>
    <w:rsid w:val="230B09D7"/>
    <w:rsid w:val="230E7CB2"/>
    <w:rsid w:val="231731CE"/>
    <w:rsid w:val="23296601"/>
    <w:rsid w:val="23385C08"/>
    <w:rsid w:val="23504582"/>
    <w:rsid w:val="237B69CA"/>
    <w:rsid w:val="238D14D8"/>
    <w:rsid w:val="23B075C9"/>
    <w:rsid w:val="23B35EDA"/>
    <w:rsid w:val="23B6146F"/>
    <w:rsid w:val="23BB707A"/>
    <w:rsid w:val="23DE1C48"/>
    <w:rsid w:val="23E34E2B"/>
    <w:rsid w:val="23F05265"/>
    <w:rsid w:val="23F45835"/>
    <w:rsid w:val="23F76A55"/>
    <w:rsid w:val="23FA423D"/>
    <w:rsid w:val="240210CD"/>
    <w:rsid w:val="24227F02"/>
    <w:rsid w:val="242F7E4B"/>
    <w:rsid w:val="244E7685"/>
    <w:rsid w:val="247519C3"/>
    <w:rsid w:val="24822779"/>
    <w:rsid w:val="24BF09F7"/>
    <w:rsid w:val="24D7347F"/>
    <w:rsid w:val="24D9047C"/>
    <w:rsid w:val="24DB0068"/>
    <w:rsid w:val="24E93E8E"/>
    <w:rsid w:val="2501700B"/>
    <w:rsid w:val="25047B2A"/>
    <w:rsid w:val="25211313"/>
    <w:rsid w:val="252D53FE"/>
    <w:rsid w:val="25357B7B"/>
    <w:rsid w:val="253649FA"/>
    <w:rsid w:val="255F385D"/>
    <w:rsid w:val="256C1918"/>
    <w:rsid w:val="25773F72"/>
    <w:rsid w:val="25806FF1"/>
    <w:rsid w:val="25807D93"/>
    <w:rsid w:val="25EC2D81"/>
    <w:rsid w:val="25F3318F"/>
    <w:rsid w:val="261F7B4E"/>
    <w:rsid w:val="263370CE"/>
    <w:rsid w:val="265D7729"/>
    <w:rsid w:val="266F3330"/>
    <w:rsid w:val="268A051F"/>
    <w:rsid w:val="269B031C"/>
    <w:rsid w:val="26A13C8E"/>
    <w:rsid w:val="26A77398"/>
    <w:rsid w:val="26B15F0E"/>
    <w:rsid w:val="26BE741B"/>
    <w:rsid w:val="26CC5383"/>
    <w:rsid w:val="26D14EDE"/>
    <w:rsid w:val="26D2491A"/>
    <w:rsid w:val="26E1530D"/>
    <w:rsid w:val="26E8626A"/>
    <w:rsid w:val="26EA0F06"/>
    <w:rsid w:val="26F368C9"/>
    <w:rsid w:val="273C6666"/>
    <w:rsid w:val="277057A2"/>
    <w:rsid w:val="27797A94"/>
    <w:rsid w:val="27862C81"/>
    <w:rsid w:val="27957371"/>
    <w:rsid w:val="279A5FB0"/>
    <w:rsid w:val="27A12E96"/>
    <w:rsid w:val="27AC6D66"/>
    <w:rsid w:val="27BC7F73"/>
    <w:rsid w:val="27CC551D"/>
    <w:rsid w:val="27D967AA"/>
    <w:rsid w:val="27EE2AEF"/>
    <w:rsid w:val="27F339AF"/>
    <w:rsid w:val="2811777A"/>
    <w:rsid w:val="28212DEF"/>
    <w:rsid w:val="28232D4C"/>
    <w:rsid w:val="28283CD5"/>
    <w:rsid w:val="28287FC4"/>
    <w:rsid w:val="284566A0"/>
    <w:rsid w:val="284C4AA6"/>
    <w:rsid w:val="2859509E"/>
    <w:rsid w:val="28653214"/>
    <w:rsid w:val="287C6CFD"/>
    <w:rsid w:val="289646B3"/>
    <w:rsid w:val="289A61E8"/>
    <w:rsid w:val="28A013AD"/>
    <w:rsid w:val="28BB6E1D"/>
    <w:rsid w:val="28BD35D4"/>
    <w:rsid w:val="28CC51A4"/>
    <w:rsid w:val="2905755C"/>
    <w:rsid w:val="29206EB8"/>
    <w:rsid w:val="292151F5"/>
    <w:rsid w:val="294F2DD3"/>
    <w:rsid w:val="29595666"/>
    <w:rsid w:val="296849A6"/>
    <w:rsid w:val="29734F00"/>
    <w:rsid w:val="29874881"/>
    <w:rsid w:val="298A36D3"/>
    <w:rsid w:val="299A4700"/>
    <w:rsid w:val="29A749BD"/>
    <w:rsid w:val="29AE0993"/>
    <w:rsid w:val="29C15E99"/>
    <w:rsid w:val="29CB4B55"/>
    <w:rsid w:val="29DC7048"/>
    <w:rsid w:val="29DF07A3"/>
    <w:rsid w:val="29E325E0"/>
    <w:rsid w:val="29F574D6"/>
    <w:rsid w:val="29FD21CF"/>
    <w:rsid w:val="29FD5886"/>
    <w:rsid w:val="29FF5DAE"/>
    <w:rsid w:val="2A0971E1"/>
    <w:rsid w:val="2A0D0630"/>
    <w:rsid w:val="2A155510"/>
    <w:rsid w:val="2A183ED8"/>
    <w:rsid w:val="2A2066CD"/>
    <w:rsid w:val="2A267116"/>
    <w:rsid w:val="2A3517B8"/>
    <w:rsid w:val="2A393F05"/>
    <w:rsid w:val="2A3C3FB4"/>
    <w:rsid w:val="2A452503"/>
    <w:rsid w:val="2A7A17D9"/>
    <w:rsid w:val="2AA11403"/>
    <w:rsid w:val="2AB15E11"/>
    <w:rsid w:val="2ABB3BC7"/>
    <w:rsid w:val="2ACF55A8"/>
    <w:rsid w:val="2AD0584D"/>
    <w:rsid w:val="2ADE38AE"/>
    <w:rsid w:val="2AE30330"/>
    <w:rsid w:val="2AE720C9"/>
    <w:rsid w:val="2AEE0455"/>
    <w:rsid w:val="2B004385"/>
    <w:rsid w:val="2B0C78D0"/>
    <w:rsid w:val="2B1F2887"/>
    <w:rsid w:val="2B2B3386"/>
    <w:rsid w:val="2B2C517A"/>
    <w:rsid w:val="2B3D2B14"/>
    <w:rsid w:val="2B423847"/>
    <w:rsid w:val="2B424E21"/>
    <w:rsid w:val="2B482A41"/>
    <w:rsid w:val="2B510B28"/>
    <w:rsid w:val="2B536A13"/>
    <w:rsid w:val="2B7F1064"/>
    <w:rsid w:val="2B885A51"/>
    <w:rsid w:val="2B8C011A"/>
    <w:rsid w:val="2B8E236E"/>
    <w:rsid w:val="2BA3501F"/>
    <w:rsid w:val="2BA936A8"/>
    <w:rsid w:val="2BAF6D77"/>
    <w:rsid w:val="2BB339CD"/>
    <w:rsid w:val="2BD36E36"/>
    <w:rsid w:val="2BDA7334"/>
    <w:rsid w:val="2BDC0305"/>
    <w:rsid w:val="2BFB4960"/>
    <w:rsid w:val="2C0A404B"/>
    <w:rsid w:val="2C11145E"/>
    <w:rsid w:val="2C3002DE"/>
    <w:rsid w:val="2C315A5A"/>
    <w:rsid w:val="2C4B1C25"/>
    <w:rsid w:val="2C5C79E6"/>
    <w:rsid w:val="2C6B05BB"/>
    <w:rsid w:val="2C9B3772"/>
    <w:rsid w:val="2C9F197B"/>
    <w:rsid w:val="2CA46E27"/>
    <w:rsid w:val="2CA7770C"/>
    <w:rsid w:val="2CAB6558"/>
    <w:rsid w:val="2CAE7870"/>
    <w:rsid w:val="2CB4072A"/>
    <w:rsid w:val="2CC3319C"/>
    <w:rsid w:val="2CE04AC9"/>
    <w:rsid w:val="2CE605EC"/>
    <w:rsid w:val="2CE9418D"/>
    <w:rsid w:val="2CED4B2F"/>
    <w:rsid w:val="2CED72D0"/>
    <w:rsid w:val="2D056886"/>
    <w:rsid w:val="2D0F6282"/>
    <w:rsid w:val="2D1C6D9D"/>
    <w:rsid w:val="2D1E4F96"/>
    <w:rsid w:val="2D266A3E"/>
    <w:rsid w:val="2D2E43B1"/>
    <w:rsid w:val="2D2E68FA"/>
    <w:rsid w:val="2D567671"/>
    <w:rsid w:val="2D634A5F"/>
    <w:rsid w:val="2D650B0E"/>
    <w:rsid w:val="2D766B80"/>
    <w:rsid w:val="2D7754B8"/>
    <w:rsid w:val="2D787C22"/>
    <w:rsid w:val="2D806B4A"/>
    <w:rsid w:val="2D985B53"/>
    <w:rsid w:val="2D9A0870"/>
    <w:rsid w:val="2D9E56F5"/>
    <w:rsid w:val="2D9F4681"/>
    <w:rsid w:val="2DA57465"/>
    <w:rsid w:val="2DA81A7E"/>
    <w:rsid w:val="2DB26C84"/>
    <w:rsid w:val="2DB65C36"/>
    <w:rsid w:val="2DBC7EBE"/>
    <w:rsid w:val="2DBE13E2"/>
    <w:rsid w:val="2DCA5597"/>
    <w:rsid w:val="2DD73538"/>
    <w:rsid w:val="2DE47F8D"/>
    <w:rsid w:val="2DEB6311"/>
    <w:rsid w:val="2DF41E9B"/>
    <w:rsid w:val="2E027F44"/>
    <w:rsid w:val="2E18384F"/>
    <w:rsid w:val="2E193C76"/>
    <w:rsid w:val="2E1C13EE"/>
    <w:rsid w:val="2E2606BC"/>
    <w:rsid w:val="2E274BDF"/>
    <w:rsid w:val="2E2772BD"/>
    <w:rsid w:val="2E287D1B"/>
    <w:rsid w:val="2E2C35D5"/>
    <w:rsid w:val="2E350D76"/>
    <w:rsid w:val="2E3818D2"/>
    <w:rsid w:val="2E481176"/>
    <w:rsid w:val="2E4E0B4B"/>
    <w:rsid w:val="2E662D61"/>
    <w:rsid w:val="2E667F96"/>
    <w:rsid w:val="2E725599"/>
    <w:rsid w:val="2E8226AB"/>
    <w:rsid w:val="2E891A28"/>
    <w:rsid w:val="2E9E5336"/>
    <w:rsid w:val="2EA70349"/>
    <w:rsid w:val="2EBA41C0"/>
    <w:rsid w:val="2EBC6814"/>
    <w:rsid w:val="2ECC6053"/>
    <w:rsid w:val="2ED136A9"/>
    <w:rsid w:val="2EDD1066"/>
    <w:rsid w:val="2EE94E06"/>
    <w:rsid w:val="2EED2DD9"/>
    <w:rsid w:val="2EEF24B2"/>
    <w:rsid w:val="2EEF721E"/>
    <w:rsid w:val="2EF01CEC"/>
    <w:rsid w:val="2EF724BF"/>
    <w:rsid w:val="2EF91817"/>
    <w:rsid w:val="2EF948D5"/>
    <w:rsid w:val="2EFA54CD"/>
    <w:rsid w:val="2F025528"/>
    <w:rsid w:val="2F091529"/>
    <w:rsid w:val="2F111DED"/>
    <w:rsid w:val="2F173904"/>
    <w:rsid w:val="2F1D71CE"/>
    <w:rsid w:val="2F3506F4"/>
    <w:rsid w:val="2F353E20"/>
    <w:rsid w:val="2F5707C5"/>
    <w:rsid w:val="2F5B5980"/>
    <w:rsid w:val="2F654E7A"/>
    <w:rsid w:val="2F70199C"/>
    <w:rsid w:val="2F7F4B4F"/>
    <w:rsid w:val="2F884982"/>
    <w:rsid w:val="2F9144B6"/>
    <w:rsid w:val="2F991D67"/>
    <w:rsid w:val="2FA04098"/>
    <w:rsid w:val="2FA8646F"/>
    <w:rsid w:val="2FD065E6"/>
    <w:rsid w:val="2FD96870"/>
    <w:rsid w:val="2FE62A01"/>
    <w:rsid w:val="2FF63F00"/>
    <w:rsid w:val="30010A0E"/>
    <w:rsid w:val="300136C5"/>
    <w:rsid w:val="302201DC"/>
    <w:rsid w:val="30280211"/>
    <w:rsid w:val="3029156B"/>
    <w:rsid w:val="303715B1"/>
    <w:rsid w:val="3038602B"/>
    <w:rsid w:val="30444D13"/>
    <w:rsid w:val="3046333F"/>
    <w:rsid w:val="304F5041"/>
    <w:rsid w:val="30580BC9"/>
    <w:rsid w:val="305D509B"/>
    <w:rsid w:val="30624BC0"/>
    <w:rsid w:val="306C57BA"/>
    <w:rsid w:val="30745F85"/>
    <w:rsid w:val="30901797"/>
    <w:rsid w:val="30A03C3D"/>
    <w:rsid w:val="30AE4223"/>
    <w:rsid w:val="30E359E7"/>
    <w:rsid w:val="30F262EE"/>
    <w:rsid w:val="30FA0B08"/>
    <w:rsid w:val="31070C31"/>
    <w:rsid w:val="311367EC"/>
    <w:rsid w:val="31185880"/>
    <w:rsid w:val="311E2ED7"/>
    <w:rsid w:val="314020D2"/>
    <w:rsid w:val="315619EE"/>
    <w:rsid w:val="315C449C"/>
    <w:rsid w:val="318F2E4A"/>
    <w:rsid w:val="319B1429"/>
    <w:rsid w:val="31A34E59"/>
    <w:rsid w:val="31B82709"/>
    <w:rsid w:val="31B85133"/>
    <w:rsid w:val="31B87B63"/>
    <w:rsid w:val="31BD033E"/>
    <w:rsid w:val="31C5688F"/>
    <w:rsid w:val="31D05482"/>
    <w:rsid w:val="31D542DC"/>
    <w:rsid w:val="31DE485B"/>
    <w:rsid w:val="31E111CD"/>
    <w:rsid w:val="31EA1A0F"/>
    <w:rsid w:val="31F065BE"/>
    <w:rsid w:val="31FD2FE8"/>
    <w:rsid w:val="32061C57"/>
    <w:rsid w:val="3207127E"/>
    <w:rsid w:val="32093172"/>
    <w:rsid w:val="321A7B0D"/>
    <w:rsid w:val="32374898"/>
    <w:rsid w:val="32385F52"/>
    <w:rsid w:val="323C5732"/>
    <w:rsid w:val="32400B34"/>
    <w:rsid w:val="3253425C"/>
    <w:rsid w:val="32602D1E"/>
    <w:rsid w:val="326201EE"/>
    <w:rsid w:val="326703B1"/>
    <w:rsid w:val="32973307"/>
    <w:rsid w:val="329E6876"/>
    <w:rsid w:val="32A4263D"/>
    <w:rsid w:val="32A63C93"/>
    <w:rsid w:val="32BB0EE3"/>
    <w:rsid w:val="32BB5DF0"/>
    <w:rsid w:val="32BE02C9"/>
    <w:rsid w:val="32DD477C"/>
    <w:rsid w:val="32DF56AC"/>
    <w:rsid w:val="32EC7A4B"/>
    <w:rsid w:val="32FD232F"/>
    <w:rsid w:val="33044C2E"/>
    <w:rsid w:val="33051E27"/>
    <w:rsid w:val="330877FE"/>
    <w:rsid w:val="331071BC"/>
    <w:rsid w:val="33163448"/>
    <w:rsid w:val="331F7372"/>
    <w:rsid w:val="332178A6"/>
    <w:rsid w:val="3329601E"/>
    <w:rsid w:val="333015F2"/>
    <w:rsid w:val="333979CA"/>
    <w:rsid w:val="33425D63"/>
    <w:rsid w:val="334B6320"/>
    <w:rsid w:val="334D5792"/>
    <w:rsid w:val="335769A6"/>
    <w:rsid w:val="33707C82"/>
    <w:rsid w:val="337D0C54"/>
    <w:rsid w:val="33A64F57"/>
    <w:rsid w:val="33D934D4"/>
    <w:rsid w:val="33D939F6"/>
    <w:rsid w:val="33DA3AE8"/>
    <w:rsid w:val="33DD1264"/>
    <w:rsid w:val="33F31F60"/>
    <w:rsid w:val="33FB1765"/>
    <w:rsid w:val="33FE2F6A"/>
    <w:rsid w:val="340E07E5"/>
    <w:rsid w:val="341B448F"/>
    <w:rsid w:val="34235BF7"/>
    <w:rsid w:val="342B1103"/>
    <w:rsid w:val="346158C0"/>
    <w:rsid w:val="346B4336"/>
    <w:rsid w:val="347E0F73"/>
    <w:rsid w:val="34893A37"/>
    <w:rsid w:val="34912695"/>
    <w:rsid w:val="349F03B6"/>
    <w:rsid w:val="34AB6E97"/>
    <w:rsid w:val="34B318E7"/>
    <w:rsid w:val="34BD5826"/>
    <w:rsid w:val="34C123C5"/>
    <w:rsid w:val="34C2687B"/>
    <w:rsid w:val="34DD58C9"/>
    <w:rsid w:val="3506058A"/>
    <w:rsid w:val="35225365"/>
    <w:rsid w:val="3538177B"/>
    <w:rsid w:val="354B7AE6"/>
    <w:rsid w:val="35685961"/>
    <w:rsid w:val="356C0C1D"/>
    <w:rsid w:val="357A38DC"/>
    <w:rsid w:val="35817C21"/>
    <w:rsid w:val="3582021E"/>
    <w:rsid w:val="358C5FA8"/>
    <w:rsid w:val="35951637"/>
    <w:rsid w:val="359C60B3"/>
    <w:rsid w:val="35A65DA6"/>
    <w:rsid w:val="35B33210"/>
    <w:rsid w:val="35C15DF1"/>
    <w:rsid w:val="35FC0DE6"/>
    <w:rsid w:val="36074A7F"/>
    <w:rsid w:val="3617392A"/>
    <w:rsid w:val="36193789"/>
    <w:rsid w:val="363A2D58"/>
    <w:rsid w:val="365A1C13"/>
    <w:rsid w:val="36686238"/>
    <w:rsid w:val="36923549"/>
    <w:rsid w:val="36984D70"/>
    <w:rsid w:val="36A44440"/>
    <w:rsid w:val="36B20223"/>
    <w:rsid w:val="36B63100"/>
    <w:rsid w:val="36B75FBF"/>
    <w:rsid w:val="36BD0C45"/>
    <w:rsid w:val="36BE4C59"/>
    <w:rsid w:val="36D02C16"/>
    <w:rsid w:val="36D306D8"/>
    <w:rsid w:val="36DA3168"/>
    <w:rsid w:val="36EA5828"/>
    <w:rsid w:val="36F059B3"/>
    <w:rsid w:val="370462F3"/>
    <w:rsid w:val="370D43A7"/>
    <w:rsid w:val="3729320E"/>
    <w:rsid w:val="37384EAB"/>
    <w:rsid w:val="374101FF"/>
    <w:rsid w:val="37590E51"/>
    <w:rsid w:val="376121CC"/>
    <w:rsid w:val="377168DA"/>
    <w:rsid w:val="377328E2"/>
    <w:rsid w:val="377700D3"/>
    <w:rsid w:val="377F05E6"/>
    <w:rsid w:val="37892CE1"/>
    <w:rsid w:val="37AF3351"/>
    <w:rsid w:val="37BB5284"/>
    <w:rsid w:val="37C20BA3"/>
    <w:rsid w:val="37C73C94"/>
    <w:rsid w:val="37CE3CEC"/>
    <w:rsid w:val="37D566EA"/>
    <w:rsid w:val="37E00298"/>
    <w:rsid w:val="37EE072E"/>
    <w:rsid w:val="37EF6DF3"/>
    <w:rsid w:val="37F12FE8"/>
    <w:rsid w:val="3807313D"/>
    <w:rsid w:val="38165C42"/>
    <w:rsid w:val="386952E8"/>
    <w:rsid w:val="387C6310"/>
    <w:rsid w:val="388458B9"/>
    <w:rsid w:val="388B6E10"/>
    <w:rsid w:val="38B302F9"/>
    <w:rsid w:val="38B835DD"/>
    <w:rsid w:val="38BC15A0"/>
    <w:rsid w:val="38C852A8"/>
    <w:rsid w:val="38EF00EE"/>
    <w:rsid w:val="38F12CD3"/>
    <w:rsid w:val="38F25DFB"/>
    <w:rsid w:val="38F94775"/>
    <w:rsid w:val="390720EB"/>
    <w:rsid w:val="39095E5A"/>
    <w:rsid w:val="392971ED"/>
    <w:rsid w:val="39316AC6"/>
    <w:rsid w:val="39323A64"/>
    <w:rsid w:val="39325651"/>
    <w:rsid w:val="39522C7F"/>
    <w:rsid w:val="395404C8"/>
    <w:rsid w:val="39544168"/>
    <w:rsid w:val="39814303"/>
    <w:rsid w:val="3984442E"/>
    <w:rsid w:val="39844693"/>
    <w:rsid w:val="39A106CB"/>
    <w:rsid w:val="39A96D43"/>
    <w:rsid w:val="39AC6C27"/>
    <w:rsid w:val="39B63CB0"/>
    <w:rsid w:val="39BC60B4"/>
    <w:rsid w:val="39CA7403"/>
    <w:rsid w:val="39DD4D3E"/>
    <w:rsid w:val="39DE7F87"/>
    <w:rsid w:val="39E2472B"/>
    <w:rsid w:val="39E401D1"/>
    <w:rsid w:val="39E87ACD"/>
    <w:rsid w:val="39EF015C"/>
    <w:rsid w:val="39EF5AB4"/>
    <w:rsid w:val="3A0C4745"/>
    <w:rsid w:val="3A33061D"/>
    <w:rsid w:val="3A3319BC"/>
    <w:rsid w:val="3A587094"/>
    <w:rsid w:val="3A597DCB"/>
    <w:rsid w:val="3A6D4FE7"/>
    <w:rsid w:val="3A6E55C3"/>
    <w:rsid w:val="3A872856"/>
    <w:rsid w:val="3A8969CF"/>
    <w:rsid w:val="3A8A02A9"/>
    <w:rsid w:val="3A915ECC"/>
    <w:rsid w:val="3A9C7318"/>
    <w:rsid w:val="3AA10421"/>
    <w:rsid w:val="3AA328F4"/>
    <w:rsid w:val="3AAA76AE"/>
    <w:rsid w:val="3AC07E51"/>
    <w:rsid w:val="3AD63E8C"/>
    <w:rsid w:val="3AD87784"/>
    <w:rsid w:val="3AFE152C"/>
    <w:rsid w:val="3B0A3E08"/>
    <w:rsid w:val="3B1639E6"/>
    <w:rsid w:val="3B171603"/>
    <w:rsid w:val="3B3763D1"/>
    <w:rsid w:val="3B507EEC"/>
    <w:rsid w:val="3B5323AC"/>
    <w:rsid w:val="3B6054CE"/>
    <w:rsid w:val="3B707B46"/>
    <w:rsid w:val="3B7B0E58"/>
    <w:rsid w:val="3B987C9C"/>
    <w:rsid w:val="3BAA4B2A"/>
    <w:rsid w:val="3BAD515F"/>
    <w:rsid w:val="3BB645EB"/>
    <w:rsid w:val="3BB959BC"/>
    <w:rsid w:val="3BBE0E9C"/>
    <w:rsid w:val="3BCA5F27"/>
    <w:rsid w:val="3BD54679"/>
    <w:rsid w:val="3BEE67CC"/>
    <w:rsid w:val="3C077333"/>
    <w:rsid w:val="3C104343"/>
    <w:rsid w:val="3C1A027F"/>
    <w:rsid w:val="3C2F6E1E"/>
    <w:rsid w:val="3C3029F5"/>
    <w:rsid w:val="3C4123C1"/>
    <w:rsid w:val="3C4F64BA"/>
    <w:rsid w:val="3C631D64"/>
    <w:rsid w:val="3C84697A"/>
    <w:rsid w:val="3C8847D9"/>
    <w:rsid w:val="3C967C79"/>
    <w:rsid w:val="3C9C66B4"/>
    <w:rsid w:val="3CA8487C"/>
    <w:rsid w:val="3CA90B26"/>
    <w:rsid w:val="3CCA6B71"/>
    <w:rsid w:val="3CDA245A"/>
    <w:rsid w:val="3CDB38FC"/>
    <w:rsid w:val="3D045809"/>
    <w:rsid w:val="3D1E06B7"/>
    <w:rsid w:val="3D2505D2"/>
    <w:rsid w:val="3D305715"/>
    <w:rsid w:val="3D4A6CC0"/>
    <w:rsid w:val="3D6A4286"/>
    <w:rsid w:val="3D6B65EC"/>
    <w:rsid w:val="3D7D168E"/>
    <w:rsid w:val="3D943CF8"/>
    <w:rsid w:val="3D950F25"/>
    <w:rsid w:val="3D9D6786"/>
    <w:rsid w:val="3DA908A0"/>
    <w:rsid w:val="3DAD5D58"/>
    <w:rsid w:val="3DC33C22"/>
    <w:rsid w:val="3DCE36AF"/>
    <w:rsid w:val="3DD17427"/>
    <w:rsid w:val="3DDC41FB"/>
    <w:rsid w:val="3DE45208"/>
    <w:rsid w:val="3DF66BA7"/>
    <w:rsid w:val="3E0A1D3C"/>
    <w:rsid w:val="3E1562B9"/>
    <w:rsid w:val="3E167599"/>
    <w:rsid w:val="3E2456DD"/>
    <w:rsid w:val="3E4276DA"/>
    <w:rsid w:val="3E4F7DBF"/>
    <w:rsid w:val="3E517F05"/>
    <w:rsid w:val="3E567ADE"/>
    <w:rsid w:val="3E6676EB"/>
    <w:rsid w:val="3E777AED"/>
    <w:rsid w:val="3E7F0842"/>
    <w:rsid w:val="3EAB38BB"/>
    <w:rsid w:val="3EAC1C4E"/>
    <w:rsid w:val="3EB90958"/>
    <w:rsid w:val="3EBE0951"/>
    <w:rsid w:val="3EC3186F"/>
    <w:rsid w:val="3EC73208"/>
    <w:rsid w:val="3ECB2FB9"/>
    <w:rsid w:val="3EDA0523"/>
    <w:rsid w:val="3EE353D0"/>
    <w:rsid w:val="3EF32C5F"/>
    <w:rsid w:val="3F0142D1"/>
    <w:rsid w:val="3F0F2616"/>
    <w:rsid w:val="3F0F7759"/>
    <w:rsid w:val="3F127E5E"/>
    <w:rsid w:val="3F4A11A3"/>
    <w:rsid w:val="3F4C5993"/>
    <w:rsid w:val="3F655F80"/>
    <w:rsid w:val="3F777D79"/>
    <w:rsid w:val="3F872E30"/>
    <w:rsid w:val="3F936932"/>
    <w:rsid w:val="3F9B4BA2"/>
    <w:rsid w:val="3FA51AEF"/>
    <w:rsid w:val="3FB304FF"/>
    <w:rsid w:val="3FD1316F"/>
    <w:rsid w:val="3FE05EF9"/>
    <w:rsid w:val="404231A8"/>
    <w:rsid w:val="40486621"/>
    <w:rsid w:val="40571B2B"/>
    <w:rsid w:val="405A4324"/>
    <w:rsid w:val="407A6407"/>
    <w:rsid w:val="408C7F8E"/>
    <w:rsid w:val="409B3E63"/>
    <w:rsid w:val="409F5391"/>
    <w:rsid w:val="40A276A5"/>
    <w:rsid w:val="40CC02E2"/>
    <w:rsid w:val="40CD01C2"/>
    <w:rsid w:val="40D31674"/>
    <w:rsid w:val="40F31D6B"/>
    <w:rsid w:val="40FF5323"/>
    <w:rsid w:val="41042D86"/>
    <w:rsid w:val="413C0B06"/>
    <w:rsid w:val="41444D3A"/>
    <w:rsid w:val="414A0622"/>
    <w:rsid w:val="41516853"/>
    <w:rsid w:val="415B1088"/>
    <w:rsid w:val="415F471E"/>
    <w:rsid w:val="4174388F"/>
    <w:rsid w:val="417C532A"/>
    <w:rsid w:val="41813BC0"/>
    <w:rsid w:val="41826681"/>
    <w:rsid w:val="418C1D21"/>
    <w:rsid w:val="41980811"/>
    <w:rsid w:val="41B53897"/>
    <w:rsid w:val="41C12BAA"/>
    <w:rsid w:val="41DD7F68"/>
    <w:rsid w:val="4200449D"/>
    <w:rsid w:val="420119EC"/>
    <w:rsid w:val="42131690"/>
    <w:rsid w:val="421E7F52"/>
    <w:rsid w:val="421F0C03"/>
    <w:rsid w:val="42213471"/>
    <w:rsid w:val="42332E3A"/>
    <w:rsid w:val="423A3BCC"/>
    <w:rsid w:val="42424A71"/>
    <w:rsid w:val="424C1E11"/>
    <w:rsid w:val="424E57D2"/>
    <w:rsid w:val="424F6803"/>
    <w:rsid w:val="426266C0"/>
    <w:rsid w:val="426716C0"/>
    <w:rsid w:val="426920EC"/>
    <w:rsid w:val="426B0F0B"/>
    <w:rsid w:val="42B26C49"/>
    <w:rsid w:val="42B9504A"/>
    <w:rsid w:val="42E814A3"/>
    <w:rsid w:val="42EF43F8"/>
    <w:rsid w:val="43001BC9"/>
    <w:rsid w:val="430D7A9D"/>
    <w:rsid w:val="43291F51"/>
    <w:rsid w:val="432D5723"/>
    <w:rsid w:val="43391EDA"/>
    <w:rsid w:val="433A6FE6"/>
    <w:rsid w:val="43444A9A"/>
    <w:rsid w:val="43480868"/>
    <w:rsid w:val="434A27C7"/>
    <w:rsid w:val="4350713C"/>
    <w:rsid w:val="435B1690"/>
    <w:rsid w:val="436653E0"/>
    <w:rsid w:val="4370443E"/>
    <w:rsid w:val="437124C8"/>
    <w:rsid w:val="43715CAB"/>
    <w:rsid w:val="437F50CB"/>
    <w:rsid w:val="43A60A38"/>
    <w:rsid w:val="43AE3034"/>
    <w:rsid w:val="43AE6AA1"/>
    <w:rsid w:val="43C4431A"/>
    <w:rsid w:val="43C72159"/>
    <w:rsid w:val="43CF7AA0"/>
    <w:rsid w:val="43DE180F"/>
    <w:rsid w:val="43E231D8"/>
    <w:rsid w:val="43E23367"/>
    <w:rsid w:val="43E80ADD"/>
    <w:rsid w:val="43E843A8"/>
    <w:rsid w:val="43ED3EB4"/>
    <w:rsid w:val="43F021FA"/>
    <w:rsid w:val="43FB09B0"/>
    <w:rsid w:val="44224F14"/>
    <w:rsid w:val="443A7609"/>
    <w:rsid w:val="44537679"/>
    <w:rsid w:val="44871242"/>
    <w:rsid w:val="44922284"/>
    <w:rsid w:val="449F20EB"/>
    <w:rsid w:val="44AA2FF7"/>
    <w:rsid w:val="44AA3065"/>
    <w:rsid w:val="44B951CC"/>
    <w:rsid w:val="44BE0379"/>
    <w:rsid w:val="44CD14E0"/>
    <w:rsid w:val="44DF0C47"/>
    <w:rsid w:val="44E145A9"/>
    <w:rsid w:val="44EE1C2E"/>
    <w:rsid w:val="44F20B0B"/>
    <w:rsid w:val="44F30020"/>
    <w:rsid w:val="451A465D"/>
    <w:rsid w:val="452064DC"/>
    <w:rsid w:val="452E5F4C"/>
    <w:rsid w:val="453416DB"/>
    <w:rsid w:val="454E0A4E"/>
    <w:rsid w:val="455647BA"/>
    <w:rsid w:val="45612018"/>
    <w:rsid w:val="45612F22"/>
    <w:rsid w:val="456377A7"/>
    <w:rsid w:val="4565330A"/>
    <w:rsid w:val="45815100"/>
    <w:rsid w:val="458946E9"/>
    <w:rsid w:val="458B4B9A"/>
    <w:rsid w:val="45905EAD"/>
    <w:rsid w:val="45980F34"/>
    <w:rsid w:val="45997917"/>
    <w:rsid w:val="45A36D79"/>
    <w:rsid w:val="45A47C0E"/>
    <w:rsid w:val="45A71679"/>
    <w:rsid w:val="45D55D01"/>
    <w:rsid w:val="45DD7344"/>
    <w:rsid w:val="45E96345"/>
    <w:rsid w:val="460A39F4"/>
    <w:rsid w:val="462C02A5"/>
    <w:rsid w:val="46374DA0"/>
    <w:rsid w:val="46384DBF"/>
    <w:rsid w:val="46407E48"/>
    <w:rsid w:val="4654337F"/>
    <w:rsid w:val="46577FD6"/>
    <w:rsid w:val="466D11FF"/>
    <w:rsid w:val="46843E47"/>
    <w:rsid w:val="468D1266"/>
    <w:rsid w:val="46973969"/>
    <w:rsid w:val="469F7FED"/>
    <w:rsid w:val="46A365AD"/>
    <w:rsid w:val="46A87EDE"/>
    <w:rsid w:val="46B47EBD"/>
    <w:rsid w:val="46D00B00"/>
    <w:rsid w:val="46D955A7"/>
    <w:rsid w:val="47006556"/>
    <w:rsid w:val="470179F1"/>
    <w:rsid w:val="47133957"/>
    <w:rsid w:val="4717258D"/>
    <w:rsid w:val="47253033"/>
    <w:rsid w:val="47440F28"/>
    <w:rsid w:val="474B1F4C"/>
    <w:rsid w:val="47566DDB"/>
    <w:rsid w:val="476129A2"/>
    <w:rsid w:val="476E3DFB"/>
    <w:rsid w:val="477822BC"/>
    <w:rsid w:val="47963366"/>
    <w:rsid w:val="479B470F"/>
    <w:rsid w:val="47A07E0C"/>
    <w:rsid w:val="47AD430A"/>
    <w:rsid w:val="47C024E6"/>
    <w:rsid w:val="47C11514"/>
    <w:rsid w:val="47CF38C5"/>
    <w:rsid w:val="47D76AD1"/>
    <w:rsid w:val="47E831F0"/>
    <w:rsid w:val="47E90EFB"/>
    <w:rsid w:val="47EB46E5"/>
    <w:rsid w:val="47F80039"/>
    <w:rsid w:val="48033426"/>
    <w:rsid w:val="482B3C66"/>
    <w:rsid w:val="4868061D"/>
    <w:rsid w:val="4870272E"/>
    <w:rsid w:val="48881B7A"/>
    <w:rsid w:val="48A31F5B"/>
    <w:rsid w:val="48B56357"/>
    <w:rsid w:val="48F06AEA"/>
    <w:rsid w:val="49042E3A"/>
    <w:rsid w:val="4906202F"/>
    <w:rsid w:val="490C4FF8"/>
    <w:rsid w:val="490F3674"/>
    <w:rsid w:val="491C63D6"/>
    <w:rsid w:val="492F1A7F"/>
    <w:rsid w:val="493028F7"/>
    <w:rsid w:val="493D2B95"/>
    <w:rsid w:val="493F735E"/>
    <w:rsid w:val="493F7CD3"/>
    <w:rsid w:val="494C5932"/>
    <w:rsid w:val="4952490C"/>
    <w:rsid w:val="49555444"/>
    <w:rsid w:val="495C0E20"/>
    <w:rsid w:val="495E0585"/>
    <w:rsid w:val="496667C8"/>
    <w:rsid w:val="496A228A"/>
    <w:rsid w:val="49A23886"/>
    <w:rsid w:val="49A944E8"/>
    <w:rsid w:val="49BE34C0"/>
    <w:rsid w:val="49C5176B"/>
    <w:rsid w:val="49D2118A"/>
    <w:rsid w:val="49DC7715"/>
    <w:rsid w:val="49DE1842"/>
    <w:rsid w:val="49E537DC"/>
    <w:rsid w:val="49E61A7A"/>
    <w:rsid w:val="49EF6E64"/>
    <w:rsid w:val="49F7299F"/>
    <w:rsid w:val="49FC4620"/>
    <w:rsid w:val="4A004AE4"/>
    <w:rsid w:val="4A023139"/>
    <w:rsid w:val="4A043A52"/>
    <w:rsid w:val="4A07792C"/>
    <w:rsid w:val="4A0F5E9B"/>
    <w:rsid w:val="4A1423E4"/>
    <w:rsid w:val="4A1D0BF6"/>
    <w:rsid w:val="4A1D2F1B"/>
    <w:rsid w:val="4A1E7F14"/>
    <w:rsid w:val="4A2951AA"/>
    <w:rsid w:val="4A3568C3"/>
    <w:rsid w:val="4A361719"/>
    <w:rsid w:val="4A3F72C9"/>
    <w:rsid w:val="4A5A4573"/>
    <w:rsid w:val="4A5A7EAA"/>
    <w:rsid w:val="4A7638C4"/>
    <w:rsid w:val="4A7B434E"/>
    <w:rsid w:val="4A7B576F"/>
    <w:rsid w:val="4A8F773B"/>
    <w:rsid w:val="4AA26FEC"/>
    <w:rsid w:val="4AA43CD4"/>
    <w:rsid w:val="4AA95536"/>
    <w:rsid w:val="4ABE1D0D"/>
    <w:rsid w:val="4ABF0CC3"/>
    <w:rsid w:val="4AC947FA"/>
    <w:rsid w:val="4AE75E66"/>
    <w:rsid w:val="4AE9678B"/>
    <w:rsid w:val="4AEB31B7"/>
    <w:rsid w:val="4AF22FD6"/>
    <w:rsid w:val="4AF561A9"/>
    <w:rsid w:val="4B122ED7"/>
    <w:rsid w:val="4B181864"/>
    <w:rsid w:val="4B224D81"/>
    <w:rsid w:val="4B2A0E30"/>
    <w:rsid w:val="4B2A53BB"/>
    <w:rsid w:val="4B2C4F71"/>
    <w:rsid w:val="4B340E10"/>
    <w:rsid w:val="4B50519F"/>
    <w:rsid w:val="4B5714B8"/>
    <w:rsid w:val="4B571F1A"/>
    <w:rsid w:val="4B580DFA"/>
    <w:rsid w:val="4B99539F"/>
    <w:rsid w:val="4B9D6D51"/>
    <w:rsid w:val="4BAA79A9"/>
    <w:rsid w:val="4BBE2FF6"/>
    <w:rsid w:val="4BCF0B8F"/>
    <w:rsid w:val="4BF03B4A"/>
    <w:rsid w:val="4C0156D2"/>
    <w:rsid w:val="4C052F79"/>
    <w:rsid w:val="4C1E0024"/>
    <w:rsid w:val="4C2E6368"/>
    <w:rsid w:val="4C4A0649"/>
    <w:rsid w:val="4C4A6525"/>
    <w:rsid w:val="4C552784"/>
    <w:rsid w:val="4C675394"/>
    <w:rsid w:val="4C7C718B"/>
    <w:rsid w:val="4C7E5ECA"/>
    <w:rsid w:val="4C876AA5"/>
    <w:rsid w:val="4C8B512B"/>
    <w:rsid w:val="4CA0682E"/>
    <w:rsid w:val="4CA37371"/>
    <w:rsid w:val="4CB33CC2"/>
    <w:rsid w:val="4CC41DE9"/>
    <w:rsid w:val="4CDC77C6"/>
    <w:rsid w:val="4CDD5B59"/>
    <w:rsid w:val="4CE66BF4"/>
    <w:rsid w:val="4CEC4773"/>
    <w:rsid w:val="4CEC60BF"/>
    <w:rsid w:val="4D095DAC"/>
    <w:rsid w:val="4D0E00FB"/>
    <w:rsid w:val="4D176606"/>
    <w:rsid w:val="4D1911ED"/>
    <w:rsid w:val="4D281E45"/>
    <w:rsid w:val="4D312BB7"/>
    <w:rsid w:val="4D4920F2"/>
    <w:rsid w:val="4D534EC4"/>
    <w:rsid w:val="4D5E0C18"/>
    <w:rsid w:val="4D5F6345"/>
    <w:rsid w:val="4D67596C"/>
    <w:rsid w:val="4D790614"/>
    <w:rsid w:val="4D8C5141"/>
    <w:rsid w:val="4D927391"/>
    <w:rsid w:val="4D982C1A"/>
    <w:rsid w:val="4DA94342"/>
    <w:rsid w:val="4DAE0055"/>
    <w:rsid w:val="4DB877A9"/>
    <w:rsid w:val="4DCC01E1"/>
    <w:rsid w:val="4DD11455"/>
    <w:rsid w:val="4DD50F66"/>
    <w:rsid w:val="4DEC4FB0"/>
    <w:rsid w:val="4DFC4A28"/>
    <w:rsid w:val="4E075D8A"/>
    <w:rsid w:val="4E146A50"/>
    <w:rsid w:val="4E1D7ED6"/>
    <w:rsid w:val="4E1E281B"/>
    <w:rsid w:val="4E221788"/>
    <w:rsid w:val="4E26479A"/>
    <w:rsid w:val="4E34346E"/>
    <w:rsid w:val="4E3E3199"/>
    <w:rsid w:val="4E41286F"/>
    <w:rsid w:val="4E457158"/>
    <w:rsid w:val="4E46046E"/>
    <w:rsid w:val="4E5914D1"/>
    <w:rsid w:val="4E5E3EE5"/>
    <w:rsid w:val="4E861D80"/>
    <w:rsid w:val="4E8D7397"/>
    <w:rsid w:val="4E993982"/>
    <w:rsid w:val="4EA30D41"/>
    <w:rsid w:val="4EB03A46"/>
    <w:rsid w:val="4EB92C58"/>
    <w:rsid w:val="4EC00FAD"/>
    <w:rsid w:val="4EDA74E5"/>
    <w:rsid w:val="4EE0495D"/>
    <w:rsid w:val="4EF11C39"/>
    <w:rsid w:val="4EF66C53"/>
    <w:rsid w:val="4EF754E7"/>
    <w:rsid w:val="4F0D4D1F"/>
    <w:rsid w:val="4F0E1462"/>
    <w:rsid w:val="4F0E71C7"/>
    <w:rsid w:val="4F182B7E"/>
    <w:rsid w:val="4F302863"/>
    <w:rsid w:val="4F3B1231"/>
    <w:rsid w:val="4F4856A6"/>
    <w:rsid w:val="4F613BB3"/>
    <w:rsid w:val="4F626B0C"/>
    <w:rsid w:val="4F66136F"/>
    <w:rsid w:val="4F8765D2"/>
    <w:rsid w:val="4F8C1616"/>
    <w:rsid w:val="4F90636F"/>
    <w:rsid w:val="4F971012"/>
    <w:rsid w:val="4F9843DC"/>
    <w:rsid w:val="4F9C5F42"/>
    <w:rsid w:val="4FC479BC"/>
    <w:rsid w:val="4FC62A8C"/>
    <w:rsid w:val="4FC95EAB"/>
    <w:rsid w:val="4FCB7F8E"/>
    <w:rsid w:val="4FDD70BF"/>
    <w:rsid w:val="4FE12D13"/>
    <w:rsid w:val="4FE20F0D"/>
    <w:rsid w:val="4FE51552"/>
    <w:rsid w:val="4FFC144E"/>
    <w:rsid w:val="4FFF0A70"/>
    <w:rsid w:val="50034F5C"/>
    <w:rsid w:val="501A56DA"/>
    <w:rsid w:val="501F2E54"/>
    <w:rsid w:val="50242014"/>
    <w:rsid w:val="502A185F"/>
    <w:rsid w:val="503D7622"/>
    <w:rsid w:val="5040052A"/>
    <w:rsid w:val="5045600F"/>
    <w:rsid w:val="50504C4B"/>
    <w:rsid w:val="507E3E04"/>
    <w:rsid w:val="5085050A"/>
    <w:rsid w:val="50911307"/>
    <w:rsid w:val="509B3183"/>
    <w:rsid w:val="509C6E7C"/>
    <w:rsid w:val="509D08F5"/>
    <w:rsid w:val="50A42C0C"/>
    <w:rsid w:val="50B45146"/>
    <w:rsid w:val="50CA73A0"/>
    <w:rsid w:val="50E44358"/>
    <w:rsid w:val="50EB2246"/>
    <w:rsid w:val="50F22414"/>
    <w:rsid w:val="50F85903"/>
    <w:rsid w:val="511536DB"/>
    <w:rsid w:val="511D6611"/>
    <w:rsid w:val="513254A9"/>
    <w:rsid w:val="5162104E"/>
    <w:rsid w:val="51950888"/>
    <w:rsid w:val="5199383A"/>
    <w:rsid w:val="51AE7211"/>
    <w:rsid w:val="51B41F91"/>
    <w:rsid w:val="51C0715F"/>
    <w:rsid w:val="51CF5BAD"/>
    <w:rsid w:val="51DF1E3D"/>
    <w:rsid w:val="51E166F3"/>
    <w:rsid w:val="51EA095A"/>
    <w:rsid w:val="52034895"/>
    <w:rsid w:val="520F5433"/>
    <w:rsid w:val="52276065"/>
    <w:rsid w:val="52276E41"/>
    <w:rsid w:val="523621CB"/>
    <w:rsid w:val="524E121E"/>
    <w:rsid w:val="5284334B"/>
    <w:rsid w:val="52E1004A"/>
    <w:rsid w:val="52F14546"/>
    <w:rsid w:val="52FC0547"/>
    <w:rsid w:val="533F7B48"/>
    <w:rsid w:val="53424E64"/>
    <w:rsid w:val="53447A7D"/>
    <w:rsid w:val="534C7728"/>
    <w:rsid w:val="535129C8"/>
    <w:rsid w:val="535D1097"/>
    <w:rsid w:val="53694C60"/>
    <w:rsid w:val="536B26A2"/>
    <w:rsid w:val="53722AC8"/>
    <w:rsid w:val="5376198E"/>
    <w:rsid w:val="5377409B"/>
    <w:rsid w:val="538C50BA"/>
    <w:rsid w:val="53A039CC"/>
    <w:rsid w:val="53A1505A"/>
    <w:rsid w:val="53AB55D4"/>
    <w:rsid w:val="53DC73F2"/>
    <w:rsid w:val="53EE6A49"/>
    <w:rsid w:val="53FC2D34"/>
    <w:rsid w:val="53FC3C55"/>
    <w:rsid w:val="54063E08"/>
    <w:rsid w:val="541505ED"/>
    <w:rsid w:val="543437E8"/>
    <w:rsid w:val="54536111"/>
    <w:rsid w:val="545E3418"/>
    <w:rsid w:val="54673651"/>
    <w:rsid w:val="5469753E"/>
    <w:rsid w:val="546F037B"/>
    <w:rsid w:val="54700405"/>
    <w:rsid w:val="54816EFE"/>
    <w:rsid w:val="54846483"/>
    <w:rsid w:val="548D68CE"/>
    <w:rsid w:val="5498325F"/>
    <w:rsid w:val="54B43966"/>
    <w:rsid w:val="54CC4297"/>
    <w:rsid w:val="54CD734E"/>
    <w:rsid w:val="54E33B2B"/>
    <w:rsid w:val="54EB6098"/>
    <w:rsid w:val="54F73313"/>
    <w:rsid w:val="54F80955"/>
    <w:rsid w:val="55055A01"/>
    <w:rsid w:val="55195157"/>
    <w:rsid w:val="553F1A4C"/>
    <w:rsid w:val="555170A7"/>
    <w:rsid w:val="55775102"/>
    <w:rsid w:val="55835987"/>
    <w:rsid w:val="5587536D"/>
    <w:rsid w:val="558B1D27"/>
    <w:rsid w:val="558D7D10"/>
    <w:rsid w:val="559B174B"/>
    <w:rsid w:val="55A10DBD"/>
    <w:rsid w:val="55A37A5B"/>
    <w:rsid w:val="55AB3DF3"/>
    <w:rsid w:val="55CE0CF4"/>
    <w:rsid w:val="55D6659D"/>
    <w:rsid w:val="55EB206E"/>
    <w:rsid w:val="55F75F1F"/>
    <w:rsid w:val="560964C9"/>
    <w:rsid w:val="561413B4"/>
    <w:rsid w:val="56197153"/>
    <w:rsid w:val="56391353"/>
    <w:rsid w:val="564013A8"/>
    <w:rsid w:val="564842C6"/>
    <w:rsid w:val="564927BF"/>
    <w:rsid w:val="564A7BB0"/>
    <w:rsid w:val="56504D7A"/>
    <w:rsid w:val="56511C6E"/>
    <w:rsid w:val="567C04B4"/>
    <w:rsid w:val="56890E9A"/>
    <w:rsid w:val="568954F8"/>
    <w:rsid w:val="568B216D"/>
    <w:rsid w:val="568F7441"/>
    <w:rsid w:val="56933AA1"/>
    <w:rsid w:val="569D69D1"/>
    <w:rsid w:val="56A101A4"/>
    <w:rsid w:val="56A17594"/>
    <w:rsid w:val="56AC5B7A"/>
    <w:rsid w:val="56B17A18"/>
    <w:rsid w:val="56B22A9C"/>
    <w:rsid w:val="56B774F9"/>
    <w:rsid w:val="56BC6B02"/>
    <w:rsid w:val="56CA17B2"/>
    <w:rsid w:val="56CB0DA4"/>
    <w:rsid w:val="56CE61E3"/>
    <w:rsid w:val="56DB5DE7"/>
    <w:rsid w:val="56DE116E"/>
    <w:rsid w:val="56F57975"/>
    <w:rsid w:val="570877D5"/>
    <w:rsid w:val="573068AA"/>
    <w:rsid w:val="57382C4B"/>
    <w:rsid w:val="5745064C"/>
    <w:rsid w:val="574647BD"/>
    <w:rsid w:val="57572CCF"/>
    <w:rsid w:val="57651453"/>
    <w:rsid w:val="578735B4"/>
    <w:rsid w:val="57875518"/>
    <w:rsid w:val="57882E88"/>
    <w:rsid w:val="57893AA5"/>
    <w:rsid w:val="578D60FD"/>
    <w:rsid w:val="57B72A76"/>
    <w:rsid w:val="57B807A8"/>
    <w:rsid w:val="57C2056A"/>
    <w:rsid w:val="57C3426C"/>
    <w:rsid w:val="57CE1F93"/>
    <w:rsid w:val="57D342D2"/>
    <w:rsid w:val="57D357EC"/>
    <w:rsid w:val="57D947D7"/>
    <w:rsid w:val="57DC5452"/>
    <w:rsid w:val="57EA52DA"/>
    <w:rsid w:val="57F66683"/>
    <w:rsid w:val="5821579C"/>
    <w:rsid w:val="58592F4C"/>
    <w:rsid w:val="58732F30"/>
    <w:rsid w:val="587559A9"/>
    <w:rsid w:val="588743D1"/>
    <w:rsid w:val="5887701A"/>
    <w:rsid w:val="58880994"/>
    <w:rsid w:val="588931A0"/>
    <w:rsid w:val="58901FDC"/>
    <w:rsid w:val="589966B7"/>
    <w:rsid w:val="589D2D3B"/>
    <w:rsid w:val="58B24108"/>
    <w:rsid w:val="58BC12B7"/>
    <w:rsid w:val="58C42020"/>
    <w:rsid w:val="58CE62D6"/>
    <w:rsid w:val="58D902C3"/>
    <w:rsid w:val="58F35813"/>
    <w:rsid w:val="58F664D6"/>
    <w:rsid w:val="59062946"/>
    <w:rsid w:val="590A148B"/>
    <w:rsid w:val="59221D67"/>
    <w:rsid w:val="592E649C"/>
    <w:rsid w:val="59501F7F"/>
    <w:rsid w:val="59561490"/>
    <w:rsid w:val="59743BE3"/>
    <w:rsid w:val="59977C01"/>
    <w:rsid w:val="599E479B"/>
    <w:rsid w:val="59A8604B"/>
    <w:rsid w:val="59B7647A"/>
    <w:rsid w:val="59BA4B64"/>
    <w:rsid w:val="59BB2E99"/>
    <w:rsid w:val="59C0439F"/>
    <w:rsid w:val="59CB06C5"/>
    <w:rsid w:val="59D82E4E"/>
    <w:rsid w:val="5A1D4275"/>
    <w:rsid w:val="5A4408C3"/>
    <w:rsid w:val="5A45288E"/>
    <w:rsid w:val="5A6363D1"/>
    <w:rsid w:val="5A652B49"/>
    <w:rsid w:val="5A724293"/>
    <w:rsid w:val="5A820063"/>
    <w:rsid w:val="5A834B4C"/>
    <w:rsid w:val="5A856538"/>
    <w:rsid w:val="5A9A5F49"/>
    <w:rsid w:val="5ABA65BA"/>
    <w:rsid w:val="5ABD2F7E"/>
    <w:rsid w:val="5ABE2233"/>
    <w:rsid w:val="5AC36B81"/>
    <w:rsid w:val="5AD76600"/>
    <w:rsid w:val="5ADA795F"/>
    <w:rsid w:val="5AE47290"/>
    <w:rsid w:val="5AEA5556"/>
    <w:rsid w:val="5B025E7D"/>
    <w:rsid w:val="5B161ACF"/>
    <w:rsid w:val="5B2F2173"/>
    <w:rsid w:val="5B3556F6"/>
    <w:rsid w:val="5B427219"/>
    <w:rsid w:val="5B4A2D80"/>
    <w:rsid w:val="5B4A4548"/>
    <w:rsid w:val="5B4E08F4"/>
    <w:rsid w:val="5B541EF6"/>
    <w:rsid w:val="5B5F03CC"/>
    <w:rsid w:val="5B6371BC"/>
    <w:rsid w:val="5B681E91"/>
    <w:rsid w:val="5B6B2BFD"/>
    <w:rsid w:val="5B6F30DF"/>
    <w:rsid w:val="5B746CCA"/>
    <w:rsid w:val="5B7732F9"/>
    <w:rsid w:val="5B785995"/>
    <w:rsid w:val="5B7B0AEF"/>
    <w:rsid w:val="5BA52493"/>
    <w:rsid w:val="5BB04934"/>
    <w:rsid w:val="5BB33170"/>
    <w:rsid w:val="5BBA2494"/>
    <w:rsid w:val="5BC10B6D"/>
    <w:rsid w:val="5BC3779E"/>
    <w:rsid w:val="5BD0369F"/>
    <w:rsid w:val="5BDF5D95"/>
    <w:rsid w:val="5BE13134"/>
    <w:rsid w:val="5BF83748"/>
    <w:rsid w:val="5BF91936"/>
    <w:rsid w:val="5BFE7528"/>
    <w:rsid w:val="5C2124E2"/>
    <w:rsid w:val="5C28277A"/>
    <w:rsid w:val="5C29635A"/>
    <w:rsid w:val="5C455569"/>
    <w:rsid w:val="5C4E1FD0"/>
    <w:rsid w:val="5C670215"/>
    <w:rsid w:val="5C6C02A1"/>
    <w:rsid w:val="5C732144"/>
    <w:rsid w:val="5C974889"/>
    <w:rsid w:val="5CBC530C"/>
    <w:rsid w:val="5CE414F5"/>
    <w:rsid w:val="5CFE68E3"/>
    <w:rsid w:val="5D15602F"/>
    <w:rsid w:val="5D1C0553"/>
    <w:rsid w:val="5D2B1343"/>
    <w:rsid w:val="5D354B32"/>
    <w:rsid w:val="5D50503B"/>
    <w:rsid w:val="5D521425"/>
    <w:rsid w:val="5D606C71"/>
    <w:rsid w:val="5D757D27"/>
    <w:rsid w:val="5D7F132D"/>
    <w:rsid w:val="5D8141A7"/>
    <w:rsid w:val="5D957208"/>
    <w:rsid w:val="5DA53623"/>
    <w:rsid w:val="5DAA0B3A"/>
    <w:rsid w:val="5DD86807"/>
    <w:rsid w:val="5DDF6244"/>
    <w:rsid w:val="5E123231"/>
    <w:rsid w:val="5E214B73"/>
    <w:rsid w:val="5E2467F1"/>
    <w:rsid w:val="5E3543E7"/>
    <w:rsid w:val="5E3B33C6"/>
    <w:rsid w:val="5E554871"/>
    <w:rsid w:val="5E5F664B"/>
    <w:rsid w:val="5E830836"/>
    <w:rsid w:val="5E847405"/>
    <w:rsid w:val="5E891FF1"/>
    <w:rsid w:val="5EAB4A2B"/>
    <w:rsid w:val="5EAF10F5"/>
    <w:rsid w:val="5EAF7815"/>
    <w:rsid w:val="5EB60F8E"/>
    <w:rsid w:val="5EC63E4D"/>
    <w:rsid w:val="5EDD1CAF"/>
    <w:rsid w:val="5EE56AD6"/>
    <w:rsid w:val="5EE77E19"/>
    <w:rsid w:val="5EE9219D"/>
    <w:rsid w:val="5EEB541D"/>
    <w:rsid w:val="5EF33523"/>
    <w:rsid w:val="5F1A2B43"/>
    <w:rsid w:val="5F304C41"/>
    <w:rsid w:val="5F4E4D07"/>
    <w:rsid w:val="5F5C63B9"/>
    <w:rsid w:val="5F741B27"/>
    <w:rsid w:val="5F82462F"/>
    <w:rsid w:val="5F83398A"/>
    <w:rsid w:val="5F8A6128"/>
    <w:rsid w:val="5FB837BB"/>
    <w:rsid w:val="5FC53231"/>
    <w:rsid w:val="5FC90F49"/>
    <w:rsid w:val="603A5C1E"/>
    <w:rsid w:val="603F6826"/>
    <w:rsid w:val="60451B2A"/>
    <w:rsid w:val="6064689A"/>
    <w:rsid w:val="60653CB5"/>
    <w:rsid w:val="606801FF"/>
    <w:rsid w:val="608478F8"/>
    <w:rsid w:val="609F6C6B"/>
    <w:rsid w:val="60A270C1"/>
    <w:rsid w:val="60B02A81"/>
    <w:rsid w:val="60B11859"/>
    <w:rsid w:val="60B42476"/>
    <w:rsid w:val="60B716D7"/>
    <w:rsid w:val="60CA2662"/>
    <w:rsid w:val="60CC405A"/>
    <w:rsid w:val="60E6789A"/>
    <w:rsid w:val="60EE5D76"/>
    <w:rsid w:val="60F15773"/>
    <w:rsid w:val="60FF553B"/>
    <w:rsid w:val="611063C8"/>
    <w:rsid w:val="611626D7"/>
    <w:rsid w:val="61196AD7"/>
    <w:rsid w:val="612E02BF"/>
    <w:rsid w:val="61301B62"/>
    <w:rsid w:val="613027C5"/>
    <w:rsid w:val="613E55F1"/>
    <w:rsid w:val="614F7106"/>
    <w:rsid w:val="616C368B"/>
    <w:rsid w:val="617F6188"/>
    <w:rsid w:val="618136D7"/>
    <w:rsid w:val="619A5390"/>
    <w:rsid w:val="61A70EE2"/>
    <w:rsid w:val="61A83807"/>
    <w:rsid w:val="61AD7C62"/>
    <w:rsid w:val="61E215D8"/>
    <w:rsid w:val="61E265AB"/>
    <w:rsid w:val="61E82EA1"/>
    <w:rsid w:val="61EC09EF"/>
    <w:rsid w:val="61EE327B"/>
    <w:rsid w:val="61F555BE"/>
    <w:rsid w:val="61F57729"/>
    <w:rsid w:val="621B3775"/>
    <w:rsid w:val="62283767"/>
    <w:rsid w:val="62290773"/>
    <w:rsid w:val="622B21E1"/>
    <w:rsid w:val="62364782"/>
    <w:rsid w:val="62593434"/>
    <w:rsid w:val="62593A8D"/>
    <w:rsid w:val="6260056D"/>
    <w:rsid w:val="6274664C"/>
    <w:rsid w:val="629F6A7F"/>
    <w:rsid w:val="62B63E6D"/>
    <w:rsid w:val="62B97412"/>
    <w:rsid w:val="62BC51AA"/>
    <w:rsid w:val="62EF025F"/>
    <w:rsid w:val="63154A71"/>
    <w:rsid w:val="631F378E"/>
    <w:rsid w:val="632926DE"/>
    <w:rsid w:val="632D2B2A"/>
    <w:rsid w:val="633454DA"/>
    <w:rsid w:val="633D0E30"/>
    <w:rsid w:val="634F2F3D"/>
    <w:rsid w:val="634F40D3"/>
    <w:rsid w:val="63585BDF"/>
    <w:rsid w:val="63614EB8"/>
    <w:rsid w:val="6364406A"/>
    <w:rsid w:val="63705DCF"/>
    <w:rsid w:val="637B5FD3"/>
    <w:rsid w:val="63885B96"/>
    <w:rsid w:val="6394356A"/>
    <w:rsid w:val="63C61B2C"/>
    <w:rsid w:val="63D1773B"/>
    <w:rsid w:val="63D27C9A"/>
    <w:rsid w:val="63D40BE9"/>
    <w:rsid w:val="63E678B4"/>
    <w:rsid w:val="63E871F8"/>
    <w:rsid w:val="63F63BA4"/>
    <w:rsid w:val="63FC5934"/>
    <w:rsid w:val="64102431"/>
    <w:rsid w:val="643D7A3D"/>
    <w:rsid w:val="644A54C2"/>
    <w:rsid w:val="644D1C1F"/>
    <w:rsid w:val="644E6B36"/>
    <w:rsid w:val="645622F6"/>
    <w:rsid w:val="64576BEA"/>
    <w:rsid w:val="64644CF9"/>
    <w:rsid w:val="647D60D1"/>
    <w:rsid w:val="648128C0"/>
    <w:rsid w:val="648A0D81"/>
    <w:rsid w:val="64A5243A"/>
    <w:rsid w:val="64B83A4F"/>
    <w:rsid w:val="64B953F6"/>
    <w:rsid w:val="64CF2412"/>
    <w:rsid w:val="64D5239B"/>
    <w:rsid w:val="64DA472D"/>
    <w:rsid w:val="64E6406D"/>
    <w:rsid w:val="64F531DE"/>
    <w:rsid w:val="65285566"/>
    <w:rsid w:val="6537029C"/>
    <w:rsid w:val="65373578"/>
    <w:rsid w:val="653C3068"/>
    <w:rsid w:val="654A16FF"/>
    <w:rsid w:val="654C6B48"/>
    <w:rsid w:val="6555683A"/>
    <w:rsid w:val="656E6E56"/>
    <w:rsid w:val="65807427"/>
    <w:rsid w:val="658551CB"/>
    <w:rsid w:val="65872625"/>
    <w:rsid w:val="658F2553"/>
    <w:rsid w:val="65945795"/>
    <w:rsid w:val="65A8148B"/>
    <w:rsid w:val="65C92557"/>
    <w:rsid w:val="65E037B4"/>
    <w:rsid w:val="65E23D7D"/>
    <w:rsid w:val="65F7433B"/>
    <w:rsid w:val="66045969"/>
    <w:rsid w:val="660A3D40"/>
    <w:rsid w:val="661939CB"/>
    <w:rsid w:val="66436798"/>
    <w:rsid w:val="665D0578"/>
    <w:rsid w:val="66757D60"/>
    <w:rsid w:val="66766E26"/>
    <w:rsid w:val="668F6179"/>
    <w:rsid w:val="669008E1"/>
    <w:rsid w:val="66A91D13"/>
    <w:rsid w:val="66CA24C7"/>
    <w:rsid w:val="66CE6345"/>
    <w:rsid w:val="66E007F4"/>
    <w:rsid w:val="66E1778E"/>
    <w:rsid w:val="67014B4A"/>
    <w:rsid w:val="670B73FA"/>
    <w:rsid w:val="67161FB7"/>
    <w:rsid w:val="671F124A"/>
    <w:rsid w:val="672828C1"/>
    <w:rsid w:val="673B147A"/>
    <w:rsid w:val="67421633"/>
    <w:rsid w:val="67654F94"/>
    <w:rsid w:val="67690DF4"/>
    <w:rsid w:val="67736D1F"/>
    <w:rsid w:val="677A33C6"/>
    <w:rsid w:val="677D1C60"/>
    <w:rsid w:val="67857943"/>
    <w:rsid w:val="679147EA"/>
    <w:rsid w:val="67A06D77"/>
    <w:rsid w:val="67AC2BC3"/>
    <w:rsid w:val="67C34BD7"/>
    <w:rsid w:val="67CC5D9C"/>
    <w:rsid w:val="67E62F89"/>
    <w:rsid w:val="67F46030"/>
    <w:rsid w:val="67FD6F7B"/>
    <w:rsid w:val="68034D74"/>
    <w:rsid w:val="6806460B"/>
    <w:rsid w:val="681F6961"/>
    <w:rsid w:val="68207BD7"/>
    <w:rsid w:val="68246C75"/>
    <w:rsid w:val="68274A66"/>
    <w:rsid w:val="682A4549"/>
    <w:rsid w:val="683F3957"/>
    <w:rsid w:val="68414188"/>
    <w:rsid w:val="68586A58"/>
    <w:rsid w:val="68607EC8"/>
    <w:rsid w:val="68610A2F"/>
    <w:rsid w:val="68683011"/>
    <w:rsid w:val="686E3295"/>
    <w:rsid w:val="68805514"/>
    <w:rsid w:val="688138F7"/>
    <w:rsid w:val="68B377C5"/>
    <w:rsid w:val="68BD2554"/>
    <w:rsid w:val="68D9297B"/>
    <w:rsid w:val="68E96900"/>
    <w:rsid w:val="68EE5476"/>
    <w:rsid w:val="68FE11FC"/>
    <w:rsid w:val="69025CFE"/>
    <w:rsid w:val="690B715F"/>
    <w:rsid w:val="691B38C4"/>
    <w:rsid w:val="6931512E"/>
    <w:rsid w:val="69316E2F"/>
    <w:rsid w:val="694E2071"/>
    <w:rsid w:val="69657D26"/>
    <w:rsid w:val="6966024B"/>
    <w:rsid w:val="69676D16"/>
    <w:rsid w:val="69702A2A"/>
    <w:rsid w:val="69753073"/>
    <w:rsid w:val="69766163"/>
    <w:rsid w:val="697A3B33"/>
    <w:rsid w:val="697F233D"/>
    <w:rsid w:val="698D53DB"/>
    <w:rsid w:val="699460C1"/>
    <w:rsid w:val="699548BD"/>
    <w:rsid w:val="699C6678"/>
    <w:rsid w:val="69B32EC7"/>
    <w:rsid w:val="69C54353"/>
    <w:rsid w:val="69D44760"/>
    <w:rsid w:val="69DF7FC6"/>
    <w:rsid w:val="69F4357F"/>
    <w:rsid w:val="69F5685B"/>
    <w:rsid w:val="69F92F34"/>
    <w:rsid w:val="6A223B3D"/>
    <w:rsid w:val="6A2955F9"/>
    <w:rsid w:val="6A4D6295"/>
    <w:rsid w:val="6A520EC7"/>
    <w:rsid w:val="6A7774B8"/>
    <w:rsid w:val="6ACF7CED"/>
    <w:rsid w:val="6AD40467"/>
    <w:rsid w:val="6AD85BD5"/>
    <w:rsid w:val="6ADF750B"/>
    <w:rsid w:val="6AE067D2"/>
    <w:rsid w:val="6AF87E20"/>
    <w:rsid w:val="6AFD5BA2"/>
    <w:rsid w:val="6AFF300A"/>
    <w:rsid w:val="6B035192"/>
    <w:rsid w:val="6B0C0D63"/>
    <w:rsid w:val="6B1503B3"/>
    <w:rsid w:val="6B27705F"/>
    <w:rsid w:val="6B322639"/>
    <w:rsid w:val="6B3730E7"/>
    <w:rsid w:val="6B543C20"/>
    <w:rsid w:val="6B573BD9"/>
    <w:rsid w:val="6B6348F4"/>
    <w:rsid w:val="6B7127B0"/>
    <w:rsid w:val="6B7B6A2D"/>
    <w:rsid w:val="6B7E2994"/>
    <w:rsid w:val="6B9246C9"/>
    <w:rsid w:val="6B981494"/>
    <w:rsid w:val="6BA306C6"/>
    <w:rsid w:val="6BCD468F"/>
    <w:rsid w:val="6BD254DF"/>
    <w:rsid w:val="6BDB69AF"/>
    <w:rsid w:val="6BDC2CB8"/>
    <w:rsid w:val="6BF55CB6"/>
    <w:rsid w:val="6BF568E6"/>
    <w:rsid w:val="6BFB114C"/>
    <w:rsid w:val="6C031F41"/>
    <w:rsid w:val="6C314F1F"/>
    <w:rsid w:val="6C463AAB"/>
    <w:rsid w:val="6C595E09"/>
    <w:rsid w:val="6C5B7AE5"/>
    <w:rsid w:val="6C624576"/>
    <w:rsid w:val="6C636C38"/>
    <w:rsid w:val="6C6D1524"/>
    <w:rsid w:val="6C7F3298"/>
    <w:rsid w:val="6C8026E4"/>
    <w:rsid w:val="6C87158A"/>
    <w:rsid w:val="6C8B2DA7"/>
    <w:rsid w:val="6C9B115D"/>
    <w:rsid w:val="6CA04857"/>
    <w:rsid w:val="6CD26D26"/>
    <w:rsid w:val="6CE50521"/>
    <w:rsid w:val="6CF6697F"/>
    <w:rsid w:val="6D043478"/>
    <w:rsid w:val="6D07408E"/>
    <w:rsid w:val="6D09605E"/>
    <w:rsid w:val="6D166791"/>
    <w:rsid w:val="6D5C4743"/>
    <w:rsid w:val="6D63083E"/>
    <w:rsid w:val="6D664AB0"/>
    <w:rsid w:val="6D872C6E"/>
    <w:rsid w:val="6D925C9B"/>
    <w:rsid w:val="6D965453"/>
    <w:rsid w:val="6DA213F7"/>
    <w:rsid w:val="6DB26037"/>
    <w:rsid w:val="6DB34098"/>
    <w:rsid w:val="6DB545B6"/>
    <w:rsid w:val="6DCC24CA"/>
    <w:rsid w:val="6DE02FB4"/>
    <w:rsid w:val="6DE11E9E"/>
    <w:rsid w:val="6E036618"/>
    <w:rsid w:val="6E0C59D4"/>
    <w:rsid w:val="6E1374B5"/>
    <w:rsid w:val="6E2541D6"/>
    <w:rsid w:val="6E261B95"/>
    <w:rsid w:val="6E276940"/>
    <w:rsid w:val="6E296085"/>
    <w:rsid w:val="6E2C3DAF"/>
    <w:rsid w:val="6E514CED"/>
    <w:rsid w:val="6E5959E6"/>
    <w:rsid w:val="6E6E1A43"/>
    <w:rsid w:val="6E71714F"/>
    <w:rsid w:val="6E7671F5"/>
    <w:rsid w:val="6EB10010"/>
    <w:rsid w:val="6EB563D5"/>
    <w:rsid w:val="6ECD56AA"/>
    <w:rsid w:val="6ED92677"/>
    <w:rsid w:val="6EDD45F3"/>
    <w:rsid w:val="6EE02E99"/>
    <w:rsid w:val="6EE24034"/>
    <w:rsid w:val="6EED1B1C"/>
    <w:rsid w:val="6F043870"/>
    <w:rsid w:val="6F06173E"/>
    <w:rsid w:val="6F225983"/>
    <w:rsid w:val="6F306323"/>
    <w:rsid w:val="6F424B2F"/>
    <w:rsid w:val="6F601138"/>
    <w:rsid w:val="6F7047F5"/>
    <w:rsid w:val="6FAD1286"/>
    <w:rsid w:val="6FB251E2"/>
    <w:rsid w:val="6FBB0D5F"/>
    <w:rsid w:val="6FC67BFA"/>
    <w:rsid w:val="6FCB57F4"/>
    <w:rsid w:val="6FCF0F15"/>
    <w:rsid w:val="6FDD557D"/>
    <w:rsid w:val="6FE92454"/>
    <w:rsid w:val="6FFC5590"/>
    <w:rsid w:val="700A135B"/>
    <w:rsid w:val="701514FB"/>
    <w:rsid w:val="703A3875"/>
    <w:rsid w:val="7042503D"/>
    <w:rsid w:val="704D5596"/>
    <w:rsid w:val="704E794C"/>
    <w:rsid w:val="705E107D"/>
    <w:rsid w:val="706A53C9"/>
    <w:rsid w:val="706D1DD0"/>
    <w:rsid w:val="706E310B"/>
    <w:rsid w:val="70856B87"/>
    <w:rsid w:val="709565AE"/>
    <w:rsid w:val="70980188"/>
    <w:rsid w:val="709B013B"/>
    <w:rsid w:val="70A7069B"/>
    <w:rsid w:val="70A86155"/>
    <w:rsid w:val="70B22F9A"/>
    <w:rsid w:val="70C65410"/>
    <w:rsid w:val="70D263FF"/>
    <w:rsid w:val="70D32F6E"/>
    <w:rsid w:val="70D37C56"/>
    <w:rsid w:val="70D527EE"/>
    <w:rsid w:val="70E76A1A"/>
    <w:rsid w:val="70FB1AF8"/>
    <w:rsid w:val="71073589"/>
    <w:rsid w:val="710E68D0"/>
    <w:rsid w:val="711A20BB"/>
    <w:rsid w:val="71277B50"/>
    <w:rsid w:val="713C02BE"/>
    <w:rsid w:val="714949CC"/>
    <w:rsid w:val="715316CB"/>
    <w:rsid w:val="71531CB1"/>
    <w:rsid w:val="715606F6"/>
    <w:rsid w:val="715B5300"/>
    <w:rsid w:val="715E4C50"/>
    <w:rsid w:val="7169132F"/>
    <w:rsid w:val="716F58E1"/>
    <w:rsid w:val="71785158"/>
    <w:rsid w:val="71916CFB"/>
    <w:rsid w:val="719E4A3A"/>
    <w:rsid w:val="71AA7030"/>
    <w:rsid w:val="71B15853"/>
    <w:rsid w:val="71B70540"/>
    <w:rsid w:val="71D03940"/>
    <w:rsid w:val="71D27F8A"/>
    <w:rsid w:val="71DA24A3"/>
    <w:rsid w:val="71DB7E40"/>
    <w:rsid w:val="720751EB"/>
    <w:rsid w:val="723C4321"/>
    <w:rsid w:val="723E6CAF"/>
    <w:rsid w:val="72553024"/>
    <w:rsid w:val="72561F72"/>
    <w:rsid w:val="72734A09"/>
    <w:rsid w:val="72775D82"/>
    <w:rsid w:val="727C39DA"/>
    <w:rsid w:val="72855103"/>
    <w:rsid w:val="729C4303"/>
    <w:rsid w:val="72A91A13"/>
    <w:rsid w:val="72B859C8"/>
    <w:rsid w:val="72B86653"/>
    <w:rsid w:val="72BB2479"/>
    <w:rsid w:val="72F5087F"/>
    <w:rsid w:val="72F776ED"/>
    <w:rsid w:val="730A6678"/>
    <w:rsid w:val="730E6DE6"/>
    <w:rsid w:val="73122968"/>
    <w:rsid w:val="7318282E"/>
    <w:rsid w:val="731F5D5E"/>
    <w:rsid w:val="73247B9A"/>
    <w:rsid w:val="732E0215"/>
    <w:rsid w:val="733766FC"/>
    <w:rsid w:val="733C129F"/>
    <w:rsid w:val="734A24BE"/>
    <w:rsid w:val="73573BCC"/>
    <w:rsid w:val="736425A4"/>
    <w:rsid w:val="73674E6A"/>
    <w:rsid w:val="736A304E"/>
    <w:rsid w:val="736E152E"/>
    <w:rsid w:val="736E5C8C"/>
    <w:rsid w:val="73760C83"/>
    <w:rsid w:val="738D7E64"/>
    <w:rsid w:val="738F4C4C"/>
    <w:rsid w:val="739C06DE"/>
    <w:rsid w:val="73AA1AFD"/>
    <w:rsid w:val="73B259FC"/>
    <w:rsid w:val="73BD7C44"/>
    <w:rsid w:val="73C51AD5"/>
    <w:rsid w:val="73D23BA8"/>
    <w:rsid w:val="73E16B00"/>
    <w:rsid w:val="73E76C73"/>
    <w:rsid w:val="73F860FA"/>
    <w:rsid w:val="74031D63"/>
    <w:rsid w:val="740825E4"/>
    <w:rsid w:val="74122B56"/>
    <w:rsid w:val="741E793C"/>
    <w:rsid w:val="742B13AD"/>
    <w:rsid w:val="74377B86"/>
    <w:rsid w:val="743F3A18"/>
    <w:rsid w:val="74431CA6"/>
    <w:rsid w:val="744D6121"/>
    <w:rsid w:val="745753C6"/>
    <w:rsid w:val="74592F2F"/>
    <w:rsid w:val="745D07E8"/>
    <w:rsid w:val="745E3944"/>
    <w:rsid w:val="746720B0"/>
    <w:rsid w:val="74766FFD"/>
    <w:rsid w:val="74850DDD"/>
    <w:rsid w:val="74971C83"/>
    <w:rsid w:val="74A748C4"/>
    <w:rsid w:val="74B8302F"/>
    <w:rsid w:val="74BA3105"/>
    <w:rsid w:val="74BE17B2"/>
    <w:rsid w:val="74E769CE"/>
    <w:rsid w:val="74EA2FC0"/>
    <w:rsid w:val="74F83220"/>
    <w:rsid w:val="750A0CA5"/>
    <w:rsid w:val="75190A4F"/>
    <w:rsid w:val="75311864"/>
    <w:rsid w:val="75314164"/>
    <w:rsid w:val="753F1F43"/>
    <w:rsid w:val="756953AC"/>
    <w:rsid w:val="757E7C97"/>
    <w:rsid w:val="75811022"/>
    <w:rsid w:val="75A1179E"/>
    <w:rsid w:val="75AD3C1C"/>
    <w:rsid w:val="75AF5D58"/>
    <w:rsid w:val="75C26511"/>
    <w:rsid w:val="75DD6932"/>
    <w:rsid w:val="75E42187"/>
    <w:rsid w:val="75F066F4"/>
    <w:rsid w:val="75FD5062"/>
    <w:rsid w:val="760D3D49"/>
    <w:rsid w:val="760F78E6"/>
    <w:rsid w:val="761D62DC"/>
    <w:rsid w:val="761E13AD"/>
    <w:rsid w:val="762205FD"/>
    <w:rsid w:val="7635099D"/>
    <w:rsid w:val="763C3683"/>
    <w:rsid w:val="764C71A5"/>
    <w:rsid w:val="764D6BCA"/>
    <w:rsid w:val="76565DA8"/>
    <w:rsid w:val="766B3D9C"/>
    <w:rsid w:val="76720149"/>
    <w:rsid w:val="768D3AB7"/>
    <w:rsid w:val="768F16E6"/>
    <w:rsid w:val="76916014"/>
    <w:rsid w:val="76A2164F"/>
    <w:rsid w:val="76CA0735"/>
    <w:rsid w:val="76CA1908"/>
    <w:rsid w:val="76CD755D"/>
    <w:rsid w:val="76CF5A85"/>
    <w:rsid w:val="76D54A52"/>
    <w:rsid w:val="76F27EA3"/>
    <w:rsid w:val="77063709"/>
    <w:rsid w:val="7706664F"/>
    <w:rsid w:val="772C5554"/>
    <w:rsid w:val="773A3BDB"/>
    <w:rsid w:val="77410481"/>
    <w:rsid w:val="77445B18"/>
    <w:rsid w:val="77453709"/>
    <w:rsid w:val="775D4739"/>
    <w:rsid w:val="7765473C"/>
    <w:rsid w:val="776B5CAF"/>
    <w:rsid w:val="776B6BD0"/>
    <w:rsid w:val="777261D1"/>
    <w:rsid w:val="77762421"/>
    <w:rsid w:val="77921834"/>
    <w:rsid w:val="779E4396"/>
    <w:rsid w:val="779F004E"/>
    <w:rsid w:val="77AC2172"/>
    <w:rsid w:val="77B56B1F"/>
    <w:rsid w:val="77B65730"/>
    <w:rsid w:val="77B81788"/>
    <w:rsid w:val="77C1613C"/>
    <w:rsid w:val="77FD4E9A"/>
    <w:rsid w:val="780F09F4"/>
    <w:rsid w:val="78195FB2"/>
    <w:rsid w:val="782441C0"/>
    <w:rsid w:val="782642F0"/>
    <w:rsid w:val="7834458A"/>
    <w:rsid w:val="783A6908"/>
    <w:rsid w:val="7847671C"/>
    <w:rsid w:val="78496DB0"/>
    <w:rsid w:val="784A1641"/>
    <w:rsid w:val="784D2F0A"/>
    <w:rsid w:val="786E7BCB"/>
    <w:rsid w:val="78871657"/>
    <w:rsid w:val="788A3A13"/>
    <w:rsid w:val="789A5100"/>
    <w:rsid w:val="78A90480"/>
    <w:rsid w:val="78B90ABA"/>
    <w:rsid w:val="78BD688A"/>
    <w:rsid w:val="78BF02A2"/>
    <w:rsid w:val="78C57EC5"/>
    <w:rsid w:val="78E3072D"/>
    <w:rsid w:val="78EE4455"/>
    <w:rsid w:val="78F9179E"/>
    <w:rsid w:val="78FB2632"/>
    <w:rsid w:val="79487038"/>
    <w:rsid w:val="794C79F0"/>
    <w:rsid w:val="794F4B64"/>
    <w:rsid w:val="79831D0C"/>
    <w:rsid w:val="79882F8C"/>
    <w:rsid w:val="79930D88"/>
    <w:rsid w:val="79C37920"/>
    <w:rsid w:val="79C9574F"/>
    <w:rsid w:val="79CD3F32"/>
    <w:rsid w:val="79D02741"/>
    <w:rsid w:val="79D2647D"/>
    <w:rsid w:val="79DC0614"/>
    <w:rsid w:val="79F42EA0"/>
    <w:rsid w:val="7A093316"/>
    <w:rsid w:val="7A174D3D"/>
    <w:rsid w:val="7A2B010A"/>
    <w:rsid w:val="7A364017"/>
    <w:rsid w:val="7A39223C"/>
    <w:rsid w:val="7A3C1F57"/>
    <w:rsid w:val="7A42322A"/>
    <w:rsid w:val="7A541CF1"/>
    <w:rsid w:val="7A5D477A"/>
    <w:rsid w:val="7A5D7213"/>
    <w:rsid w:val="7A64210B"/>
    <w:rsid w:val="7A661979"/>
    <w:rsid w:val="7A6B63C6"/>
    <w:rsid w:val="7A80351B"/>
    <w:rsid w:val="7A8265E1"/>
    <w:rsid w:val="7A92610D"/>
    <w:rsid w:val="7A927081"/>
    <w:rsid w:val="7AA810C7"/>
    <w:rsid w:val="7AB86794"/>
    <w:rsid w:val="7ABF5FF6"/>
    <w:rsid w:val="7AD6024C"/>
    <w:rsid w:val="7ADC1600"/>
    <w:rsid w:val="7AF21D37"/>
    <w:rsid w:val="7AF4524E"/>
    <w:rsid w:val="7B02076A"/>
    <w:rsid w:val="7B057D36"/>
    <w:rsid w:val="7B0B380F"/>
    <w:rsid w:val="7B0B7463"/>
    <w:rsid w:val="7B1424EC"/>
    <w:rsid w:val="7B362372"/>
    <w:rsid w:val="7B3A702B"/>
    <w:rsid w:val="7B5171D1"/>
    <w:rsid w:val="7B664C0E"/>
    <w:rsid w:val="7B686D42"/>
    <w:rsid w:val="7B6878D8"/>
    <w:rsid w:val="7B841746"/>
    <w:rsid w:val="7B9724AC"/>
    <w:rsid w:val="7BA70DAC"/>
    <w:rsid w:val="7BB26861"/>
    <w:rsid w:val="7BC25EFD"/>
    <w:rsid w:val="7BC71BF7"/>
    <w:rsid w:val="7BD92449"/>
    <w:rsid w:val="7BE46A6C"/>
    <w:rsid w:val="7BFE3DA9"/>
    <w:rsid w:val="7C062016"/>
    <w:rsid w:val="7C0714FE"/>
    <w:rsid w:val="7C224DAA"/>
    <w:rsid w:val="7C2B617C"/>
    <w:rsid w:val="7C31036E"/>
    <w:rsid w:val="7C35738C"/>
    <w:rsid w:val="7C37267F"/>
    <w:rsid w:val="7C393F92"/>
    <w:rsid w:val="7C6364F0"/>
    <w:rsid w:val="7C6525EF"/>
    <w:rsid w:val="7C6C5AC7"/>
    <w:rsid w:val="7C8F5B32"/>
    <w:rsid w:val="7C9509BF"/>
    <w:rsid w:val="7C9F7664"/>
    <w:rsid w:val="7CA86399"/>
    <w:rsid w:val="7CC32861"/>
    <w:rsid w:val="7CC6544B"/>
    <w:rsid w:val="7CC739BF"/>
    <w:rsid w:val="7CCB2034"/>
    <w:rsid w:val="7CD75BA7"/>
    <w:rsid w:val="7CD94839"/>
    <w:rsid w:val="7CDF6FEF"/>
    <w:rsid w:val="7CE87DA1"/>
    <w:rsid w:val="7CF20883"/>
    <w:rsid w:val="7CF419AC"/>
    <w:rsid w:val="7D0239FF"/>
    <w:rsid w:val="7D1172F8"/>
    <w:rsid w:val="7D170B51"/>
    <w:rsid w:val="7D1C6D82"/>
    <w:rsid w:val="7D1E0B69"/>
    <w:rsid w:val="7D543A54"/>
    <w:rsid w:val="7D5E40CD"/>
    <w:rsid w:val="7D7A1B55"/>
    <w:rsid w:val="7D960B5A"/>
    <w:rsid w:val="7DB04AF1"/>
    <w:rsid w:val="7DC61E00"/>
    <w:rsid w:val="7DCD56F2"/>
    <w:rsid w:val="7DE40291"/>
    <w:rsid w:val="7DE873FC"/>
    <w:rsid w:val="7DE93735"/>
    <w:rsid w:val="7DF86F89"/>
    <w:rsid w:val="7E0B2192"/>
    <w:rsid w:val="7E1D2712"/>
    <w:rsid w:val="7E2E3087"/>
    <w:rsid w:val="7E317A03"/>
    <w:rsid w:val="7E4A160F"/>
    <w:rsid w:val="7E532659"/>
    <w:rsid w:val="7E81506D"/>
    <w:rsid w:val="7E82613D"/>
    <w:rsid w:val="7E913679"/>
    <w:rsid w:val="7E9E235C"/>
    <w:rsid w:val="7EAF07AD"/>
    <w:rsid w:val="7EC02D84"/>
    <w:rsid w:val="7EC653E1"/>
    <w:rsid w:val="7ECF1B87"/>
    <w:rsid w:val="7ED70545"/>
    <w:rsid w:val="7EE0208A"/>
    <w:rsid w:val="7EEC5670"/>
    <w:rsid w:val="7EED23F2"/>
    <w:rsid w:val="7F001CE7"/>
    <w:rsid w:val="7F0332B5"/>
    <w:rsid w:val="7F1F7B50"/>
    <w:rsid w:val="7F280037"/>
    <w:rsid w:val="7F3F0A11"/>
    <w:rsid w:val="7F4D3FC3"/>
    <w:rsid w:val="7F55122B"/>
    <w:rsid w:val="7F595812"/>
    <w:rsid w:val="7F5A3B8F"/>
    <w:rsid w:val="7F673FDD"/>
    <w:rsid w:val="7F6F6188"/>
    <w:rsid w:val="7F77732F"/>
    <w:rsid w:val="7F887F71"/>
    <w:rsid w:val="7F945247"/>
    <w:rsid w:val="7F9C3AC8"/>
    <w:rsid w:val="7FA34B4E"/>
    <w:rsid w:val="7FBE0DF9"/>
    <w:rsid w:val="7FCB7614"/>
    <w:rsid w:val="7FD17870"/>
    <w:rsid w:val="7FE44850"/>
    <w:rsid w:val="7FE47E50"/>
    <w:rsid w:val="7FE976F4"/>
    <w:rsid w:val="7FEF0BF9"/>
    <w:rsid w:val="7FF700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0" w:semiHidden="0" w:name="heading 2" w:locked="1"/>
    <w:lsdException w:qFormat="1" w:uiPriority="0" w:name="heading 3" w:locked="1"/>
    <w:lsdException w:qFormat="1" w:unhideWhenUsed="0" w:uiPriority="0" w:semiHidden="0" w:name="heading 4" w:locked="1"/>
    <w:lsdException w:qFormat="1" w:unhideWhenUsed="0" w:uiPriority="9" w:semiHidden="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39" w:semiHidden="0" w:name="toc 1" w:locked="1"/>
    <w:lsdException w:qFormat="1" w:unhideWhenUsed="0" w:uiPriority="0" w:semiHidden="0" w:name="toc 2" w:locked="1"/>
    <w:lsdException w:unhideWhenUsed="0" w:uiPriority="0" w:semiHidden="0" w:name="toc 3" w:locked="1"/>
    <w:lsdException w:unhideWhenUsed="0" w:uiPriority="0" w:semiHidden="0" w:name="toc 4" w:locked="1"/>
    <w:lsdException w:qFormat="1" w:uiPriority="39"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nhideWhenUsed="0" w:uiPriority="35" w:semiHidden="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nhideWhenUsed="0" w:uiPriority="99"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qFormat="1" w:unhideWhenUsed="0" w:uiPriority="99" w:semiHidden="0" w:name="List 3" w:locked="1"/>
    <w:lsdException w:unhideWhenUsed="0" w:uiPriority="0" w:semiHidden="0" w:name="List 4" w:locked="1"/>
    <w:lsdException w:unhideWhenUsed="0" w:uiPriority="0" w:semiHidden="0" w:name="List 5" w:locked="1"/>
    <w:lsdException w:qFormat="1"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99" w:semiHidden="0" w:name="Body Text First Indent" w:locked="1"/>
    <w:lsdException w:qFormat="1" w:uiPriority="99"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qFormat="1" w:unhideWhenUsed="0" w:uiPriority="0" w:semiHidden="0" w:name="Body Text Indent 2" w:locked="1"/>
    <w:lsdException w:qFormat="1" w:uiPriority="0" w:semiHidden="0" w:name="Body Text Indent 3" w:locked="1"/>
    <w:lsdException w:qFormat="1"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qFormat="1"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name="Balloon Text"/>
    <w:lsdException w:qFormat="1" w:unhideWhenUsed="0" w:uiPriority="0" w:semiHidden="0" w:name="Table Grid"/>
    <w:lsdException w:uiPriority="0" w:name="Table Theme" w:locked="1"/>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7">
    <w:name w:val="heading 2"/>
    <w:basedOn w:val="1"/>
    <w:next w:val="1"/>
    <w:qFormat/>
    <w:locked/>
    <w:uiPriority w:val="0"/>
    <w:pPr>
      <w:keepNext/>
      <w:keepLines/>
      <w:autoSpaceDE w:val="0"/>
      <w:autoSpaceDN w:val="0"/>
      <w:adjustRightInd w:val="0"/>
      <w:spacing w:before="120" w:after="120"/>
      <w:textAlignment w:val="baseline"/>
      <w:outlineLvl w:val="1"/>
    </w:pPr>
    <w:rPr>
      <w:rFonts w:hint="eastAsia" w:ascii="宋体" w:hAnsi="Arial" w:eastAsia="楷体_GB2312"/>
      <w:b/>
      <w:kern w:val="24"/>
      <w:sz w:val="24"/>
      <w:szCs w:val="20"/>
    </w:rPr>
  </w:style>
  <w:style w:type="paragraph" w:styleId="8">
    <w:name w:val="heading 4"/>
    <w:basedOn w:val="1"/>
    <w:next w:val="9"/>
    <w:qFormat/>
    <w:locked/>
    <w:uiPriority w:val="0"/>
    <w:pPr>
      <w:keepNext/>
      <w:keepLines/>
      <w:adjustRightInd w:val="0"/>
      <w:spacing w:before="60" w:after="60"/>
      <w:jc w:val="left"/>
      <w:textAlignment w:val="baseline"/>
      <w:outlineLvl w:val="3"/>
    </w:pPr>
    <w:rPr>
      <w:b/>
      <w:kern w:val="18"/>
      <w:sz w:val="24"/>
    </w:rPr>
  </w:style>
  <w:style w:type="paragraph" w:styleId="10">
    <w:name w:val="heading 5"/>
    <w:basedOn w:val="1"/>
    <w:next w:val="1"/>
    <w:qFormat/>
    <w:locked/>
    <w:uiPriority w:val="9"/>
    <w:pPr>
      <w:keepNext/>
      <w:keepLines/>
      <w:adjustRightInd w:val="0"/>
      <w:spacing w:before="280" w:after="290" w:line="376" w:lineRule="auto"/>
      <w:textAlignment w:val="baseline"/>
      <w:outlineLvl w:val="4"/>
    </w:pPr>
    <w:rPr>
      <w:rFonts w:ascii="Calibri" w:hAnsi="Calibri" w:eastAsia="Times New Roman"/>
      <w:b/>
      <w:bCs/>
      <w:sz w:val="28"/>
      <w:szCs w:val="28"/>
      <w:lang w:eastAsia="zh-TW"/>
    </w:rPr>
  </w:style>
  <w:style w:type="character" w:default="1" w:styleId="37">
    <w:name w:val="Default Paragraph Font"/>
    <w:semiHidden/>
    <w:unhideWhenUsed/>
    <w:qFormat/>
    <w:uiPriority w:val="1"/>
  </w:style>
  <w:style w:type="table" w:default="1" w:styleId="35">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4"/>
    <w:unhideWhenUsed/>
    <w:qFormat/>
    <w:locked/>
    <w:uiPriority w:val="99"/>
    <w:pPr>
      <w:ind w:firstLine="210"/>
    </w:pPr>
  </w:style>
  <w:style w:type="paragraph" w:styleId="3">
    <w:name w:val="Body Text Indent"/>
    <w:basedOn w:val="1"/>
    <w:next w:val="1"/>
    <w:link w:val="46"/>
    <w:qFormat/>
    <w:uiPriority w:val="0"/>
    <w:pPr>
      <w:spacing w:after="120"/>
      <w:ind w:left="420" w:leftChars="200"/>
    </w:pPr>
    <w:rPr>
      <w:kern w:val="0"/>
      <w:sz w:val="24"/>
      <w:szCs w:val="20"/>
    </w:rPr>
  </w:style>
  <w:style w:type="paragraph" w:styleId="4">
    <w:name w:val="Body Text First Indent"/>
    <w:basedOn w:val="5"/>
    <w:qFormat/>
    <w:locked/>
    <w:uiPriority w:val="99"/>
    <w:pPr>
      <w:ind w:firstLine="420" w:firstLineChars="100"/>
    </w:pPr>
  </w:style>
  <w:style w:type="paragraph" w:styleId="5">
    <w:name w:val="Body Text"/>
    <w:basedOn w:val="1"/>
    <w:next w:val="2"/>
    <w:link w:val="45"/>
    <w:qFormat/>
    <w:uiPriority w:val="0"/>
    <w:pPr>
      <w:widowControl/>
      <w:snapToGrid w:val="0"/>
      <w:spacing w:before="60" w:after="160" w:line="259" w:lineRule="auto"/>
      <w:ind w:right="113"/>
    </w:pPr>
    <w:rPr>
      <w:kern w:val="0"/>
      <w:sz w:val="18"/>
      <w:szCs w:val="20"/>
    </w:rPr>
  </w:style>
  <w:style w:type="paragraph" w:customStyle="1" w:styleId="9">
    <w:name w:val="报告书正文"/>
    <w:basedOn w:val="1"/>
    <w:qFormat/>
    <w:uiPriority w:val="0"/>
    <w:pPr>
      <w:spacing w:line="360" w:lineRule="auto"/>
      <w:ind w:firstLine="480" w:firstLineChars="200"/>
    </w:pPr>
    <w:rPr>
      <w:rFonts w:ascii="Calibri" w:hAnsi="Calibri"/>
      <w:kern w:val="0"/>
      <w:sz w:val="24"/>
    </w:rPr>
  </w:style>
  <w:style w:type="paragraph" w:styleId="11">
    <w:name w:val="List 3"/>
    <w:basedOn w:val="1"/>
    <w:next w:val="1"/>
    <w:qFormat/>
    <w:locked/>
    <w:uiPriority w:val="99"/>
    <w:pPr>
      <w:autoSpaceDE w:val="0"/>
      <w:autoSpaceDN w:val="0"/>
      <w:adjustRightInd w:val="0"/>
      <w:spacing w:line="288" w:lineRule="auto"/>
      <w:ind w:left="1260" w:hanging="420"/>
      <w:jc w:val="left"/>
      <w:textAlignment w:val="baseline"/>
    </w:pPr>
    <w:rPr>
      <w:kern w:val="0"/>
      <w:sz w:val="24"/>
    </w:rPr>
  </w:style>
  <w:style w:type="paragraph" w:styleId="12">
    <w:name w:val="E-mail Signature"/>
    <w:basedOn w:val="1"/>
    <w:next w:val="13"/>
    <w:qFormat/>
    <w:locked/>
    <w:uiPriority w:val="0"/>
    <w:pPr>
      <w:spacing w:line="460" w:lineRule="exact"/>
      <w:ind w:firstLine="200"/>
    </w:pPr>
  </w:style>
  <w:style w:type="paragraph" w:customStyle="1" w:styleId="13">
    <w:name w:val="文章"/>
    <w:next w:val="14"/>
    <w:qFormat/>
    <w:uiPriority w:val="0"/>
    <w:pPr>
      <w:ind w:firstLine="480"/>
      <w:jc w:val="center"/>
    </w:pPr>
    <w:rPr>
      <w:rFonts w:ascii="Times New Roman" w:hAnsi="Times New Roman" w:eastAsia="宋体" w:cs="Times New Roman"/>
      <w:kern w:val="2"/>
      <w:sz w:val="26"/>
      <w:szCs w:val="22"/>
      <w:lang w:val="en-US" w:eastAsia="zh-CN" w:bidi="ar-SA"/>
    </w:rPr>
  </w:style>
  <w:style w:type="paragraph" w:styleId="14">
    <w:name w:val="List"/>
    <w:basedOn w:val="1"/>
    <w:next w:val="1"/>
    <w:qFormat/>
    <w:locked/>
    <w:uiPriority w:val="99"/>
    <w:pPr>
      <w:widowControl/>
      <w:ind w:left="200" w:hanging="200" w:hangingChars="200"/>
      <w:jc w:val="left"/>
    </w:pPr>
    <w:rPr>
      <w:rFonts w:ascii="Cambria" w:hAnsi="Cambria"/>
      <w:kern w:val="0"/>
      <w:sz w:val="20"/>
    </w:rPr>
  </w:style>
  <w:style w:type="paragraph" w:styleId="15">
    <w:name w:val="Normal Indent"/>
    <w:basedOn w:val="1"/>
    <w:next w:val="1"/>
    <w:qFormat/>
    <w:locked/>
    <w:uiPriority w:val="0"/>
    <w:pPr>
      <w:ind w:firstLine="420" w:firstLineChars="200"/>
    </w:pPr>
  </w:style>
  <w:style w:type="paragraph" w:styleId="16">
    <w:name w:val="caption"/>
    <w:basedOn w:val="1"/>
    <w:next w:val="1"/>
    <w:qFormat/>
    <w:locked/>
    <w:uiPriority w:val="35"/>
    <w:pPr>
      <w:jc w:val="center"/>
    </w:pPr>
    <w:rPr>
      <w:rFonts w:eastAsia="黑体"/>
      <w:szCs w:val="20"/>
    </w:rPr>
  </w:style>
  <w:style w:type="paragraph" w:styleId="17">
    <w:name w:val="annotation text"/>
    <w:basedOn w:val="1"/>
    <w:next w:val="18"/>
    <w:link w:val="44"/>
    <w:qFormat/>
    <w:uiPriority w:val="99"/>
    <w:pPr>
      <w:jc w:val="left"/>
    </w:pPr>
    <w:rPr>
      <w:kern w:val="0"/>
      <w:sz w:val="24"/>
      <w:szCs w:val="20"/>
    </w:rPr>
  </w:style>
  <w:style w:type="paragraph" w:styleId="18">
    <w:name w:val="toc 5"/>
    <w:basedOn w:val="1"/>
    <w:next w:val="1"/>
    <w:unhideWhenUsed/>
    <w:qFormat/>
    <w:locked/>
    <w:uiPriority w:val="39"/>
    <w:pPr>
      <w:ind w:left="1680" w:leftChars="800"/>
    </w:pPr>
    <w:rPr>
      <w:rFonts w:ascii="Calibri" w:hAnsi="Calibri"/>
      <w:szCs w:val="22"/>
    </w:rPr>
  </w:style>
  <w:style w:type="paragraph" w:styleId="19">
    <w:name w:val="Block Text"/>
    <w:basedOn w:val="1"/>
    <w:qFormat/>
    <w:locked/>
    <w:uiPriority w:val="0"/>
    <w:pPr>
      <w:widowControl/>
      <w:snapToGrid w:val="0"/>
      <w:spacing w:before="180" w:line="380" w:lineRule="atLeast"/>
      <w:ind w:left="142" w:right="170" w:firstLine="476"/>
      <w:jc w:val="left"/>
    </w:pPr>
    <w:rPr>
      <w:rFonts w:cs="Calibri"/>
      <w:kern w:val="0"/>
      <w:sz w:val="24"/>
      <w:lang w:eastAsia="en-US"/>
    </w:rPr>
  </w:style>
  <w:style w:type="paragraph" w:styleId="20">
    <w:name w:val="List Bullet 2"/>
    <w:basedOn w:val="1"/>
    <w:next w:val="21"/>
    <w:qFormat/>
    <w:locked/>
    <w:uiPriority w:val="0"/>
    <w:pPr>
      <w:numPr>
        <w:ilvl w:val="0"/>
        <w:numId w:val="1"/>
      </w:numPr>
    </w:pPr>
  </w:style>
  <w:style w:type="paragraph" w:customStyle="1" w:styleId="21">
    <w:name w:val="xl70"/>
    <w:basedOn w:val="1"/>
    <w:next w:val="22"/>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sz w:val="20"/>
      <w:szCs w:val="20"/>
    </w:rPr>
  </w:style>
  <w:style w:type="paragraph" w:customStyle="1" w:styleId="22">
    <w:name w:val="正文缩进1"/>
    <w:basedOn w:val="1"/>
    <w:next w:val="23"/>
    <w:qFormat/>
    <w:uiPriority w:val="0"/>
    <w:pPr>
      <w:spacing w:before="156" w:beforeLines="50" w:after="156" w:afterLines="50"/>
      <w:ind w:firstLine="1048" w:firstLineChars="435"/>
      <w:jc w:val="center"/>
    </w:pPr>
    <w:rPr>
      <w:rFonts w:ascii="宋体" w:hAnsi="宋体"/>
      <w:b/>
      <w:bCs/>
      <w:color w:val="000000"/>
      <w:kern w:val="24"/>
      <w:sz w:val="24"/>
    </w:rPr>
  </w:style>
  <w:style w:type="paragraph" w:customStyle="1" w:styleId="23">
    <w:name w:val="td1"/>
    <w:basedOn w:val="1"/>
    <w:next w:val="1"/>
    <w:qFormat/>
    <w:uiPriority w:val="0"/>
    <w:pPr>
      <w:widowControl/>
      <w:spacing w:before="280" w:after="280" w:line="300" w:lineRule="atLeast"/>
      <w:ind w:firstLine="200"/>
    </w:pPr>
    <w:rPr>
      <w:color w:val="000000"/>
      <w:sz w:val="18"/>
    </w:rPr>
  </w:style>
  <w:style w:type="paragraph" w:styleId="24">
    <w:name w:val="Plain Text"/>
    <w:basedOn w:val="1"/>
    <w:next w:val="25"/>
    <w:qFormat/>
    <w:locked/>
    <w:uiPriority w:val="0"/>
    <w:rPr>
      <w:rFonts w:ascii="宋体" w:hAnsi="Courier New"/>
      <w:szCs w:val="20"/>
    </w:rPr>
  </w:style>
  <w:style w:type="paragraph" w:styleId="25">
    <w:name w:val="toc 1"/>
    <w:basedOn w:val="1"/>
    <w:next w:val="1"/>
    <w:qFormat/>
    <w:locked/>
    <w:uiPriority w:val="39"/>
    <w:rPr>
      <w:rFonts w:ascii="Calibri" w:hAnsi="Calibri"/>
      <w:lang w:eastAsia="zh-TW"/>
    </w:rPr>
  </w:style>
  <w:style w:type="paragraph" w:styleId="26">
    <w:name w:val="Date"/>
    <w:basedOn w:val="1"/>
    <w:next w:val="1"/>
    <w:link w:val="47"/>
    <w:qFormat/>
    <w:uiPriority w:val="0"/>
    <w:pPr>
      <w:ind w:left="100" w:leftChars="2500"/>
    </w:pPr>
    <w:rPr>
      <w:kern w:val="0"/>
      <w:sz w:val="24"/>
      <w:szCs w:val="20"/>
    </w:rPr>
  </w:style>
  <w:style w:type="paragraph" w:styleId="27">
    <w:name w:val="Body Text Indent 2"/>
    <w:basedOn w:val="1"/>
    <w:qFormat/>
    <w:locked/>
    <w:uiPriority w:val="0"/>
    <w:pPr>
      <w:widowControl/>
      <w:ind w:firstLine="430"/>
      <w:jc w:val="left"/>
    </w:pPr>
    <w:rPr>
      <w:kern w:val="0"/>
      <w:sz w:val="24"/>
      <w:szCs w:val="20"/>
    </w:rPr>
  </w:style>
  <w:style w:type="paragraph" w:styleId="28">
    <w:name w:val="Balloon Text"/>
    <w:basedOn w:val="1"/>
    <w:link w:val="48"/>
    <w:semiHidden/>
    <w:qFormat/>
    <w:uiPriority w:val="0"/>
    <w:rPr>
      <w:kern w:val="0"/>
      <w:sz w:val="18"/>
      <w:szCs w:val="20"/>
    </w:rPr>
  </w:style>
  <w:style w:type="paragraph" w:styleId="29">
    <w:name w:val="footer"/>
    <w:basedOn w:val="1"/>
    <w:link w:val="49"/>
    <w:qFormat/>
    <w:uiPriority w:val="99"/>
    <w:pPr>
      <w:tabs>
        <w:tab w:val="center" w:pos="4153"/>
        <w:tab w:val="right" w:pos="8306"/>
      </w:tabs>
      <w:snapToGrid w:val="0"/>
      <w:jc w:val="left"/>
    </w:pPr>
    <w:rPr>
      <w:kern w:val="0"/>
      <w:sz w:val="18"/>
      <w:szCs w:val="20"/>
    </w:rPr>
  </w:style>
  <w:style w:type="paragraph" w:styleId="30">
    <w:name w:val="header"/>
    <w:basedOn w:val="1"/>
    <w:link w:val="50"/>
    <w:qFormat/>
    <w:uiPriority w:val="0"/>
    <w:pPr>
      <w:pBdr>
        <w:bottom w:val="single" w:color="auto" w:sz="6" w:space="1"/>
      </w:pBdr>
      <w:tabs>
        <w:tab w:val="center" w:pos="4153"/>
        <w:tab w:val="right" w:pos="8306"/>
      </w:tabs>
      <w:snapToGrid w:val="0"/>
      <w:jc w:val="center"/>
    </w:pPr>
    <w:rPr>
      <w:kern w:val="0"/>
      <w:sz w:val="18"/>
      <w:szCs w:val="20"/>
    </w:rPr>
  </w:style>
  <w:style w:type="paragraph" w:styleId="31">
    <w:name w:val="Body Text Indent 3"/>
    <w:basedOn w:val="1"/>
    <w:unhideWhenUsed/>
    <w:qFormat/>
    <w:locked/>
    <w:uiPriority w:val="0"/>
    <w:pPr>
      <w:spacing w:after="120"/>
      <w:ind w:left="420" w:leftChars="200"/>
    </w:pPr>
    <w:rPr>
      <w:kern w:val="0"/>
      <w:sz w:val="16"/>
      <w:szCs w:val="16"/>
      <w:lang w:val="zh-CN"/>
    </w:rPr>
  </w:style>
  <w:style w:type="paragraph" w:styleId="32">
    <w:name w:val="toc 2"/>
    <w:basedOn w:val="1"/>
    <w:next w:val="12"/>
    <w:qFormat/>
    <w:locked/>
    <w:uiPriority w:val="0"/>
    <w:pPr>
      <w:adjustRightInd w:val="0"/>
      <w:spacing w:line="312" w:lineRule="atLeast"/>
      <w:ind w:left="420" w:leftChars="200"/>
      <w:textAlignment w:val="baseline"/>
    </w:pPr>
    <w:rPr>
      <w:kern w:val="0"/>
      <w:szCs w:val="20"/>
    </w:rPr>
  </w:style>
  <w:style w:type="paragraph" w:styleId="33">
    <w:name w:val="Normal (Web)"/>
    <w:basedOn w:val="1"/>
    <w:link w:val="51"/>
    <w:qFormat/>
    <w:uiPriority w:val="0"/>
    <w:pPr>
      <w:widowControl/>
      <w:spacing w:before="100" w:beforeAutospacing="1" w:after="100" w:afterAutospacing="1"/>
      <w:jc w:val="left"/>
    </w:pPr>
    <w:rPr>
      <w:rFonts w:ascii="宋体" w:hAnsi="宋体"/>
      <w:kern w:val="0"/>
      <w:sz w:val="24"/>
      <w:szCs w:val="20"/>
    </w:rPr>
  </w:style>
  <w:style w:type="paragraph" w:styleId="34">
    <w:name w:val="annotation subject"/>
    <w:basedOn w:val="17"/>
    <w:next w:val="17"/>
    <w:link w:val="52"/>
    <w:semiHidden/>
    <w:qFormat/>
    <w:uiPriority w:val="0"/>
    <w:rPr>
      <w:b/>
      <w:kern w:val="2"/>
    </w:rPr>
  </w:style>
  <w:style w:type="table" w:styleId="36">
    <w:name w:val="Table Grid"/>
    <w:basedOn w:val="3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8">
    <w:name w:val="page number"/>
    <w:basedOn w:val="37"/>
    <w:qFormat/>
    <w:locked/>
    <w:uiPriority w:val="0"/>
  </w:style>
  <w:style w:type="character" w:styleId="39">
    <w:name w:val="Hyperlink"/>
    <w:basedOn w:val="37"/>
    <w:qFormat/>
    <w:locked/>
    <w:uiPriority w:val="0"/>
    <w:rPr>
      <w:color w:val="0000FF"/>
      <w:u w:val="single"/>
    </w:rPr>
  </w:style>
  <w:style w:type="character" w:styleId="40">
    <w:name w:val="annotation reference"/>
    <w:semiHidden/>
    <w:qFormat/>
    <w:uiPriority w:val="0"/>
    <w:rPr>
      <w:sz w:val="21"/>
    </w:rPr>
  </w:style>
  <w:style w:type="paragraph" w:customStyle="1" w:styleId="41">
    <w:name w:val="Default"/>
    <w:basedOn w:val="42"/>
    <w:next w:val="14"/>
    <w:qFormat/>
    <w:uiPriority w:val="0"/>
    <w:pPr>
      <w:autoSpaceDE w:val="0"/>
      <w:autoSpaceDN w:val="0"/>
      <w:adjustRightInd w:val="0"/>
    </w:pPr>
    <w:rPr>
      <w:rFonts w:cs="宋体"/>
      <w:color w:val="000000"/>
      <w:sz w:val="24"/>
      <w:szCs w:val="24"/>
    </w:rPr>
  </w:style>
  <w:style w:type="paragraph" w:customStyle="1" w:styleId="42">
    <w:name w:val="纯文本1"/>
    <w:basedOn w:val="1"/>
    <w:next w:val="24"/>
    <w:qFormat/>
    <w:uiPriority w:val="0"/>
    <w:rPr>
      <w:rFonts w:hint="eastAsia" w:ascii="宋体" w:hAnsi="Courier New"/>
      <w:szCs w:val="22"/>
    </w:rPr>
  </w:style>
  <w:style w:type="paragraph" w:customStyle="1" w:styleId="43">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character" w:customStyle="1" w:styleId="44">
    <w:name w:val="批注文字 字符"/>
    <w:link w:val="17"/>
    <w:qFormat/>
    <w:locked/>
    <w:uiPriority w:val="99"/>
    <w:rPr>
      <w:rFonts w:ascii="Times New Roman" w:hAnsi="Times New Roman" w:eastAsia="宋体"/>
      <w:sz w:val="24"/>
    </w:rPr>
  </w:style>
  <w:style w:type="character" w:customStyle="1" w:styleId="45">
    <w:name w:val="正文文本 字符"/>
    <w:link w:val="5"/>
    <w:qFormat/>
    <w:locked/>
    <w:uiPriority w:val="0"/>
    <w:rPr>
      <w:sz w:val="18"/>
    </w:rPr>
  </w:style>
  <w:style w:type="character" w:customStyle="1" w:styleId="46">
    <w:name w:val="正文文本缩进 字符"/>
    <w:link w:val="3"/>
    <w:semiHidden/>
    <w:qFormat/>
    <w:locked/>
    <w:uiPriority w:val="0"/>
    <w:rPr>
      <w:rFonts w:ascii="Times New Roman" w:hAnsi="Times New Roman" w:eastAsia="宋体"/>
      <w:sz w:val="24"/>
    </w:rPr>
  </w:style>
  <w:style w:type="character" w:customStyle="1" w:styleId="47">
    <w:name w:val="日期 字符1"/>
    <w:link w:val="26"/>
    <w:qFormat/>
    <w:locked/>
    <w:uiPriority w:val="0"/>
    <w:rPr>
      <w:rFonts w:ascii="Times New Roman" w:hAnsi="Times New Roman" w:eastAsia="宋体"/>
      <w:sz w:val="24"/>
    </w:rPr>
  </w:style>
  <w:style w:type="character" w:customStyle="1" w:styleId="48">
    <w:name w:val="批注框文本 字符"/>
    <w:link w:val="28"/>
    <w:semiHidden/>
    <w:qFormat/>
    <w:locked/>
    <w:uiPriority w:val="0"/>
    <w:rPr>
      <w:rFonts w:ascii="Times New Roman" w:hAnsi="Times New Roman" w:eastAsia="宋体"/>
      <w:sz w:val="18"/>
    </w:rPr>
  </w:style>
  <w:style w:type="character" w:customStyle="1" w:styleId="49">
    <w:name w:val="页脚 字符1"/>
    <w:link w:val="29"/>
    <w:qFormat/>
    <w:locked/>
    <w:uiPriority w:val="99"/>
    <w:rPr>
      <w:sz w:val="18"/>
    </w:rPr>
  </w:style>
  <w:style w:type="character" w:customStyle="1" w:styleId="50">
    <w:name w:val="页眉 字符"/>
    <w:link w:val="30"/>
    <w:qFormat/>
    <w:locked/>
    <w:uiPriority w:val="0"/>
    <w:rPr>
      <w:sz w:val="18"/>
    </w:rPr>
  </w:style>
  <w:style w:type="character" w:customStyle="1" w:styleId="51">
    <w:name w:val="普通(网站) 字符"/>
    <w:link w:val="33"/>
    <w:qFormat/>
    <w:locked/>
    <w:uiPriority w:val="0"/>
    <w:rPr>
      <w:rFonts w:ascii="宋体" w:hAnsi="宋体" w:eastAsia="宋体"/>
      <w:sz w:val="24"/>
    </w:rPr>
  </w:style>
  <w:style w:type="character" w:customStyle="1" w:styleId="52">
    <w:name w:val="批注主题 字符"/>
    <w:link w:val="34"/>
    <w:semiHidden/>
    <w:qFormat/>
    <w:locked/>
    <w:uiPriority w:val="0"/>
    <w:rPr>
      <w:rFonts w:ascii="Times New Roman" w:hAnsi="Times New Roman" w:eastAsia="宋体"/>
      <w:b/>
      <w:kern w:val="2"/>
      <w:sz w:val="24"/>
    </w:rPr>
  </w:style>
  <w:style w:type="character" w:customStyle="1" w:styleId="53">
    <w:name w:val="fontstyle21"/>
    <w:qFormat/>
    <w:uiPriority w:val="0"/>
    <w:rPr>
      <w:rFonts w:hint="default" w:ascii="TimesNewRomanPSMT" w:hAnsi="TimesNewRomanPSMT"/>
      <w:bCs/>
      <w:color w:val="000000"/>
      <w:sz w:val="22"/>
      <w:szCs w:val="22"/>
    </w:rPr>
  </w:style>
  <w:style w:type="character" w:customStyle="1" w:styleId="54">
    <w:name w:val="批注文字 字符1"/>
    <w:semiHidden/>
    <w:qFormat/>
    <w:uiPriority w:val="0"/>
    <w:rPr>
      <w:rFonts w:ascii="Times New Roman" w:hAnsi="Times New Roman" w:eastAsia="宋体"/>
      <w:sz w:val="24"/>
    </w:rPr>
  </w:style>
  <w:style w:type="character" w:customStyle="1" w:styleId="55">
    <w:name w:val="正文文本 字符1"/>
    <w:semiHidden/>
    <w:qFormat/>
    <w:uiPriority w:val="0"/>
    <w:rPr>
      <w:rFonts w:ascii="Times New Roman" w:hAnsi="Times New Roman" w:eastAsia="宋体"/>
      <w:sz w:val="24"/>
    </w:rPr>
  </w:style>
  <w:style w:type="character" w:customStyle="1" w:styleId="56">
    <w:name w:val="日期 字符"/>
    <w:semiHidden/>
    <w:qFormat/>
    <w:uiPriority w:val="0"/>
    <w:rPr>
      <w:rFonts w:ascii="Times New Roman" w:hAnsi="Times New Roman" w:eastAsia="宋体"/>
      <w:sz w:val="24"/>
    </w:rPr>
  </w:style>
  <w:style w:type="character" w:customStyle="1" w:styleId="57">
    <w:name w:val="p141"/>
    <w:qFormat/>
    <w:uiPriority w:val="0"/>
    <w:rPr>
      <w:color w:val="333333"/>
      <w:sz w:val="21"/>
      <w:szCs w:val="21"/>
    </w:rPr>
  </w:style>
  <w:style w:type="character" w:customStyle="1" w:styleId="58">
    <w:name w:val="页脚 字符"/>
    <w:basedOn w:val="37"/>
    <w:qFormat/>
    <w:uiPriority w:val="99"/>
  </w:style>
  <w:style w:type="character" w:customStyle="1" w:styleId="59">
    <w:name w:val="fontstyle01"/>
    <w:qFormat/>
    <w:uiPriority w:val="0"/>
    <w:rPr>
      <w:rFonts w:hint="eastAsia" w:ascii="宋体" w:hAnsi="宋体" w:eastAsia="宋体"/>
      <w:color w:val="000000"/>
      <w:sz w:val="24"/>
      <w:szCs w:val="24"/>
    </w:rPr>
  </w:style>
  <w:style w:type="character" w:customStyle="1" w:styleId="60">
    <w:name w:val="表格 Char"/>
    <w:link w:val="61"/>
    <w:qFormat/>
    <w:locked/>
    <w:uiPriority w:val="0"/>
    <w:rPr>
      <w:rFonts w:ascii="宋体"/>
      <w:sz w:val="21"/>
    </w:rPr>
  </w:style>
  <w:style w:type="paragraph" w:customStyle="1" w:styleId="61">
    <w:name w:val="表格"/>
    <w:basedOn w:val="1"/>
    <w:next w:val="1"/>
    <w:link w:val="60"/>
    <w:qFormat/>
    <w:uiPriority w:val="0"/>
    <w:pPr>
      <w:adjustRightInd w:val="0"/>
      <w:snapToGrid w:val="0"/>
      <w:spacing w:beforeLines="10" w:afterLines="10" w:line="259" w:lineRule="auto"/>
      <w:jc w:val="center"/>
    </w:pPr>
    <w:rPr>
      <w:rFonts w:ascii="宋体"/>
      <w:kern w:val="0"/>
      <w:szCs w:val="20"/>
    </w:rPr>
  </w:style>
  <w:style w:type="paragraph" w:customStyle="1" w:styleId="62">
    <w:name w:val="Default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3">
    <w:name w:val="正文2"/>
    <w:basedOn w:val="1"/>
    <w:qFormat/>
    <w:uiPriority w:val="0"/>
    <w:pPr>
      <w:spacing w:line="360" w:lineRule="auto"/>
      <w:ind w:firstLine="880" w:firstLineChars="200"/>
    </w:pPr>
    <w:rPr>
      <w:sz w:val="24"/>
    </w:rPr>
  </w:style>
  <w:style w:type="paragraph" w:customStyle="1" w:styleId="64">
    <w:name w:val="小四缩进2"/>
    <w:basedOn w:val="1"/>
    <w:qFormat/>
    <w:uiPriority w:val="0"/>
    <w:pPr>
      <w:adjustRightInd w:val="0"/>
      <w:snapToGrid w:val="0"/>
      <w:spacing w:line="360" w:lineRule="auto"/>
      <w:ind w:firstLine="480" w:firstLineChars="200"/>
    </w:pPr>
    <w:rPr>
      <w:sz w:val="24"/>
    </w:rPr>
  </w:style>
  <w:style w:type="paragraph" w:customStyle="1" w:styleId="65">
    <w:name w:val="样式 表格表头样式"/>
    <w:basedOn w:val="1"/>
    <w:qFormat/>
    <w:uiPriority w:val="0"/>
    <w:pPr>
      <w:widowControl/>
      <w:tabs>
        <w:tab w:val="left" w:pos="420"/>
      </w:tabs>
      <w:adjustRightInd w:val="0"/>
      <w:snapToGrid w:val="0"/>
      <w:ind w:left="420" w:hanging="420"/>
      <w:jc w:val="center"/>
    </w:pPr>
    <w:rPr>
      <w:rFonts w:eastAsia="黑体" w:cs="宋体"/>
      <w:kern w:val="0"/>
      <w:sz w:val="24"/>
      <w:szCs w:val="20"/>
    </w:rPr>
  </w:style>
  <w:style w:type="paragraph" w:customStyle="1" w:styleId="66">
    <w:name w:val="表内文字"/>
    <w:basedOn w:val="1"/>
    <w:qFormat/>
    <w:uiPriority w:val="0"/>
    <w:pPr>
      <w:spacing w:line="360" w:lineRule="exact"/>
      <w:jc w:val="center"/>
    </w:pPr>
    <w:rPr>
      <w:bCs/>
      <w:szCs w:val="21"/>
    </w:rPr>
  </w:style>
  <w:style w:type="paragraph" w:customStyle="1" w:styleId="67">
    <w:name w:val="样式 样式 标题 3ReHead 3 WSAh3 + (中文) 楷体_GB2312 小三 右侧:  -9 毫米 段前: 0......"/>
    <w:basedOn w:val="1"/>
    <w:qFormat/>
    <w:uiPriority w:val="99"/>
    <w:pPr>
      <w:keepNext/>
      <w:keepLines/>
      <w:spacing w:beforeLines="50" w:line="360" w:lineRule="auto"/>
      <w:outlineLvl w:val="2"/>
    </w:pPr>
    <w:rPr>
      <w:rFonts w:eastAsia="楷体_GB2312" w:cs="宋体"/>
      <w:b/>
      <w:bCs/>
      <w:sz w:val="30"/>
      <w:szCs w:val="20"/>
    </w:rPr>
  </w:style>
  <w:style w:type="paragraph" w:customStyle="1" w:styleId="68">
    <w:name w:val="正文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69">
    <w:name w:val="Char3"/>
    <w:basedOn w:val="1"/>
    <w:qFormat/>
    <w:uiPriority w:val="0"/>
    <w:rPr>
      <w:sz w:val="24"/>
    </w:rPr>
  </w:style>
  <w:style w:type="paragraph" w:customStyle="1" w:styleId="70">
    <w:name w:val="列表(L)"/>
    <w:basedOn w:val="14"/>
    <w:qFormat/>
    <w:uiPriority w:val="0"/>
    <w:pPr>
      <w:snapToGrid w:val="0"/>
      <w:ind w:left="0" w:firstLine="0" w:firstLineChars="0"/>
    </w:pPr>
    <w:rPr>
      <w:rFonts w:cs="宋体"/>
      <w:szCs w:val="20"/>
    </w:rPr>
  </w:style>
  <w:style w:type="paragraph" w:styleId="71">
    <w:name w:val="List Paragraph"/>
    <w:basedOn w:val="1"/>
    <w:qFormat/>
    <w:uiPriority w:val="99"/>
    <w:pPr>
      <w:ind w:firstLine="420" w:firstLineChars="200"/>
    </w:pPr>
  </w:style>
  <w:style w:type="paragraph" w:customStyle="1" w:styleId="72">
    <w:name w:val="五号缩进2"/>
    <w:basedOn w:val="1"/>
    <w:qFormat/>
    <w:uiPriority w:val="0"/>
    <w:pPr>
      <w:spacing w:line="360" w:lineRule="auto"/>
      <w:ind w:firstLine="200" w:firstLineChars="200"/>
    </w:pPr>
    <w:rPr>
      <w:szCs w:val="21"/>
    </w:rPr>
  </w:style>
  <w:style w:type="paragraph" w:customStyle="1" w:styleId="73">
    <w:name w:val="表格内容居中"/>
    <w:qFormat/>
    <w:uiPriority w:val="0"/>
    <w:pPr>
      <w:adjustRightInd w:val="0"/>
      <w:snapToGrid w:val="0"/>
      <w:jc w:val="center"/>
    </w:pPr>
    <w:rPr>
      <w:rFonts w:ascii="Times New Roman" w:hAnsi="Times New Roman" w:eastAsia="宋体" w:cs="Times New Roman"/>
      <w:snapToGrid w:val="0"/>
      <w:sz w:val="21"/>
      <w:szCs w:val="21"/>
      <w:lang w:val="en-US" w:eastAsia="zh-CN" w:bidi="ar-SA"/>
    </w:rPr>
  </w:style>
  <w:style w:type="paragraph" w:customStyle="1" w:styleId="74">
    <w:name w:val="表格填充1"/>
    <w:basedOn w:val="1"/>
    <w:qFormat/>
    <w:uiPriority w:val="0"/>
    <w:pPr>
      <w:adjustRightInd w:val="0"/>
      <w:snapToGrid w:val="0"/>
      <w:spacing w:line="400" w:lineRule="exact"/>
      <w:jc w:val="center"/>
    </w:pPr>
    <w:rPr>
      <w:kern w:val="0"/>
      <w:szCs w:val="18"/>
    </w:rPr>
  </w:style>
  <w:style w:type="paragraph" w:customStyle="1" w:styleId="75">
    <w:name w:val="报告表格内中"/>
    <w:basedOn w:val="1"/>
    <w:qFormat/>
    <w:uiPriority w:val="0"/>
    <w:pPr>
      <w:spacing w:before="100" w:beforeAutospacing="1"/>
      <w:jc w:val="center"/>
    </w:pPr>
    <w:rPr>
      <w:rFonts w:ascii="宋体" w:hAnsi="宋体"/>
      <w:sz w:val="24"/>
    </w:rPr>
  </w:style>
  <w:style w:type="paragraph" w:customStyle="1" w:styleId="76">
    <w:name w:val="font6"/>
    <w:basedOn w:val="1"/>
    <w:next w:val="32"/>
    <w:qFormat/>
    <w:uiPriority w:val="0"/>
    <w:pPr>
      <w:widowControl/>
      <w:spacing w:before="100" w:beforeAutospacing="1" w:after="100" w:afterAutospacing="1"/>
      <w:jc w:val="left"/>
    </w:pPr>
    <w:rPr>
      <w:rFonts w:hint="eastAsia" w:ascii="宋体" w:hAnsi="宋体" w:cs="Arial Unicode MS"/>
      <w:sz w:val="18"/>
      <w:szCs w:val="18"/>
    </w:rPr>
  </w:style>
  <w:style w:type="paragraph" w:customStyle="1" w:styleId="77">
    <w:name w:val="DL段落"/>
    <w:basedOn w:val="1"/>
    <w:qFormat/>
    <w:uiPriority w:val="0"/>
    <w:pPr>
      <w:adjustRightInd w:val="0"/>
      <w:snapToGrid w:val="0"/>
      <w:spacing w:line="360" w:lineRule="auto"/>
      <w:ind w:firstLine="200" w:firstLineChars="200"/>
    </w:pPr>
    <w:rPr>
      <w:sz w:val="24"/>
    </w:rPr>
  </w:style>
  <w:style w:type="paragraph" w:customStyle="1" w:styleId="78">
    <w:name w:val="小四缩进2 段前0.5行"/>
    <w:basedOn w:val="64"/>
    <w:next w:val="64"/>
    <w:qFormat/>
    <w:uiPriority w:val="0"/>
    <w:pPr>
      <w:spacing w:beforeLines="50"/>
    </w:pPr>
  </w:style>
  <w:style w:type="paragraph" w:customStyle="1" w:styleId="79">
    <w:name w:val="表格内容"/>
    <w:basedOn w:val="1"/>
    <w:qFormat/>
    <w:uiPriority w:val="0"/>
    <w:pPr>
      <w:jc w:val="center"/>
    </w:pPr>
    <w:rPr>
      <w:rFonts w:cs="宋体"/>
      <w:iCs/>
      <w:szCs w:val="21"/>
    </w:rPr>
  </w:style>
  <w:style w:type="paragraph" w:customStyle="1" w:styleId="80">
    <w:name w:val="表格 32"/>
    <w:basedOn w:val="1"/>
    <w:qFormat/>
    <w:uiPriority w:val="0"/>
    <w:pPr>
      <w:autoSpaceDE w:val="0"/>
      <w:autoSpaceDN w:val="0"/>
      <w:adjustRightInd w:val="0"/>
      <w:jc w:val="center"/>
      <w:textAlignment w:val="baseline"/>
    </w:pPr>
    <w:rPr>
      <w:rFonts w:ascii="宋体" w:hAnsi="Impact"/>
      <w:kern w:val="24"/>
      <w:sz w:val="24"/>
      <w:szCs w:val="20"/>
    </w:rPr>
  </w:style>
  <w:style w:type="paragraph" w:customStyle="1" w:styleId="81">
    <w:name w:val="样式 正文文本缩进 3 + 12 磅 左侧:  2 字符"/>
    <w:next w:val="17"/>
    <w:qFormat/>
    <w:uiPriority w:val="0"/>
    <w:pPr>
      <w:spacing w:after="120" w:line="360" w:lineRule="auto"/>
      <w:ind w:left="200" w:firstLine="3784"/>
    </w:pPr>
    <w:rPr>
      <w:rFonts w:ascii="Times New Roman" w:hAnsi="Times New Roman" w:eastAsia="宋体" w:cs="Times New Roman"/>
      <w:lang w:val="en-US" w:eastAsia="zh-CN" w:bidi="ar-SA"/>
    </w:rPr>
  </w:style>
  <w:style w:type="paragraph" w:customStyle="1" w:styleId="82">
    <w:name w:val="报告表小段"/>
    <w:basedOn w:val="1"/>
    <w:qFormat/>
    <w:uiPriority w:val="0"/>
    <w:pPr>
      <w:snapToGrid w:val="0"/>
      <w:spacing w:before="120" w:line="360" w:lineRule="auto"/>
      <w:ind w:firstLine="470" w:firstLineChars="196"/>
    </w:pPr>
    <w:rPr>
      <w:rFonts w:ascii="宋体" w:hAnsi="Calibri"/>
      <w:bCs/>
      <w:sz w:val="24"/>
      <w:szCs w:val="20"/>
      <w:lang w:val="zh-CN"/>
    </w:rPr>
  </w:style>
  <w:style w:type="paragraph" w:styleId="83">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84">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85">
    <w:name w:val="小四缩进2黑体"/>
    <w:basedOn w:val="1"/>
    <w:next w:val="64"/>
    <w:qFormat/>
    <w:uiPriority w:val="0"/>
    <w:pPr>
      <w:spacing w:line="360" w:lineRule="auto"/>
      <w:ind w:firstLine="200" w:firstLineChars="200"/>
    </w:pPr>
    <w:rPr>
      <w:rFonts w:eastAsia="黑体" w:cs="仿宋_GB2312"/>
      <w:bCs/>
      <w:color w:val="000000"/>
      <w:sz w:val="24"/>
    </w:rPr>
  </w:style>
  <w:style w:type="paragraph" w:customStyle="1" w:styleId="86">
    <w:name w:val="正文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87">
    <w:name w:val="表序"/>
    <w:basedOn w:val="1"/>
    <w:next w:val="1"/>
    <w:qFormat/>
    <w:uiPriority w:val="0"/>
    <w:pPr>
      <w:adjustRightInd w:val="0"/>
      <w:jc w:val="center"/>
    </w:pPr>
    <w:rPr>
      <w:rFonts w:eastAsia="黑体"/>
    </w:rPr>
  </w:style>
  <w:style w:type="paragraph" w:customStyle="1" w:styleId="88">
    <w:name w:val="报告表格"/>
    <w:basedOn w:val="14"/>
    <w:qFormat/>
    <w:uiPriority w:val="0"/>
    <w:pPr>
      <w:autoSpaceDE w:val="0"/>
      <w:autoSpaceDN w:val="0"/>
      <w:adjustRightInd w:val="0"/>
      <w:spacing w:before="40" w:after="40"/>
      <w:jc w:val="center"/>
    </w:pPr>
  </w:style>
  <w:style w:type="paragraph" w:customStyle="1" w:styleId="89">
    <w:name w:val="文本"/>
    <w:qFormat/>
    <w:uiPriority w:val="0"/>
    <w:pPr>
      <w:ind w:firstLine="480"/>
    </w:pPr>
    <w:rPr>
      <w:rFonts w:ascii="Times New Roman" w:hAnsi="Times New Roman" w:eastAsia="宋体" w:cs="宋体"/>
      <w:lang w:val="en-US" w:eastAsia="zh-CN" w:bidi="ar-SA"/>
    </w:rPr>
  </w:style>
  <w:style w:type="paragraph" w:customStyle="1" w:styleId="90">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1">
    <w:name w:val="表格2"/>
    <w:basedOn w:val="92"/>
    <w:next w:val="1"/>
    <w:qFormat/>
    <w:uiPriority w:val="0"/>
    <w:rPr>
      <w:position w:val="-28"/>
      <w:sz w:val="21"/>
    </w:rPr>
  </w:style>
  <w:style w:type="paragraph" w:customStyle="1" w:styleId="92">
    <w:name w:val="表格1"/>
    <w:basedOn w:val="1"/>
    <w:next w:val="1"/>
    <w:qFormat/>
    <w:uiPriority w:val="0"/>
    <w:pPr>
      <w:topLinePunct/>
      <w:autoSpaceDE w:val="0"/>
      <w:autoSpaceDN w:val="0"/>
      <w:adjustRightInd w:val="0"/>
      <w:jc w:val="center"/>
      <w:textAlignment w:val="baseline"/>
    </w:pPr>
    <w:rPr>
      <w:rFonts w:ascii="宋体" w:hAnsi="Impact"/>
      <w:kern w:val="24"/>
      <w:sz w:val="28"/>
      <w:szCs w:val="20"/>
    </w:rPr>
  </w:style>
  <w:style w:type="paragraph" w:customStyle="1" w:styleId="93">
    <w:name w:val="正文缩进2"/>
    <w:basedOn w:val="1"/>
    <w:qFormat/>
    <w:uiPriority w:val="0"/>
    <w:pPr>
      <w:spacing w:line="360" w:lineRule="auto"/>
    </w:pPr>
    <w:rPr>
      <w:kern w:val="11"/>
      <w:sz w:val="24"/>
      <w:szCs w:val="20"/>
    </w:rPr>
  </w:style>
  <w:style w:type="paragraph" w:customStyle="1" w:styleId="94">
    <w:name w:val="样式35"/>
    <w:basedOn w:val="95"/>
    <w:next w:val="76"/>
    <w:qFormat/>
    <w:uiPriority w:val="0"/>
    <w:pPr>
      <w:tabs>
        <w:tab w:val="left" w:pos="0"/>
        <w:tab w:val="left" w:pos="360"/>
        <w:tab w:val="left" w:pos="480"/>
        <w:tab w:val="left" w:pos="540"/>
        <w:tab w:val="left" w:pos="567"/>
        <w:tab w:val="left" w:pos="720"/>
      </w:tabs>
      <w:spacing w:line="312" w:lineRule="auto"/>
      <w:ind w:firstLine="567"/>
    </w:pPr>
    <w:rPr>
      <w:rFonts w:ascii="宋体" w:eastAsia="宋体"/>
      <w:sz w:val="21"/>
      <w:szCs w:val="22"/>
    </w:rPr>
  </w:style>
  <w:style w:type="paragraph" w:customStyle="1" w:styleId="95">
    <w:name w:val="样式26"/>
    <w:basedOn w:val="96"/>
    <w:qFormat/>
    <w:uiPriority w:val="0"/>
    <w:pPr>
      <w:tabs>
        <w:tab w:val="left" w:pos="0"/>
        <w:tab w:val="left" w:pos="360"/>
        <w:tab w:val="left" w:pos="480"/>
        <w:tab w:val="left" w:pos="540"/>
        <w:tab w:val="left" w:pos="567"/>
        <w:tab w:val="left" w:pos="720"/>
      </w:tabs>
    </w:pPr>
  </w:style>
  <w:style w:type="paragraph" w:customStyle="1" w:styleId="96">
    <w:name w:val="样式21"/>
    <w:basedOn w:val="97"/>
    <w:qFormat/>
    <w:uiPriority w:val="0"/>
    <w:pPr>
      <w:tabs>
        <w:tab w:val="left" w:pos="360"/>
        <w:tab w:val="left" w:pos="480"/>
        <w:tab w:val="left" w:pos="540"/>
        <w:tab w:val="left" w:pos="720"/>
      </w:tabs>
      <w:spacing w:beforeLines="50" w:afterLines="50" w:line="360" w:lineRule="auto"/>
      <w:ind w:left="720" w:hanging="720"/>
      <w:outlineLvl w:val="2"/>
    </w:pPr>
    <w:rPr>
      <w:rFonts w:eastAsia="MS Mincho"/>
      <w:sz w:val="24"/>
      <w:szCs w:val="32"/>
    </w:rPr>
  </w:style>
  <w:style w:type="paragraph" w:customStyle="1" w:styleId="97">
    <w:name w:val="样式5"/>
    <w:basedOn w:val="98"/>
    <w:qFormat/>
    <w:uiPriority w:val="0"/>
    <w:pPr>
      <w:tabs>
        <w:tab w:val="left" w:pos="480"/>
      </w:tabs>
      <w:ind w:left="482" w:firstLine="0" w:firstLineChars="0"/>
    </w:pPr>
    <w:rPr>
      <w:lang w:eastAsia="zh-CN"/>
    </w:rPr>
  </w:style>
  <w:style w:type="paragraph" w:customStyle="1" w:styleId="98">
    <w:name w:val="样式12"/>
    <w:basedOn w:val="10"/>
    <w:qFormat/>
    <w:uiPriority w:val="0"/>
    <w:pPr>
      <w:tabs>
        <w:tab w:val="left" w:pos="480"/>
      </w:tabs>
      <w:ind w:firstLine="200" w:firstLineChars="200"/>
    </w:pPr>
    <w:rPr>
      <w:rFonts w:ascii="Times New Roman" w:hAnsi="Times New Roman" w:eastAsia="宋体"/>
    </w:rPr>
  </w:style>
  <w:style w:type="paragraph" w:customStyle="1" w:styleId="99">
    <w:name w:val="表 内容"/>
    <w:basedOn w:val="1"/>
    <w:qFormat/>
    <w:uiPriority w:val="0"/>
    <w:pPr>
      <w:snapToGrid w:val="0"/>
      <w:jc w:val="center"/>
    </w:pPr>
    <w:rPr>
      <w:rFonts w:hint="eastAsia"/>
      <w:sz w:val="24"/>
      <w:szCs w:val="21"/>
    </w:rPr>
  </w:style>
  <w:style w:type="paragraph" w:customStyle="1" w:styleId="100">
    <w:name w:val="小四"/>
    <w:basedOn w:val="1"/>
    <w:qFormat/>
    <w:uiPriority w:val="0"/>
    <w:pPr>
      <w:spacing w:line="360" w:lineRule="auto"/>
      <w:ind w:firstLine="200" w:firstLineChars="200"/>
      <w:jc w:val="left"/>
    </w:pPr>
    <w:rPr>
      <w:bCs/>
      <w:color w:val="000000"/>
      <w:sz w:val="24"/>
    </w:rPr>
  </w:style>
  <w:style w:type="paragraph" w:customStyle="1" w:styleId="101">
    <w:name w:val="正文 New New New New New New New New New New New New New New New New"/>
    <w:basedOn w:val="1"/>
    <w:qFormat/>
    <w:uiPriority w:val="0"/>
  </w:style>
  <w:style w:type="paragraph" w:customStyle="1" w:styleId="102">
    <w:name w:val="000 正文"/>
    <w:basedOn w:val="1"/>
    <w:qFormat/>
    <w:uiPriority w:val="0"/>
    <w:pPr>
      <w:spacing w:beforeLines="50" w:line="324" w:lineRule="auto"/>
      <w:ind w:firstLine="200" w:firstLineChars="200"/>
    </w:pPr>
    <w:rPr>
      <w:sz w:val="24"/>
    </w:rPr>
  </w:style>
  <w:style w:type="paragraph" w:customStyle="1" w:styleId="103">
    <w:name w:val="Table Paragraph"/>
    <w:basedOn w:val="1"/>
    <w:qFormat/>
    <w:uiPriority w:val="0"/>
    <w:rPr>
      <w:rFonts w:hint="eastAsia" w:ascii="宋体" w:hAnsi="宋体"/>
    </w:rPr>
  </w:style>
  <w:style w:type="paragraph" w:customStyle="1" w:styleId="104">
    <w:name w:val="正文4"/>
    <w:basedOn w:val="1"/>
    <w:qFormat/>
    <w:uiPriority w:val="0"/>
    <w:pPr>
      <w:adjustRightInd w:val="0"/>
      <w:snapToGrid w:val="0"/>
      <w:spacing w:line="600" w:lineRule="exact"/>
      <w:ind w:firstLine="640" w:firstLineChars="200"/>
    </w:pPr>
    <w:rPr>
      <w:rFonts w:eastAsia="仿宋_GB2312"/>
      <w:color w:val="FF0000"/>
      <w:sz w:val="32"/>
      <w:szCs w:val="32"/>
    </w:rPr>
  </w:style>
  <w:style w:type="paragraph" w:customStyle="1" w:styleId="105">
    <w:name w:val="表格格式"/>
    <w:basedOn w:val="1"/>
    <w:qFormat/>
    <w:uiPriority w:val="0"/>
    <w:pPr>
      <w:jc w:val="center"/>
    </w:pPr>
    <w:rPr>
      <w:rFonts w:hAnsi="宋体"/>
      <w:szCs w:val="21"/>
    </w:rPr>
  </w:style>
  <w:style w:type="paragraph" w:customStyle="1" w:styleId="106">
    <w:name w:val="居中正文"/>
    <w:basedOn w:val="4"/>
    <w:qFormat/>
    <w:uiPriority w:val="0"/>
    <w:pPr>
      <w:adjustRightInd w:val="0"/>
      <w:spacing w:before="120" w:after="0" w:line="360" w:lineRule="auto"/>
      <w:ind w:firstLine="0" w:firstLineChars="0"/>
      <w:jc w:val="center"/>
      <w:textAlignment w:val="baseline"/>
    </w:pPr>
    <w:rPr>
      <w:rFonts w:ascii="宋体"/>
      <w:kern w:val="28"/>
      <w:sz w:val="24"/>
      <w:szCs w:val="24"/>
    </w:rPr>
  </w:style>
  <w:style w:type="paragraph" w:customStyle="1" w:styleId="107">
    <w:name w:val="p0"/>
    <w:basedOn w:val="1"/>
    <w:qFormat/>
    <w:uiPriority w:val="0"/>
    <w:pPr>
      <w:widowControl/>
    </w:pPr>
    <w:rPr>
      <w:rFonts w:ascii="Calibri" w:hAnsi="Calibri" w:cs="宋体"/>
      <w:kern w:val="0"/>
      <w:szCs w:val="21"/>
    </w:rPr>
  </w:style>
  <w:style w:type="paragraph" w:customStyle="1" w:styleId="108">
    <w:name w:val="正文 03"/>
    <w:basedOn w:val="1"/>
    <w:qFormat/>
    <w:uiPriority w:val="0"/>
    <w:pPr>
      <w:autoSpaceDE w:val="0"/>
      <w:autoSpaceDN w:val="0"/>
      <w:adjustRightInd w:val="0"/>
      <w:textAlignment w:val="baseline"/>
    </w:pPr>
    <w:rPr>
      <w:rFonts w:eastAsia="楷体_GB2312"/>
      <w:kern w:val="0"/>
      <w:sz w:val="24"/>
      <w:szCs w:val="20"/>
    </w:rPr>
  </w:style>
  <w:style w:type="paragraph" w:customStyle="1" w:styleId="109">
    <w:name w:val="报告表  段"/>
    <w:basedOn w:val="1"/>
    <w:qFormat/>
    <w:uiPriority w:val="0"/>
    <w:pPr>
      <w:adjustRightInd w:val="0"/>
      <w:spacing w:line="360" w:lineRule="auto"/>
      <w:ind w:firstLine="505"/>
      <w:textAlignment w:val="baseline"/>
    </w:pPr>
    <w:rPr>
      <w:rFonts w:ascii="宋体" w:hAnsi="Calibri"/>
      <w:kern w:val="0"/>
      <w:sz w:val="24"/>
      <w:szCs w:val="22"/>
    </w:rPr>
  </w:style>
  <w:style w:type="paragraph" w:customStyle="1" w:styleId="110">
    <w:name w:val="表格正文"/>
    <w:next w:val="1"/>
    <w:qFormat/>
    <w:uiPriority w:val="0"/>
    <w:pPr>
      <w:jc w:val="center"/>
    </w:pPr>
    <w:rPr>
      <w:rFonts w:ascii="Times New Roman" w:hAnsi="Times New Roman" w:eastAsia="宋体" w:cs="Times New Roman"/>
      <w:sz w:val="21"/>
      <w:szCs w:val="24"/>
      <w:lang w:val="en-US" w:eastAsia="zh-CN" w:bidi="ar-SA"/>
    </w:rPr>
  </w:style>
  <w:style w:type="paragraph" w:customStyle="1" w:styleId="111">
    <w:name w:val="无间隔1"/>
    <w:basedOn w:val="1"/>
    <w:qFormat/>
    <w:uiPriority w:val="0"/>
    <w:pPr>
      <w:jc w:val="center"/>
    </w:pPr>
    <w:rPr>
      <w:rFonts w:ascii="Calibri" w:hAnsi="Calibri"/>
      <w:b/>
    </w:rPr>
  </w:style>
  <w:style w:type="paragraph" w:customStyle="1" w:styleId="112">
    <w:name w:val="正文01"/>
    <w:basedOn w:val="93"/>
    <w:qFormat/>
    <w:uiPriority w:val="0"/>
    <w:pPr>
      <w:spacing w:before="60" w:line="460" w:lineRule="exact"/>
      <w:ind w:firstLine="200" w:firstLineChars="200"/>
    </w:pPr>
    <w:rPr>
      <w:bCs/>
    </w:rPr>
  </w:style>
  <w:style w:type="paragraph" w:customStyle="1" w:styleId="113">
    <w:name w:val="正文1"/>
    <w:qFormat/>
    <w:uiPriority w:val="0"/>
    <w:pPr>
      <w:adjustRightInd w:val="0"/>
    </w:pPr>
    <w:rPr>
      <w:rFonts w:ascii="Times New Roman" w:hAnsi="Times New Roman" w:eastAsia="楷体_GB2312" w:cs="Times New Roman"/>
      <w:sz w:val="24"/>
      <w:lang w:val="en-US" w:eastAsia="zh-CN" w:bidi="ar-SA"/>
    </w:rPr>
  </w:style>
  <w:style w:type="paragraph" w:customStyle="1" w:styleId="114">
    <w:name w:val="正文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5">
    <w:name w:val="表、图名"/>
    <w:qFormat/>
    <w:uiPriority w:val="0"/>
    <w:pPr>
      <w:adjustRightInd w:val="0"/>
      <w:snapToGrid w:val="0"/>
      <w:jc w:val="center"/>
    </w:pPr>
    <w:rPr>
      <w:rFonts w:ascii="Times New Roman" w:hAnsi="Times New Roman" w:eastAsia="宋体" w:cs="Times New Roman"/>
      <w:b/>
      <w:kern w:val="2"/>
      <w:sz w:val="22"/>
      <w:szCs w:val="24"/>
      <w:lang w:val="en-US" w:eastAsia="zh-CN" w:bidi="ar-SA"/>
    </w:rPr>
  </w:style>
  <w:style w:type="paragraph" w:customStyle="1" w:styleId="116">
    <w:name w:val="1表格字体"/>
    <w:basedOn w:val="1"/>
    <w:qFormat/>
    <w:uiPriority w:val="0"/>
    <w:pPr>
      <w:spacing w:line="264" w:lineRule="auto"/>
      <w:jc w:val="center"/>
    </w:pPr>
  </w:style>
  <w:style w:type="paragraph" w:customStyle="1" w:styleId="117">
    <w:name w:val="环保表内字（五号）"/>
    <w:basedOn w:val="1"/>
    <w:qFormat/>
    <w:uiPriority w:val="0"/>
    <w:pPr>
      <w:widowControl/>
      <w:adjustRightInd w:val="0"/>
      <w:snapToGrid w:val="0"/>
      <w:jc w:val="center"/>
    </w:pPr>
    <w:rPr>
      <w:snapToGrid w:val="0"/>
      <w:szCs w:val="20"/>
    </w:rPr>
  </w:style>
  <w:style w:type="paragraph" w:customStyle="1" w:styleId="118">
    <w:name w:val="正文文本5"/>
    <w:basedOn w:val="1"/>
    <w:qFormat/>
    <w:uiPriority w:val="0"/>
    <w:pPr>
      <w:shd w:val="clear" w:color="auto" w:fill="FFFFFF"/>
      <w:spacing w:after="960" w:line="0" w:lineRule="atLeast"/>
      <w:jc w:val="center"/>
    </w:pPr>
    <w:rPr>
      <w:rFonts w:ascii="MingLiU" w:hAnsi="MingLiU" w:eastAsia="MingLiU" w:cs="MingLiU"/>
      <w:kern w:val="0"/>
      <w:sz w:val="19"/>
      <w:szCs w:val="19"/>
    </w:rPr>
  </w:style>
  <w:style w:type="paragraph" w:customStyle="1" w:styleId="119">
    <w:name w:val="正文 首行缩进:  2 字符"/>
    <w:basedOn w:val="1"/>
    <w:qFormat/>
    <w:uiPriority w:val="0"/>
    <w:pPr>
      <w:suppressAutoHyphens/>
      <w:ind w:firstLine="579" w:firstLineChars="200"/>
    </w:pPr>
    <w:rPr>
      <w:rFonts w:cs="宋体"/>
      <w:kern w:val="1"/>
      <w:lang w:eastAsia="ar-SA"/>
    </w:rPr>
  </w:style>
  <w:style w:type="paragraph" w:customStyle="1" w:styleId="120">
    <w:name w:val="表标题"/>
    <w:basedOn w:val="1"/>
    <w:next w:val="121"/>
    <w:qFormat/>
    <w:uiPriority w:val="0"/>
    <w:pPr>
      <w:spacing w:line="520" w:lineRule="exact"/>
      <w:jc w:val="center"/>
      <w:textAlignment w:val="baseline"/>
    </w:pPr>
    <w:rPr>
      <w:rFonts w:ascii="等线" w:hAnsi="等线" w:eastAsia="等线"/>
      <w:b/>
      <w:szCs w:val="22"/>
    </w:rPr>
  </w:style>
  <w:style w:type="paragraph" w:customStyle="1" w:styleId="121">
    <w:name w:val="正文内容"/>
    <w:basedOn w:val="1"/>
    <w:qFormat/>
    <w:uiPriority w:val="0"/>
    <w:pPr>
      <w:ind w:firstLine="200" w:firstLineChars="200"/>
    </w:pPr>
    <w:rPr>
      <w:kern w:val="0"/>
      <w:sz w:val="24"/>
    </w:rPr>
  </w:style>
  <w:style w:type="paragraph" w:customStyle="1" w:styleId="122">
    <w:name w:val="正 文"/>
    <w:qFormat/>
    <w:uiPriority w:val="0"/>
    <w:pPr>
      <w:widowControl w:val="0"/>
      <w:spacing w:line="480" w:lineRule="exact"/>
      <w:ind w:firstLine="471"/>
      <w:jc w:val="both"/>
    </w:pPr>
    <w:rPr>
      <w:rFonts w:ascii="Times New Roman" w:hAnsi="Times New Roman" w:eastAsia="宋体" w:cs="Times New Roman"/>
      <w:kern w:val="2"/>
      <w:sz w:val="24"/>
      <w:szCs w:val="22"/>
      <w:lang w:val="en-US" w:eastAsia="zh-CN" w:bidi="ar-SA"/>
    </w:rPr>
  </w:style>
  <w:style w:type="paragraph" w:customStyle="1" w:styleId="123">
    <w:name w:val="图表标题"/>
    <w:next w:val="1"/>
    <w:qFormat/>
    <w:uiPriority w:val="0"/>
    <w:pPr>
      <w:spacing w:line="360" w:lineRule="auto"/>
      <w:jc w:val="center"/>
    </w:pPr>
    <w:rPr>
      <w:rFonts w:ascii="Times New Roman" w:hAnsi="Times New Roman" w:eastAsia="黑体" w:cs="Times New Roman"/>
      <w:kern w:val="2"/>
      <w:sz w:val="24"/>
      <w:szCs w:val="22"/>
      <w:lang w:val="en-US" w:eastAsia="zh-CN" w:bidi="ar-SA"/>
    </w:rPr>
  </w:style>
  <w:style w:type="paragraph" w:customStyle="1" w:styleId="124">
    <w:name w:val="表格文字"/>
    <w:basedOn w:val="1"/>
    <w:qFormat/>
    <w:uiPriority w:val="0"/>
    <w:pPr>
      <w:widowControl/>
      <w:adjustRightInd w:val="0"/>
      <w:snapToGrid w:val="0"/>
      <w:jc w:val="center"/>
    </w:pPr>
    <w:rPr>
      <w:kern w:val="0"/>
      <w:sz w:val="20"/>
      <w:szCs w:val="20"/>
    </w:rPr>
  </w:style>
  <w:style w:type="paragraph" w:customStyle="1" w:styleId="125">
    <w:name w:val="正文（小四）"/>
    <w:qFormat/>
    <w:uiPriority w:val="0"/>
    <w:pPr>
      <w:spacing w:line="360" w:lineRule="auto"/>
      <w:ind w:firstLine="200" w:firstLineChars="200"/>
      <w:jc w:val="both"/>
    </w:pPr>
    <w:rPr>
      <w:rFonts w:ascii="Times New Roman" w:hAnsi="Times New Roman" w:eastAsia="宋体" w:cs="Times New Roman"/>
      <w:bCs/>
      <w:kern w:val="2"/>
      <w:sz w:val="24"/>
      <w:szCs w:val="32"/>
      <w:lang w:val="en-US" w:eastAsia="zh-CN" w:bidi="ar-SA"/>
    </w:rPr>
  </w:style>
  <w:style w:type="paragraph" w:customStyle="1" w:styleId="126">
    <w:name w:val="样式 表格 32 + 首行缩进:  2 字符"/>
    <w:basedOn w:val="1"/>
    <w:qFormat/>
    <w:uiPriority w:val="0"/>
    <w:pPr>
      <w:autoSpaceDE w:val="0"/>
      <w:autoSpaceDN w:val="0"/>
      <w:adjustRightInd w:val="0"/>
      <w:spacing w:line="0" w:lineRule="atLeast"/>
      <w:jc w:val="center"/>
      <w:textAlignment w:val="baseline"/>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14.png"/><Relationship Id="rId24" Type="http://schemas.openxmlformats.org/officeDocument/2006/relationships/image" Target="media/image13.png"/><Relationship Id="rId23" Type="http://schemas.openxmlformats.org/officeDocument/2006/relationships/image" Target="media/image12.png"/><Relationship Id="rId22" Type="http://schemas.openxmlformats.org/officeDocument/2006/relationships/image" Target="media/image11.png"/><Relationship Id="rId21" Type="http://schemas.openxmlformats.org/officeDocument/2006/relationships/image" Target="media/image10.png"/><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image" Target="media/image7.png"/><Relationship Id="rId17" Type="http://schemas.openxmlformats.org/officeDocument/2006/relationships/oleObject" Target="embeddings/oleObject3.bin"/><Relationship Id="rId16" Type="http://schemas.openxmlformats.org/officeDocument/2006/relationships/image" Target="media/image6.wmf"/><Relationship Id="rId15" Type="http://schemas.openxmlformats.org/officeDocument/2006/relationships/oleObject" Target="embeddings/oleObject2.bin"/><Relationship Id="rId14" Type="http://schemas.openxmlformats.org/officeDocument/2006/relationships/image" Target="media/image5.wmf"/><Relationship Id="rId13" Type="http://schemas.openxmlformats.org/officeDocument/2006/relationships/oleObject" Target="embeddings/oleObject1.bin"/><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Company>微软中国</Company>
  <Pages>73</Pages>
  <Words>33104</Words>
  <Characters>38513</Characters>
  <Lines>295</Lines>
  <Paragraphs>83</Paragraphs>
  <TotalTime>5</TotalTime>
  <ScaleCrop>false</ScaleCrop>
  <LinksUpToDate>false</LinksUpToDate>
  <CharactersWithSpaces>38818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lhj</dc:creator>
  <cp:lastModifiedBy>建熙</cp:lastModifiedBy>
  <cp:lastPrinted>2020-12-29T02:43:00Z</cp:lastPrinted>
  <dcterms:modified xsi:type="dcterms:W3CDTF">2023-04-14T01:02:52Z</dcterms:modified>
  <dc:title>附件2</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1619A0A268824AAAA2B9F4F2F5FF20FF</vt:lpwstr>
  </property>
</Properties>
</file>