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88" w:lineRule="auto"/>
        <w:rPr>
          <w:rFonts w:hint="eastAsia" w:ascii="Times New Roman" w:hAnsi="Times New Roman" w:eastAsia="仿宋_GB2312" w:cs="Times New Roman"/>
          <w:color w:val="auto"/>
          <w:sz w:val="36"/>
          <w:szCs w:val="36"/>
          <w:lang w:eastAsia="zh-CN"/>
        </w:rPr>
        <w:sectPr>
          <w:footerReference r:id="rId5" w:type="default"/>
          <w:footerReference r:id="rId6" w:type="even"/>
          <w:pgSz w:w="11906" w:h="16838"/>
          <w:pgMar w:top="1247" w:right="1134" w:bottom="1247" w:left="1134"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Times New Roman" w:hAnsi="Times New Roman" w:eastAsia="仿宋_GB2312" w:cs="Times New Roman"/>
          <w:color w:val="auto"/>
          <w:sz w:val="36"/>
          <w:szCs w:val="36"/>
          <w:lang w:eastAsia="zh-CN"/>
        </w:rPr>
        <w:drawing>
          <wp:inline distT="0" distB="0" distL="114300" distR="114300">
            <wp:extent cx="6114415" cy="8648065"/>
            <wp:effectExtent l="0" t="0" r="635" b="635"/>
            <wp:docPr id="322" name="图片 322" descr="封面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 name="图片 322" descr="封面_01"/>
                    <pic:cNvPicPr>
                      <a:picLocks noChangeAspect="1"/>
                    </pic:cNvPicPr>
                  </pic:nvPicPr>
                  <pic:blipFill>
                    <a:blip r:embed="rId23"/>
                    <a:stretch>
                      <a:fillRect/>
                    </a:stretch>
                  </pic:blipFill>
                  <pic:spPr>
                    <a:xfrm>
                      <a:off x="0" y="0"/>
                      <a:ext cx="6114415" cy="8648065"/>
                    </a:xfrm>
                    <a:prstGeom prst="rect">
                      <a:avLst/>
                    </a:prstGeom>
                  </pic:spPr>
                </pic:pic>
              </a:graphicData>
            </a:graphic>
          </wp:inline>
        </w:drawing>
      </w:r>
    </w:p>
    <w:p>
      <w:pPr>
        <w:pStyle w:val="4"/>
        <w:numPr>
          <w:ilvl w:val="2"/>
          <w:numId w:val="0"/>
        </w:numPr>
        <w:bidi w:val="0"/>
        <w:ind w:left="397" w:leftChars="0"/>
        <w:jc w:val="center"/>
        <w:rPr>
          <w:rFonts w:hint="default" w:ascii="Times New Roman" w:hAnsi="Times New Roman" w:cs="Times New Roman"/>
          <w:color w:val="auto"/>
        </w:rPr>
      </w:pPr>
      <w:bookmarkStart w:id="0" w:name="_Toc2440"/>
      <w:r>
        <w:rPr>
          <w:rFonts w:hint="default" w:ascii="Times New Roman" w:hAnsi="Times New Roman" w:cs="Times New Roman"/>
          <w:color w:val="auto"/>
        </w:rPr>
        <w:t>一、建设项目基本情况</w:t>
      </w:r>
      <w:bookmarkEnd w:id="0"/>
    </w:p>
    <w:tbl>
      <w:tblPr>
        <w:tblStyle w:val="32"/>
        <w:tblW w:w="499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6"/>
        <w:gridCol w:w="2781"/>
        <w:gridCol w:w="2598"/>
        <w:gridCol w:w="31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建设项目名称</w:t>
            </w:r>
          </w:p>
        </w:tc>
        <w:tc>
          <w:tcPr>
            <w:tcW w:w="4103" w:type="pct"/>
            <w:gridSpan w:val="3"/>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highlight w:val="none"/>
                <w:lang w:eastAsia="zh-CN"/>
              </w:rPr>
              <w:t>惠州冠宝新材料有限公司扩建项目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项目代码</w:t>
            </w:r>
          </w:p>
        </w:tc>
        <w:tc>
          <w:tcPr>
            <w:tcW w:w="4103" w:type="pct"/>
            <w:gridSpan w:val="3"/>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建设单位联系人</w:t>
            </w:r>
          </w:p>
        </w:tc>
        <w:tc>
          <w:tcPr>
            <w:tcW w:w="1343"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 xml:space="preserve">林海龙 </w:t>
            </w:r>
          </w:p>
        </w:tc>
        <w:tc>
          <w:tcPr>
            <w:tcW w:w="1255" w:type="pct"/>
            <w:noWrap/>
            <w:vAlign w:val="center"/>
          </w:tcPr>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联系方式</w:t>
            </w:r>
          </w:p>
        </w:tc>
        <w:tc>
          <w:tcPr>
            <w:tcW w:w="1505"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13316980226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建设地点</w:t>
            </w:r>
          </w:p>
        </w:tc>
        <w:tc>
          <w:tcPr>
            <w:tcW w:w="4103" w:type="pct"/>
            <w:gridSpan w:val="3"/>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u w:val="none"/>
              </w:rPr>
              <w:t>广东省惠州市</w:t>
            </w:r>
            <w:r>
              <w:rPr>
                <w:rFonts w:hint="default" w:ascii="Times New Roman" w:hAnsi="Times New Roman" w:cs="Times New Roman"/>
                <w:color w:val="auto"/>
                <w:kern w:val="21"/>
                <w:szCs w:val="21"/>
                <w:highlight w:val="none"/>
                <w:u w:val="none"/>
                <w:lang w:val="en-US" w:eastAsia="zh-CN"/>
              </w:rPr>
              <w:t>博罗</w:t>
            </w:r>
            <w:r>
              <w:rPr>
                <w:rFonts w:hint="default" w:ascii="Times New Roman" w:hAnsi="Times New Roman" w:cs="Times New Roman"/>
                <w:color w:val="auto"/>
                <w:szCs w:val="21"/>
                <w:highlight w:val="none"/>
                <w:u w:val="none"/>
                <w:lang w:val="en-US" w:eastAsia="zh-CN"/>
              </w:rPr>
              <w:t>县</w:t>
            </w:r>
            <w:r>
              <w:rPr>
                <w:rFonts w:hint="default" w:ascii="Times New Roman" w:hAnsi="Times New Roman" w:cs="Times New Roman"/>
                <w:color w:val="auto"/>
                <w:kern w:val="21"/>
                <w:szCs w:val="21"/>
                <w:highlight w:val="none"/>
                <w:u w:val="none"/>
                <w:lang w:val="en-US" w:eastAsia="zh-CN"/>
              </w:rPr>
              <w:t>石湾镇四十米大道东侧铁场朱黎段格水口（土名）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地理坐标</w:t>
            </w:r>
          </w:p>
        </w:tc>
        <w:tc>
          <w:tcPr>
            <w:tcW w:w="4103" w:type="pct"/>
            <w:gridSpan w:val="3"/>
            <w:noWrap/>
            <w:vAlign w:val="center"/>
          </w:tcPr>
          <w:p>
            <w:pPr>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11</w:t>
            </w:r>
            <w:r>
              <w:rPr>
                <w:rFonts w:hint="default" w:ascii="Times New Roman" w:hAnsi="Times New Roman" w:cs="Times New Roman"/>
                <w:color w:val="auto"/>
                <w:sz w:val="24"/>
                <w:szCs w:val="24"/>
                <w:highlight w:val="none"/>
                <w:u w:val="single"/>
                <w:shd w:val="clear" w:color="auto" w:fill="auto"/>
                <w:lang w:val="en-US" w:eastAsia="zh-CN"/>
              </w:rPr>
              <w:t>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cs="Times New Roman"/>
                <w:color w:val="auto"/>
                <w:sz w:val="24"/>
                <w:szCs w:val="24"/>
                <w:highlight w:val="none"/>
                <w:u w:val="single"/>
                <w:shd w:val="clear" w:color="auto" w:fill="auto"/>
                <w:lang w:val="en-US" w:eastAsia="zh-CN"/>
              </w:rPr>
              <w:t>56</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cs="Times New Roman"/>
                <w:color w:val="auto"/>
                <w:sz w:val="24"/>
                <w:szCs w:val="24"/>
                <w:highlight w:val="none"/>
                <w:u w:val="single"/>
                <w:shd w:val="clear" w:color="auto" w:fill="auto"/>
                <w:lang w:val="en-US" w:eastAsia="zh-CN"/>
              </w:rPr>
              <w:t>4.920</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秒</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23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cs="Times New Roman"/>
                <w:color w:val="auto"/>
                <w:sz w:val="24"/>
                <w:szCs w:val="24"/>
                <w:highlight w:val="none"/>
                <w:u w:val="single"/>
                <w:shd w:val="clear" w:color="auto" w:fill="auto"/>
                <w:lang w:val="en-US" w:eastAsia="zh-CN"/>
              </w:rPr>
              <w:t>10</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cs="Times New Roman"/>
                <w:color w:val="auto"/>
                <w:szCs w:val="21"/>
                <w:highlight w:val="none"/>
                <w:u w:val="single"/>
                <w:lang w:val="en-US" w:eastAsia="zh-CN"/>
              </w:rPr>
              <w:t>52.320</w:t>
            </w:r>
            <w:r>
              <w:rPr>
                <w:rFonts w:hint="default" w:ascii="Times New Roman" w:hAnsi="Times New Roman" w:eastAsia="宋体" w:cs="Times New Roman"/>
                <w:color w:val="auto"/>
                <w:sz w:val="24"/>
                <w:szCs w:val="24"/>
                <w:highlight w:val="none"/>
                <w:shd w:val="clear" w:color="auto" w:fill="auto"/>
              </w:rPr>
              <w:t>秒</w:t>
            </w:r>
            <w:r>
              <w:rPr>
                <w:rFonts w:hint="default" w:ascii="Times New Roman" w:hAnsi="Times New Roman" w:cs="Times New Roman"/>
                <w:color w:val="auto"/>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国民经济行业类别</w:t>
            </w:r>
          </w:p>
        </w:tc>
        <w:tc>
          <w:tcPr>
            <w:tcW w:w="1343"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C2921塑料薄膜制造C2924泡沫塑料制造</w:t>
            </w:r>
          </w:p>
        </w:tc>
        <w:tc>
          <w:tcPr>
            <w:tcW w:w="1255" w:type="pct"/>
            <w:noWrap/>
            <w:vAlign w:val="center"/>
          </w:tcPr>
          <w:p>
            <w:pPr>
              <w:adjustRightInd w:val="0"/>
              <w:snapToGrid w:val="0"/>
              <w:spacing w:line="240" w:lineRule="auto"/>
              <w:jc w:val="center"/>
              <w:rPr>
                <w:rFonts w:hint="default" w:ascii="Times New Roman" w:hAnsi="Times New Roman" w:cs="Times New Roman"/>
                <w:color w:val="auto"/>
                <w:szCs w:val="21"/>
                <w:highlight w:val="none"/>
              </w:rPr>
            </w:pPr>
            <w:bookmarkStart w:id="1" w:name="_Hlk49843745"/>
            <w:r>
              <w:rPr>
                <w:rFonts w:hint="default" w:ascii="Times New Roman" w:hAnsi="Times New Roman" w:cs="Times New Roman"/>
                <w:color w:val="auto"/>
                <w:szCs w:val="21"/>
                <w:highlight w:val="none"/>
              </w:rPr>
              <w:t>建设项目</w:t>
            </w:r>
          </w:p>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行业类别</w:t>
            </w:r>
            <w:bookmarkEnd w:id="1"/>
          </w:p>
        </w:tc>
        <w:tc>
          <w:tcPr>
            <w:tcW w:w="1505" w:type="pct"/>
            <w:noWrap/>
            <w:vAlign w:val="center"/>
          </w:tcPr>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53 塑料制品业 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建设性质</w:t>
            </w:r>
          </w:p>
        </w:tc>
        <w:tc>
          <w:tcPr>
            <w:tcW w:w="1343" w:type="pct"/>
            <w:noWrap/>
            <w:vAlign w:val="center"/>
          </w:tcPr>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新建（迁建）</w:t>
            </w:r>
          </w:p>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改建</w:t>
            </w:r>
          </w:p>
          <w:p>
            <w:pPr>
              <w:spacing w:line="240" w:lineRule="auto"/>
              <w:jc w:val="left"/>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☑扩建</w:t>
            </w:r>
          </w:p>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技术改造</w:t>
            </w:r>
          </w:p>
        </w:tc>
        <w:tc>
          <w:tcPr>
            <w:tcW w:w="1255" w:type="pct"/>
            <w:noWrap/>
            <w:vAlign w:val="center"/>
          </w:tcPr>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建设项目</w:t>
            </w:r>
          </w:p>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申报情形</w:t>
            </w:r>
          </w:p>
        </w:tc>
        <w:tc>
          <w:tcPr>
            <w:tcW w:w="1505" w:type="pct"/>
            <w:noWrap/>
            <w:vAlign w:val="center"/>
          </w:tcPr>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 xml:space="preserve">首次申报项目            </w:t>
            </w:r>
          </w:p>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□不予批准后再次申报项目</w:t>
            </w:r>
          </w:p>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□超五年重新审核项目     </w:t>
            </w:r>
          </w:p>
          <w:p>
            <w:pPr>
              <w:spacing w:line="240" w:lineRule="auto"/>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项目审批（核准/备案）部门</w:t>
            </w:r>
          </w:p>
        </w:tc>
        <w:tc>
          <w:tcPr>
            <w:tcW w:w="1343"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c>
          <w:tcPr>
            <w:tcW w:w="1255" w:type="pct"/>
            <w:noWrap/>
            <w:vAlign w:val="center"/>
          </w:tcPr>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项目审批（核准/</w:t>
            </w:r>
          </w:p>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备案）文号</w:t>
            </w:r>
          </w:p>
        </w:tc>
        <w:tc>
          <w:tcPr>
            <w:tcW w:w="1505"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43"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总投资（万元）</w:t>
            </w:r>
          </w:p>
        </w:tc>
        <w:tc>
          <w:tcPr>
            <w:tcW w:w="1343"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1000.00</w:t>
            </w:r>
          </w:p>
        </w:tc>
        <w:tc>
          <w:tcPr>
            <w:tcW w:w="1255"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环保投资（万元）</w:t>
            </w:r>
          </w:p>
        </w:tc>
        <w:tc>
          <w:tcPr>
            <w:tcW w:w="1505"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lang w:val="en-US" w:eastAsia="zh-CN"/>
              </w:rPr>
              <w:t>50.00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环保投资占比（%）</w:t>
            </w:r>
          </w:p>
        </w:tc>
        <w:tc>
          <w:tcPr>
            <w:tcW w:w="1343"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lang w:val="en-US" w:eastAsia="zh-CN"/>
              </w:rPr>
              <w:t>5.0</w:t>
            </w:r>
          </w:p>
        </w:tc>
        <w:tc>
          <w:tcPr>
            <w:tcW w:w="1255"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施工工期</w:t>
            </w:r>
          </w:p>
        </w:tc>
        <w:tc>
          <w:tcPr>
            <w:tcW w:w="1505"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是否开工建设</w:t>
            </w:r>
          </w:p>
        </w:tc>
        <w:tc>
          <w:tcPr>
            <w:tcW w:w="1343" w:type="pct"/>
            <w:noWrap/>
            <w:vAlign w:val="center"/>
          </w:tcPr>
          <w:p>
            <w:pPr>
              <w:adjustRightInd w:val="0"/>
              <w:snapToGrid w:val="0"/>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否</w:t>
            </w:r>
          </w:p>
          <w:p>
            <w:pPr>
              <w:adjustRightInd w:val="0"/>
              <w:snapToGrid w:val="0"/>
              <w:spacing w:line="240" w:lineRule="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w:t>
            </w:r>
          </w:p>
        </w:tc>
        <w:tc>
          <w:tcPr>
            <w:tcW w:w="1255" w:type="pct"/>
            <w:noWrap/>
            <w:tcMar>
              <w:top w:w="16" w:type="dxa"/>
              <w:left w:w="16" w:type="dxa"/>
              <w:right w:w="16" w:type="dxa"/>
            </w:tcMar>
            <w:vAlign w:val="center"/>
          </w:tcPr>
          <w:p>
            <w:pPr>
              <w:adjustRightInd w:val="0"/>
              <w:snapToGrid w:val="0"/>
              <w:spacing w:line="240" w:lineRule="auto"/>
              <w:jc w:val="center"/>
              <w:rPr>
                <w:rFonts w:hint="default" w:ascii="Times New Roman" w:hAnsi="Times New Roman" w:cs="Times New Roman"/>
                <w:color w:val="auto"/>
                <w:spacing w:val="-6"/>
                <w:szCs w:val="21"/>
                <w:highlight w:val="none"/>
              </w:rPr>
            </w:pPr>
            <w:r>
              <w:rPr>
                <w:rFonts w:hint="default" w:ascii="Times New Roman" w:hAnsi="Times New Roman" w:cs="Times New Roman"/>
                <w:color w:val="auto"/>
                <w:spacing w:val="-6"/>
                <w:szCs w:val="21"/>
                <w:highlight w:val="none"/>
              </w:rPr>
              <w:t>用地（用海）</w:t>
            </w:r>
          </w:p>
          <w:p>
            <w:pPr>
              <w:adjustRightInd w:val="0"/>
              <w:snapToGrid w:val="0"/>
              <w:spacing w:line="240" w:lineRule="auto"/>
              <w:jc w:val="center"/>
              <w:rPr>
                <w:rFonts w:hint="default" w:ascii="Times New Roman" w:hAnsi="Times New Roman" w:cs="Times New Roman"/>
                <w:color w:val="auto"/>
                <w:szCs w:val="21"/>
                <w:highlight w:val="none"/>
              </w:rPr>
            </w:pPr>
            <w:r>
              <w:rPr>
                <w:rFonts w:hint="default" w:ascii="Times New Roman" w:hAnsi="Times New Roman" w:cs="Times New Roman"/>
                <w:color w:val="auto"/>
                <w:spacing w:val="-6"/>
                <w:szCs w:val="21"/>
                <w:highlight w:val="none"/>
              </w:rPr>
              <w:t>面积（m</w:t>
            </w:r>
            <w:r>
              <w:rPr>
                <w:rFonts w:hint="default" w:ascii="Times New Roman" w:hAnsi="Times New Roman" w:cs="Times New Roman"/>
                <w:color w:val="auto"/>
                <w:spacing w:val="-6"/>
                <w:szCs w:val="21"/>
                <w:highlight w:val="none"/>
                <w:vertAlign w:val="superscript"/>
              </w:rPr>
              <w:t>2</w:t>
            </w:r>
            <w:r>
              <w:rPr>
                <w:rFonts w:hint="default" w:ascii="Times New Roman" w:hAnsi="Times New Roman" w:cs="Times New Roman"/>
                <w:color w:val="auto"/>
                <w:spacing w:val="-6"/>
                <w:szCs w:val="21"/>
                <w:highlight w:val="none"/>
              </w:rPr>
              <w:t>）</w:t>
            </w:r>
          </w:p>
        </w:tc>
        <w:tc>
          <w:tcPr>
            <w:tcW w:w="1505" w:type="pct"/>
            <w:noWrap/>
            <w:vAlign w:val="center"/>
          </w:tcPr>
          <w:p>
            <w:pPr>
              <w:adjustRightInd w:val="0"/>
              <w:snapToGrid w:val="0"/>
              <w:spacing w:line="240" w:lineRule="auto"/>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不新增用地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896" w:type="pct"/>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专项评价设置情况</w:t>
            </w:r>
          </w:p>
        </w:tc>
        <w:tc>
          <w:tcPr>
            <w:tcW w:w="4103" w:type="pct"/>
            <w:gridSpan w:val="3"/>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eastAsia" w:cs="Times New Roman"/>
                <w:color w:val="auto"/>
                <w:kern w:val="0"/>
                <w:szCs w:val="21"/>
                <w:lang w:val="en-US" w:eastAsia="zh-CN"/>
              </w:rPr>
              <w:t>本</w:t>
            </w:r>
            <w:r>
              <w:rPr>
                <w:rFonts w:hint="default" w:ascii="Times New Roman" w:hAnsi="Times New Roman" w:cs="Times New Roman"/>
                <w:color w:val="auto"/>
                <w:kern w:val="0"/>
                <w:szCs w:val="21"/>
              </w:rPr>
              <w:t>项目MDI属于有毒有害物质，聚醚多元醇</w:t>
            </w:r>
            <w:r>
              <w:rPr>
                <w:rFonts w:hint="eastAsia" w:cs="Times New Roman"/>
                <w:color w:val="auto"/>
                <w:kern w:val="0"/>
                <w:szCs w:val="21"/>
                <w:lang w:eastAsia="zh-CN"/>
              </w:rPr>
              <w:t>、</w:t>
            </w:r>
            <w:r>
              <w:rPr>
                <w:rFonts w:hint="eastAsia" w:cs="Times New Roman"/>
                <w:color w:val="auto"/>
                <w:kern w:val="0"/>
                <w:szCs w:val="21"/>
                <w:lang w:val="en-US" w:eastAsia="zh-CN"/>
              </w:rPr>
              <w:t>硅油</w:t>
            </w:r>
            <w:r>
              <w:rPr>
                <w:rFonts w:hint="default" w:ascii="Times New Roman" w:hAnsi="Times New Roman" w:cs="Times New Roman"/>
                <w:color w:val="auto"/>
                <w:kern w:val="0"/>
                <w:szCs w:val="21"/>
              </w:rPr>
              <w:t>属于有害危险物质，其存储量超过临界量，根据《建设项目环境影响报告报告表编制技术指南》（污染影响类）表1要求设置环境风险专项评价。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896" w:type="pct"/>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规划情况</w:t>
            </w:r>
          </w:p>
        </w:tc>
        <w:tc>
          <w:tcPr>
            <w:tcW w:w="4103" w:type="pct"/>
            <w:gridSpan w:val="3"/>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96" w:type="pct"/>
            <w:noWrap/>
            <w:vAlign w:val="center"/>
          </w:tcPr>
          <w:p>
            <w:pPr>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规划环境影响评价情况</w:t>
            </w:r>
          </w:p>
        </w:tc>
        <w:tc>
          <w:tcPr>
            <w:tcW w:w="4103" w:type="pct"/>
            <w:gridSpan w:val="3"/>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6" w:type="pct"/>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规划及规划环境影响评价符合性分析</w:t>
            </w:r>
          </w:p>
        </w:tc>
        <w:tc>
          <w:tcPr>
            <w:tcW w:w="4103" w:type="pct"/>
            <w:gridSpan w:val="3"/>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6" w:type="pct"/>
            <w:noWrap/>
            <w:vAlign w:val="center"/>
          </w:tcPr>
          <w:p>
            <w:pPr>
              <w:autoSpaceDE w:val="0"/>
              <w:autoSpaceDN w:val="0"/>
              <w:adjustRightInd w:val="0"/>
              <w:snapToGrid w:val="0"/>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其他符合性分析</w:t>
            </w:r>
          </w:p>
        </w:tc>
        <w:tc>
          <w:tcPr>
            <w:tcW w:w="4103" w:type="pct"/>
            <w:gridSpan w:val="3"/>
            <w:noWrap/>
            <w:vAlign w:val="center"/>
          </w:tcPr>
          <w:p>
            <w:pPr>
              <w:pStyle w:val="120"/>
              <w:bidi w:val="0"/>
              <w:rPr>
                <w:rFonts w:hint="default" w:ascii="Times New Roman" w:hAnsi="Times New Roman" w:cs="Times New Roman"/>
                <w:color w:val="auto"/>
              </w:rPr>
            </w:pPr>
            <w:r>
              <w:rPr>
                <w:rFonts w:hint="default" w:ascii="Times New Roman" w:hAnsi="Times New Roman" w:cs="Times New Roman"/>
                <w:color w:val="auto"/>
              </w:rPr>
              <w:t>与博罗县“三线一单”管控方案的相符性分析：</w:t>
            </w:r>
          </w:p>
          <w:p>
            <w:pPr>
              <w:pStyle w:val="19"/>
              <w:spacing w:before="0" w:after="0" w:line="360" w:lineRule="auto"/>
              <w:ind w:right="0"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b w:val="0"/>
                <w:bCs/>
                <w:color w:val="auto"/>
                <w:sz w:val="24"/>
                <w:highlight w:val="none"/>
              </w:rPr>
              <w:t>本项目位于ZH44132220001博罗沙河流域重点管控单元</w:t>
            </w:r>
            <w:r>
              <w:rPr>
                <w:rFonts w:hint="default" w:ascii="Times New Roman" w:hAnsi="Times New Roman" w:cs="Times New Roman"/>
                <w:b w:val="0"/>
                <w:bCs/>
                <w:color w:val="auto"/>
                <w:sz w:val="24"/>
                <w:highlight w:val="none"/>
                <w:lang w:eastAsia="zh-CN"/>
              </w:rPr>
              <w:t>（</w:t>
            </w:r>
            <w:r>
              <w:rPr>
                <w:rFonts w:hint="default" w:ascii="Times New Roman" w:hAnsi="Times New Roman" w:cs="Times New Roman"/>
                <w:b w:val="0"/>
                <w:bCs/>
                <w:color w:val="auto"/>
                <w:sz w:val="24"/>
                <w:highlight w:val="none"/>
                <w:lang w:val="en-US" w:eastAsia="zh-CN"/>
              </w:rPr>
              <w:t>详见附图</w:t>
            </w:r>
            <w:r>
              <w:rPr>
                <w:rFonts w:hint="eastAsia" w:cs="Times New Roman"/>
                <w:b w:val="0"/>
                <w:bCs/>
                <w:color w:val="auto"/>
                <w:sz w:val="24"/>
                <w:highlight w:val="none"/>
                <w:lang w:val="en-US" w:eastAsia="zh-CN"/>
              </w:rPr>
              <w:t>23</w:t>
            </w:r>
            <w:r>
              <w:rPr>
                <w:rFonts w:hint="default" w:ascii="Times New Roman" w:hAnsi="Times New Roman" w:cs="Times New Roman"/>
                <w:b w:val="0"/>
                <w:bCs/>
                <w:color w:val="auto"/>
                <w:sz w:val="24"/>
                <w:highlight w:val="none"/>
                <w:lang w:eastAsia="zh-CN"/>
              </w:rPr>
              <w:t>）</w:t>
            </w:r>
            <w:r>
              <w:rPr>
                <w:rFonts w:hint="default" w:ascii="Times New Roman" w:hAnsi="Times New Roman" w:cs="Times New Roman"/>
                <w:b w:val="0"/>
                <w:bCs/>
                <w:color w:val="auto"/>
                <w:sz w:val="24"/>
                <w:highlight w:val="none"/>
              </w:rPr>
              <w:t>，</w:t>
            </w:r>
            <w:r>
              <w:rPr>
                <w:rFonts w:hint="default" w:ascii="Times New Roman" w:hAnsi="Times New Roman" w:cs="Times New Roman"/>
                <w:color w:val="auto"/>
                <w:sz w:val="24"/>
                <w:highlight w:val="none"/>
              </w:rPr>
              <w:t>具体</w:t>
            </w:r>
            <w:r>
              <w:rPr>
                <w:rFonts w:hint="default" w:ascii="Times New Roman" w:hAnsi="Times New Roman" w:cs="Times New Roman"/>
                <w:color w:val="auto"/>
                <w:sz w:val="24"/>
                <w:highlight w:val="none"/>
                <w:lang w:val="en-US" w:eastAsia="zh-CN"/>
              </w:rPr>
              <w:t>相符性分析</w:t>
            </w:r>
            <w:r>
              <w:rPr>
                <w:rFonts w:hint="default" w:ascii="Times New Roman" w:hAnsi="Times New Roman" w:cs="Times New Roman"/>
                <w:color w:val="auto"/>
                <w:sz w:val="24"/>
                <w:highlight w:val="none"/>
              </w:rPr>
              <w:t>如下</w:t>
            </w:r>
            <w:r>
              <w:rPr>
                <w:rFonts w:hint="default" w:ascii="Times New Roman" w:hAnsi="Times New Roman" w:cs="Times New Roman"/>
                <w:color w:val="auto"/>
                <w:sz w:val="24"/>
                <w:highlight w:val="none"/>
                <w:lang w:eastAsia="zh-CN"/>
              </w:rPr>
              <w:t>：</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cs="Times New Roman"/>
                <w:color w:val="auto"/>
                <w:sz w:val="22"/>
                <w:szCs w:val="22"/>
                <w:highlight w:val="none"/>
                <w:lang w:val="en-US" w:eastAsia="zh-CN"/>
              </w:rPr>
            </w:pPr>
            <w:r>
              <w:rPr>
                <w:rFonts w:hint="default" w:ascii="Times New Roman" w:hAnsi="Times New Roman" w:cs="Times New Roman"/>
                <w:color w:val="auto"/>
                <w:sz w:val="22"/>
                <w:szCs w:val="22"/>
                <w:highlight w:val="none"/>
                <w:lang w:val="en-US" w:eastAsia="zh-CN"/>
              </w:rPr>
              <w:t>管控要求对照情况表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
              <w:gridCol w:w="5290"/>
              <w:gridCol w:w="2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84" w:type="pct"/>
                  <w:gridSpan w:val="2"/>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管控要求</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生态保护红线</w:t>
                  </w: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表1-1 石湾镇生态空间管控分区面积（平方公里）</w:t>
                  </w:r>
                </w:p>
                <w:tbl>
                  <w:tblPr>
                    <w:tblStyle w:val="33"/>
                    <w:tblW w:w="4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2"/>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生态保护红线</w:t>
                        </w:r>
                      </w:p>
                    </w:tc>
                    <w:tc>
                      <w:tcPr>
                        <w:tcW w:w="1998"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一般生态空间</w:t>
                        </w:r>
                      </w:p>
                    </w:tc>
                    <w:tc>
                      <w:tcPr>
                        <w:tcW w:w="1998"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442"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生态空间一般管控区</w:t>
                        </w:r>
                      </w:p>
                    </w:tc>
                    <w:tc>
                      <w:tcPr>
                        <w:tcW w:w="1998"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81.29</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根据《博罗县“三线一单”生态环境分区管控图集》（以下简称《图集》）中博罗县生态空间最终划定情况图（详见附图2</w:t>
                  </w:r>
                  <w:r>
                    <w:rPr>
                      <w:rFonts w:hint="eastAsia" w:asci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），项目属于生态空间一般管控区，不位于生态保护红线内。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6" w:hRule="atLeast"/>
                <w:jc w:val="center"/>
              </w:trPr>
              <w:tc>
                <w:tcPr>
                  <w:tcW w:w="284" w:type="pct"/>
                  <w:vMerge w:val="restar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环境质量底线</w:t>
                  </w: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表1-2石湾镇水环境质量底线（面积：km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3"/>
                    <w:tblW w:w="4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44"/>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水环境优先保护区面积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水环境生活污染重点管控区面积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水环境工业污染重点管控区面积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水环境一般管控区面积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7.433</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根据《博罗县“三线一单”生态环境分区管控图集》（以下简称《图集》）中博罗县水环境质量底线管控分区划定情况图（详见附图1</w:t>
                  </w:r>
                  <w:r>
                    <w:rPr>
                      <w:rFonts w:hint="eastAsia" w:asci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lang w:val="en-US" w:eastAsia="zh-CN"/>
                    </w:rPr>
                    <w:t>），本项目位于水环境生活污染重点管控区内，本项目不新增生活污水与生产废水，不会突破水环境质量底线。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表1-3石湾镇大气环境质量底线（面积：km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3"/>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9"/>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大气环境优先保护区面积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大气环境布局敏感重点管控区面积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大气环境高排放重点管控区面积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大气环境弱扩散重点管控区面积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大气环境一般管控区面积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大气环境高排放重点管控区管控要求：</w:t>
                  </w:r>
                </w:p>
                <w:p>
                  <w:pPr>
                    <w:pStyle w:val="56"/>
                    <w:keepNext w:val="0"/>
                    <w:keepLines w:val="0"/>
                    <w:pageBreakBefore w:val="0"/>
                    <w:widowControl w:val="0"/>
                    <w:kinsoku/>
                    <w:wordWrap/>
                    <w:overflowPunct/>
                    <w:topLinePunct w:val="0"/>
                    <w:bidi w:val="0"/>
                    <w:snapToGrid/>
                    <w:spacing w:line="240" w:lineRule="auto"/>
                    <w:ind w:left="0" w:leftChars="0" w:right="0" w:rightChars="0"/>
                    <w:jc w:val="both"/>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根据《博罗县“三线一单”生态环境分区管控图集》（以下简称《图集》）中博罗县大气环境质量底线管控分区划定情况图（详见附图1</w:t>
                  </w:r>
                  <w:r>
                    <w:rPr>
                      <w:rFonts w:hint="eastAsia" w:asci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lang w:val="en-US" w:eastAsia="zh-CN"/>
                    </w:rPr>
                    <w:t>），项目位于大气环境高排放重点管控区。</w:t>
                  </w:r>
                </w:p>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根据该管控区的管控要求，扩建项目保护膜生产过程产生的有机废气经1套“水喷淋+干式过滤+二级活性炭吸附装置”处理后经1根</w:t>
                  </w:r>
                  <w:r>
                    <w:rPr>
                      <w:rFonts w:hint="default" w:ascii="Times New Roman" w:hAnsi="Times New Roman" w:cs="Times New Roman"/>
                      <w:color w:val="auto"/>
                      <w:sz w:val="21"/>
                      <w:szCs w:val="21"/>
                      <w:highlight w:val="none"/>
                      <w:lang w:val="en-US" w:eastAsia="zh-CN"/>
                    </w:rPr>
                    <w:t>15m</w:t>
                  </w:r>
                  <w:r>
                    <w:rPr>
                      <w:rFonts w:hint="default" w:ascii="Times New Roman" w:hAnsi="Times New Roman" w:eastAsia="宋体" w:cs="Times New Roman"/>
                      <w:color w:val="auto"/>
                      <w:sz w:val="21"/>
                      <w:szCs w:val="21"/>
                      <w:highlight w:val="none"/>
                      <w:lang w:val="en-US" w:eastAsia="zh-CN"/>
                    </w:rPr>
                    <w:t>高的排气筒DA003排放；聚氨酯高密度棉生产过程产生的有机废气经1套“水喷淋+干式过滤+二级活性炭吸附装置”处理后经1根</w:t>
                  </w:r>
                  <w:r>
                    <w:rPr>
                      <w:rFonts w:hint="default" w:ascii="Times New Roman" w:hAnsi="Times New Roman" w:cs="Times New Roman"/>
                      <w:color w:val="auto"/>
                      <w:sz w:val="21"/>
                      <w:szCs w:val="21"/>
                      <w:highlight w:val="none"/>
                      <w:lang w:val="en-US" w:eastAsia="zh-CN"/>
                    </w:rPr>
                    <w:t>15m</w:t>
                  </w:r>
                  <w:r>
                    <w:rPr>
                      <w:rFonts w:hint="default" w:ascii="Times New Roman" w:hAnsi="Times New Roman" w:eastAsia="宋体" w:cs="Times New Roman"/>
                      <w:color w:val="auto"/>
                      <w:sz w:val="21"/>
                      <w:szCs w:val="21"/>
                      <w:highlight w:val="none"/>
                      <w:lang w:val="en-US" w:eastAsia="zh-CN"/>
                    </w:rPr>
                    <w:t>高的排气筒DA004排放，燃烧废气经低氮燃烧装置处理后经1根</w:t>
                  </w:r>
                  <w:r>
                    <w:rPr>
                      <w:rFonts w:hint="default" w:ascii="Times New Roman" w:hAnsi="Times New Roman" w:cs="Times New Roman"/>
                      <w:color w:val="auto"/>
                      <w:sz w:val="21"/>
                      <w:szCs w:val="21"/>
                      <w:highlight w:val="none"/>
                      <w:lang w:val="en-US" w:eastAsia="zh-CN"/>
                    </w:rPr>
                    <w:t>22m</w:t>
                  </w:r>
                  <w:r>
                    <w:rPr>
                      <w:rFonts w:hint="default" w:ascii="Times New Roman" w:hAnsi="Times New Roman" w:eastAsia="宋体" w:cs="Times New Roman"/>
                      <w:color w:val="auto"/>
                      <w:sz w:val="21"/>
                      <w:szCs w:val="21"/>
                      <w:highlight w:val="none"/>
                      <w:lang w:val="en-US" w:eastAsia="zh-CN"/>
                    </w:rPr>
                    <w:t>高的排气筒DA005排放，不会突破大气环境质量底线。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表1-4土壤环境管控区（面积：km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3"/>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0"/>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博罗县建设用地土壤污染风险重点管控区面积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340.8688125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建设用地一般管控区面积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未利用地一般管控区面积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博罗县土壤环境一般管控区面积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 xml:space="preserve">26.089 </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根据《博罗县“三线一单”生态环境分区管控图集》（以下简称《图集》）中博罗县建设用地土壤管控分区划定情况图（详见附图1</w:t>
                  </w:r>
                  <w:r>
                    <w:rPr>
                      <w:rFonts w:hint="eastAsia" w:asci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），项目位于博罗县土壤环境一般管控区，生产过程产生的一般工业固体废物、危险废物妥善处置，不会污染土壤环境。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restar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资源利用上线</w:t>
                  </w: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表1-5 博罗县土地资源优先保护区面积统计（平方公里）</w:t>
                  </w:r>
                </w:p>
                <w:tbl>
                  <w:tblPr>
                    <w:tblStyle w:val="33"/>
                    <w:tblW w:w="4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9"/>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72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土地资源优先保护区面积</w:t>
                        </w:r>
                      </w:p>
                    </w:tc>
                    <w:tc>
                      <w:tcPr>
                        <w:tcW w:w="1831"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834.505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72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土地资源优先保护区比例</w:t>
                        </w:r>
                      </w:p>
                    </w:tc>
                    <w:tc>
                      <w:tcPr>
                        <w:tcW w:w="1831"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29.23%</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515" w:type="pct"/>
                  <w:noWrap w:val="0"/>
                  <w:vAlign w:val="center"/>
                </w:tcPr>
                <w:p>
                  <w:pPr>
                    <w:pStyle w:val="41"/>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根据《博罗县“三线一单”生态环境分区管控图集》中博罗县资源利用上线－土地资源优先保护区划定情况图（详见附图1</w:t>
                  </w:r>
                  <w:r>
                    <w:rPr>
                      <w:rFonts w:hint="eastAsia" w:ascii="Times New Roman" w:eastAsia="宋体" w:cs="Times New Roman"/>
                      <w:color w:val="auto"/>
                      <w:sz w:val="21"/>
                      <w:szCs w:val="21"/>
                      <w:highlight w:val="none"/>
                      <w:lang w:val="en-US" w:eastAsia="zh-CN"/>
                    </w:rPr>
                    <w:t>9</w:t>
                  </w:r>
                  <w:r>
                    <w:rPr>
                      <w:rFonts w:hint="default" w:ascii="Times New Roman" w:hAnsi="Times New Roman" w:eastAsia="宋体" w:cs="Times New Roman"/>
                      <w:color w:val="auto"/>
                      <w:sz w:val="21"/>
                      <w:szCs w:val="21"/>
                      <w:highlight w:val="none"/>
                      <w:lang w:val="en-US" w:eastAsia="zh-CN"/>
                    </w:rPr>
                    <w:t>），项目不在土壤资源优先保护区内。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表1-6博罗县能源（煤炭）重点管控区面积统计（平方公里）</w:t>
                  </w:r>
                </w:p>
                <w:tbl>
                  <w:tblPr>
                    <w:tblStyle w:val="33"/>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4"/>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trPr>
                    <w:tc>
                      <w:tcPr>
                        <w:tcW w:w="337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高污染燃料禁燃区面积</w:t>
                        </w:r>
                      </w:p>
                    </w:tc>
                    <w:tc>
                      <w:tcPr>
                        <w:tcW w:w="116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394.927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37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高污染燃料禁燃区比例</w:t>
                        </w:r>
                      </w:p>
                    </w:tc>
                    <w:tc>
                      <w:tcPr>
                        <w:tcW w:w="116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13.83%</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515" w:type="pct"/>
                  <w:noWrap w:val="0"/>
                  <w:vAlign w:val="center"/>
                </w:tcPr>
                <w:p>
                  <w:pPr>
                    <w:pStyle w:val="41"/>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根据《博罗县“三线一单”生态环境分区管控图集》博罗县资源利用上线-高污染燃料禁燃区划定情况图（详见附图</w:t>
                  </w:r>
                  <w:r>
                    <w:rPr>
                      <w:rFonts w:hint="eastAsia" w:asci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），本项目不在高污染燃料禁燃区内。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表1-7博罗县矿产资源开采敏感区面积统计（平方公里）</w:t>
                  </w:r>
                </w:p>
                <w:tbl>
                  <w:tblPr>
                    <w:tblStyle w:val="33"/>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9"/>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3" w:hRule="atLeast"/>
                    </w:trPr>
                    <w:tc>
                      <w:tcPr>
                        <w:tcW w:w="33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矿产资源开采敏感区面积</w:t>
                        </w:r>
                      </w:p>
                    </w:tc>
                    <w:tc>
                      <w:tcPr>
                        <w:tcW w:w="11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633.776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3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矿产资源开采敏感区比例</w:t>
                        </w:r>
                      </w:p>
                    </w:tc>
                    <w:tc>
                      <w:tcPr>
                        <w:tcW w:w="11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22.20%</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515" w:type="pct"/>
                  <w:noWrap w:val="0"/>
                  <w:vAlign w:val="center"/>
                </w:tcPr>
                <w:p>
                  <w:pPr>
                    <w:pStyle w:val="41"/>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根据《博罗县“三线一单”生态环境分区管控图集》中博罗县资源利用上线-矿产资源开发敏感区划定情况图（详见附图</w:t>
                  </w:r>
                  <w:r>
                    <w:rPr>
                      <w:rFonts w:hint="eastAsia" w:ascii="Times New Roman" w:eastAsia="宋体" w:cs="Times New Roman"/>
                      <w:color w:val="auto"/>
                      <w:sz w:val="21"/>
                      <w:szCs w:val="21"/>
                      <w:highlight w:val="none"/>
                      <w:lang w:val="en-US" w:eastAsia="zh-CN"/>
                    </w:rPr>
                    <w:t>21</w:t>
                  </w:r>
                  <w:r>
                    <w:rPr>
                      <w:rFonts w:hint="default" w:ascii="Times New Roman" w:hAnsi="Times New Roman" w:eastAsia="宋体" w:cs="Times New Roman"/>
                      <w:color w:val="auto"/>
                      <w:sz w:val="21"/>
                      <w:szCs w:val="21"/>
                      <w:highlight w:val="none"/>
                      <w:lang w:val="en-US" w:eastAsia="zh-CN"/>
                    </w:rPr>
                    <w:t>），本项目不在矿产资源开采敏感区内。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资源利用管控要求：强化水资源节约集约利用。推动农业节水增效；推进工业节水减排；开展城镇节水降损；保障江河湖库生态流量。</w:t>
                  </w:r>
                </w:p>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推进土地资源节约集约利用。科学划定生态保护红线、永久基本农田、城镇开发边界三条控制线，统筹布局生态、农业、城镇空间；按照“工业优先、以用为先”的原则，调整存量和扩大增量建设用地，优先保障“3+7”重点工业园区等重大平台、重大项目的用地需求。</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w:t>
                  </w:r>
                  <w:r>
                    <w:rPr>
                      <w:rFonts w:hint="default" w:ascii="Times New Roman" w:hAnsi="Times New Roman" w:eastAsia="宋体" w:cs="Times New Roman"/>
                      <w:color w:val="auto"/>
                      <w:sz w:val="21"/>
                      <w:szCs w:val="21"/>
                      <w:highlight w:val="none"/>
                      <w:lang w:val="en-US" w:bidi="zh-CN"/>
                    </w:rPr>
                    <w:t>生产</w:t>
                  </w:r>
                  <w:r>
                    <w:rPr>
                      <w:rFonts w:hint="default" w:ascii="Times New Roman" w:hAnsi="Times New Roman" w:eastAsia="宋体" w:cs="Times New Roman"/>
                      <w:color w:val="auto"/>
                      <w:sz w:val="21"/>
                      <w:szCs w:val="21"/>
                      <w:highlight w:val="none"/>
                      <w:lang w:bidi="zh-CN"/>
                    </w:rPr>
                    <w:t>废水排放。</w:t>
                  </w:r>
                </w:p>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zh-CN"/>
                    </w:rPr>
                    <w:t>根据</w:t>
                  </w:r>
                  <w:r>
                    <w:rPr>
                      <w:rFonts w:hint="default" w:ascii="Times New Roman" w:hAnsi="Times New Roman" w:eastAsia="宋体" w:cs="Times New Roman"/>
                      <w:color w:val="auto"/>
                      <w:sz w:val="21"/>
                      <w:szCs w:val="21"/>
                      <w:highlight w:val="none"/>
                      <w:lang w:val="en-US" w:bidi="zh-CN"/>
                    </w:rPr>
                    <w:t>《博罗县石湾镇总体规划方案调整》（见附图1</w:t>
                  </w:r>
                  <w:r>
                    <w:rPr>
                      <w:rFonts w:hint="eastAsia" w:ascii="Times New Roman" w:eastAsia="宋体" w:cs="Times New Roman"/>
                      <w:color w:val="auto"/>
                      <w:sz w:val="21"/>
                      <w:szCs w:val="21"/>
                      <w:highlight w:val="none"/>
                      <w:lang w:val="en-US" w:bidi="zh-CN"/>
                    </w:rPr>
                    <w:t>4</w:t>
                  </w:r>
                  <w:r>
                    <w:rPr>
                      <w:rFonts w:hint="default" w:ascii="Times New Roman" w:hAnsi="Times New Roman" w:eastAsia="宋体" w:cs="Times New Roman"/>
                      <w:color w:val="auto"/>
                      <w:sz w:val="21"/>
                      <w:szCs w:val="21"/>
                      <w:highlight w:val="none"/>
                      <w:lang w:val="en-US" w:bidi="zh-CN"/>
                    </w:rPr>
                    <w:t>）</w:t>
                  </w:r>
                  <w:r>
                    <w:rPr>
                      <w:rFonts w:hint="default" w:ascii="Times New Roman" w:hAns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val="en-US" w:bidi="zh-CN"/>
                    </w:rPr>
                    <w:t>本项目为工业用地，满足建设用地要求。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000" w:type="pct"/>
                  <w:gridSpan w:val="3"/>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b/>
                      <w:bCs/>
                      <w:color w:val="auto"/>
                      <w:sz w:val="21"/>
                      <w:szCs w:val="21"/>
                      <w:lang w:val="en-US" w:eastAsia="zh-CN"/>
                    </w:rPr>
                    <w:t>与</w:t>
                  </w:r>
                  <w:r>
                    <w:rPr>
                      <w:rFonts w:hint="default" w:ascii="Times New Roman" w:hAnsi="Times New Roman" w:eastAsia="宋体" w:cs="Times New Roman"/>
                      <w:b/>
                      <w:bCs/>
                      <w:color w:val="auto"/>
                      <w:sz w:val="21"/>
                      <w:szCs w:val="21"/>
                    </w:rPr>
                    <w:t>ZH44132220001博罗沙河流域重点管控单元</w:t>
                  </w:r>
                  <w:r>
                    <w:rPr>
                      <w:rFonts w:hint="default" w:ascii="Times New Roman" w:hAnsi="Times New Roman" w:eastAsia="宋体" w:cs="Times New Roman"/>
                      <w:b/>
                      <w:bCs/>
                      <w:color w:val="auto"/>
                      <w:sz w:val="21"/>
                      <w:szCs w:val="21"/>
                      <w:lang w:val="en-US" w:eastAsia="zh-CN"/>
                    </w:rPr>
                    <w:t>的相符性分析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restar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区域布局管控</w:t>
                  </w: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1-1.【产业/鼓励引导类】饮用水水源保护区外的区域，重点发展电子信息、智能家电、先进材料等产业。</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本项目为</w:t>
                  </w:r>
                  <w:r>
                    <w:rPr>
                      <w:rFonts w:hint="default" w:ascii="Times New Roman" w:hAnsi="Times New Roman" w:eastAsia="宋体" w:cs="Times New Roman"/>
                      <w:color w:val="auto"/>
                      <w:sz w:val="21"/>
                      <w:szCs w:val="21"/>
                      <w:highlight w:val="none"/>
                      <w:lang w:eastAsia="zh-CN"/>
                    </w:rPr>
                    <w:t>C2921塑料薄膜制造及C2924泡沫塑料制造</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属于允许类</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本项目为</w:t>
                  </w:r>
                  <w:r>
                    <w:rPr>
                      <w:rFonts w:hint="default" w:ascii="Times New Roman" w:hAnsi="Times New Roman" w:eastAsia="宋体" w:cs="Times New Roman"/>
                      <w:color w:val="auto"/>
                      <w:sz w:val="21"/>
                      <w:szCs w:val="21"/>
                      <w:highlight w:val="none"/>
                      <w:lang w:eastAsia="zh-CN"/>
                    </w:rPr>
                    <w:t>C2921塑料薄膜制造及C2924泡沫塑料制造</w:t>
                  </w:r>
                  <w:r>
                    <w:rPr>
                      <w:rFonts w:hint="default" w:ascii="Times New Roman" w:hAnsi="Times New Roman" w:eastAsia="宋体" w:cs="Times New Roman"/>
                      <w:color w:val="auto"/>
                      <w:sz w:val="21"/>
                      <w:szCs w:val="21"/>
                      <w:highlight w:val="none"/>
                    </w:rPr>
                    <w:t>，不属于</w:t>
                  </w:r>
                  <w:r>
                    <w:rPr>
                      <w:rFonts w:hint="default" w:ascii="Times New Roman" w:hAnsi="Times New Roman" w:eastAsia="宋体" w:cs="Times New Roman"/>
                      <w:color w:val="auto"/>
                      <w:sz w:val="21"/>
                      <w:szCs w:val="21"/>
                      <w:highlight w:val="none"/>
                      <w:lang w:val="en-US" w:eastAsia="zh-CN"/>
                    </w:rPr>
                    <w:t>以上</w:t>
                  </w:r>
                  <w:r>
                    <w:rPr>
                      <w:rFonts w:hint="default" w:ascii="Times New Roman" w:hAnsi="Times New Roman" w:eastAsia="宋体" w:cs="Times New Roman"/>
                      <w:color w:val="auto"/>
                      <w:sz w:val="21"/>
                      <w:szCs w:val="21"/>
                      <w:highlight w:val="none"/>
                    </w:rPr>
                    <w:t>禁止类。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1-3.【产业/限制类】严格限制化工、包装印刷、工业涂装等高VOCs排放建设项目。</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val="en-US" w:eastAsia="zh-CN"/>
                    </w:rPr>
                    <w:t>本项目使用的水性压敏胶及聚氨酯胶粘剂均满足低挥发要求，因此</w:t>
                  </w:r>
                  <w:r>
                    <w:rPr>
                      <w:rFonts w:hint="default" w:ascii="Times New Roman" w:hAnsi="Times New Roman" w:eastAsia="宋体" w:cs="Times New Roman"/>
                      <w:color w:val="auto"/>
                      <w:sz w:val="21"/>
                      <w:szCs w:val="21"/>
                      <w:highlight w:val="none"/>
                    </w:rPr>
                    <w:t>本项目不属于</w:t>
                  </w:r>
                  <w:r>
                    <w:rPr>
                      <w:rFonts w:hint="default" w:ascii="Times New Roman" w:hAnsi="Times New Roman" w:eastAsia="宋体" w:cs="Times New Roman"/>
                      <w:color w:val="auto"/>
                      <w:sz w:val="21"/>
                      <w:szCs w:val="21"/>
                      <w:highlight w:val="none"/>
                      <w:lang w:bidi="zh-CN"/>
                    </w:rPr>
                    <w:t>高VOCs排放建设项目</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不在一般生态空间内</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不在</w:t>
                  </w:r>
                  <w:r>
                    <w:rPr>
                      <w:rFonts w:hint="default" w:ascii="Times New Roman" w:hAnsi="Times New Roman" w:eastAsia="宋体" w:cs="Times New Roman"/>
                      <w:color w:val="auto"/>
                      <w:sz w:val="21"/>
                      <w:szCs w:val="21"/>
                      <w:highlight w:val="none"/>
                      <w:lang w:bidi="zh-CN"/>
                    </w:rPr>
                    <w:t>饮用水水源保护区域内，不属于水禁止类项目。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本项目不属于新建废弃物堆放场和处理场项目。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1-7.【水/禁止类】畜禽禁养区内不得从事畜禽养殖业。</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本项目不属于新建储油库项目，</w:t>
                  </w:r>
                  <w:r>
                    <w:rPr>
                      <w:rFonts w:hint="default" w:ascii="Times New Roman" w:hAnsi="Times New Roman" w:eastAsia="宋体" w:cs="Times New Roman"/>
                      <w:color w:val="auto"/>
                      <w:sz w:val="21"/>
                      <w:szCs w:val="21"/>
                      <w:highlight w:val="none"/>
                      <w:lang w:val="en-US" w:bidi="zh-CN"/>
                    </w:rPr>
                    <w:t>使用的含VOC原辅料不属于高挥发性有机物原辅材料</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1-10.【大气/鼓励引导类】大气环境高排放重点管控区内，强化达标监管，引导工业项目落地集聚发展，有序推进区域内行业企业提标改造。</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产生的废气经收集至废气处理设施处理达标后高空排放，待项目建成后按要求定期开展自行监测，确保废气达标排放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1-11.【土壤/禁止类】禁止在重金属重点防控区域内新建、改建、扩建增加重金属污染物排放总量的建设项目。</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-12.【土壤/限制类】重金属污染防控非重点区新建、迁扩建重金属排放项目，应严格落实重金属总量替代与削减要求，严格控制重点行业发展规模。强化涉重金属污染行业建设项目环评审批管理，严格执行环保“三同时”制度。</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4" w:type="pct"/>
                  <w:vMerge w:val="restar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能源资源利用</w:t>
                  </w: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2-1.【能源/鼓励引导类】鼓励降低煤炭消耗、能源消耗，引导光伏等多种形式的新能源利用。</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扩建</w:t>
                  </w: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主要能源为</w:t>
                  </w:r>
                  <w:r>
                    <w:rPr>
                      <w:rFonts w:hint="default" w:ascii="Times New Roman" w:hAnsi="Times New Roman" w:eastAsia="宋体" w:cs="Times New Roman"/>
                      <w:color w:val="auto"/>
                      <w:sz w:val="21"/>
                      <w:szCs w:val="21"/>
                      <w:highlight w:val="none"/>
                    </w:rPr>
                    <w:t>电能</w:t>
                  </w:r>
                  <w:r>
                    <w:rPr>
                      <w:rFonts w:hint="default" w:ascii="Times New Roman" w:hAnsi="Times New Roman" w:eastAsia="宋体" w:cs="Times New Roman"/>
                      <w:color w:val="auto"/>
                      <w:sz w:val="21"/>
                      <w:szCs w:val="21"/>
                      <w:highlight w:val="none"/>
                      <w:lang w:val="en-US" w:eastAsia="zh-CN"/>
                    </w:rPr>
                    <w:t>和天然气</w:t>
                  </w:r>
                  <w:r>
                    <w:rPr>
                      <w:rFonts w:hint="default" w:ascii="Times New Roman" w:hAnsi="Times New Roman" w:eastAsia="宋体" w:cs="Times New Roman"/>
                      <w:color w:val="auto"/>
                      <w:sz w:val="21"/>
                      <w:szCs w:val="21"/>
                      <w:highlight w:val="none"/>
                    </w:rPr>
                    <w:t>，符合能源资料利用的要求。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2-2.【能源/综合类】根据本地区大气环境质量改善要求逐步扩大高污染燃料禁燃区范围。</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val="en-US" w:eastAsia="zh-CN"/>
                    </w:rPr>
                    <w:t>扩建</w:t>
                  </w: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主要能源为</w:t>
                  </w:r>
                  <w:r>
                    <w:rPr>
                      <w:rFonts w:hint="default" w:ascii="Times New Roman" w:hAnsi="Times New Roman" w:eastAsia="宋体" w:cs="Times New Roman"/>
                      <w:color w:val="auto"/>
                      <w:sz w:val="21"/>
                      <w:szCs w:val="21"/>
                      <w:highlight w:val="none"/>
                    </w:rPr>
                    <w:t>电能</w:t>
                  </w:r>
                  <w:r>
                    <w:rPr>
                      <w:rFonts w:hint="default" w:ascii="Times New Roman" w:hAnsi="Times New Roman" w:eastAsia="宋体" w:cs="Times New Roman"/>
                      <w:color w:val="auto"/>
                      <w:sz w:val="21"/>
                      <w:szCs w:val="21"/>
                      <w:highlight w:val="none"/>
                      <w:lang w:val="en-US" w:eastAsia="zh-CN"/>
                    </w:rPr>
                    <w:t>和天然气</w:t>
                  </w:r>
                  <w:r>
                    <w:rPr>
                      <w:rFonts w:hint="default" w:ascii="Times New Roman" w:hAnsi="Times New Roman" w:eastAsia="宋体" w:cs="Times New Roman"/>
                      <w:color w:val="auto"/>
                      <w:sz w:val="21"/>
                      <w:szCs w:val="21"/>
                      <w:highlight w:val="none"/>
                    </w:rPr>
                    <w:t>，符合能源</w:t>
                  </w:r>
                  <w:r>
                    <w:rPr>
                      <w:rFonts w:hint="default" w:ascii="Times New Roman" w:hAnsi="Times New Roman" w:eastAsia="宋体" w:cs="Times New Roman"/>
                      <w:color w:val="auto"/>
                      <w:sz w:val="21"/>
                      <w:szCs w:val="21"/>
                      <w:highlight w:val="none"/>
                      <w:lang w:val="en-US" w:eastAsia="zh-CN"/>
                    </w:rPr>
                    <w:t>资源</w:t>
                  </w:r>
                  <w:r>
                    <w:rPr>
                      <w:rFonts w:hint="default" w:ascii="Times New Roman" w:hAnsi="Times New Roman" w:eastAsia="宋体" w:cs="Times New Roman"/>
                      <w:color w:val="auto"/>
                      <w:sz w:val="21"/>
                      <w:szCs w:val="21"/>
                      <w:highlight w:val="none"/>
                    </w:rPr>
                    <w:t>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4" w:type="pct"/>
                  <w:vMerge w:val="restar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3-1.【水/限制类】单元内城镇生活污水处理厂出水水质COD、氨氮、总磷排放执行国家《地表水环境质量</w:t>
                  </w:r>
                  <w:r>
                    <w:rPr>
                      <w:rFonts w:hint="default" w:ascii="Times New Roman" w:hAnsi="Times New Roman" w:eastAsia="宋体" w:cs="Times New Roman"/>
                      <w:color w:val="auto"/>
                      <w:sz w:val="21"/>
                      <w:szCs w:val="21"/>
                      <w:highlight w:val="none"/>
                      <w:lang w:val="en-US" w:eastAsia="zh-CN"/>
                    </w:rPr>
                    <w:t>标准</w:t>
                  </w:r>
                  <w:r>
                    <w:rPr>
                      <w:rFonts w:hint="default" w:ascii="Times New Roman" w:hAnsi="Times New Roman" w:eastAsia="宋体" w:cs="Times New Roman"/>
                      <w:color w:val="auto"/>
                      <w:sz w:val="21"/>
                      <w:szCs w:val="21"/>
                      <w:highlight w:val="none"/>
                      <w:lang w:val="en-US"/>
                    </w:rPr>
                    <w:t>》（GB3838-2002）Ⅴ类标准，其余指标执行国家《城镇污水处理厂污染物排放标</w:t>
                  </w:r>
                  <w:r>
                    <w:rPr>
                      <w:rFonts w:hint="default" w:ascii="Times New Roman" w:hAnsi="Times New Roman" w:eastAsia="宋体" w:cs="Times New Roman"/>
                      <w:color w:val="auto"/>
                      <w:sz w:val="21"/>
                      <w:szCs w:val="21"/>
                      <w:highlight w:val="none"/>
                      <w:lang w:val="en-US" w:eastAsia="zh-CN"/>
                    </w:rPr>
                    <w:t>准</w:t>
                  </w:r>
                  <w:r>
                    <w:rPr>
                      <w:rFonts w:hint="default" w:ascii="Times New Roman" w:hAnsi="Times New Roman" w:eastAsia="宋体" w:cs="Times New Roman"/>
                      <w:color w:val="auto"/>
                      <w:sz w:val="21"/>
                      <w:szCs w:val="21"/>
                      <w:highlight w:val="none"/>
                      <w:lang w:val="en-US"/>
                    </w:rPr>
                    <w:t>》（GB18918-2002）一级A标准与广东省《水污染物排放限值》较严值的标准。</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本次扩建无生活污水产生及排放</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3-2.【水/限制类】严格控制流域内增加水污染物排放或对东江水、水环境安全构成影响的项目。</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无生产废水排放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无生产废水排放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3-4.【水/综合类】强化农业面源污染治理，控制农药化肥使用量。</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项目不涉及农业污染。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3-5.【大气/限制类】重点行业新建涉VOCs排放的工业企业原则上应入园进区。新建项目VOCs实施倍量替代。</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项目不属于重点行业，“项目VOCs实施倍量替代”。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3-6.【土壤/禁止类】禁止向农用地排放重金属或者其他有毒有害物质含量超标的污水、污泥，以及可能造成土壤污染的清淤底泥、尾矿、矿渣等。</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项目运营期不排放重金属或者其他有毒有害物质含量超标的污水、污泥，以及可能造成土壤污染的清淤底泥、尾矿、矿渣等。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84" w:type="pct"/>
                  <w:vMerge w:val="restar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3199"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4-1.【水/综合类】城镇污水处理厂、涉水企业应采取有效措施，防止事故废水直接排入水体。</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rPr>
                    <w:t>本项目不属于城镇污水处理厂企业，无生产废水产生及排放</w:t>
                  </w:r>
                  <w:r>
                    <w:rPr>
                      <w:rFonts w:hint="default" w:ascii="Times New Roman" w:hAnsi="Times New Roman" w:eastAsia="宋体" w:cs="Times New Roman"/>
                      <w:color w:val="auto"/>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4-2.【水/综合类】加强饮用水水源保护区内环境风险排查，开展风险评估及水环境预警监测。</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w:t>
                  </w:r>
                  <w:r>
                    <w:rPr>
                      <w:rFonts w:hint="default" w:ascii="Times New Roman" w:hAns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284" w:type="pct"/>
                  <w:vMerge w:val="continue"/>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3199"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515" w:type="pct"/>
                  <w:noWrap w:val="0"/>
                  <w:vAlign w:val="center"/>
                </w:tcPr>
                <w:p>
                  <w:pPr>
                    <w:pStyle w:val="41"/>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项目不属于生产、储存和使用有毒有害气体的企业。</w:t>
                  </w:r>
                </w:p>
              </w:tc>
            </w:tr>
          </w:tbl>
          <w:p>
            <w:pPr>
              <w:pStyle w:val="120"/>
              <w:bidi w:val="0"/>
              <w:rPr>
                <w:rFonts w:hint="default" w:ascii="Times New Roman" w:hAnsi="Times New Roman" w:cs="Times New Roman"/>
                <w:color w:val="auto"/>
              </w:rPr>
            </w:pPr>
            <w:r>
              <w:rPr>
                <w:rFonts w:hint="default" w:ascii="Times New Roman" w:hAnsi="Times New Roman" w:cs="Times New Roman"/>
                <w:color w:val="auto"/>
              </w:rPr>
              <w:t>项目与产业政策符合性分析</w:t>
            </w:r>
          </w:p>
          <w:p>
            <w:pPr>
              <w:autoSpaceDE w:val="0"/>
              <w:autoSpaceDN w:val="0"/>
              <w:adjustRightInd w:val="0"/>
              <w:snapToGrid w:val="0"/>
              <w:ind w:firstLine="480" w:firstLineChars="200"/>
              <w:jc w:val="left"/>
              <w:rPr>
                <w:rFonts w:hint="default" w:ascii="Times New Roman" w:hAnsi="Times New Roman" w:cs="Times New Roman"/>
                <w:color w:val="auto"/>
                <w:kern w:val="0"/>
                <w:szCs w:val="21"/>
                <w:highlight w:val="none"/>
              </w:rPr>
            </w:pPr>
            <w:r>
              <w:rPr>
                <w:rFonts w:hint="default" w:ascii="Times New Roman" w:hAnsi="Times New Roman" w:cs="Times New Roman"/>
                <w:color w:val="auto"/>
                <w:sz w:val="24"/>
                <w:szCs w:val="24"/>
                <w:highlight w:val="none"/>
              </w:rPr>
              <w:t>本项目属于</w:t>
            </w:r>
            <w:r>
              <w:rPr>
                <w:rFonts w:hint="default" w:ascii="Times New Roman" w:hAnsi="Times New Roman" w:cs="Times New Roman"/>
                <w:color w:val="auto"/>
                <w:sz w:val="24"/>
                <w:szCs w:val="24"/>
                <w:highlight w:val="none"/>
                <w:lang w:eastAsia="zh-CN"/>
              </w:rPr>
              <w:t>C2921塑料薄膜制造及C2924泡沫塑料制造</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不属于</w:t>
            </w:r>
            <w:r>
              <w:rPr>
                <w:rFonts w:hint="default" w:ascii="Times New Roman" w:hAnsi="Times New Roman" w:cs="Times New Roman"/>
                <w:color w:val="auto"/>
                <w:sz w:val="24"/>
                <w:szCs w:val="24"/>
                <w:highlight w:val="none"/>
              </w:rPr>
              <w:t>《产业结构调整指导目录(2019年本)》</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发展改革委令第</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9号</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及《国家发展改革委关于修改&lt;产业结构调整指导目录（2019年本）&gt;有关条款的决定》中</w:t>
            </w:r>
            <w:r>
              <w:rPr>
                <w:rFonts w:hint="default" w:ascii="Times New Roman" w:hAnsi="Times New Roman" w:cs="Times New Roman"/>
                <w:color w:val="auto"/>
                <w:sz w:val="24"/>
                <w:szCs w:val="24"/>
                <w:highlight w:val="none"/>
                <w:lang w:val="en-US" w:eastAsia="zh-CN"/>
              </w:rPr>
              <w:t>的鼓励类、</w:t>
            </w:r>
            <w:r>
              <w:rPr>
                <w:rFonts w:hint="default" w:ascii="Times New Roman" w:hAnsi="Times New Roman" w:cs="Times New Roman"/>
                <w:color w:val="auto"/>
                <w:sz w:val="24"/>
                <w:szCs w:val="24"/>
                <w:highlight w:val="none"/>
              </w:rPr>
              <w:t>限制类、淘汰类，属于允许类项目。因此，该项目符合国家</w:t>
            </w:r>
            <w:r>
              <w:rPr>
                <w:rFonts w:hint="default" w:ascii="Times New Roman" w:hAnsi="Times New Roman" w:cs="Times New Roman"/>
                <w:color w:val="auto"/>
                <w:kern w:val="0"/>
                <w:sz w:val="24"/>
                <w:szCs w:val="24"/>
                <w:highlight w:val="none"/>
                <w:lang w:bidi="ar"/>
              </w:rPr>
              <w:t>的产业政策规定</w:t>
            </w:r>
            <w:r>
              <w:rPr>
                <w:rFonts w:hint="default" w:ascii="Times New Roman" w:hAnsi="Times New Roman" w:cs="Times New Roman"/>
                <w:color w:val="auto"/>
                <w:kern w:val="0"/>
                <w:szCs w:val="21"/>
                <w:highlight w:val="none"/>
              </w:rPr>
              <w:t>。</w:t>
            </w:r>
          </w:p>
          <w:p>
            <w:pPr>
              <w:pStyle w:val="120"/>
              <w:bidi w:val="0"/>
              <w:rPr>
                <w:rFonts w:hint="default" w:ascii="Times New Roman" w:hAnsi="Times New Roman" w:cs="Times New Roman"/>
                <w:color w:val="auto"/>
              </w:rPr>
            </w:pPr>
            <w:r>
              <w:rPr>
                <w:rFonts w:hint="default" w:ascii="Times New Roman" w:hAnsi="Times New Roman" w:cs="Times New Roman"/>
                <w:color w:val="auto"/>
              </w:rPr>
              <w:t>与《市场准入负面清单（202</w:t>
            </w:r>
            <w:r>
              <w:rPr>
                <w:rFonts w:hint="default" w:ascii="Times New Roman" w:hAnsi="Times New Roman" w:cs="Times New Roman"/>
                <w:color w:val="auto"/>
                <w:lang w:val="en-US" w:eastAsia="zh-CN"/>
              </w:rPr>
              <w:t>2</w:t>
            </w:r>
            <w:r>
              <w:rPr>
                <w:rFonts w:hint="default" w:ascii="Times New Roman" w:hAnsi="Times New Roman" w:cs="Times New Roman"/>
                <w:color w:val="auto"/>
              </w:rPr>
              <w:t>年版）》的相符性分析</w:t>
            </w:r>
          </w:p>
          <w:p>
            <w:pPr>
              <w:autoSpaceDE w:val="0"/>
              <w:autoSpaceDN w:val="0"/>
              <w:adjustRightInd w:val="0"/>
              <w:snapToGrid w:val="0"/>
              <w:ind w:firstLine="480" w:firstLineChars="200"/>
              <w:jc w:val="lef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本项目属于</w:t>
            </w:r>
            <w:r>
              <w:rPr>
                <w:rFonts w:hint="default" w:ascii="Times New Roman" w:hAnsi="Times New Roman" w:cs="Times New Roman"/>
                <w:color w:val="auto"/>
                <w:highlight w:val="none"/>
                <w:lang w:eastAsia="zh-CN"/>
              </w:rPr>
              <w:t>C2921塑料薄膜制造及C2924泡沫塑料制造</w:t>
            </w:r>
            <w:r>
              <w:rPr>
                <w:rFonts w:hint="default" w:ascii="Times New Roman" w:hAnsi="Times New Roman" w:eastAsia="宋体" w:cs="Times New Roman"/>
                <w:color w:val="auto"/>
                <w:highlight w:val="none"/>
              </w:rPr>
              <w:t>，不属于《市场准入负面清单（202</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年版）》</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发改体改规〔2022〕397号</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highlight w:val="none"/>
              </w:rPr>
              <w:t>中的禁止准入类</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许可类</w:t>
            </w:r>
            <w:r>
              <w:rPr>
                <w:rFonts w:hint="default" w:ascii="Times New Roman" w:hAnsi="Times New Roman" w:eastAsia="宋体" w:cs="Times New Roman"/>
                <w:color w:val="auto"/>
                <w:highlight w:val="none"/>
              </w:rPr>
              <w:t>项目。因此，该项目符合《市场准入负面清单（202</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年版）》</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发改体改规〔2022〕397号</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highlight w:val="none"/>
              </w:rPr>
              <w:t>的相关规定</w:t>
            </w:r>
            <w:r>
              <w:rPr>
                <w:rFonts w:hint="default" w:ascii="Times New Roman" w:hAnsi="Times New Roman" w:cs="Times New Roman"/>
                <w:color w:val="auto"/>
                <w:highlight w:val="none"/>
                <w:lang w:eastAsia="zh-CN"/>
              </w:rPr>
              <w:t>。</w:t>
            </w:r>
          </w:p>
          <w:p>
            <w:pPr>
              <w:pStyle w:val="120"/>
              <w:bidi w:val="0"/>
              <w:rPr>
                <w:rFonts w:hint="default" w:ascii="Times New Roman" w:hAnsi="Times New Roman" w:cs="Times New Roman"/>
                <w:color w:val="auto"/>
              </w:rPr>
            </w:pPr>
            <w:r>
              <w:rPr>
                <w:rFonts w:hint="default" w:ascii="Times New Roman" w:hAnsi="Times New Roman" w:cs="Times New Roman"/>
                <w:color w:val="auto"/>
              </w:rPr>
              <w:t>项目与用地规划相符性分析：</w:t>
            </w:r>
          </w:p>
          <w:p>
            <w:pPr>
              <w:autoSpaceDE w:val="0"/>
              <w:autoSpaceDN w:val="0"/>
              <w:adjustRightInd w:val="0"/>
              <w:snapToGrid w:val="0"/>
              <w:ind w:firstLine="480" w:firstLineChars="200"/>
              <w:jc w:val="left"/>
              <w:rPr>
                <w:rFonts w:hint="default" w:ascii="Times New Roman" w:hAnsi="Times New Roman" w:cs="Times New Roman"/>
                <w:color w:val="auto"/>
              </w:rPr>
            </w:pPr>
            <w:r>
              <w:rPr>
                <w:rFonts w:hint="default" w:ascii="Times New Roman" w:hAnsi="Times New Roman" w:cs="Times New Roman"/>
                <w:color w:val="auto"/>
              </w:rPr>
              <w:t>项目位于博罗县石湾镇四十米大道东侧铁场朱黎段格水口（土名）。根据《</w:t>
            </w:r>
            <w:r>
              <w:rPr>
                <w:rFonts w:hint="default" w:ascii="Times New Roman" w:hAnsi="Times New Roman" w:cs="Times New Roman"/>
                <w:color w:val="auto"/>
                <w:lang w:val="en-US" w:eastAsia="zh-CN"/>
              </w:rPr>
              <w:t>博罗县石湾镇总体规划方案调整</w:t>
            </w:r>
            <w:r>
              <w:rPr>
                <w:rFonts w:hint="default" w:ascii="Times New Roman" w:hAnsi="Times New Roman" w:cs="Times New Roman"/>
                <w:color w:val="auto"/>
              </w:rPr>
              <w:t>》</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见附图1</w:t>
            </w:r>
            <w:r>
              <w:rPr>
                <w:rFonts w:hint="eastAsia" w:cs="Times New Roman"/>
                <w:color w:val="auto"/>
                <w:lang w:val="en-US" w:eastAsia="zh-CN"/>
              </w:rPr>
              <w:t>4</w:t>
            </w:r>
            <w:r>
              <w:rPr>
                <w:rFonts w:hint="default" w:ascii="Times New Roman" w:hAnsi="Times New Roman" w:cs="Times New Roman"/>
                <w:color w:val="auto"/>
                <w:lang w:eastAsia="zh-CN"/>
              </w:rPr>
              <w:t>）</w:t>
            </w:r>
            <w:r>
              <w:rPr>
                <w:rFonts w:hint="default" w:ascii="Times New Roman" w:hAnsi="Times New Roman" w:cs="Times New Roman"/>
                <w:color w:val="auto"/>
              </w:rPr>
              <w:t>，项目所在区域属于工业用地，项目用地符合规划用地性质。</w:t>
            </w:r>
          </w:p>
          <w:p>
            <w:pPr>
              <w:pStyle w:val="120"/>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与环境功能区划符合性分析</w:t>
            </w:r>
          </w:p>
          <w:p>
            <w:pPr>
              <w:adjustRightInd w:val="0"/>
              <w:snapToGrid w:val="0"/>
              <w:spacing w:line="360" w:lineRule="auto"/>
              <w:ind w:firstLine="480" w:firstLineChars="200"/>
              <w:rPr>
                <w:rFonts w:hint="default" w:ascii="Times New Roman" w:hAnsi="Times New Roman" w:cs="Times New Roman"/>
                <w:b w:val="0"/>
                <w:bCs/>
                <w:color w:val="auto"/>
                <w:sz w:val="24"/>
                <w:szCs w:val="24"/>
              </w:rPr>
            </w:pPr>
            <w:r>
              <w:rPr>
                <w:rFonts w:hint="default" w:ascii="Times New Roman" w:hAnsi="Times New Roman" w:cs="Times New Roman"/>
                <w:b w:val="0"/>
                <w:bCs/>
                <w:color w:val="auto"/>
                <w:sz w:val="24"/>
                <w:szCs w:val="24"/>
              </w:rPr>
              <w:t>根据《广东省人民政府关于调整惠州市饮用水源保护区划调整方案》（粤府函[2014]188号）、《广东省人民政府关于调整惠州市部分饮用水水源保护区的批复》（粤府函〔2019〕270号）及《惠州市乡镇级及以下集中式饮用水水源保护区划定（调整）方案》（惠府函〔2020〕317号），项目所在地不属于饮用水源保护区。</w:t>
            </w:r>
          </w:p>
          <w:p>
            <w:pPr>
              <w:adjustRightInd w:val="0"/>
              <w:snapToGrid w:val="0"/>
              <w:spacing w:line="360" w:lineRule="auto"/>
              <w:ind w:firstLine="480" w:firstLineChars="200"/>
              <w:rPr>
                <w:rFonts w:hint="default" w:ascii="Times New Roman" w:hAnsi="Times New Roman" w:cs="Times New Roman"/>
                <w:b w:val="0"/>
                <w:bCs/>
                <w:color w:val="auto"/>
                <w:sz w:val="24"/>
                <w:szCs w:val="24"/>
                <w:highlight w:val="none"/>
              </w:rPr>
            </w:pPr>
            <w:r>
              <w:rPr>
                <w:rFonts w:hint="default" w:ascii="Times New Roman" w:hAnsi="Times New Roman" w:cs="Times New Roman"/>
                <w:color w:val="auto"/>
                <w:sz w:val="24"/>
                <w:szCs w:val="24"/>
                <w:highlight w:val="none"/>
              </w:rPr>
              <w:t>根据《博罗县2022年水污染防治攻坚战实施方案》中2022年水质攻坚目标表，</w:t>
            </w:r>
            <w:r>
              <w:rPr>
                <w:rFonts w:hint="default" w:ascii="Times New Roman" w:hAnsi="Times New Roman" w:cs="Times New Roman"/>
                <w:color w:val="auto"/>
                <w:sz w:val="24"/>
                <w:szCs w:val="24"/>
                <w:highlight w:val="none"/>
                <w:lang w:val="en-US" w:eastAsia="zh-CN"/>
              </w:rPr>
              <w:t>铁场排渠</w:t>
            </w:r>
            <w:r>
              <w:rPr>
                <w:rFonts w:hint="default" w:ascii="Times New Roman" w:hAnsi="Times New Roman" w:cs="Times New Roman"/>
                <w:color w:val="auto"/>
                <w:sz w:val="24"/>
                <w:szCs w:val="24"/>
                <w:highlight w:val="none"/>
              </w:rPr>
              <w:t>2022年水质目标为</w:t>
            </w:r>
            <w:r>
              <w:rPr>
                <w:rFonts w:hint="default" w:ascii="Times New Roman" w:hAnsi="Times New Roman" w:cs="Times New Roman"/>
                <w:color w:val="auto"/>
                <w:sz w:val="24"/>
                <w:szCs w:val="24"/>
                <w:highlight w:val="none"/>
                <w:lang w:val="en-US" w:eastAsia="zh-CN"/>
              </w:rPr>
              <w:t>Ⅳ类，</w:t>
            </w:r>
            <w:r>
              <w:rPr>
                <w:rFonts w:hint="default" w:ascii="Times New Roman" w:hAnsi="Times New Roman" w:cs="Times New Roman"/>
                <w:color w:val="auto"/>
                <w:sz w:val="24"/>
                <w:szCs w:val="24"/>
                <w:highlight w:val="none"/>
              </w:rPr>
              <w:t>水环境质量执行《地表水环境质量标准》（GB3838-2002）</w:t>
            </w:r>
            <w:r>
              <w:rPr>
                <w:rFonts w:hint="default" w:ascii="Times New Roman" w:hAnsi="Times New Roman" w:cs="Times New Roman"/>
                <w:color w:val="auto"/>
                <w:sz w:val="24"/>
                <w:szCs w:val="24"/>
                <w:highlight w:val="none"/>
                <w:lang w:val="en-US" w:eastAsia="zh-CN"/>
              </w:rPr>
              <w:t>Ⅳ</w:t>
            </w:r>
            <w:r>
              <w:rPr>
                <w:rFonts w:hint="default" w:ascii="Times New Roman" w:hAnsi="Times New Roman" w:cs="Times New Roman"/>
                <w:color w:val="auto"/>
                <w:sz w:val="24"/>
                <w:szCs w:val="24"/>
                <w:highlight w:val="none"/>
              </w:rPr>
              <w:t>类标准</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石湾镇中心排渠</w:t>
            </w:r>
            <w:r>
              <w:rPr>
                <w:rFonts w:hint="default" w:ascii="Times New Roman" w:hAnsi="Times New Roman" w:cs="Times New Roman"/>
                <w:color w:val="auto"/>
                <w:sz w:val="24"/>
                <w:szCs w:val="24"/>
                <w:highlight w:val="none"/>
              </w:rPr>
              <w:t>2022年水质目标为Ⅴ类，水环境质量执行《地表水环境质量标准》（GB3838-2002）Ⅴ类标准</w:t>
            </w:r>
            <w:r>
              <w:rPr>
                <w:rFonts w:hint="default" w:ascii="Times New Roman" w:hAnsi="Times New Roman" w:cs="Times New Roman"/>
                <w:b w:val="0"/>
                <w:bCs/>
                <w:color w:val="auto"/>
                <w:sz w:val="24"/>
                <w:szCs w:val="24"/>
                <w:highlight w:val="none"/>
              </w:rPr>
              <w:t>。</w:t>
            </w:r>
          </w:p>
          <w:p>
            <w:pPr>
              <w:adjustRightInd w:val="0"/>
              <w:snapToGrid w:val="0"/>
              <w:spacing w:line="360" w:lineRule="auto"/>
              <w:ind w:firstLine="480" w:firstLineChars="200"/>
              <w:rPr>
                <w:rFonts w:hint="default" w:ascii="Times New Roman" w:hAnsi="Times New Roman" w:cs="Times New Roman"/>
                <w:b w:val="0"/>
                <w:bCs/>
                <w:color w:val="auto"/>
                <w:sz w:val="24"/>
                <w:szCs w:val="24"/>
                <w:highlight w:val="none"/>
                <w:lang w:eastAsia="zh-CN"/>
              </w:rPr>
            </w:pPr>
            <w:r>
              <w:rPr>
                <w:rFonts w:hint="default" w:ascii="Times New Roman" w:hAnsi="Times New Roman" w:cs="Times New Roman"/>
                <w:b w:val="0"/>
                <w:bCs/>
                <w:color w:val="auto"/>
                <w:sz w:val="24"/>
                <w:szCs w:val="24"/>
                <w:highlight w:val="none"/>
              </w:rPr>
              <w:t>根据《惠州市环境空气质量功能区划分方案》（2021年修订）（惠市环[2021]1号），本项目所在地属环境空气质量功能区的二类区，环境空气质量应执行《环境空气质量标准》（GB3095-2012）及其修改单中规定的二级标准</w:t>
            </w:r>
            <w:r>
              <w:rPr>
                <w:rFonts w:hint="default" w:ascii="Times New Roman" w:hAnsi="Times New Roman" w:cs="Times New Roman"/>
                <w:b w:val="0"/>
                <w:bCs/>
                <w:color w:val="auto"/>
                <w:sz w:val="24"/>
                <w:szCs w:val="24"/>
                <w:highlight w:val="none"/>
                <w:lang w:eastAsia="zh-CN"/>
              </w:rPr>
              <w:t>。</w:t>
            </w:r>
          </w:p>
          <w:p>
            <w:pPr>
              <w:autoSpaceDE w:val="0"/>
              <w:autoSpaceDN w:val="0"/>
              <w:adjustRightInd w:val="0"/>
              <w:snapToGrid w:val="0"/>
              <w:ind w:firstLine="480" w:firstLineChars="200"/>
              <w:jc w:val="left"/>
              <w:rPr>
                <w:rFonts w:hint="default" w:ascii="Times New Roman" w:hAnsi="Times New Roman" w:cs="Times New Roman"/>
                <w:b w:val="0"/>
                <w:bCs/>
                <w:color w:val="auto"/>
                <w:sz w:val="24"/>
                <w:szCs w:val="24"/>
                <w:highlight w:val="none"/>
              </w:rPr>
            </w:pPr>
            <w:r>
              <w:rPr>
                <w:rFonts w:hint="default" w:ascii="Times New Roman" w:hAnsi="Times New Roman" w:cs="Times New Roman"/>
                <w:b w:val="0"/>
                <w:bCs/>
                <w:color w:val="auto"/>
                <w:sz w:val="24"/>
                <w:szCs w:val="24"/>
                <w:highlight w:val="none"/>
              </w:rPr>
              <w:t>根据《声环境功能区划分技术规范》（GB/T15190-2014）及《声环境质量标准》（GB3096-2008），本项目所在地声环境功能区规划为2类区，声环境良好。</w:t>
            </w:r>
          </w:p>
          <w:p>
            <w:pPr>
              <w:autoSpaceDE w:val="0"/>
              <w:autoSpaceDN w:val="0"/>
              <w:adjustRightInd w:val="0"/>
              <w:snapToGrid w:val="0"/>
              <w:ind w:firstLine="480" w:firstLineChars="200"/>
              <w:jc w:val="left"/>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val="0"/>
                <w:bCs/>
                <w:color w:val="auto"/>
                <w:sz w:val="24"/>
                <w:szCs w:val="24"/>
                <w:highlight w:val="none"/>
              </w:rPr>
              <w:t>综上，项目与所在区域环境功能区划相符</w:t>
            </w:r>
            <w:r>
              <w:rPr>
                <w:rFonts w:hint="default" w:ascii="Times New Roman" w:hAnsi="Times New Roman" w:cs="Times New Roman"/>
                <w:b w:val="0"/>
                <w:bCs/>
                <w:color w:val="auto"/>
                <w:sz w:val="24"/>
                <w:szCs w:val="24"/>
                <w:highlight w:val="none"/>
                <w:lang w:eastAsia="zh-CN"/>
              </w:rPr>
              <w:t>。</w:t>
            </w:r>
          </w:p>
          <w:p>
            <w:pPr>
              <w:pStyle w:val="120"/>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项目与《关于严格限制东江流域水污染项目建设进一步做好东江水质保护工作的通知》（粤府函〔2011〕339号）及其补充通知（粤府函〔2013〕231号）的相符性分析：</w:t>
            </w:r>
          </w:p>
          <w:p>
            <w:pPr>
              <w:autoSpaceDE w:val="0"/>
              <w:autoSpaceDN w:val="0"/>
              <w:adjustRightInd w:val="0"/>
              <w:snapToGrid w:val="0"/>
              <w:ind w:firstLine="480" w:firstLineChars="200"/>
              <w:jc w:val="left"/>
              <w:rPr>
                <w:rFonts w:hint="default" w:ascii="Times New Roman" w:hAnsi="Times New Roman"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r>
              <w:rPr>
                <w:rFonts w:hint="default" w:ascii="Times New Roman" w:hAnsi="Times New Roman" w:cs="Times New Roman"/>
                <w:color w:val="auto"/>
                <w:kern w:val="0"/>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color w:val="auto"/>
                <w:highlight w:val="none"/>
                <w:lang w:eastAsia="zh-CN"/>
              </w:rPr>
            </w:pPr>
            <w:r>
              <w:rPr>
                <w:rFonts w:hint="default" w:ascii="Times New Roman" w:hAnsi="Times New Roman" w:eastAsia="宋体" w:cs="Times New Roman"/>
                <w:b/>
                <w:bCs/>
                <w:color w:val="auto"/>
                <w:kern w:val="0"/>
                <w:szCs w:val="21"/>
                <w:highlight w:val="none"/>
                <w:lang w:val="en-US" w:eastAsia="zh-CN"/>
              </w:rPr>
              <w:t>相符性分析：</w:t>
            </w:r>
            <w:r>
              <w:rPr>
                <w:rFonts w:hint="default" w:ascii="Times New Roman" w:hAnsi="Times New Roman" w:eastAsia="宋体"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cs="Times New Roman"/>
                <w:color w:val="auto"/>
                <w:sz w:val="24"/>
                <w:szCs w:val="24"/>
                <w:highlight w:val="none"/>
                <w:lang w:val="en-US" w:eastAsia="zh-CN"/>
              </w:rPr>
              <w:t>位</w:t>
            </w:r>
            <w:r>
              <w:rPr>
                <w:rFonts w:hint="default" w:ascii="Times New Roman" w:hAnsi="Times New Roman" w:eastAsia="宋体" w:cs="Times New Roman"/>
                <w:color w:val="auto"/>
                <w:sz w:val="24"/>
                <w:szCs w:val="24"/>
                <w:highlight w:val="none"/>
              </w:rPr>
              <w:t>于</w:t>
            </w:r>
            <w:r>
              <w:rPr>
                <w:rFonts w:hint="default" w:ascii="Times New Roman" w:hAnsi="Times New Roman" w:cs="Times New Roman"/>
                <w:color w:val="auto"/>
                <w:sz w:val="24"/>
                <w:szCs w:val="24"/>
                <w:highlight w:val="none"/>
                <w:lang w:eastAsia="zh-CN"/>
              </w:rPr>
              <w:t>博罗县石湾镇四十米大道东侧铁场朱黎段格水口（土名）</w:t>
            </w:r>
            <w:r>
              <w:rPr>
                <w:rFonts w:hint="default" w:ascii="Times New Roman" w:hAnsi="Times New Roman" w:eastAsia="宋体" w:cs="Times New Roman"/>
                <w:color w:val="auto"/>
                <w:sz w:val="24"/>
                <w:szCs w:val="24"/>
                <w:highlight w:val="none"/>
              </w:rPr>
              <w:t>，属于东江流域范围。项目</w:t>
            </w:r>
            <w:r>
              <w:rPr>
                <w:rFonts w:hint="default" w:ascii="Times New Roman" w:hAnsi="Times New Roman" w:eastAsia="宋体" w:cs="Times New Roman"/>
                <w:color w:val="auto"/>
                <w:sz w:val="24"/>
                <w:szCs w:val="24"/>
                <w:highlight w:val="none"/>
                <w:lang w:val="en-US" w:eastAsia="zh-CN"/>
              </w:rPr>
              <w:t>属于</w:t>
            </w:r>
            <w:r>
              <w:rPr>
                <w:rFonts w:hint="default" w:ascii="Times New Roman" w:hAnsi="Times New Roman" w:cs="Times New Roman"/>
                <w:color w:val="auto"/>
                <w:sz w:val="24"/>
                <w:szCs w:val="24"/>
                <w:highlight w:val="none"/>
                <w:lang w:val="en-US" w:eastAsia="zh-CN"/>
              </w:rPr>
              <w:t>C2921塑料薄膜制造及C2924泡沫塑料制造</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生产工艺不涉及酸洗、磷化、电镀、阳极氧化等工序，</w:t>
            </w:r>
            <w:r>
              <w:rPr>
                <w:rFonts w:hint="default" w:ascii="Times New Roman" w:hAnsi="Times New Roman" w:eastAsia="宋体" w:cs="Times New Roman"/>
                <w:color w:val="auto"/>
                <w:sz w:val="24"/>
                <w:szCs w:val="24"/>
                <w:highlight w:val="none"/>
              </w:rPr>
              <w:t>无生产废水</w:t>
            </w:r>
            <w:r>
              <w:rPr>
                <w:rFonts w:hint="default" w:ascii="Times New Roman" w:hAnsi="Times New Roman" w:cs="Times New Roman"/>
                <w:color w:val="auto"/>
                <w:sz w:val="24"/>
                <w:szCs w:val="24"/>
                <w:highlight w:val="none"/>
                <w:lang w:val="en-US" w:eastAsia="zh-CN"/>
              </w:rPr>
              <w:t>产生及</w:t>
            </w:r>
            <w:r>
              <w:rPr>
                <w:rFonts w:hint="default" w:ascii="Times New Roman" w:hAnsi="Times New Roman" w:eastAsia="宋体" w:cs="Times New Roman"/>
                <w:color w:val="auto"/>
                <w:sz w:val="24"/>
                <w:szCs w:val="24"/>
                <w:highlight w:val="none"/>
              </w:rPr>
              <w:t>排放。</w:t>
            </w:r>
            <w:r>
              <w:rPr>
                <w:rFonts w:hint="default" w:ascii="Times New Roman" w:hAnsi="Times New Roman" w:cs="Times New Roman"/>
                <w:color w:val="auto"/>
                <w:sz w:val="24"/>
                <w:szCs w:val="24"/>
                <w:highlight w:val="none"/>
                <w:lang w:val="en-US" w:eastAsia="zh-CN"/>
              </w:rPr>
              <w:t>本次扩建不新增生活污水。</w:t>
            </w:r>
            <w:r>
              <w:rPr>
                <w:rFonts w:hint="default" w:ascii="Times New Roman" w:hAnsi="Times New Roman" w:eastAsia="宋体" w:cs="Times New Roman"/>
                <w:color w:val="auto"/>
                <w:sz w:val="24"/>
                <w:szCs w:val="24"/>
                <w:highlight w:val="none"/>
              </w:rPr>
              <w:t>本项目不属于以上禁批或限批行业，因此，项目选址符合流域限批政策要求。因此，本项目污水的排放符合《关于严格限制东江流域水污染项目建设进</w:t>
            </w:r>
            <w:r>
              <w:rPr>
                <w:rFonts w:hint="default" w:ascii="Times New Roman" w:hAnsi="Times New Roman" w:cs="Times New Roman"/>
                <w:color w:val="auto"/>
                <w:sz w:val="24"/>
                <w:szCs w:val="24"/>
                <w:highlight w:val="none"/>
              </w:rPr>
              <w:t>一步做好东江水质保护工作的通知》（粤府[2011]339号）及补充文件的相关规定</w:t>
            </w:r>
            <w:r>
              <w:rPr>
                <w:rFonts w:hint="default" w:ascii="Times New Roman" w:hAnsi="Times New Roman" w:cs="Times New Roman"/>
                <w:color w:val="auto"/>
                <w:highlight w:val="none"/>
                <w:lang w:eastAsia="zh-CN"/>
              </w:rPr>
              <w:t>。</w:t>
            </w:r>
          </w:p>
          <w:p>
            <w:pPr>
              <w:pStyle w:val="120"/>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项目与《广东省水污染防治条例》相符性分析</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 xml:space="preserve">第二十九条 企业应当采用原材料利用效率高、污染物排放量少的清洁工艺，并加强管理，按照规定实施清洁生产审核，从源头上减少水污染物的产生。 </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 xml:space="preserve">第三十一条 新区建设和旧城区改造，应当同步规划建设污水、雨水收集管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网，实行雨污分流。在有条件的地区，应当逐步推进初期雨水调蓄处理和利用， 减少水污染。</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 xml:space="preserve">第三十二条 向城镇污水集中处理设施排放水污染物，应当符合国家或者地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pPr>
              <w:widowControl/>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sz w:val="24"/>
                <w:szCs w:val="24"/>
              </w:rPr>
              <w:t>第五十条</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sz w:val="24"/>
                <w:szCs w:val="24"/>
                <w:highlight w:val="none"/>
              </w:rPr>
              <w:t>相符性分析</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rPr>
              <w:t>项目属于</w:t>
            </w:r>
            <w:r>
              <w:rPr>
                <w:rFonts w:hint="default" w:ascii="Times New Roman" w:hAnsi="Times New Roman" w:cs="Times New Roman"/>
                <w:color w:val="auto"/>
                <w:sz w:val="24"/>
                <w:szCs w:val="24"/>
                <w:highlight w:val="none"/>
                <w:lang w:eastAsia="zh-CN"/>
              </w:rPr>
              <w:t>C2921塑料薄膜制造及C2924泡沫塑料制造，</w:t>
            </w:r>
            <w:r>
              <w:rPr>
                <w:rFonts w:hint="default" w:ascii="Times New Roman" w:hAnsi="Times New Roman" w:eastAsia="宋体" w:cs="Times New Roman"/>
                <w:color w:val="auto"/>
                <w:sz w:val="24"/>
                <w:szCs w:val="24"/>
                <w:highlight w:val="none"/>
                <w:lang w:val="en-US" w:eastAsia="zh-CN"/>
              </w:rPr>
              <w:t>生产工艺不涉及酸洗、磷化、电镀、阳极氧化等工序。</w:t>
            </w:r>
            <w:r>
              <w:rPr>
                <w:rFonts w:hint="default" w:ascii="Times New Roman" w:hAnsi="Times New Roman" w:cs="Times New Roman"/>
                <w:color w:val="auto"/>
                <w:sz w:val="24"/>
                <w:szCs w:val="24"/>
                <w:highlight w:val="none"/>
                <w:lang w:val="en-US" w:eastAsia="zh-CN"/>
              </w:rPr>
              <w:t>本次扩建不新增生活污水。</w:t>
            </w:r>
            <w:r>
              <w:rPr>
                <w:rFonts w:hint="default" w:ascii="Times New Roman" w:hAnsi="Times New Roman" w:eastAsia="宋体" w:cs="Times New Roman"/>
                <w:color w:val="auto"/>
                <w:sz w:val="24"/>
                <w:szCs w:val="24"/>
                <w:highlight w:val="none"/>
              </w:rPr>
              <w:t>生产过程中不使用汞、砷、镉等原辅料，不属于铬盐</w:t>
            </w:r>
            <w:r>
              <w:rPr>
                <w:rFonts w:hint="default" w:ascii="Times New Roman" w:hAnsi="Times New Roman" w:cs="Times New Roman"/>
                <w:color w:val="auto"/>
                <w:sz w:val="24"/>
                <w:szCs w:val="24"/>
                <w:highlight w:val="none"/>
              </w:rPr>
              <w:t>、钛白粉、炼铍、纸浆制造等严重污染水环境的项目。因此，建设项目符合《广东省水污染防治条例》的要求</w:t>
            </w:r>
            <w:r>
              <w:rPr>
                <w:rFonts w:hint="default" w:ascii="Times New Roman" w:hAnsi="Times New Roman" w:cs="Times New Roman"/>
                <w:color w:val="auto"/>
                <w:sz w:val="24"/>
                <w:szCs w:val="24"/>
                <w:highlight w:val="none"/>
                <w:lang w:eastAsia="zh-CN"/>
              </w:rPr>
              <w:t>。</w:t>
            </w:r>
          </w:p>
          <w:p>
            <w:pPr>
              <w:pStyle w:val="120"/>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与《关于&lt;印发《重点行业挥发性有机物综合治理方案&gt;的通知》（环大气[2019]53号）的相符性分析</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一）大力推进源头替代。通过使用水性、粉末、高固体分、无溶剂、辐射固化等低VOCs含量的涂胶，水性、辐射固化、植物基等低VOCs含量的油墨，水基、热熔、无溶剂、辐射固化、改性、生物降解等低VOCs含量的胶粘剂，以及低VOCs含量、低反应活性的清洗剂等，替代溶剂型涂胶、油墨、胶粘剂、清洗剂等，从源头减少VOCs产生。</w:t>
            </w:r>
          </w:p>
          <w:p>
            <w:pPr>
              <w:adjustRightInd w:val="0"/>
              <w:snapToGrid w:val="0"/>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 活性炭吸附、</w:t>
            </w:r>
            <w:r>
              <w:rPr>
                <w:rFonts w:hint="default" w:ascii="Times New Roman" w:hAnsi="Times New Roman" w:eastAsia="宋体" w:cs="Times New Roman"/>
                <w:color w:val="auto"/>
                <w:sz w:val="24"/>
                <w:szCs w:val="24"/>
              </w:rPr>
              <w:t>减风增浓等浓缩技术，提高VOCs浓度后净化处理</w:t>
            </w:r>
            <w:r>
              <w:rPr>
                <w:rFonts w:hint="default" w:ascii="Times New Roman" w:hAnsi="Times New Roman" w:eastAsia="宋体" w:cs="Times New Roman"/>
                <w:color w:val="auto"/>
                <w:sz w:val="24"/>
                <w:szCs w:val="24"/>
                <w:lang w:eastAsia="zh-CN"/>
              </w:rPr>
              <w:t>。</w:t>
            </w:r>
          </w:p>
          <w:p>
            <w:pPr>
              <w:adjustRightInd w:val="0"/>
              <w:snapToGrid w:val="0"/>
              <w:spacing w:line="360" w:lineRule="auto"/>
              <w:ind w:firstLine="482" w:firstLineChars="200"/>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b/>
                <w:bCs/>
                <w:color w:val="auto"/>
                <w:sz w:val="24"/>
                <w:szCs w:val="24"/>
                <w:highlight w:val="none"/>
              </w:rPr>
              <w:t>相符性分析：</w:t>
            </w:r>
            <w:r>
              <w:rPr>
                <w:rFonts w:hint="default" w:ascii="Times New Roman" w:hAnsi="Times New Roman" w:eastAsia="宋体" w:cs="Times New Roman"/>
                <w:color w:val="auto"/>
                <w:sz w:val="24"/>
                <w:szCs w:val="24"/>
                <w:highlight w:val="none"/>
              </w:rPr>
              <w:t>本项目属于</w:t>
            </w:r>
            <w:r>
              <w:rPr>
                <w:rFonts w:hint="default" w:ascii="Times New Roman" w:hAnsi="Times New Roman" w:cs="Times New Roman"/>
                <w:color w:val="auto"/>
                <w:sz w:val="24"/>
                <w:szCs w:val="24"/>
                <w:highlight w:val="none"/>
                <w:lang w:eastAsia="zh-CN"/>
              </w:rPr>
              <w:t>C2921塑料薄膜制造及C2924泡沫塑料制造</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生产过程</w:t>
            </w:r>
            <w:r>
              <w:rPr>
                <w:rFonts w:hint="default" w:ascii="Times New Roman" w:hAnsi="Times New Roman" w:cs="Times New Roman"/>
                <w:color w:val="auto"/>
                <w:sz w:val="24"/>
                <w:szCs w:val="24"/>
                <w:highlight w:val="none"/>
                <w:lang w:val="en-US" w:eastAsia="zh-CN"/>
              </w:rPr>
              <w:t>使用的水性压敏胶漆VOC含量为2g/L≤50g/L，满足《胶粘剂挥发性有机化合物限量》（GB 33372-2020）中表2水基型胶粘剂VOC含量限量—应用领域为包装—丙烯酸酯类含量的要求；聚氨酯胶粘剂VOC含量为31g/L≤50g/L，满足《胶粘剂挥发性有机化合物限量》（GB 33372-2020）中表2本体型胶粘剂VOC含量限量—应用领域为包装—聚氨酯类含量的要求；</w:t>
            </w:r>
            <w:r>
              <w:rPr>
                <w:rFonts w:hint="default" w:ascii="Times New Roman" w:hAnsi="Times New Roman" w:eastAsia="宋体" w:cs="Times New Roman"/>
                <w:color w:val="auto"/>
                <w:sz w:val="24"/>
                <w:szCs w:val="24"/>
                <w:highlight w:val="none"/>
              </w:rPr>
              <w:t>不</w:t>
            </w:r>
            <w:r>
              <w:rPr>
                <w:rFonts w:hint="default" w:ascii="Times New Roman" w:hAnsi="Times New Roman" w:cs="Times New Roman"/>
                <w:color w:val="auto"/>
                <w:sz w:val="24"/>
                <w:szCs w:val="24"/>
                <w:highlight w:val="none"/>
                <w:lang w:val="en-US" w:eastAsia="zh-CN"/>
              </w:rPr>
              <w:t>属于</w:t>
            </w:r>
            <w:r>
              <w:rPr>
                <w:rFonts w:hint="default" w:ascii="Times New Roman" w:hAnsi="Times New Roman" w:eastAsia="宋体" w:cs="Times New Roman"/>
                <w:color w:val="auto"/>
                <w:sz w:val="24"/>
                <w:szCs w:val="24"/>
                <w:highlight w:val="none"/>
              </w:rPr>
              <w:t>高VOCs含量的</w:t>
            </w:r>
            <w:r>
              <w:rPr>
                <w:rFonts w:hint="default" w:ascii="Times New Roman" w:hAnsi="Times New Roman" w:cs="Times New Roman"/>
                <w:color w:val="auto"/>
                <w:sz w:val="24"/>
                <w:szCs w:val="24"/>
                <w:highlight w:val="none"/>
                <w:lang w:val="en-US" w:eastAsia="zh-CN"/>
              </w:rPr>
              <w:t>胶粘剂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扩建项目保护膜生产过程产生的有机废气经1套“水喷淋+干式过滤+二级活性炭吸附装置”处理后经1根</w:t>
            </w:r>
            <w:r>
              <w:rPr>
                <w:rFonts w:hint="default" w:ascii="Times New Roman" w:hAnsi="Times New Roman" w:cs="Times New Roman"/>
                <w:color w:val="auto"/>
                <w:sz w:val="24"/>
                <w:szCs w:val="24"/>
                <w:highlight w:val="none"/>
                <w:lang w:val="en-US" w:eastAsia="zh-CN"/>
              </w:rPr>
              <w:t>15m</w:t>
            </w:r>
            <w:r>
              <w:rPr>
                <w:rFonts w:hint="default" w:ascii="Times New Roman" w:hAnsi="Times New Roman" w:eastAsia="宋体" w:cs="Times New Roman"/>
                <w:color w:val="auto"/>
                <w:sz w:val="24"/>
                <w:szCs w:val="24"/>
                <w:highlight w:val="none"/>
                <w:lang w:val="en-US" w:eastAsia="zh-CN"/>
              </w:rPr>
              <w:t>高的排气筒DA00</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排放；聚氨酯高密度棉生产过程产生的有机废气经1套“水喷淋+干式过滤+二级活性炭吸附装置”处理后经1根</w:t>
            </w:r>
            <w:r>
              <w:rPr>
                <w:rFonts w:hint="default" w:ascii="Times New Roman" w:hAnsi="Times New Roman" w:cs="Times New Roman"/>
                <w:color w:val="auto"/>
                <w:sz w:val="24"/>
                <w:szCs w:val="24"/>
                <w:highlight w:val="none"/>
                <w:lang w:val="en-US" w:eastAsia="zh-CN"/>
              </w:rPr>
              <w:t>15m</w:t>
            </w:r>
            <w:r>
              <w:rPr>
                <w:rFonts w:hint="default" w:ascii="Times New Roman" w:hAnsi="Times New Roman" w:eastAsia="宋体" w:cs="Times New Roman"/>
                <w:color w:val="auto"/>
                <w:sz w:val="24"/>
                <w:szCs w:val="24"/>
                <w:highlight w:val="none"/>
                <w:lang w:val="en-US" w:eastAsia="zh-CN"/>
              </w:rPr>
              <w:t>高的排气筒DA00</w:t>
            </w:r>
            <w:r>
              <w:rPr>
                <w:rFonts w:hint="default"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排放</w:t>
            </w:r>
            <w:r>
              <w:rPr>
                <w:rFonts w:hint="default" w:ascii="Times New Roman" w:hAnsi="Times New Roman" w:cs="Times New Roman"/>
                <w:color w:val="auto"/>
                <w:sz w:val="24"/>
                <w:szCs w:val="24"/>
                <w:highlight w:val="none"/>
                <w:lang w:val="en-US" w:eastAsia="zh-CN"/>
              </w:rPr>
              <w:t>，燃烧废气经低氮燃烧装置处理后经</w:t>
            </w:r>
            <w:r>
              <w:rPr>
                <w:rFonts w:hint="default" w:ascii="Times New Roman" w:hAnsi="Times New Roman" w:eastAsia="宋体" w:cs="Times New Roman"/>
                <w:color w:val="auto"/>
                <w:sz w:val="21"/>
                <w:szCs w:val="21"/>
                <w:highlight w:val="none"/>
                <w:lang w:val="en-US" w:eastAsia="zh-CN"/>
              </w:rPr>
              <w:t>1根</w:t>
            </w:r>
            <w:r>
              <w:rPr>
                <w:rFonts w:hint="default" w:ascii="Times New Roman" w:hAnsi="Times New Roman" w:cs="Times New Roman"/>
                <w:color w:val="auto"/>
                <w:sz w:val="21"/>
                <w:szCs w:val="21"/>
                <w:highlight w:val="none"/>
                <w:lang w:val="en-US" w:eastAsia="zh-CN"/>
              </w:rPr>
              <w:t>22m</w:t>
            </w:r>
            <w:r>
              <w:rPr>
                <w:rFonts w:hint="default" w:ascii="Times New Roman" w:hAnsi="Times New Roman" w:eastAsia="宋体" w:cs="Times New Roman"/>
                <w:color w:val="auto"/>
                <w:sz w:val="21"/>
                <w:szCs w:val="21"/>
                <w:highlight w:val="none"/>
                <w:lang w:val="en-US" w:eastAsia="zh-CN"/>
              </w:rPr>
              <w:t>高的</w:t>
            </w:r>
            <w:r>
              <w:rPr>
                <w:rFonts w:hint="default" w:ascii="Times New Roman" w:hAnsi="Times New Roman" w:cs="Times New Roman"/>
                <w:color w:val="auto"/>
                <w:sz w:val="24"/>
                <w:szCs w:val="24"/>
                <w:highlight w:val="none"/>
                <w:lang w:val="en-US" w:eastAsia="zh-CN"/>
              </w:rPr>
              <w:t>排气筒DA005排放，</w:t>
            </w:r>
            <w:r>
              <w:rPr>
                <w:rFonts w:hint="default" w:ascii="Times New Roman" w:hAnsi="Times New Roman" w:eastAsia="宋体" w:cs="Times New Roman"/>
                <w:color w:val="auto"/>
                <w:sz w:val="24"/>
                <w:szCs w:val="24"/>
                <w:highlight w:val="none"/>
                <w:lang w:val="en-US" w:eastAsia="zh-CN"/>
              </w:rPr>
              <w:t>对周边环境影响较小。因此，</w:t>
            </w:r>
            <w:r>
              <w:rPr>
                <w:rFonts w:hint="default" w:ascii="Times New Roman" w:hAnsi="Times New Roman" w:eastAsia="宋体" w:cs="Times New Roman"/>
                <w:color w:val="auto"/>
                <w:sz w:val="24"/>
                <w:szCs w:val="24"/>
                <w:highlight w:val="none"/>
              </w:rPr>
              <w:t>本项目符合</w:t>
            </w:r>
            <w:r>
              <w:rPr>
                <w:rFonts w:hint="default" w:ascii="Times New Roman" w:hAnsi="Times New Roman" w:cs="Times New Roman"/>
                <w:color w:val="auto"/>
                <w:sz w:val="24"/>
                <w:szCs w:val="24"/>
                <w:highlight w:val="none"/>
                <w:lang w:eastAsia="zh-CN"/>
              </w:rPr>
              <w:t>《关于印发&lt;重点行业挥发性有机物综合治理方案&gt;的通知》</w:t>
            </w:r>
            <w:r>
              <w:rPr>
                <w:rFonts w:hint="default" w:ascii="Times New Roman" w:hAnsi="Times New Roman" w:eastAsia="宋体" w:cs="Times New Roman"/>
                <w:color w:val="auto"/>
                <w:sz w:val="24"/>
                <w:szCs w:val="24"/>
                <w:highlight w:val="none"/>
              </w:rPr>
              <w:t>（环大气[2019]53号）的相关要求</w:t>
            </w:r>
            <w:r>
              <w:rPr>
                <w:rFonts w:hint="default" w:ascii="Times New Roman" w:hAnsi="Times New Roman" w:eastAsia="宋体" w:cs="Times New Roman"/>
                <w:color w:val="auto"/>
                <w:sz w:val="24"/>
                <w:szCs w:val="24"/>
                <w:highlight w:val="none"/>
                <w:lang w:eastAsia="zh-CN"/>
              </w:rPr>
              <w:t>。</w:t>
            </w:r>
          </w:p>
          <w:p>
            <w:pPr>
              <w:pStyle w:val="120"/>
              <w:bidi w:val="0"/>
              <w:rPr>
                <w:rFonts w:hint="default" w:ascii="Times New Roman" w:hAnsi="Times New Roman" w:cs="Times New Roman"/>
                <w:color w:val="auto"/>
              </w:rPr>
            </w:pPr>
            <w:r>
              <w:rPr>
                <w:rFonts w:hint="default" w:ascii="Times New Roman" w:hAnsi="Times New Roman" w:cs="Times New Roman"/>
                <w:color w:val="auto"/>
              </w:rPr>
              <w:t>与《关于印发〈广东省涉VOCs重点行业治理指引〉的通知》（粤环办〔2021〕43号）的相符性分析</w:t>
            </w:r>
          </w:p>
          <w:p>
            <w:pPr>
              <w:pStyle w:val="103"/>
              <w:numPr>
                <w:ilvl w:val="0"/>
                <w:numId w:val="0"/>
              </w:numPr>
              <w:adjustRightInd w:val="0"/>
              <w:snapToGrid w:val="0"/>
              <w:spacing w:line="360" w:lineRule="auto"/>
              <w:ind w:firstLine="480" w:firstLineChars="200"/>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适用范围：适用于轮胎制造（C2911）、橡胶板、管、带制造（C2912）、橡胶零件制造（C2913）、再生橡胶制造（C2914）、日用及医用橡胶制品制造（C2915）、运动场地用塑胶制造（C2916）、其他橡胶制品制造（C2919）、塑料薄膜制造（C2921）、塑料板、管、型材制造（C2922）、塑料丝、绳及编织品制造（C2923）、泡沫塑料制造（C2924）、塑料人造革、合成革制造（C2925）、塑料包装箱及容器制造（C2926）、日用塑料制品制造（C2927）、人造草坪制造（C2928）、塑料零件及其他塑料制品制造（C2929）工业企业或生产设施。</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项目与粤环办〔2021〕43号相符性一览表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35"/>
              <w:gridCol w:w="3100"/>
              <w:gridCol w:w="3463"/>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环节</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控制要求</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相符性分析</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kern w:val="0"/>
                      <w:sz w:val="21"/>
                      <w:szCs w:val="21"/>
                      <w:lang w:val="en-US" w:eastAsia="zh-CN"/>
                    </w:rPr>
                    <w:t>是否相符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9" w:hRule="atLeast"/>
              </w:trPr>
              <w:tc>
                <w:tcPr>
                  <w:tcW w:w="4354"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源头削减</w:t>
                  </w: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5" w:hRule="atLeast"/>
              </w:trPr>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b w:val="0"/>
                      <w:bCs w:val="0"/>
                      <w:color w:val="auto"/>
                      <w:sz w:val="21"/>
                      <w:szCs w:val="21"/>
                      <w:lang w:val="en-US" w:eastAsia="zh-CN"/>
                    </w:rPr>
                    <w:t>VOCs物料使用</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水基型胶粘剂</w:t>
                  </w:r>
                  <w:r>
                    <w:rPr>
                      <w:rFonts w:hint="default" w:ascii="Times New Roman" w:hAnsi="Times New Roman" w:cs="Times New Roman"/>
                      <w:b w:val="0"/>
                      <w:bCs w:val="0"/>
                      <w:color w:val="auto"/>
                      <w:sz w:val="21"/>
                      <w:szCs w:val="21"/>
                      <w:highlight w:val="none"/>
                      <w:lang w:val="en-US" w:eastAsia="zh-CN"/>
                    </w:rPr>
                    <w:t>：丙烯酸酯类胶粘剂VOCs含量≤50g/L。</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水性压敏胶VOC含量为2g/L≤50g/L。</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06" w:hRule="atLeast"/>
              </w:trPr>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lang w:val="en-US" w:eastAsia="zh-CN"/>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本体型胶粘剂</w:t>
                  </w:r>
                  <w:r>
                    <w:rPr>
                      <w:rFonts w:hint="default" w:ascii="Times New Roman" w:hAnsi="Times New Roman" w:cs="Times New Roman"/>
                      <w:b w:val="0"/>
                      <w:bCs w:val="0"/>
                      <w:color w:val="auto"/>
                      <w:sz w:val="21"/>
                      <w:szCs w:val="21"/>
                      <w:highlight w:val="none"/>
                      <w:lang w:val="en-US" w:eastAsia="zh-CN"/>
                    </w:rPr>
                    <w:t>：聚氨酯类胶粘剂VOCs含量≤50g/L。</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聚氨酯胶粘剂VOC含量为31g/L≤50g/L。</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kern w:val="0"/>
                      <w:sz w:val="21"/>
                      <w:szCs w:val="21"/>
                      <w:lang w:val="en-US" w:eastAsia="zh-CN"/>
                    </w:rPr>
                    <w:t>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cs="Times New Roman"/>
                      <w:b w:val="0"/>
                      <w:bCs w:val="0"/>
                      <w:color w:val="auto"/>
                      <w:sz w:val="21"/>
                      <w:szCs w:val="21"/>
                      <w:lang w:val="en-US" w:eastAsia="zh-CN"/>
                    </w:rPr>
                    <w:t>VOCs物料储存</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VOCs物料应储存于密闭的容器、包装袋、储罐、储库、料仓中。</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本项目使用的</w:t>
                  </w:r>
                  <w:r>
                    <w:rPr>
                      <w:rFonts w:hint="default" w:ascii="Times New Roman" w:hAnsi="Times New Roman" w:cs="Times New Roman"/>
                      <w:color w:val="auto"/>
                      <w:kern w:val="0"/>
                      <w:sz w:val="21"/>
                      <w:szCs w:val="21"/>
                      <w:highlight w:val="none"/>
                      <w:lang w:val="en-US" w:eastAsia="zh-CN"/>
                    </w:rPr>
                    <w:t>所有液态原料均</w:t>
                  </w:r>
                  <w:r>
                    <w:rPr>
                      <w:rFonts w:hint="default" w:ascii="Times New Roman" w:hAnsi="Times New Roman" w:eastAsia="宋体" w:cs="Times New Roman"/>
                      <w:color w:val="auto"/>
                      <w:kern w:val="0"/>
                      <w:sz w:val="21"/>
                      <w:szCs w:val="21"/>
                      <w:highlight w:val="none"/>
                    </w:rPr>
                    <w:t>采用密闭桶储存</w:t>
                  </w:r>
                  <w:r>
                    <w:rPr>
                      <w:rFonts w:hint="default" w:ascii="Times New Roman" w:hAnsi="Times New Roman" w:cs="Times New Roman"/>
                      <w:color w:val="auto"/>
                      <w:kern w:val="0"/>
                      <w:sz w:val="21"/>
                      <w:szCs w:val="21"/>
                      <w:highlight w:val="none"/>
                      <w:lang w:val="en-US" w:eastAsia="zh-CN"/>
                    </w:rPr>
                    <w:t>并</w:t>
                  </w:r>
                  <w:r>
                    <w:rPr>
                      <w:rFonts w:hint="default" w:ascii="Times New Roman" w:hAnsi="Times New Roman" w:eastAsia="宋体" w:cs="Times New Roman"/>
                      <w:color w:val="auto"/>
                      <w:kern w:val="0"/>
                      <w:sz w:val="21"/>
                      <w:szCs w:val="21"/>
                      <w:highlight w:val="none"/>
                    </w:rPr>
                    <w:t>放于</w:t>
                  </w:r>
                  <w:r>
                    <w:rPr>
                      <w:rFonts w:hint="default" w:ascii="Times New Roman" w:hAnsi="Times New Roman" w:cs="Times New Roman"/>
                      <w:color w:val="auto"/>
                      <w:kern w:val="0"/>
                      <w:sz w:val="21"/>
                      <w:szCs w:val="21"/>
                      <w:highlight w:val="none"/>
                      <w:lang w:val="en-US" w:eastAsia="zh-CN"/>
                    </w:rPr>
                    <w:t>化学品仓库</w:t>
                  </w:r>
                  <w:r>
                    <w:rPr>
                      <w:rFonts w:hint="default" w:ascii="Times New Roman" w:hAnsi="Times New Roman" w:eastAsia="宋体" w:cs="Times New Roman"/>
                      <w:color w:val="auto"/>
                      <w:kern w:val="0"/>
                      <w:sz w:val="21"/>
                      <w:szCs w:val="21"/>
                      <w:highlight w:val="none"/>
                    </w:rPr>
                    <w:t>内，非取用状态时保持密闭。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5" w:hRule="atLeast"/>
              </w:trPr>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盛装VOCs物料的容器是否存放于室内，或存放于设置有雨棚、遮阳和防渗设施的专用场地。盛装VOCs物料的容器在非取用状态时应加盖、封口，保持密闭。</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8"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VOCs物料转移和输送</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液体VOCs物料应采用管道密闭输送。采用非管道输送方式转移液态VOCs物料时，应采用密闭容器或罐车。</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w:t>
                  </w:r>
                  <w:r>
                    <w:rPr>
                      <w:rFonts w:hint="default" w:ascii="Times New Roman" w:hAnsi="Times New Roman" w:cs="Times New Roman"/>
                      <w:color w:val="auto"/>
                      <w:kern w:val="0"/>
                      <w:sz w:val="21"/>
                      <w:szCs w:val="21"/>
                      <w:highlight w:val="none"/>
                      <w:lang w:val="en-US" w:eastAsia="zh-CN"/>
                    </w:rPr>
                    <w:t>液态原料</w:t>
                  </w:r>
                  <w:r>
                    <w:rPr>
                      <w:rFonts w:hint="default" w:ascii="Times New Roman" w:hAnsi="Times New Roman" w:eastAsia="宋体" w:cs="Times New Roman"/>
                      <w:color w:val="auto"/>
                      <w:kern w:val="0"/>
                      <w:sz w:val="21"/>
                      <w:szCs w:val="21"/>
                      <w:highlight w:val="none"/>
                    </w:rPr>
                    <w:t>在转移时采用密闭容器</w:t>
                  </w:r>
                  <w:r>
                    <w:rPr>
                      <w:rFonts w:hint="default" w:ascii="Times New Roman" w:hAnsi="Times New Roman" w:cs="Times New Roman"/>
                      <w:color w:val="auto"/>
                      <w:kern w:val="0"/>
                      <w:sz w:val="21"/>
                      <w:szCs w:val="21"/>
                      <w:highlight w:val="none"/>
                      <w:lang w:val="en-US" w:eastAsia="zh-CN"/>
                    </w:rPr>
                    <w:t>和管道输送</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工艺过程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液态VOCs物料采用密闭管道输送方式或采用高位槽（罐）、桶泵等给料方式密闭投加无法密闭投加的，在密闭空间内操作，或进行局部气体收集，废气排至VOCs废气收集处理系统。</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本项目使用低VOCs原辅材料，</w:t>
                  </w:r>
                  <w:r>
                    <w:rPr>
                      <w:rFonts w:hint="default" w:ascii="Times New Roman" w:hAnsi="Times New Roman" w:cs="Times New Roman"/>
                      <w:color w:val="auto"/>
                      <w:kern w:val="0"/>
                      <w:sz w:val="21"/>
                      <w:szCs w:val="21"/>
                      <w:highlight w:val="none"/>
                      <w:lang w:val="en-US" w:eastAsia="zh-CN"/>
                    </w:rPr>
                    <w:t>水性压敏胶预搅拌产生的有机废气采用集气罩</w:t>
                  </w:r>
                  <w:r>
                    <w:rPr>
                      <w:rFonts w:hint="default" w:ascii="Times New Roman" w:hAnsi="Times New Roman" w:eastAsia="宋体" w:cs="Times New Roman"/>
                      <w:color w:val="auto"/>
                      <w:kern w:val="0"/>
                      <w:sz w:val="21"/>
                      <w:szCs w:val="21"/>
                      <w:highlight w:val="none"/>
                    </w:rPr>
                    <w:t>收集</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涂布、烤干、混合发泡、流平、烘烤、UV固化产生的有机废气采用集气管收集。</w:t>
                  </w:r>
                  <w:r>
                    <w:rPr>
                      <w:rFonts w:hint="default" w:ascii="Times New Roman" w:hAnsi="Times New Roman" w:eastAsia="宋体" w:cs="Times New Roman"/>
                      <w:color w:val="auto"/>
                      <w:kern w:val="0"/>
                      <w:sz w:val="21"/>
                      <w:szCs w:val="21"/>
                      <w:highlight w:val="none"/>
                    </w:rPr>
                    <w:t>通过废气处理措施处理达标后排放。</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非正常排放</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本项目各原料随取随用，不在设备内储存。</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采用外部集气罩的，距集气罩开口面最远处的VOCs无组织排放位置，控制风速不低于0.3m/s。</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本项目</w:t>
                  </w:r>
                  <w:r>
                    <w:rPr>
                      <w:rFonts w:hint="default" w:ascii="Times New Roman" w:hAnsi="Times New Roman" w:cs="Times New Roman"/>
                      <w:color w:val="auto"/>
                      <w:kern w:val="0"/>
                      <w:sz w:val="21"/>
                      <w:szCs w:val="21"/>
                      <w:highlight w:val="none"/>
                      <w:lang w:val="en-US" w:eastAsia="zh-CN"/>
                    </w:rPr>
                    <w:t>预搅拌产生的有机废气采用集气罩</w:t>
                  </w:r>
                  <w:r>
                    <w:rPr>
                      <w:rFonts w:hint="default" w:ascii="Times New Roman" w:hAnsi="Times New Roman" w:eastAsia="宋体" w:cs="Times New Roman"/>
                      <w:color w:val="auto"/>
                      <w:kern w:val="0"/>
                      <w:sz w:val="21"/>
                      <w:szCs w:val="21"/>
                      <w:highlight w:val="none"/>
                    </w:rPr>
                    <w:t>收集</w:t>
                  </w:r>
                  <w:r>
                    <w:rPr>
                      <w:rFonts w:hint="default" w:ascii="Times New Roman" w:hAnsi="Times New Roman" w:cs="Times New Roman"/>
                      <w:color w:val="auto"/>
                      <w:kern w:val="0"/>
                      <w:sz w:val="21"/>
                      <w:szCs w:val="21"/>
                      <w:highlight w:val="none"/>
                      <w:lang w:eastAsia="zh-CN"/>
                    </w:rPr>
                    <w:t>；</w:t>
                  </w:r>
                  <w:r>
                    <w:rPr>
                      <w:rFonts w:hint="default" w:ascii="Times New Roman" w:hAnsi="Times New Roman" w:cs="Times New Roman"/>
                      <w:color w:val="auto"/>
                      <w:kern w:val="0"/>
                      <w:sz w:val="21"/>
                      <w:szCs w:val="21"/>
                      <w:highlight w:val="none"/>
                      <w:lang w:val="en-US" w:eastAsia="zh-CN"/>
                    </w:rPr>
                    <w:t>涂布、烤干、混合发泡、流平、烘烤、UV固化产生的有机废气采用集气管收集废气。</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废气收集系统的输送管道应密闭。废气收集系统应在负压下运行，若处于正压状态，应对管道组件的密封点进行泄漏检测，泄漏检测值不应超500μmol/mol，亦不应有感官可察觉泄漏。</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本项目废气收集系统的输送管道密闭。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排放水平</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 kg/h时，建设VOCs处理设施且处理效率≥80%；b）厂区内无组织排放监控点NMHC的小时平均浓度值不超过6 mg/m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，任意一次浓度值不超过</w:t>
                  </w:r>
                  <w:r>
                    <w:rPr>
                      <w:rFonts w:hint="default" w:ascii="Times New Roman" w:hAnsi="Times New Roman" w:cs="Times New Roman"/>
                      <w:color w:val="auto"/>
                      <w:kern w:val="0"/>
                      <w:sz w:val="21"/>
                      <w:szCs w:val="21"/>
                      <w:lang w:eastAsia="zh-CN"/>
                    </w:rPr>
                    <w:t>15m</w:t>
                  </w:r>
                  <w:r>
                    <w:rPr>
                      <w:rFonts w:hint="default" w:ascii="Times New Roman" w:hAnsi="Times New Roman" w:eastAsia="宋体" w:cs="Times New Roman"/>
                      <w:color w:val="auto"/>
                      <w:kern w:val="0"/>
                      <w:sz w:val="21"/>
                      <w:szCs w:val="21"/>
                    </w:rPr>
                    <w:t>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w:t>
                  </w:r>
                </w:p>
              </w:tc>
              <w:tc>
                <w:tcPr>
                  <w:tcW w:w="2094" w:type="pct"/>
                  <w:noWrap w:val="0"/>
                  <w:vAlign w:val="center"/>
                </w:tcPr>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a)</w:t>
                  </w:r>
                  <w:r>
                    <w:rPr>
                      <w:rFonts w:hint="default" w:ascii="Times New Roman" w:hAnsi="Times New Roman" w:cs="Times New Roman"/>
                      <w:color w:val="auto"/>
                      <w:kern w:val="0"/>
                      <w:sz w:val="21"/>
                      <w:szCs w:val="21"/>
                      <w:highlight w:val="none"/>
                      <w:lang w:val="en-US" w:eastAsia="zh-CN" w:bidi="ar-SA"/>
                    </w:rPr>
                    <w:t>项目发泡预搅拌、混合发泡、流平、烘烤产生的废气</w:t>
                  </w:r>
                  <w:r>
                    <w:rPr>
                      <w:rFonts w:hint="default" w:ascii="Times New Roman" w:hAnsi="Times New Roman" w:eastAsia="宋体" w:cs="Times New Roman"/>
                      <w:color w:val="auto"/>
                      <w:kern w:val="0"/>
                      <w:sz w:val="21"/>
                      <w:szCs w:val="21"/>
                      <w:highlight w:val="none"/>
                      <w:lang w:val="en-US" w:eastAsia="zh-CN" w:bidi="ar-SA"/>
                    </w:rPr>
                    <w:t>执行《合成树脂工业污染物排放标准》（GB31572-2015）中表5污染物特别排放限值；</w:t>
                  </w:r>
                </w:p>
                <w:p>
                  <w:pPr>
                    <w:pStyle w:val="27"/>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预搅拌、涂布、烤干、UV固化工序产生的废气执行广东省地方标准《固定污染源挥发性有机物综合排放标准》（DB44/2367—2022）表1挥发性有机物排放限值排放限值；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highlight w:val="none"/>
                    </w:rPr>
                    <w:t>b)厂区内无组织排放监控点NMHC的小时平均浓度值不超过6mg/m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，任意一次浓度值不超</w:t>
                  </w:r>
                  <w:r>
                    <w:rPr>
                      <w:rFonts w:hint="default" w:ascii="Times New Roman" w:hAnsi="Times New Roman" w:cs="Times New Roman"/>
                      <w:color w:val="auto"/>
                      <w:kern w:val="0"/>
                      <w:sz w:val="21"/>
                      <w:szCs w:val="21"/>
                      <w:highlight w:val="none"/>
                      <w:lang w:eastAsia="zh-CN"/>
                    </w:rPr>
                    <w:t>15m</w:t>
                  </w:r>
                  <w:r>
                    <w:rPr>
                      <w:rFonts w:hint="default" w:ascii="Times New Roman" w:hAnsi="Times New Roman" w:eastAsia="宋体" w:cs="Times New Roman"/>
                      <w:color w:val="auto"/>
                      <w:kern w:val="0"/>
                      <w:sz w:val="21"/>
                      <w:szCs w:val="21"/>
                      <w:highlight w:val="none"/>
                    </w:rPr>
                    <w:t>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治理设施设计与运 行管理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本项目有机废气采用</w:t>
                  </w:r>
                  <w:r>
                    <w:rPr>
                      <w:rFonts w:hint="default" w:ascii="Times New Roman" w:hAnsi="Times New Roman" w:cs="Times New Roman"/>
                      <w:color w:val="auto"/>
                      <w:kern w:val="0"/>
                      <w:sz w:val="21"/>
                      <w:szCs w:val="21"/>
                      <w:highlight w:val="none"/>
                      <w:lang w:val="en-US" w:eastAsia="zh-CN"/>
                    </w:rPr>
                    <w:t>水喷淋+干式过滤器+二级活性炭吸附装置</w:t>
                  </w:r>
                  <w:r>
                    <w:rPr>
                      <w:rFonts w:hint="default" w:ascii="Times New Roman" w:hAnsi="Times New Roman" w:eastAsia="宋体" w:cs="Times New Roman"/>
                      <w:color w:val="auto"/>
                      <w:kern w:val="0"/>
                      <w:sz w:val="21"/>
                      <w:szCs w:val="21"/>
                      <w:highlight w:val="none"/>
                    </w:rPr>
                    <w:t>进行处理。</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建设单位严格按照文件的要求进行废气收集系统与生产工艺设备同步运行。</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管理台账</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建立含VOCs原辅材料台账，记录含VOCs原辅材料的名称及其VOCs含量、采购量、使用量、库存量、含VOCs原辅材料回收方式及回收量。</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本项目建成后建设单位</w:t>
                  </w:r>
                  <w:r>
                    <w:rPr>
                      <w:rFonts w:hint="default" w:ascii="Times New Roman" w:hAnsi="Times New Roman" w:cs="Times New Roman"/>
                      <w:color w:val="auto"/>
                      <w:kern w:val="0"/>
                      <w:sz w:val="21"/>
                      <w:szCs w:val="21"/>
                      <w:lang w:val="en-US" w:eastAsia="zh-CN"/>
                    </w:rPr>
                    <w:t>应</w:t>
                  </w:r>
                  <w:r>
                    <w:rPr>
                      <w:rFonts w:hint="default" w:ascii="Times New Roman" w:hAnsi="Times New Roman" w:eastAsia="宋体" w:cs="Times New Roman"/>
                      <w:color w:val="auto"/>
                      <w:kern w:val="0"/>
                      <w:sz w:val="21"/>
                      <w:szCs w:val="21"/>
                    </w:rPr>
                    <w:t>建立含VOCs原辅材料台账、废气收集处理设施台账、危废台账，并按相应要求管理台账。</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建立废气收集处理设施台账，记录废气处理设施进出口的监测数据（废气量、浓度、温度、含氧量等）、废气收集与处理设施关键参数、废气处理设施相关耗材（吸收剂、吸附剂、催化剂等）购买和处理记录。</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建立危废台账，整理危废处置合同、转移联单及危废处理方资质佐证材料。</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台账保存期限不少于3年。</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自行监测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塑料制品行业简化管理排污单位废气排放口及无组织排放每年一次。</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cs="Times New Roman"/>
                      <w:color w:val="auto"/>
                      <w:sz w:val="21"/>
                      <w:szCs w:val="21"/>
                      <w:lang w:val="en-US" w:eastAsia="zh-CN"/>
                    </w:rPr>
                    <w:t>根据《固定污染源排污许可分类管理名录（2019年版）》，项目属于“登记管理”，待项目建成投产可参照简化管理开展自行监测。</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危废管理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工艺过程产生的含VOCs废料（渣、液）应按照相关要求进行储存、转移和输送。盛装过VOCs物料的废包装容器应加盖密闭。</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项目生产过程盛装过VOCs物料的废包装容器加盖密闭。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是</w:t>
                  </w:r>
                </w:p>
              </w:tc>
            </w:tr>
          </w:tbl>
          <w:p>
            <w:pPr>
              <w:pStyle w:val="120"/>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与《广东省大气污染防治条例》相符性分析</w:t>
            </w:r>
          </w:p>
          <w:p>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根据《广东省大气污染防治条例》：</w:t>
            </w:r>
          </w:p>
          <w:p>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 ........................... </w:t>
            </w:r>
          </w:p>
          <w:p>
            <w:pPr>
              <w:pStyle w:val="41"/>
              <w:keepNext w:val="0"/>
              <w:keepLines w:val="0"/>
              <w:pageBreakBefore w:val="0"/>
              <w:widowControl w:val="0"/>
              <w:numPr>
                <w:ilvl w:val="0"/>
                <w:numId w:val="17"/>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新建、改建、扩建新增排放重点大气污染物的建设项目，建设单位应当在报批环境影响评价文件前按照规定向生态环境主管部门申请取得重点大气污染物排放总量控制指标。 </w:t>
            </w:r>
          </w:p>
          <w:p>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生态环境主管部门按照等量或者减量替代的原则核定重点大气污染物排放总量控制指标。 </w:t>
            </w:r>
          </w:p>
          <w:p>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新增重点大气污染物排放总量控制指标可以通过实施工程治理减排、结构调整减排项目或者排污权交易等方式取得。 </w:t>
            </w:r>
          </w:p>
          <w:p>
            <w:pPr>
              <w:pStyle w:val="41"/>
              <w:keepNext w:val="0"/>
              <w:keepLines w:val="0"/>
              <w:pageBreakBefore w:val="0"/>
              <w:widowControl w:val="0"/>
              <w:numPr>
                <w:ilvl w:val="0"/>
                <w:numId w:val="18"/>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珠江三角洲区域禁止新建、扩建燃煤燃油火电机组或者企业 燃煤燃油自备电站。 </w:t>
            </w:r>
          </w:p>
          <w:p>
            <w:pPr>
              <w:pStyle w:val="41"/>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珠江三角洲区域禁止新建、扩建国家规划外的钢铁、原油加工、乙烯生产、造纸、水泥、平板玻璃、除特种陶瓷以外的陶瓷、有色金属冶炼等大气重污染项目。 </w:t>
            </w:r>
          </w:p>
          <w:p>
            <w:pPr>
              <w:spacing w:line="360" w:lineRule="auto"/>
              <w:ind w:firstLine="482" w:firstLineChars="200"/>
              <w:jc w:val="left"/>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相符性分析：</w:t>
            </w:r>
            <w:r>
              <w:rPr>
                <w:rFonts w:hint="default" w:ascii="Times New Roman" w:hAnsi="Times New Roman" w:eastAsia="宋体" w:cs="Times New Roman"/>
                <w:color w:val="auto"/>
                <w:kern w:val="2"/>
                <w:sz w:val="24"/>
                <w:szCs w:val="24"/>
                <w:highlight w:val="none"/>
                <w:lang w:val="en-US" w:eastAsia="zh-CN" w:bidi="ar-SA"/>
              </w:rPr>
              <w:t>本项目属于</w:t>
            </w:r>
            <w:r>
              <w:rPr>
                <w:rFonts w:hint="default" w:ascii="Times New Roman" w:hAnsi="Times New Roman" w:cs="Times New Roman"/>
                <w:color w:val="auto"/>
                <w:kern w:val="2"/>
                <w:sz w:val="24"/>
                <w:szCs w:val="24"/>
                <w:highlight w:val="none"/>
                <w:lang w:val="en-US" w:eastAsia="zh-CN" w:bidi="ar-SA"/>
              </w:rPr>
              <w:t>C2921塑料薄膜制造及C2924泡沫塑料制造</w:t>
            </w:r>
            <w:r>
              <w:rPr>
                <w:rFonts w:hint="default" w:ascii="Times New Roman" w:hAnsi="Times New Roman" w:eastAsia="宋体" w:cs="Times New Roman"/>
                <w:color w:val="auto"/>
                <w:kern w:val="2"/>
                <w:sz w:val="24"/>
                <w:szCs w:val="24"/>
                <w:highlight w:val="none"/>
                <w:lang w:val="en-US" w:eastAsia="zh-CN" w:bidi="ar-SA"/>
              </w:rPr>
              <w:t>，不属于上述禁止行业，不属于大气重污染项目，项目运营期排放重点大气污染物（挥发性有机物），挥发性有机物总量按减量替代原则核定。项目不设锅炉。因此，项目符合《广东省大气污染防治条例》的相关规定。</w:t>
            </w:r>
          </w:p>
          <w:p>
            <w:pPr>
              <w:pStyle w:val="120"/>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与《关于印发惠州市2022年土壤与地下水污染防治工作方案的通知》（惠市环〔2022〕16号）的相符性分析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三、加强土壤污染源头防控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加强涉重金属行业污染防治。持续更新涉镉等重金属重点行业污染源整治清单。按照省生态环境厅要求在矿产资源开发集中区域以及安全利用类、严格管控类耕地任务较重的区域，执行颗粒物和镉等重点重金属特别排放限值。依法依规将符合筛选条件的排放镉、汞、砷、铅、铬等有毒有害大气、水环境污染物的企业纳入重点排污单位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六、推进地下水污染防治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强化地下水环境质量目标管理。按照“十四五”地下水国考点位规范化建设要求，进一步完善地下水环境质量考核点水质达标（或保持）方案。同时，加强地下水污染源头管控，强化监督管理，确保3个“十四五”国家地下水环境质量考核点水质，即惠城区鹅岭南路101号（GD-14-029）、龙门县龙田镇王宾村（GD-14-030）和博罗县横河办事处郭前村（GD-14-031）水质达到国家和省的考核要求。</w:t>
            </w:r>
          </w:p>
          <w:p>
            <w:pPr>
              <w:autoSpaceDE w:val="0"/>
              <w:autoSpaceDN w:val="0"/>
              <w:adjustRightInd w:val="0"/>
              <w:snapToGrid w:val="0"/>
              <w:ind w:firstLine="466" w:firstLineChars="200"/>
              <w:jc w:val="left"/>
              <w:rPr>
                <w:rFonts w:hint="default" w:ascii="Times New Roman" w:hAnsi="Times New Roman" w:eastAsia="宋体" w:cs="Times New Roman"/>
                <w:color w:val="auto"/>
                <w:sz w:val="24"/>
                <w:szCs w:val="32"/>
                <w:lang w:eastAsia="zh-CN"/>
              </w:rPr>
            </w:pPr>
            <w:r>
              <w:rPr>
                <w:rFonts w:hint="default" w:ascii="Times New Roman" w:hAnsi="Times New Roman" w:eastAsia="宋体" w:cs="Times New Roman"/>
                <w:b/>
                <w:bCs/>
                <w:color w:val="auto"/>
                <w:spacing w:val="-4"/>
                <w:sz w:val="24"/>
                <w:lang w:eastAsia="zh-CN"/>
              </w:rPr>
              <w:t>相符性分析：</w:t>
            </w:r>
            <w:r>
              <w:rPr>
                <w:rFonts w:hint="default" w:ascii="Times New Roman" w:hAnsi="Times New Roman" w:eastAsia="宋体" w:cs="Times New Roman"/>
                <w:b w:val="0"/>
                <w:bCs w:val="0"/>
                <w:color w:val="auto"/>
                <w:spacing w:val="-4"/>
                <w:sz w:val="24"/>
                <w:lang w:eastAsia="zh-CN"/>
              </w:rPr>
              <w:t>本</w:t>
            </w:r>
            <w:r>
              <w:rPr>
                <w:rFonts w:hint="default" w:ascii="Times New Roman" w:hAnsi="Times New Roman" w:eastAsia="宋体" w:cs="Times New Roman"/>
                <w:color w:val="auto"/>
                <w:spacing w:val="-4"/>
                <w:sz w:val="24"/>
                <w:lang w:eastAsia="zh-CN"/>
              </w:rPr>
              <w:t>项目不涉及重金属，不属于涉重金属重点行业企业，项目用地地面均硬底化处理，不属于</w:t>
            </w:r>
            <w:r>
              <w:rPr>
                <w:rFonts w:hint="default" w:ascii="Times New Roman" w:hAnsi="Times New Roman" w:eastAsia="宋体" w:cs="Times New Roman"/>
                <w:color w:val="auto"/>
                <w:sz w:val="24"/>
                <w:szCs w:val="32"/>
              </w:rPr>
              <w:t>排放镉、汞、砷、铅、铬等有毒有害大气、水环境污染物的企业</w:t>
            </w:r>
            <w:r>
              <w:rPr>
                <w:rFonts w:hint="default" w:ascii="Times New Roman" w:hAnsi="Times New Roman" w:eastAsia="宋体" w:cs="Times New Roman"/>
                <w:color w:val="auto"/>
                <w:sz w:val="24"/>
                <w:szCs w:val="32"/>
                <w:lang w:eastAsia="zh-CN"/>
              </w:rPr>
              <w:t>；项目不涉及生产废水排放，</w:t>
            </w:r>
            <w:r>
              <w:rPr>
                <w:rFonts w:hint="default" w:ascii="Times New Roman" w:hAnsi="Times New Roman" w:cs="Times New Roman"/>
                <w:color w:val="auto"/>
                <w:sz w:val="24"/>
                <w:szCs w:val="32"/>
                <w:lang w:val="en-US" w:eastAsia="zh-CN"/>
              </w:rPr>
              <w:t>本次不新增生活污水</w:t>
            </w:r>
            <w:r>
              <w:rPr>
                <w:rFonts w:hint="default" w:ascii="Times New Roman" w:hAnsi="Times New Roman" w:eastAsia="宋体" w:cs="Times New Roman"/>
                <w:color w:val="auto"/>
                <w:sz w:val="24"/>
                <w:szCs w:val="32"/>
                <w:lang w:eastAsia="zh-CN"/>
              </w:rPr>
              <w:t>，不会对地下水造成影响。因此，项目符合《关于印发惠州市2022年土壤与地下水污染防</w:t>
            </w:r>
          </w:p>
          <w:p>
            <w:pPr>
              <w:autoSpaceDE w:val="0"/>
              <w:autoSpaceDN w:val="0"/>
              <w:adjustRightInd w:val="0"/>
              <w:snapToGrid w:val="0"/>
              <w:ind w:firstLine="480" w:firstLineChars="200"/>
              <w:jc w:val="left"/>
              <w:rPr>
                <w:rFonts w:hint="default" w:ascii="Times New Roman" w:hAnsi="Times New Roman" w:eastAsia="宋体" w:cs="Times New Roman"/>
                <w:b/>
                <w:bCs/>
                <w:color w:val="auto"/>
                <w:spacing w:val="-4"/>
                <w:sz w:val="24"/>
                <w:lang w:eastAsia="zh-CN"/>
              </w:rPr>
            </w:pPr>
            <w:r>
              <w:rPr>
                <w:rFonts w:hint="default" w:ascii="Times New Roman" w:hAnsi="Times New Roman" w:eastAsia="宋体" w:cs="Times New Roman"/>
                <w:color w:val="auto"/>
                <w:sz w:val="24"/>
                <w:szCs w:val="32"/>
                <w:lang w:eastAsia="zh-CN"/>
              </w:rPr>
              <w:t>治工作方案的通知》（惠市环〔2022〕16号）的要求。</w:t>
            </w: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jc w:val="left"/>
              <w:rPr>
                <w:rFonts w:hint="default" w:ascii="Times New Roman" w:hAnsi="Times New Roman" w:cs="Times New Roman"/>
                <w:color w:val="auto"/>
                <w:kern w:val="0"/>
                <w:szCs w:val="21"/>
              </w:rPr>
            </w:pPr>
          </w:p>
        </w:tc>
      </w:tr>
    </w:tbl>
    <w:p>
      <w:pPr>
        <w:rPr>
          <w:rFonts w:hint="default" w:ascii="Times New Roman" w:hAnsi="Times New Roman" w:cs="Times New Roman"/>
          <w:color w:val="auto"/>
        </w:rPr>
        <w:sectPr>
          <w:footerReference r:id="rId7" w:type="default"/>
          <w:pgSz w:w="11906" w:h="16838"/>
          <w:pgMar w:top="1247" w:right="1077" w:bottom="1247" w:left="1134"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numPr>
          <w:ilvl w:val="2"/>
          <w:numId w:val="0"/>
        </w:numPr>
        <w:bidi w:val="0"/>
        <w:ind w:left="397" w:leftChars="0"/>
        <w:jc w:val="center"/>
        <w:rPr>
          <w:rFonts w:hint="default" w:ascii="Times New Roman" w:hAnsi="Times New Roman" w:cs="Times New Roman"/>
          <w:color w:val="auto"/>
        </w:rPr>
      </w:pPr>
      <w:bookmarkStart w:id="2" w:name="_Toc5498"/>
      <w:r>
        <w:rPr>
          <w:rFonts w:hint="default" w:ascii="Times New Roman" w:hAnsi="Times New Roman" w:cs="Times New Roman"/>
          <w:color w:val="auto"/>
        </w:rPr>
        <w:t>二、建设项目工程分析</w:t>
      </w:r>
      <w:bookmarkEnd w:id="2"/>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58"/>
        <w:gridCol w:w="94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9" w:hRule="atLeast"/>
          <w:jc w:val="center"/>
        </w:trPr>
        <w:tc>
          <w:tcPr>
            <w:tcW w:w="241" w:type="pct"/>
            <w:noWrap/>
            <w:vAlign w:val="center"/>
          </w:tcPr>
          <w:p>
            <w:pPr>
              <w:pStyle w:val="28"/>
              <w:adjustRightInd w:val="0"/>
              <w:snapToGrid w:val="0"/>
              <w:spacing w:before="0" w:beforeAutospacing="0" w:after="0" w:afterAutospacing="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建设</w:t>
            </w:r>
          </w:p>
          <w:p>
            <w:pPr>
              <w:pStyle w:val="2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4"/>
                <w:szCs w:val="24"/>
              </w:rPr>
              <w:t>内容</w:t>
            </w:r>
          </w:p>
        </w:tc>
        <w:tc>
          <w:tcPr>
            <w:tcW w:w="4758" w:type="pct"/>
            <w:noWrap/>
          </w:tcPr>
          <w:p>
            <w:pPr>
              <w:numPr>
                <w:ilvl w:val="0"/>
                <w:numId w:val="0"/>
              </w:num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1、</w:t>
            </w:r>
            <w:r>
              <w:rPr>
                <w:rFonts w:hint="default" w:ascii="Times New Roman" w:hAnsi="Times New Roman" w:cs="Times New Roman"/>
                <w:b/>
                <w:color w:val="auto"/>
                <w:szCs w:val="21"/>
              </w:rPr>
              <w:t>项目由来</w:t>
            </w:r>
          </w:p>
          <w:p>
            <w:pPr>
              <w:adjustRightInd w:val="0"/>
              <w:snapToGrid w:val="0"/>
              <w:ind w:firstLine="480" w:firstLineChars="20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惠州冠宝新材料有限公司</w:t>
            </w:r>
            <w:r>
              <w:rPr>
                <w:rFonts w:hint="default" w:ascii="Times New Roman" w:hAnsi="Times New Roman" w:eastAsia="宋体" w:cs="Times New Roman"/>
                <w:color w:val="auto"/>
                <w:highlight w:val="none"/>
                <w:lang w:val="en-US" w:eastAsia="zh-CN"/>
              </w:rPr>
              <w:t>位于</w:t>
            </w:r>
            <w:r>
              <w:rPr>
                <w:rFonts w:hint="default" w:ascii="Times New Roman" w:hAnsi="Times New Roman" w:cs="Times New Roman"/>
                <w:color w:val="auto"/>
                <w:highlight w:val="none"/>
                <w:lang w:val="en-US" w:eastAsia="zh-CN"/>
              </w:rPr>
              <w:t>博罗县石湾镇四十米大道东侧铁场朱黎段格水口（土名）</w:t>
            </w:r>
            <w:r>
              <w:rPr>
                <w:rFonts w:hint="default" w:ascii="Times New Roman" w:hAnsi="Times New Roman" w:eastAsia="宋体" w:cs="Times New Roman"/>
                <w:color w:val="auto"/>
                <w:highlight w:val="none"/>
                <w:lang w:val="en-US" w:eastAsia="zh-CN"/>
              </w:rPr>
              <w:t>，中心</w:t>
            </w:r>
            <w:r>
              <w:rPr>
                <w:rFonts w:hint="default" w:ascii="Times New Roman" w:hAnsi="Times New Roman" w:cs="Times New Roman"/>
                <w:color w:val="auto"/>
                <w:highlight w:val="none"/>
                <w:lang w:val="en-US" w:eastAsia="zh-CN"/>
              </w:rPr>
              <w:t>地理</w:t>
            </w:r>
            <w:r>
              <w:rPr>
                <w:rFonts w:hint="default" w:ascii="Times New Roman" w:hAnsi="Times New Roman" w:eastAsia="宋体" w:cs="Times New Roman"/>
                <w:color w:val="auto"/>
                <w:highlight w:val="none"/>
                <w:lang w:val="en-US" w:eastAsia="zh-CN"/>
              </w:rPr>
              <w:t>坐标为：</w:t>
            </w:r>
            <w:r>
              <w:rPr>
                <w:rFonts w:hint="default" w:ascii="Times New Roman" w:hAnsi="Times New Roman" w:eastAsia="宋体" w:cs="Times New Roman"/>
                <w:strike w:val="0"/>
                <w:dstrike w:val="0"/>
                <w:color w:val="auto"/>
                <w:highlight w:val="none"/>
                <w:u w:val="none"/>
                <w:lang w:val="en-US" w:eastAsia="zh-CN"/>
              </w:rPr>
              <w:t>E</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11</w:t>
            </w:r>
            <w:r>
              <w:rPr>
                <w:rFonts w:hint="default" w:ascii="Times New Roman" w:hAnsi="Times New Roman" w:cs="Times New Roman"/>
                <w:strike w:val="0"/>
                <w:dstrike w:val="0"/>
                <w:color w:val="auto"/>
                <w:sz w:val="24"/>
                <w:szCs w:val="24"/>
                <w:highlight w:val="none"/>
                <w:u w:val="none"/>
                <w:shd w:val="clear" w:color="auto" w:fill="auto"/>
                <w:lang w:val="en-US" w:eastAsia="zh-CN"/>
              </w:rPr>
              <w:t>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 w:val="24"/>
                <w:szCs w:val="24"/>
                <w:highlight w:val="none"/>
                <w:u w:val="none"/>
                <w:shd w:val="clear" w:color="auto" w:fill="auto"/>
                <w:lang w:val="en-US" w:eastAsia="zh-CN"/>
              </w:rPr>
              <w:t>56</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4.920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 w:val="24"/>
                <w:szCs w:val="24"/>
                <w:highlight w:val="none"/>
                <w:u w:val="none"/>
              </w:rPr>
              <w:t>，</w:t>
            </w:r>
            <w:r>
              <w:rPr>
                <w:rFonts w:hint="default" w:ascii="Times New Roman" w:hAnsi="Times New Roman" w:cs="Times New Roman"/>
                <w:strike w:val="0"/>
                <w:dstrike w:val="0"/>
                <w:color w:val="auto"/>
                <w:sz w:val="24"/>
                <w:szCs w:val="24"/>
                <w:highlight w:val="none"/>
                <w:u w:val="none"/>
                <w:lang w:val="en-US" w:eastAsia="zh-CN"/>
              </w:rPr>
              <w:t>N</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23</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highlight w:val="none"/>
                <w:u w:val="none"/>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10</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Cs w:val="21"/>
                <w:highlight w:val="none"/>
                <w:u w:val="none"/>
              </w:rPr>
              <w:t>52.320</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，主要从事</w:t>
            </w:r>
            <w:r>
              <w:rPr>
                <w:rFonts w:hint="default" w:ascii="Times New Roman" w:hAnsi="Times New Roman" w:cs="Times New Roman"/>
                <w:strike w:val="0"/>
                <w:dstrike w:val="0"/>
                <w:color w:val="auto"/>
                <w:highlight w:val="none"/>
                <w:u w:val="none"/>
                <w:lang w:val="en-US" w:eastAsia="zh-CN"/>
              </w:rPr>
              <w:t>保护膜及纸类标签材料的生产</w:t>
            </w:r>
            <w:r>
              <w:rPr>
                <w:rFonts w:hint="default" w:ascii="Times New Roman" w:hAnsi="Times New Roman" w:cs="Times New Roman"/>
                <w:bCs/>
                <w:strike w:val="0"/>
                <w:dstrike w:val="0"/>
                <w:color w:val="auto"/>
                <w:kern w:val="0"/>
                <w:szCs w:val="21"/>
                <w:highlight w:val="none"/>
                <w:u w:val="none"/>
                <w:lang w:eastAsia="zh-CN"/>
              </w:rPr>
              <w:t>，</w:t>
            </w:r>
            <w:r>
              <w:rPr>
                <w:rFonts w:hint="default" w:ascii="Times New Roman" w:hAnsi="Times New Roman" w:cs="Times New Roman"/>
                <w:color w:val="auto"/>
                <w:sz w:val="24"/>
                <w:szCs w:val="24"/>
                <w:highlight w:val="none"/>
              </w:rPr>
              <w:t>年产</w:t>
            </w:r>
            <w:r>
              <w:rPr>
                <w:rFonts w:hint="default" w:ascii="Times New Roman" w:hAnsi="Times New Roman" w:cs="Times New Roman"/>
                <w:color w:val="auto"/>
                <w:kern w:val="0"/>
                <w:sz w:val="24"/>
                <w:szCs w:val="24"/>
                <w:highlight w:val="none"/>
              </w:rPr>
              <w:t>PET保护膜600万m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kern w:val="0"/>
                <w:sz w:val="24"/>
                <w:szCs w:val="24"/>
                <w:highlight w:val="none"/>
              </w:rPr>
              <w:t>BOPP保护膜300万m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纸类标签材料100万m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bCs/>
                <w:color w:val="auto"/>
                <w:kern w:val="0"/>
                <w:szCs w:val="21"/>
                <w:highlight w:val="none"/>
                <w:lang w:val="en-US" w:eastAsia="zh-CN"/>
              </w:rPr>
              <w:t>。现有项目</w:t>
            </w:r>
            <w:r>
              <w:rPr>
                <w:rFonts w:hint="default" w:ascii="Times New Roman" w:hAnsi="Times New Roman" w:eastAsia="宋体" w:cs="Times New Roman"/>
                <w:color w:val="auto"/>
                <w:highlight w:val="none"/>
                <w:lang w:val="en-US" w:eastAsia="zh-CN"/>
              </w:rPr>
              <w:t>总投资为</w:t>
            </w:r>
            <w:r>
              <w:rPr>
                <w:rFonts w:hint="default" w:ascii="Times New Roman" w:hAnsi="Times New Roman" w:cs="Times New Roman"/>
                <w:color w:val="auto"/>
                <w:highlight w:val="none"/>
                <w:lang w:val="en-US" w:eastAsia="zh-CN"/>
              </w:rPr>
              <w:t>2000</w:t>
            </w:r>
            <w:r>
              <w:rPr>
                <w:rFonts w:hint="default" w:ascii="Times New Roman" w:hAnsi="Times New Roman" w:eastAsia="宋体" w:cs="Times New Roman"/>
                <w:color w:val="auto"/>
                <w:highlight w:val="none"/>
                <w:lang w:val="en-US" w:eastAsia="zh-CN"/>
              </w:rPr>
              <w:t>万元，</w:t>
            </w:r>
            <w:r>
              <w:rPr>
                <w:rFonts w:hint="default" w:ascii="Times New Roman" w:hAnsi="Times New Roman" w:cs="Times New Roman"/>
                <w:color w:val="auto"/>
                <w:highlight w:val="none"/>
                <w:lang w:val="en-US" w:eastAsia="zh-CN"/>
              </w:rPr>
              <w:t>环保投资200万元，总</w:t>
            </w:r>
            <w:r>
              <w:rPr>
                <w:rFonts w:hint="default" w:ascii="Times New Roman" w:hAnsi="Times New Roman" w:eastAsia="宋体" w:cs="Times New Roman"/>
                <w:color w:val="auto"/>
                <w:highlight w:val="none"/>
                <w:lang w:val="en-US" w:eastAsia="zh-CN"/>
              </w:rPr>
              <w:t>占地面积为</w:t>
            </w:r>
            <w:r>
              <w:rPr>
                <w:rFonts w:hint="default" w:ascii="Times New Roman" w:hAnsi="Times New Roman" w:cs="Times New Roman"/>
                <w:color w:val="auto"/>
                <w:highlight w:val="none"/>
                <w:lang w:val="en-US" w:eastAsia="zh-CN"/>
              </w:rPr>
              <w:t>20336</w:t>
            </w:r>
            <w:r>
              <w:rPr>
                <w:rFonts w:hint="default" w:ascii="Times New Roman" w:hAnsi="Times New Roman" w:eastAsia="宋体" w:cs="Times New Roman"/>
                <w:color w:val="auto"/>
                <w:highlight w:val="none"/>
                <w:lang w:val="en-US" w:eastAsia="zh-CN"/>
              </w:rPr>
              <w:t>0平方米，</w:t>
            </w:r>
            <w:r>
              <w:rPr>
                <w:rFonts w:hint="default" w:ascii="Times New Roman" w:hAnsi="Times New Roman" w:cs="Times New Roman"/>
                <w:color w:val="auto"/>
                <w:highlight w:val="none"/>
                <w:lang w:val="en-US" w:eastAsia="zh-CN"/>
              </w:rPr>
              <w:t>总</w:t>
            </w:r>
            <w:r>
              <w:rPr>
                <w:rFonts w:hint="default" w:ascii="Times New Roman" w:hAnsi="Times New Roman" w:eastAsia="宋体" w:cs="Times New Roman"/>
                <w:color w:val="auto"/>
                <w:highlight w:val="none"/>
                <w:lang w:val="en-US" w:eastAsia="zh-CN"/>
              </w:rPr>
              <w:t>建筑面积为</w:t>
            </w:r>
            <w:r>
              <w:rPr>
                <w:rFonts w:hint="default" w:ascii="Times New Roman" w:hAnsi="Times New Roman" w:cs="Times New Roman"/>
                <w:color w:val="auto"/>
                <w:highlight w:val="none"/>
                <w:lang w:val="en-US" w:eastAsia="zh-CN"/>
              </w:rPr>
              <w:t>222</w:t>
            </w:r>
            <w:r>
              <w:rPr>
                <w:rFonts w:hint="default" w:ascii="Times New Roman" w:hAnsi="Times New Roman" w:eastAsia="宋体" w:cs="Times New Roman"/>
                <w:color w:val="auto"/>
                <w:highlight w:val="none"/>
                <w:lang w:val="en-US" w:eastAsia="zh-CN"/>
              </w:rPr>
              <w:t>00平方米；</w:t>
            </w:r>
            <w:r>
              <w:rPr>
                <w:rFonts w:hint="default" w:ascii="Times New Roman" w:hAnsi="Times New Roman" w:cs="Times New Roman"/>
                <w:color w:val="auto"/>
                <w:sz w:val="24"/>
                <w:highlight w:val="none"/>
                <w:lang w:val="en-US" w:eastAsia="zh-CN"/>
              </w:rPr>
              <w:t>员工共计150人，均在厂内食宿。年工作300天，每天1班制，每班8小时。</w:t>
            </w:r>
          </w:p>
          <w:p>
            <w:pPr>
              <w:adjustRightInd w:val="0"/>
              <w:snapToGrid w:val="0"/>
              <w:ind w:firstLine="480" w:firstLineChars="200"/>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Cs/>
                <w:color w:val="auto"/>
                <w:szCs w:val="21"/>
                <w:highlight w:val="none"/>
                <w:lang w:val="en-US" w:eastAsia="zh-CN"/>
              </w:rPr>
              <w:t>惠州冠宝新材料有限公司</w:t>
            </w:r>
            <w:r>
              <w:rPr>
                <w:rFonts w:hint="default" w:ascii="Times New Roman" w:hAnsi="Times New Roman" w:eastAsia="宋体" w:cs="Times New Roman"/>
                <w:bCs/>
                <w:color w:val="auto"/>
                <w:szCs w:val="21"/>
                <w:highlight w:val="none"/>
                <w:lang w:val="en-US" w:eastAsia="zh-CN"/>
              </w:rPr>
              <w:t>于</w:t>
            </w:r>
            <w:r>
              <w:rPr>
                <w:rFonts w:hint="default" w:ascii="Times New Roman" w:hAnsi="Times New Roman" w:cs="Times New Roman"/>
                <w:bCs/>
                <w:color w:val="auto"/>
                <w:szCs w:val="21"/>
                <w:highlight w:val="none"/>
                <w:lang w:val="en-US" w:eastAsia="zh-CN"/>
              </w:rPr>
              <w:t>2019</w:t>
            </w:r>
            <w:r>
              <w:rPr>
                <w:rFonts w:hint="default" w:ascii="Times New Roman" w:hAnsi="Times New Roman" w:eastAsia="宋体" w:cs="Times New Roman"/>
                <w:bCs/>
                <w:color w:val="auto"/>
                <w:szCs w:val="21"/>
                <w:highlight w:val="none"/>
                <w:lang w:val="en-US" w:eastAsia="zh-CN"/>
              </w:rPr>
              <w:t>年</w:t>
            </w:r>
            <w:r>
              <w:rPr>
                <w:rFonts w:hint="default" w:ascii="Times New Roman" w:hAnsi="Times New Roman" w:cs="Times New Roman"/>
                <w:bCs/>
                <w:color w:val="auto"/>
                <w:szCs w:val="21"/>
                <w:highlight w:val="none"/>
                <w:lang w:val="en-US" w:eastAsia="zh-CN"/>
              </w:rPr>
              <w:t>4</w:t>
            </w:r>
            <w:r>
              <w:rPr>
                <w:rFonts w:hint="default"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委托宁夏中蓝正华环境技术有限公司编制了《</w:t>
            </w:r>
            <w:r>
              <w:rPr>
                <w:rFonts w:hint="default" w:ascii="Times New Roman" w:hAnsi="Times New Roman" w:cs="Times New Roman"/>
                <w:bCs/>
                <w:color w:val="auto"/>
                <w:szCs w:val="21"/>
                <w:highlight w:val="none"/>
                <w:lang w:val="en-US" w:eastAsia="zh-CN"/>
              </w:rPr>
              <w:t>惠州冠宝新材料有限公司建设项目</w:t>
            </w:r>
            <w:r>
              <w:rPr>
                <w:rFonts w:hint="default" w:ascii="Times New Roman" w:hAnsi="Times New Roman" w:eastAsia="宋体" w:cs="Times New Roman"/>
                <w:color w:val="auto"/>
                <w:highlight w:val="none"/>
                <w:lang w:val="en-US" w:eastAsia="zh-CN"/>
              </w:rPr>
              <w:t>环境影响报告表》，</w:t>
            </w:r>
            <w:r>
              <w:rPr>
                <w:rFonts w:hint="default" w:ascii="Times New Roman" w:hAnsi="Times New Roman" w:cs="Times New Roman"/>
                <w:color w:val="auto"/>
                <w:highlight w:val="none"/>
                <w:lang w:val="en-US" w:eastAsia="zh-CN"/>
              </w:rPr>
              <w:t>并</w:t>
            </w:r>
            <w:r>
              <w:rPr>
                <w:rFonts w:hint="default" w:ascii="Times New Roman" w:hAnsi="Times New Roman" w:eastAsia="宋体" w:cs="Times New Roman"/>
                <w:color w:val="auto"/>
                <w:highlight w:val="none"/>
                <w:lang w:val="en-US" w:eastAsia="zh-CN"/>
              </w:rPr>
              <w:t>于</w:t>
            </w:r>
            <w:r>
              <w:rPr>
                <w:rFonts w:hint="default" w:ascii="Times New Roman" w:hAnsi="Times New Roman" w:cs="Times New Roman"/>
                <w:color w:val="auto"/>
                <w:highlight w:val="none"/>
                <w:lang w:val="en-US" w:eastAsia="zh-CN"/>
              </w:rPr>
              <w:t>2019</w:t>
            </w:r>
            <w:r>
              <w:rPr>
                <w:rFonts w:hint="default" w:ascii="Times New Roman" w:hAnsi="Times New Roman" w:eastAsia="宋体" w:cs="Times New Roman"/>
                <w:color w:val="auto"/>
                <w:highlight w:val="none"/>
                <w:lang w:val="en-US" w:eastAsia="zh-CN"/>
              </w:rPr>
              <w:t>年</w:t>
            </w:r>
            <w:r>
              <w:rPr>
                <w:rFonts w:hint="default" w:ascii="Times New Roman" w:hAnsi="Times New Roman" w:cs="Times New Roman"/>
                <w:color w:val="auto"/>
                <w:highlight w:val="none"/>
                <w:lang w:val="en-US" w:eastAsia="zh-CN"/>
              </w:rPr>
              <w:t>8</w:t>
            </w:r>
            <w:r>
              <w:rPr>
                <w:rFonts w:hint="default" w:ascii="Times New Roman" w:hAnsi="Times New Roman" w:eastAsia="宋体" w:cs="Times New Roman"/>
                <w:color w:val="auto"/>
                <w:highlight w:val="none"/>
                <w:lang w:val="en-US" w:eastAsia="zh-CN"/>
              </w:rPr>
              <w:t>月取</w:t>
            </w:r>
            <w:r>
              <w:rPr>
                <w:rFonts w:hint="default" w:ascii="Times New Roman" w:hAnsi="Times New Roman" w:cs="Times New Roman"/>
                <w:color w:val="auto"/>
                <w:highlight w:val="none"/>
                <w:lang w:val="en-US" w:eastAsia="zh-CN"/>
              </w:rPr>
              <w:t>得惠州市生态环境局博罗分局审批的</w:t>
            </w:r>
            <w:r>
              <w:rPr>
                <w:rFonts w:hint="default" w:ascii="Times New Roman" w:hAnsi="Times New Roman" w:eastAsia="宋体" w:cs="Times New Roman"/>
                <w:color w:val="auto"/>
                <w:highlight w:val="none"/>
                <w:lang w:val="en-US" w:eastAsia="zh-CN"/>
              </w:rPr>
              <w:t>《关于惠州市冠宝新材料有限公司建设项目环境影响报告表的批复》（惠市环（博罗）建〔2019〕174号，见附件</w:t>
            </w:r>
            <w:r>
              <w:rPr>
                <w:rFonts w:hint="default" w:ascii="Times New Roman" w:hAnsi="Times New Roman"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default" w:ascii="Times New Roman" w:hAnsi="Times New Roman"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月取得固定污染源排污登记回执</w:t>
            </w:r>
            <w:r>
              <w:rPr>
                <w:rFonts w:hint="default" w:ascii="Times New Roman" w:hAnsi="Times New Roman" w:eastAsia="宋体" w:cs="Times New Roman"/>
                <w:color w:val="auto"/>
                <w:sz w:val="24"/>
                <w:szCs w:val="24"/>
                <w:highlight w:val="none"/>
              </w:rPr>
              <w:t>（编号：91441322MA52W3FW87001Z</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default" w:ascii="Times New Roman" w:hAnsi="Times New Roman" w:cs="Times New Roman"/>
                <w:color w:val="auto"/>
                <w:highlight w:val="none"/>
                <w:lang w:val="en-US" w:eastAsia="zh-CN"/>
              </w:rPr>
              <w:t>6</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于</w:t>
            </w:r>
            <w:r>
              <w:rPr>
                <w:rFonts w:hint="default" w:ascii="Times New Roman" w:hAnsi="Times New Roman" w:eastAsia="宋体" w:cs="Times New Roman"/>
                <w:color w:val="auto"/>
                <w:sz w:val="24"/>
                <w:szCs w:val="24"/>
                <w:highlight w:val="none"/>
              </w:rPr>
              <w:t>20</w:t>
            </w:r>
            <w:r>
              <w:rPr>
                <w:rFonts w:hint="default" w:ascii="Times New Roman" w:hAnsi="Times New Roman"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月</w:t>
            </w:r>
            <w:r>
              <w:rPr>
                <w:rFonts w:hint="default" w:ascii="Times New Roman" w:hAnsi="Times New Roman" w:cs="Times New Roman"/>
                <w:color w:val="auto"/>
                <w:sz w:val="24"/>
                <w:szCs w:val="24"/>
                <w:highlight w:val="none"/>
                <w:lang w:val="en-US" w:eastAsia="zh-CN"/>
              </w:rPr>
              <w:t>通过自主验收</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验收工作组意见</w:t>
            </w:r>
            <w:r>
              <w:rPr>
                <w:rFonts w:hint="default" w:ascii="Times New Roman" w:hAnsi="Times New Roman" w:eastAsia="宋体" w:cs="Times New Roman"/>
                <w:color w:val="auto"/>
                <w:sz w:val="24"/>
                <w:szCs w:val="24"/>
                <w:highlight w:val="none"/>
                <w:lang w:val="en-US" w:eastAsia="zh-CN"/>
              </w:rPr>
              <w:t>详见附件</w:t>
            </w:r>
            <w:r>
              <w:rPr>
                <w:rFonts w:hint="default" w:ascii="Times New Roman" w:hAnsi="Times New Roman" w:cs="Times New Roman"/>
                <w:color w:val="auto"/>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b/>
                <w:bCs/>
                <w:color w:val="auto"/>
                <w:sz w:val="24"/>
                <w:szCs w:val="24"/>
                <w:highlight w:val="none"/>
                <w:lang w:val="en-US" w:eastAsia="zh-CN"/>
              </w:rPr>
              <w:t>根据原环评批复及验收内容，现有占地面积为9500平方米，建筑面积为22200平方米，包括1栋一层生产车间、1栋二层生产车间、2栋1层仓库和1栋宿舍楼。经核实现有项目环评中占地面积未将原料仓库和成品仓库的占地面积算上（原料仓库及成品仓库占地面积6400平方米），本次扩建按实际情况核实现有项目占地情况，</w:t>
            </w:r>
            <w:r>
              <w:rPr>
                <w:rFonts w:hint="default" w:ascii="Times New Roman" w:hAnsi="Times New Roman" w:cs="Times New Roman"/>
                <w:b/>
                <w:bCs/>
                <w:color w:val="auto"/>
                <w:lang w:val="en-US" w:eastAsia="zh-CN"/>
              </w:rPr>
              <w:t>即</w:t>
            </w:r>
            <w:r>
              <w:rPr>
                <w:rFonts w:hint="default" w:ascii="Times New Roman" w:hAnsi="Times New Roman" w:cs="Times New Roman"/>
                <w:b/>
                <w:bCs/>
                <w:color w:val="auto"/>
                <w:sz w:val="24"/>
                <w:szCs w:val="24"/>
                <w:highlight w:val="none"/>
                <w:lang w:val="en-US" w:eastAsia="zh-CN"/>
              </w:rPr>
              <w:t>包括1栋一层生产车间、1栋二层生产车间、2栋1层仓库和1栋宿舍楼，实际占地面积为20336平方米，实际建筑面积22200平方米。</w:t>
            </w:r>
          </w:p>
          <w:p>
            <w:pPr>
              <w:pStyle w:val="16"/>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kern w:val="2"/>
                <w:sz w:val="24"/>
                <w:szCs w:val="24"/>
                <w:highlight w:val="none"/>
                <w:lang w:val="en-US" w:eastAsia="zh-CN" w:bidi="ar-SA"/>
              </w:rPr>
              <w:t>为提高市场竞争力，促进公司发展，建设单位拟投资</w:t>
            </w:r>
            <w:r>
              <w:rPr>
                <w:rFonts w:hint="default" w:ascii="Times New Roman" w:hAnsi="Times New Roman" w:cs="Times New Roman"/>
                <w:color w:val="auto"/>
                <w:kern w:val="2"/>
                <w:sz w:val="24"/>
                <w:szCs w:val="24"/>
                <w:highlight w:val="none"/>
                <w:lang w:val="en-US" w:eastAsia="zh-CN" w:bidi="ar-SA"/>
              </w:rPr>
              <w:t>1000万元</w:t>
            </w:r>
            <w:r>
              <w:rPr>
                <w:rFonts w:hint="default" w:ascii="Times New Roman" w:hAnsi="Times New Roman" w:eastAsia="宋体" w:cs="Times New Roman"/>
                <w:color w:val="auto"/>
                <w:kern w:val="2"/>
                <w:sz w:val="24"/>
                <w:szCs w:val="24"/>
                <w:highlight w:val="none"/>
                <w:lang w:val="en-US" w:eastAsia="zh-CN" w:bidi="ar-SA"/>
              </w:rPr>
              <w:t>建设“</w:t>
            </w:r>
            <w:r>
              <w:rPr>
                <w:rFonts w:hint="default" w:ascii="Times New Roman" w:hAnsi="Times New Roman" w:cs="Times New Roman"/>
                <w:color w:val="auto"/>
                <w:kern w:val="2"/>
                <w:sz w:val="24"/>
                <w:szCs w:val="24"/>
                <w:highlight w:val="none"/>
                <w:lang w:val="en-US" w:eastAsia="zh-CN" w:bidi="ar-SA"/>
              </w:rPr>
              <w:t>惠州冠宝新材料有限公司扩建项目</w:t>
            </w:r>
            <w:r>
              <w:rPr>
                <w:rFonts w:hint="default" w:ascii="Times New Roman" w:hAnsi="Times New Roman" w:eastAsia="宋体" w:cs="Times New Roman"/>
                <w:color w:val="auto"/>
                <w:kern w:val="2"/>
                <w:sz w:val="24"/>
                <w:szCs w:val="24"/>
                <w:highlight w:val="none"/>
                <w:lang w:val="en-US" w:eastAsia="zh-CN" w:bidi="ar-SA"/>
              </w:rPr>
              <w:t>”（以下简称“本项目”或“</w:t>
            </w:r>
            <w:r>
              <w:rPr>
                <w:rFonts w:hint="default" w:ascii="Times New Roman" w:hAnsi="Times New Roman" w:cs="Times New Roman"/>
                <w:color w:val="auto"/>
                <w:kern w:val="2"/>
                <w:sz w:val="24"/>
                <w:szCs w:val="24"/>
                <w:highlight w:val="none"/>
                <w:lang w:val="en-US" w:eastAsia="zh-CN" w:bidi="ar-SA"/>
              </w:rPr>
              <w:t>扩建</w:t>
            </w:r>
            <w:r>
              <w:rPr>
                <w:rFonts w:hint="default" w:ascii="Times New Roman" w:hAnsi="Times New Roman" w:eastAsia="宋体" w:cs="Times New Roman"/>
                <w:color w:val="auto"/>
                <w:kern w:val="2"/>
                <w:sz w:val="24"/>
                <w:szCs w:val="24"/>
                <w:highlight w:val="none"/>
                <w:lang w:val="en-US" w:eastAsia="zh-CN" w:bidi="ar-SA"/>
              </w:rPr>
              <w:t>项目”）</w:t>
            </w:r>
            <w:r>
              <w:rPr>
                <w:rFonts w:hint="default" w:ascii="Times New Roman" w:hAnsi="Times New Roman" w:cs="Times New Roman"/>
                <w:color w:val="auto"/>
                <w:kern w:val="2"/>
                <w:sz w:val="24"/>
                <w:szCs w:val="24"/>
                <w:highlight w:val="none"/>
                <w:lang w:val="en-US" w:eastAsia="zh-CN" w:bidi="ar-SA"/>
              </w:rPr>
              <w:t>，拟</w:t>
            </w:r>
            <w:r>
              <w:rPr>
                <w:rFonts w:hint="default" w:ascii="Times New Roman" w:hAnsi="Times New Roman" w:cs="Times New Roman"/>
                <w:color w:val="auto"/>
              </w:rPr>
              <w:t>在现有厂房2和仓库的部分区域</w:t>
            </w:r>
            <w:r>
              <w:rPr>
                <w:rFonts w:hint="default" w:ascii="Times New Roman" w:hAnsi="Times New Roman" w:cs="Times New Roman"/>
                <w:color w:val="auto"/>
                <w:kern w:val="2"/>
                <w:sz w:val="24"/>
                <w:szCs w:val="24"/>
                <w:highlight w:val="none"/>
                <w:lang w:val="en-US" w:eastAsia="zh-CN" w:bidi="ar-SA"/>
              </w:rPr>
              <w:t>新增一个聚氨酯高密度棉生产车间及一个涂布车间2，不新增</w:t>
            </w:r>
            <w:r>
              <w:rPr>
                <w:rFonts w:hint="default" w:ascii="Times New Roman" w:hAnsi="Times New Roman" w:cs="Times New Roman"/>
                <w:color w:val="auto"/>
                <w:lang w:val="en-US" w:eastAsia="zh-CN"/>
              </w:rPr>
              <w:t>占地及</w:t>
            </w:r>
            <w:r>
              <w:rPr>
                <w:rFonts w:hint="default" w:ascii="Times New Roman" w:hAnsi="Times New Roman" w:cs="Times New Roman"/>
                <w:color w:val="auto"/>
                <w:kern w:val="2"/>
                <w:sz w:val="24"/>
                <w:szCs w:val="24"/>
                <w:highlight w:val="none"/>
                <w:lang w:val="en-US" w:eastAsia="zh-CN" w:bidi="ar-SA"/>
              </w:rPr>
              <w:t>员工</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扩建项目拟新增聚氨酯高密度棉400t/a、PET保护膜1800万m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w:t>
            </w:r>
          </w:p>
          <w:p>
            <w:pPr>
              <w:pStyle w:val="16"/>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cs="Times New Roman"/>
                <w:color w:val="auto"/>
                <w:spacing w:val="-8"/>
                <w:kern w:val="0"/>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扩建完成后</w:t>
            </w:r>
            <w:r>
              <w:rPr>
                <w:rFonts w:hint="default" w:ascii="Times New Roman" w:hAnsi="Times New Roman" w:cs="Times New Roman"/>
                <w:color w:val="auto"/>
                <w:kern w:val="2"/>
                <w:sz w:val="24"/>
                <w:szCs w:val="24"/>
                <w:highlight w:val="none"/>
                <w:shd w:val="clear" w:color="auto" w:fill="auto"/>
                <w:lang w:val="en-US" w:eastAsia="zh-CN" w:bidi="ar-SA"/>
              </w:rPr>
              <w:t>，</w:t>
            </w:r>
            <w:r>
              <w:rPr>
                <w:rFonts w:hint="default" w:ascii="Times New Roman" w:hAnsi="Times New Roman" w:cs="Times New Roman"/>
                <w:color w:val="auto"/>
                <w:lang w:val="en-US" w:eastAsia="zh-CN"/>
              </w:rPr>
              <w:t>总占地面积和总建筑面积保持不变（</w:t>
            </w:r>
            <w:r>
              <w:rPr>
                <w:rFonts w:hint="default" w:ascii="Times New Roman" w:hAnsi="Times New Roman" w:cs="Times New Roman"/>
                <w:color w:val="auto"/>
                <w:highlight w:val="none"/>
                <w:lang w:val="en-US" w:eastAsia="zh-CN"/>
              </w:rPr>
              <w:t>总</w:t>
            </w:r>
            <w:r>
              <w:rPr>
                <w:rFonts w:hint="default" w:ascii="Times New Roman" w:hAnsi="Times New Roman" w:eastAsia="宋体" w:cs="Times New Roman"/>
                <w:color w:val="auto"/>
                <w:highlight w:val="none"/>
                <w:lang w:val="en-US" w:eastAsia="zh-CN"/>
              </w:rPr>
              <w:t>占地面积为</w:t>
            </w:r>
            <w:r>
              <w:rPr>
                <w:rFonts w:hint="default" w:ascii="Times New Roman" w:hAnsi="Times New Roman" w:cs="Times New Roman"/>
                <w:color w:val="auto"/>
                <w:highlight w:val="none"/>
                <w:lang w:val="en-US" w:eastAsia="zh-CN"/>
              </w:rPr>
              <w:t>20336</w:t>
            </w:r>
            <w:r>
              <w:rPr>
                <w:rFonts w:hint="default" w:ascii="Times New Roman" w:hAnsi="Times New Roman" w:eastAsia="宋体" w:cs="Times New Roman"/>
                <w:color w:val="auto"/>
                <w:highlight w:val="none"/>
                <w:lang w:val="en-US" w:eastAsia="zh-CN"/>
              </w:rPr>
              <w:t>平方米，</w:t>
            </w:r>
            <w:r>
              <w:rPr>
                <w:rFonts w:hint="default" w:ascii="Times New Roman" w:hAnsi="Times New Roman" w:cs="Times New Roman"/>
                <w:color w:val="auto"/>
                <w:highlight w:val="none"/>
                <w:lang w:val="en-US" w:eastAsia="zh-CN"/>
              </w:rPr>
              <w:t>总</w:t>
            </w:r>
            <w:r>
              <w:rPr>
                <w:rFonts w:hint="default" w:ascii="Times New Roman" w:hAnsi="Times New Roman" w:eastAsia="宋体" w:cs="Times New Roman"/>
                <w:color w:val="auto"/>
                <w:highlight w:val="none"/>
                <w:lang w:val="en-US" w:eastAsia="zh-CN"/>
              </w:rPr>
              <w:t>建筑面积为</w:t>
            </w:r>
            <w:r>
              <w:rPr>
                <w:rFonts w:hint="default" w:ascii="Times New Roman" w:hAnsi="Times New Roman" w:cs="Times New Roman"/>
                <w:color w:val="auto"/>
                <w:highlight w:val="none"/>
                <w:lang w:val="en-US" w:eastAsia="zh-CN"/>
              </w:rPr>
              <w:t>2220</w:t>
            </w:r>
            <w:r>
              <w:rPr>
                <w:rFonts w:hint="default" w:ascii="Times New Roman" w:hAnsi="Times New Roman" w:eastAsia="宋体" w:cs="Times New Roman"/>
                <w:color w:val="auto"/>
                <w:highlight w:val="none"/>
                <w:lang w:val="en-US" w:eastAsia="zh-CN"/>
              </w:rPr>
              <w:t>0平方米</w:t>
            </w:r>
            <w:r>
              <w:rPr>
                <w:rFonts w:hint="default" w:ascii="Times New Roman" w:hAnsi="Times New Roman" w:cs="Times New Roman"/>
                <w:color w:val="auto"/>
                <w:lang w:val="en-US" w:eastAsia="zh-CN"/>
              </w:rPr>
              <w:t>）</w:t>
            </w:r>
            <w:r>
              <w:rPr>
                <w:rFonts w:hint="default" w:ascii="Times New Roman" w:hAnsi="Times New Roman" w:eastAsia="宋体" w:cs="Times New Roman"/>
                <w:color w:val="auto"/>
                <w:kern w:val="2"/>
                <w:sz w:val="24"/>
                <w:szCs w:val="24"/>
                <w:highlight w:val="none"/>
                <w:shd w:val="clear" w:color="auto" w:fill="auto"/>
                <w:lang w:val="en-US" w:eastAsia="zh-CN" w:bidi="ar-SA"/>
              </w:rPr>
              <w:t>，年产PET保护膜</w:t>
            </w:r>
            <w:r>
              <w:rPr>
                <w:rFonts w:hint="default" w:ascii="Times New Roman" w:hAnsi="Times New Roman" w:cs="Times New Roman"/>
                <w:color w:val="auto"/>
                <w:kern w:val="2"/>
                <w:sz w:val="24"/>
                <w:szCs w:val="24"/>
                <w:highlight w:val="none"/>
                <w:shd w:val="clear" w:color="auto" w:fill="auto"/>
                <w:lang w:val="en-US" w:eastAsia="zh-CN" w:bidi="ar-SA"/>
              </w:rPr>
              <w:t>2400万</w:t>
            </w:r>
            <w:r>
              <w:rPr>
                <w:rFonts w:hint="default" w:ascii="Times New Roman" w:hAnsi="Times New Roman" w:cs="Times New Roman"/>
                <w:color w:val="auto"/>
                <w:kern w:val="0"/>
                <w:sz w:val="24"/>
                <w:szCs w:val="24"/>
                <w:highlight w:val="none"/>
              </w:rPr>
              <w:t>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kern w:val="2"/>
                <w:sz w:val="24"/>
                <w:szCs w:val="24"/>
                <w:highlight w:val="none"/>
                <w:shd w:val="clear" w:color="auto" w:fill="auto"/>
                <w:lang w:val="en-US" w:eastAsia="zh-CN" w:bidi="ar-SA"/>
              </w:rPr>
              <w:t>、BOPP保护膜300万</w:t>
            </w:r>
            <w:r>
              <w:rPr>
                <w:rFonts w:hint="default" w:ascii="Times New Roman" w:hAnsi="Times New Roman" w:cs="Times New Roman"/>
                <w:color w:val="auto"/>
                <w:kern w:val="0"/>
                <w:sz w:val="24"/>
                <w:szCs w:val="24"/>
                <w:highlight w:val="none"/>
              </w:rPr>
              <w:t>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kern w:val="2"/>
                <w:sz w:val="24"/>
                <w:szCs w:val="24"/>
                <w:highlight w:val="none"/>
                <w:shd w:val="clear" w:color="auto" w:fill="auto"/>
                <w:lang w:val="en-US" w:eastAsia="zh-CN" w:bidi="ar-SA"/>
              </w:rPr>
              <w:t>、纸类标签材料100万</w:t>
            </w:r>
            <w:r>
              <w:rPr>
                <w:rFonts w:hint="default" w:ascii="Times New Roman" w:hAnsi="Times New Roman" w:cs="Times New Roman"/>
                <w:color w:val="auto"/>
                <w:kern w:val="0"/>
                <w:sz w:val="24"/>
                <w:szCs w:val="24"/>
                <w:highlight w:val="none"/>
              </w:rPr>
              <w:t>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kern w:val="2"/>
                <w:sz w:val="24"/>
                <w:szCs w:val="24"/>
                <w:highlight w:val="none"/>
                <w:shd w:val="clear" w:color="auto" w:fill="auto"/>
                <w:lang w:val="en-US" w:eastAsia="zh-CN" w:bidi="ar-SA"/>
              </w:rPr>
              <w:t>、聚氨酯高密度棉400t</w:t>
            </w:r>
            <w:r>
              <w:rPr>
                <w:rFonts w:hint="default" w:ascii="Times New Roman" w:hAnsi="Times New Roman" w:eastAsia="宋体" w:cs="Times New Roman"/>
                <w:color w:val="auto"/>
                <w:sz w:val="24"/>
                <w:szCs w:val="24"/>
                <w:highlight w:val="none"/>
                <w:shd w:val="clear" w:color="auto" w:fill="auto"/>
                <w:lang w:val="en-US" w:eastAsia="zh-CN"/>
              </w:rPr>
              <w:t>。总员工人数为</w:t>
            </w:r>
            <w:r>
              <w:rPr>
                <w:rFonts w:hint="default" w:ascii="Times New Roman" w:hAnsi="Times New Roman" w:cs="Times New Roman"/>
                <w:color w:val="auto"/>
                <w:sz w:val="24"/>
                <w:szCs w:val="24"/>
                <w:highlight w:val="none"/>
                <w:shd w:val="clear" w:color="auto" w:fill="auto"/>
                <w:lang w:val="en-US" w:eastAsia="zh-CN"/>
              </w:rPr>
              <w:t>150</w:t>
            </w:r>
            <w:r>
              <w:rPr>
                <w:rFonts w:hint="default" w:ascii="Times New Roman" w:hAnsi="Times New Roman" w:eastAsia="宋体" w:cs="Times New Roman"/>
                <w:color w:val="auto"/>
                <w:sz w:val="24"/>
                <w:szCs w:val="24"/>
                <w:highlight w:val="none"/>
                <w:shd w:val="clear" w:color="auto" w:fill="auto"/>
                <w:lang w:val="en-US" w:eastAsia="zh-CN"/>
              </w:rPr>
              <w:t>人</w:t>
            </w:r>
            <w:r>
              <w:rPr>
                <w:rFonts w:hint="default" w:ascii="Times New Roman" w:hAnsi="Times New Roman" w:cs="Times New Roman"/>
                <w:color w:val="auto"/>
                <w:sz w:val="24"/>
                <w:szCs w:val="24"/>
                <w:highlight w:val="none"/>
                <w:shd w:val="clear" w:color="auto" w:fill="auto"/>
                <w:lang w:val="en-US" w:eastAsia="zh-CN"/>
              </w:rPr>
              <w:t>，均在厂区内食宿，</w:t>
            </w:r>
            <w:r>
              <w:rPr>
                <w:rFonts w:hint="default" w:ascii="Times New Roman" w:hAnsi="Times New Roman" w:eastAsia="宋体" w:cs="Times New Roman"/>
                <w:color w:val="auto"/>
                <w:highlight w:val="none"/>
                <w:lang w:val="en-US" w:eastAsia="zh-CN"/>
              </w:rPr>
              <w:t>8小时</w:t>
            </w:r>
            <w:r>
              <w:rPr>
                <w:rFonts w:hint="default" w:ascii="Times New Roman" w:hAnsi="Times New Roman" w:cs="Times New Roman"/>
                <w:color w:val="auto"/>
                <w:highlight w:val="none"/>
                <w:lang w:val="en-US" w:eastAsia="zh-CN"/>
              </w:rPr>
              <w:t>1</w:t>
            </w:r>
            <w:r>
              <w:rPr>
                <w:rFonts w:hint="default" w:ascii="Times New Roman" w:hAnsi="Times New Roman" w:eastAsia="宋体" w:cs="Times New Roman"/>
                <w:color w:val="auto"/>
                <w:highlight w:val="none"/>
                <w:lang w:val="en-US" w:eastAsia="zh-CN"/>
              </w:rPr>
              <w:t>班制，</w:t>
            </w:r>
            <w:r>
              <w:rPr>
                <w:rFonts w:hint="default" w:ascii="Times New Roman" w:hAnsi="Times New Roman" w:eastAsia="宋体" w:cs="Times New Roman"/>
                <w:color w:val="auto"/>
                <w:sz w:val="24"/>
                <w:szCs w:val="24"/>
                <w:highlight w:val="none"/>
                <w:shd w:val="clear" w:color="auto" w:fill="auto"/>
                <w:lang w:val="en-US" w:eastAsia="zh-CN"/>
              </w:rPr>
              <w:t>年工作300天</w:t>
            </w:r>
            <w:r>
              <w:rPr>
                <w:rFonts w:hint="default" w:ascii="Times New Roman" w:hAnsi="Times New Roman" w:eastAsia="宋体" w:cs="Times New Roman"/>
                <w:color w:val="auto"/>
                <w:spacing w:val="-8"/>
                <w:kern w:val="0"/>
                <w:sz w:val="24"/>
                <w:szCs w:val="24"/>
                <w:highlight w:val="none"/>
                <w:shd w:val="clear" w:color="auto" w:fill="auto"/>
                <w:lang w:val="en-US" w:eastAsia="zh-CN" w:bidi="ar-SA"/>
              </w:rPr>
              <w:t>。</w:t>
            </w:r>
            <w:r>
              <w:rPr>
                <w:rFonts w:hint="default" w:ascii="Times New Roman" w:hAnsi="Times New Roman" w:cs="Times New Roman"/>
                <w:color w:val="auto"/>
                <w:spacing w:val="-8"/>
                <w:kern w:val="0"/>
                <w:sz w:val="24"/>
                <w:szCs w:val="24"/>
                <w:highlight w:val="none"/>
                <w:shd w:val="clear" w:color="auto" w:fill="auto"/>
                <w:lang w:val="en-US" w:eastAsia="zh-CN" w:bidi="ar-SA"/>
              </w:rPr>
              <w:t xml:space="preserve"> </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2、工程规模</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（1）建设规模</w:t>
            </w:r>
          </w:p>
          <w:p>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lang w:eastAsia="zh-CN"/>
              </w:rPr>
              <w:t>扩建</w:t>
            </w:r>
            <w:r>
              <w:rPr>
                <w:rFonts w:hint="default" w:ascii="Times New Roman" w:hAnsi="Times New Roman" w:cs="Times New Roman"/>
                <w:color w:val="auto"/>
              </w:rPr>
              <w:t>前后主要建筑物以及工程组成如下表所示。</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项目工程组成一览表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547"/>
              <w:gridCol w:w="969"/>
              <w:gridCol w:w="1941"/>
              <w:gridCol w:w="1466"/>
              <w:gridCol w:w="2187"/>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451"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工程类别</w:t>
                  </w: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建设</w:t>
                  </w:r>
                </w:p>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内容</w:t>
                  </w:r>
                </w:p>
              </w:tc>
              <w:tc>
                <w:tcPr>
                  <w:tcW w:w="1047"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rPr>
                    <w:t>前项目</w:t>
                  </w:r>
                </w:p>
              </w:tc>
              <w:tc>
                <w:tcPr>
                  <w:tcW w:w="791"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eastAsia="zh-CN"/>
                    </w:rPr>
                    <w:t>项目</w:t>
                  </w:r>
                </w:p>
              </w:tc>
              <w:tc>
                <w:tcPr>
                  <w:tcW w:w="1180"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后全厂</w:t>
                  </w:r>
                </w:p>
              </w:tc>
              <w:tc>
                <w:tcPr>
                  <w:tcW w:w="710"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451"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主体工程</w:t>
                  </w:r>
                </w:p>
              </w:tc>
              <w:tc>
                <w:tcPr>
                  <w:tcW w:w="818" w:type="pct"/>
                  <w:gridSpan w:val="2"/>
                  <w:vMerge w:val="restar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生产车间</w:t>
                  </w:r>
                  <w:r>
                    <w:rPr>
                      <w:rFonts w:hint="default" w:ascii="Times New Roman" w:hAnsi="Times New Roman" w:cs="Times New Roman"/>
                      <w:color w:val="auto"/>
                      <w:sz w:val="21"/>
                      <w:szCs w:val="21"/>
                      <w:highlight w:val="none"/>
                      <w:lang w:val="en-US" w:eastAsia="zh-CN"/>
                    </w:rPr>
                    <w:t>1</w:t>
                  </w:r>
                </w:p>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（共两层，总高14m，占地面积3450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lang w:val="en-US" w:eastAsia="zh-CN"/>
                    </w:rPr>
                    <w:t>，建筑面积6900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lang w:val="en-US" w:eastAsia="zh-CN"/>
                    </w:rPr>
                    <w:t>）</w:t>
                  </w:r>
                </w:p>
              </w:tc>
              <w:tc>
                <w:tcPr>
                  <w:tcW w:w="1047"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1F层高10m，建筑面积3450m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lang w:val="en-US" w:eastAsia="zh-CN"/>
                    </w:rPr>
                    <w:t>，主要为分切车间</w:t>
                  </w:r>
                  <w:r>
                    <w:rPr>
                      <w:rFonts w:hint="default" w:ascii="Times New Roman" w:hAnsi="Times New Roman" w:cs="Times New Roman"/>
                      <w:color w:val="auto"/>
                      <w:kern w:val="2"/>
                      <w:sz w:val="21"/>
                      <w:szCs w:val="21"/>
                      <w:highlight w:val="none"/>
                      <w:shd w:val="clear" w:color="auto" w:fill="auto"/>
                      <w:lang w:val="en-US" w:eastAsia="zh-CN" w:bidi="ar-SA"/>
                    </w:rPr>
                    <w:t>（1750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w:t>
                  </w:r>
                  <w:r>
                    <w:rPr>
                      <w:rFonts w:hint="default" w:ascii="Times New Roman" w:hAnsi="Times New Roman" w:cs="Times New Roman"/>
                      <w:color w:val="auto"/>
                      <w:sz w:val="21"/>
                      <w:szCs w:val="21"/>
                      <w:highlight w:val="none"/>
                      <w:shd w:val="clear" w:color="auto" w:fill="auto"/>
                      <w:lang w:val="en-US" w:eastAsia="zh-CN"/>
                    </w:rPr>
                    <w:t>和品检车间</w:t>
                  </w:r>
                  <w:r>
                    <w:rPr>
                      <w:rFonts w:hint="default" w:ascii="Times New Roman" w:hAnsi="Times New Roman" w:cs="Times New Roman"/>
                      <w:color w:val="auto"/>
                      <w:kern w:val="2"/>
                      <w:sz w:val="21"/>
                      <w:szCs w:val="21"/>
                      <w:highlight w:val="none"/>
                      <w:shd w:val="clear" w:color="auto" w:fill="auto"/>
                      <w:lang w:val="en-US" w:eastAsia="zh-CN" w:bidi="ar-SA"/>
                    </w:rPr>
                    <w:t>（1700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w:t>
                  </w:r>
                </w:p>
              </w:tc>
              <w:tc>
                <w:tcPr>
                  <w:tcW w:w="7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依托现有</w:t>
                  </w:r>
                </w:p>
              </w:tc>
              <w:tc>
                <w:tcPr>
                  <w:tcW w:w="1180" w:type="pct"/>
                  <w:noWrap w:val="0"/>
                  <w:vAlign w:val="center"/>
                </w:tcPr>
                <w:p>
                  <w:pPr>
                    <w:spacing w:line="240" w:lineRule="auto"/>
                    <w:ind w:firstLine="0" w:firstLineChars="0"/>
                    <w:jc w:val="center"/>
                    <w:rPr>
                      <w:rFonts w:hint="default" w:ascii="Times New Roman" w:hAnsi="Times New Roman" w:cs="Times New Roman"/>
                      <w:color w:val="auto"/>
                    </w:rPr>
                  </w:pPr>
                  <w:r>
                    <w:rPr>
                      <w:rFonts w:hint="default" w:ascii="Times New Roman" w:hAnsi="Times New Roman" w:cs="Times New Roman"/>
                      <w:color w:val="auto"/>
                      <w:sz w:val="21"/>
                      <w:szCs w:val="21"/>
                      <w:highlight w:val="none"/>
                      <w:shd w:val="clear" w:color="auto" w:fill="auto"/>
                      <w:lang w:val="en-US" w:eastAsia="zh-CN"/>
                    </w:rPr>
                    <w:t>主要为分切车间</w:t>
                  </w:r>
                  <w:r>
                    <w:rPr>
                      <w:rFonts w:hint="default" w:ascii="Times New Roman" w:hAnsi="Times New Roman" w:cs="Times New Roman"/>
                      <w:color w:val="auto"/>
                      <w:kern w:val="2"/>
                      <w:sz w:val="21"/>
                      <w:szCs w:val="21"/>
                      <w:highlight w:val="none"/>
                      <w:shd w:val="clear" w:color="auto" w:fill="auto"/>
                      <w:lang w:val="en-US" w:eastAsia="zh-CN" w:bidi="ar-SA"/>
                    </w:rPr>
                    <w:t>（1750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w:t>
                  </w:r>
                  <w:r>
                    <w:rPr>
                      <w:rFonts w:hint="default" w:ascii="Times New Roman" w:hAnsi="Times New Roman" w:cs="Times New Roman"/>
                      <w:color w:val="auto"/>
                      <w:sz w:val="21"/>
                      <w:szCs w:val="21"/>
                      <w:highlight w:val="none"/>
                      <w:shd w:val="clear" w:color="auto" w:fill="auto"/>
                      <w:lang w:val="en-US" w:eastAsia="zh-CN"/>
                    </w:rPr>
                    <w:t>和品检车间</w:t>
                  </w:r>
                  <w:r>
                    <w:rPr>
                      <w:rFonts w:hint="default" w:ascii="Times New Roman" w:hAnsi="Times New Roman" w:cs="Times New Roman"/>
                      <w:color w:val="auto"/>
                      <w:kern w:val="2"/>
                      <w:sz w:val="21"/>
                      <w:szCs w:val="21"/>
                      <w:highlight w:val="none"/>
                      <w:shd w:val="clear" w:color="auto" w:fill="auto"/>
                      <w:lang w:val="en-US" w:eastAsia="zh-CN" w:bidi="ar-SA"/>
                    </w:rPr>
                    <w:t>（1700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w:t>
                  </w:r>
                </w:p>
              </w:tc>
              <w:tc>
                <w:tcPr>
                  <w:tcW w:w="710"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818"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047"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2F层高4m，建筑面积3450m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lang w:val="en-US" w:eastAsia="zh-CN"/>
                    </w:rPr>
                    <w:t>，主要为办公室</w:t>
                  </w:r>
                </w:p>
              </w:tc>
              <w:tc>
                <w:tcPr>
                  <w:tcW w:w="7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依托现有</w:t>
                  </w:r>
                </w:p>
              </w:tc>
              <w:tc>
                <w:tcPr>
                  <w:tcW w:w="1180"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主要为办公室（3450m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lang w:val="en-US" w:eastAsia="zh-CN"/>
                    </w:rPr>
                    <w:t>）</w:t>
                  </w:r>
                </w:p>
              </w:tc>
              <w:tc>
                <w:tcPr>
                  <w:tcW w:w="710" w:type="pct"/>
                  <w:noWrap w:val="0"/>
                  <w:vAlign w:val="center"/>
                </w:tcPr>
                <w:p>
                  <w:pPr>
                    <w:spacing w:line="240" w:lineRule="auto"/>
                    <w:ind w:firstLine="0" w:firstLine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shd w:val="clear" w:color="auto" w:fill="auto"/>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818" w:type="pct"/>
                  <w:gridSpan w:val="2"/>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生产车间</w:t>
                  </w:r>
                  <w:r>
                    <w:rPr>
                      <w:rFonts w:hint="default" w:ascii="Times New Roman" w:hAnsi="Times New Roman" w:cs="Times New Roman"/>
                      <w:color w:val="auto"/>
                      <w:sz w:val="21"/>
                      <w:szCs w:val="21"/>
                      <w:highlight w:val="none"/>
                      <w:lang w:val="en-US" w:eastAsia="zh-CN"/>
                    </w:rPr>
                    <w:t>2</w:t>
                  </w:r>
                </w:p>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（共一层，总高10m，占地面积5400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lang w:val="en-US" w:eastAsia="zh-CN"/>
                    </w:rPr>
                    <w:t>，建筑面积5400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lang w:val="en-US" w:eastAsia="zh-CN"/>
                    </w:rPr>
                    <w:t>）</w:t>
                  </w:r>
                </w:p>
              </w:tc>
              <w:tc>
                <w:tcPr>
                  <w:tcW w:w="1047" w:type="pct"/>
                  <w:noWrap w:val="0"/>
                  <w:vAlign w:val="center"/>
                </w:tcPr>
                <w:p>
                  <w:pPr>
                    <w:spacing w:line="240" w:lineRule="auto"/>
                    <w:ind w:firstLine="0" w:firstLineChars="0"/>
                    <w:jc w:val="center"/>
                    <w:rPr>
                      <w:rFonts w:hint="default" w:ascii="Times New Roman" w:hAnsi="Times New Roman"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层高10m，</w:t>
                  </w:r>
                </w:p>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主要为调胶车间（800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）、涂布车间1（3600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）和闲置区（1000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w:t>
                  </w:r>
                </w:p>
              </w:tc>
              <w:tc>
                <w:tcPr>
                  <w:tcW w:w="7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拟在闲置区</w:t>
                  </w:r>
                  <w:r>
                    <w:rPr>
                      <w:rFonts w:hint="default" w:ascii="Times New Roman" w:hAnsi="Times New Roman" w:cs="Times New Roman"/>
                      <w:color w:val="auto"/>
                      <w:kern w:val="2"/>
                      <w:sz w:val="21"/>
                      <w:szCs w:val="21"/>
                      <w:highlight w:val="none"/>
                      <w:lang w:val="en-US" w:eastAsia="zh-CN" w:bidi="ar-SA"/>
                    </w:rPr>
                    <w:t>新增1个聚氨酯高密度棉生产车间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占地面积1000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t>主要为调胶车间（800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）、涂布车间1（3600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）和聚氨酯高密度棉生产车间（1000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shd w:val="clear" w:color="auto" w:fill="auto"/>
                      <w:lang w:val="en-US" w:eastAsia="zh-CN" w:bidi="ar-SA"/>
                    </w:rPr>
                    <w:t>）</w:t>
                  </w:r>
                </w:p>
              </w:tc>
              <w:tc>
                <w:tcPr>
                  <w:tcW w:w="71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lang w:val="en-US" w:eastAsia="zh-CN" w:bidi="ar-SA"/>
                    </w:rPr>
                    <w:t>拟在闲置区</w:t>
                  </w:r>
                  <w:r>
                    <w:rPr>
                      <w:rFonts w:hint="default" w:ascii="Times New Roman" w:hAnsi="Times New Roman" w:cs="Times New Roman"/>
                      <w:color w:val="auto"/>
                      <w:kern w:val="2"/>
                      <w:sz w:val="21"/>
                      <w:szCs w:val="21"/>
                      <w:highlight w:val="none"/>
                      <w:lang w:val="en-US" w:eastAsia="zh-CN" w:bidi="ar-SA"/>
                    </w:rPr>
                    <w:t>新增1个聚氨酯高密度棉生产车间</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lang w:val="en-US" w:eastAsia="zh-CN"/>
                    </w:rPr>
                    <w:t>占地面积1000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51"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储运工程</w:t>
                  </w: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原料仓库</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原料仓库，</w:t>
                  </w:r>
                  <w:r>
                    <w:rPr>
                      <w:rFonts w:hint="default" w:ascii="Times New Roman" w:hAnsi="Times New Roman" w:cs="Times New Roman"/>
                      <w:color w:val="auto"/>
                      <w:kern w:val="2"/>
                      <w:sz w:val="21"/>
                      <w:szCs w:val="21"/>
                      <w:highlight w:val="none"/>
                      <w:shd w:val="clear" w:color="auto" w:fill="auto"/>
                      <w:lang w:val="en-US" w:eastAsia="zh-CN" w:bidi="ar-SA"/>
                    </w:rPr>
                    <w:t>层高10m，</w:t>
                  </w:r>
                  <w:r>
                    <w:rPr>
                      <w:rFonts w:hint="default" w:ascii="Times New Roman" w:hAnsi="Times New Roman" w:cs="Times New Roman"/>
                      <w:color w:val="auto"/>
                      <w:sz w:val="21"/>
                      <w:szCs w:val="21"/>
                      <w:highlight w:val="none"/>
                      <w:shd w:val="clear" w:color="auto" w:fill="auto"/>
                      <w:lang w:val="en-US" w:eastAsia="zh-CN"/>
                    </w:rPr>
                    <w:t>建筑面积30</w:t>
                  </w:r>
                  <w:r>
                    <w:rPr>
                      <w:rFonts w:hint="default" w:ascii="Times New Roman" w:hAnsi="Times New Roman" w:cs="Times New Roman"/>
                      <w:color w:val="auto"/>
                      <w:sz w:val="21"/>
                      <w:szCs w:val="21"/>
                      <w:highlight w:val="none"/>
                      <w:lang w:val="en-US" w:eastAsia="zh-CN"/>
                    </w:rPr>
                    <w:t>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91"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调整原料仓库和成品仓库布局，空出2000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lang w:val="en-US" w:eastAsia="zh-CN" w:bidi="ar-SA"/>
                    </w:rPr>
                    <w:t>新增一个涂布车间2</w:t>
                  </w:r>
                </w:p>
              </w:tc>
              <w:tc>
                <w:tcPr>
                  <w:tcW w:w="1180" w:type="pct"/>
                  <w:vMerge w:val="restart"/>
                  <w:noWrap w:val="0"/>
                  <w:vAlign w:val="center"/>
                </w:tcPr>
                <w:p>
                  <w:pPr>
                    <w:spacing w:line="240" w:lineRule="auto"/>
                    <w:ind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原料仓库</w:t>
                  </w:r>
                  <w:r>
                    <w:rPr>
                      <w:rFonts w:hint="default" w:ascii="Times New Roman" w:hAnsi="Times New Roman" w:cs="Times New Roman"/>
                      <w:color w:val="auto"/>
                      <w:sz w:val="21"/>
                      <w:szCs w:val="21"/>
                      <w:highlight w:val="none"/>
                      <w:shd w:val="clear" w:color="auto" w:fill="auto"/>
                      <w:lang w:val="en-US" w:eastAsia="zh-CN"/>
                    </w:rPr>
                    <w:t>建筑面积20</w:t>
                  </w:r>
                  <w:r>
                    <w:rPr>
                      <w:rFonts w:hint="default" w:ascii="Times New Roman" w:hAnsi="Times New Roman" w:cs="Times New Roman"/>
                      <w:color w:val="auto"/>
                      <w:sz w:val="21"/>
                      <w:szCs w:val="21"/>
                      <w:highlight w:val="none"/>
                      <w:lang w:val="en-US" w:eastAsia="zh-CN"/>
                    </w:rPr>
                    <w:t>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vertAlign w:val="baseline"/>
                      <w:lang w:val="en-US" w:eastAsia="zh-CN"/>
                    </w:rPr>
                    <w:t>；</w:t>
                  </w:r>
                  <w:r>
                    <w:rPr>
                      <w:rFonts w:hint="default" w:ascii="Times New Roman" w:hAnsi="Times New Roman" w:cs="Times New Roman"/>
                      <w:color w:val="auto"/>
                      <w:sz w:val="21"/>
                      <w:szCs w:val="21"/>
                      <w:highlight w:val="none"/>
                      <w:lang w:val="en-US" w:eastAsia="zh-CN"/>
                    </w:rPr>
                    <w:t>成品仓库</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sz w:val="21"/>
                      <w:szCs w:val="21"/>
                      <w:highlight w:val="none"/>
                      <w:lang w:val="en-US" w:eastAsia="zh-CN"/>
                    </w:rPr>
                    <w:t>2400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sz w:val="21"/>
                      <w:szCs w:val="21"/>
                      <w:highlight w:val="none"/>
                      <w:shd w:val="clear" w:color="auto" w:fill="auto"/>
                      <w:vertAlign w:val="baseline"/>
                      <w:lang w:val="en-US" w:eastAsia="zh-CN"/>
                    </w:rPr>
                    <w:t>；</w:t>
                  </w:r>
                  <w:r>
                    <w:rPr>
                      <w:rFonts w:hint="default" w:ascii="Times New Roman" w:hAnsi="Times New Roman" w:cs="Times New Roman"/>
                      <w:color w:val="auto"/>
                      <w:kern w:val="2"/>
                      <w:sz w:val="21"/>
                      <w:szCs w:val="21"/>
                      <w:highlight w:val="none"/>
                      <w:lang w:val="en-US" w:eastAsia="zh-CN" w:bidi="ar-SA"/>
                    </w:rPr>
                    <w:t>涂布车间2</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sz w:val="21"/>
                      <w:szCs w:val="21"/>
                      <w:highlight w:val="none"/>
                      <w:lang w:val="en-US" w:eastAsia="zh-CN"/>
                    </w:rPr>
                    <w:t>2000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10"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调整原料仓库和成品仓库布局，空出2000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r>
                    <w:rPr>
                      <w:rFonts w:hint="default" w:ascii="Times New Roman" w:hAnsi="Times New Roman" w:cs="Times New Roman"/>
                      <w:color w:val="auto"/>
                      <w:kern w:val="2"/>
                      <w:sz w:val="21"/>
                      <w:szCs w:val="21"/>
                      <w:highlight w:val="none"/>
                      <w:lang w:val="en-US" w:eastAsia="zh-CN" w:bidi="ar-SA"/>
                    </w:rPr>
                    <w:t>新增一个涂布车间2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18" w:type="pct"/>
                  <w:gridSpan w:val="2"/>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成品仓库</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lang w:val="en-US" w:eastAsia="zh-CN"/>
                    </w:rPr>
                    <w:t>成品仓库，</w:t>
                  </w:r>
                  <w:r>
                    <w:rPr>
                      <w:rFonts w:hint="default" w:ascii="Times New Roman" w:hAnsi="Times New Roman" w:cs="Times New Roman"/>
                      <w:color w:val="auto"/>
                      <w:kern w:val="2"/>
                      <w:sz w:val="21"/>
                      <w:szCs w:val="21"/>
                      <w:highlight w:val="none"/>
                      <w:shd w:val="clear" w:color="auto" w:fill="auto"/>
                      <w:lang w:val="en-US" w:eastAsia="zh-CN" w:bidi="ar-SA"/>
                    </w:rPr>
                    <w:t>层高10m，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sz w:val="21"/>
                      <w:szCs w:val="21"/>
                      <w:highlight w:val="none"/>
                      <w:lang w:val="en-US" w:eastAsia="zh-CN"/>
                    </w:rPr>
                    <w:t>3400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9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118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p>
              </w:tc>
              <w:tc>
                <w:tcPr>
                  <w:tcW w:w="710"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18" w:type="pct"/>
                  <w:gridSpan w:val="2"/>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化学品仓库</w:t>
                  </w:r>
                </w:p>
              </w:tc>
              <w:tc>
                <w:tcPr>
                  <w:tcW w:w="1047"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设有一个单层化学品仓库，</w:t>
                  </w:r>
                  <w:r>
                    <w:rPr>
                      <w:rFonts w:hint="default" w:ascii="Times New Roman" w:hAnsi="Times New Roman" w:cs="Times New Roman"/>
                      <w:color w:val="auto"/>
                      <w:kern w:val="2"/>
                      <w:sz w:val="21"/>
                      <w:szCs w:val="21"/>
                      <w:highlight w:val="none"/>
                      <w:shd w:val="clear" w:color="auto" w:fill="auto"/>
                      <w:lang w:val="en-US" w:eastAsia="zh-CN" w:bidi="ar-SA"/>
                    </w:rPr>
                    <w:t>层高4m，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sz w:val="21"/>
                      <w:szCs w:val="21"/>
                      <w:highlight w:val="none"/>
                      <w:lang w:val="en-US" w:eastAsia="zh-CN"/>
                    </w:rPr>
                    <w:t>480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91" w:type="pct"/>
                  <w:noWrap w:val="0"/>
                  <w:vAlign w:val="center"/>
                </w:tcPr>
                <w:p>
                  <w:pPr>
                    <w:spacing w:line="240" w:lineRule="auto"/>
                    <w:ind w:firstLine="0" w:firstLine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依托现有</w:t>
                  </w:r>
                </w:p>
              </w:tc>
              <w:tc>
                <w:tcPr>
                  <w:tcW w:w="1180"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化学品仓库，</w:t>
                  </w:r>
                  <w:r>
                    <w:rPr>
                      <w:rFonts w:hint="default" w:ascii="Times New Roman" w:hAnsi="Times New Roman" w:cs="Times New Roman"/>
                      <w:color w:val="auto"/>
                      <w:kern w:val="2"/>
                      <w:sz w:val="21"/>
                      <w:szCs w:val="21"/>
                      <w:highlight w:val="none"/>
                      <w:shd w:val="clear" w:color="auto" w:fill="auto"/>
                      <w:lang w:val="en-US" w:eastAsia="zh-CN" w:bidi="ar-SA"/>
                    </w:rPr>
                    <w:t>层高4m，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sz w:val="21"/>
                      <w:szCs w:val="21"/>
                      <w:highlight w:val="none"/>
                      <w:lang w:val="en-US" w:eastAsia="zh-CN"/>
                    </w:rPr>
                    <w:t>480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10" w:type="pct"/>
                  <w:noWrap w:val="0"/>
                  <w:vAlign w:val="center"/>
                </w:tcPr>
                <w:p>
                  <w:pPr>
                    <w:spacing w:line="240" w:lineRule="auto"/>
                    <w:ind w:firstLine="0" w:firstLineChars="0"/>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危废仓库</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设有一个单层危废仓库，</w:t>
                  </w:r>
                  <w:r>
                    <w:rPr>
                      <w:rFonts w:hint="default" w:ascii="Times New Roman" w:hAnsi="Times New Roman" w:cs="Times New Roman"/>
                      <w:color w:val="auto"/>
                      <w:kern w:val="2"/>
                      <w:sz w:val="21"/>
                      <w:szCs w:val="21"/>
                      <w:highlight w:val="none"/>
                      <w:shd w:val="clear" w:color="auto" w:fill="auto"/>
                      <w:lang w:val="en-US" w:eastAsia="zh-CN" w:bidi="ar-SA"/>
                    </w:rPr>
                    <w:t>层高4m，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kern w:val="2"/>
                      <w:sz w:val="21"/>
                      <w:szCs w:val="21"/>
                      <w:highlight w:val="none"/>
                      <w:lang w:val="en-US" w:eastAsia="zh-CN" w:bidi="ar-SA"/>
                    </w:rPr>
                    <w:t>30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91"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kern w:val="2"/>
                      <w:sz w:val="21"/>
                      <w:szCs w:val="21"/>
                      <w:highlight w:val="none"/>
                      <w:lang w:val="en-US" w:eastAsia="zh-CN" w:bidi="ar-SA"/>
                    </w:rPr>
                    <w:t>依托现有</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lang w:val="en-US" w:eastAsia="zh-CN"/>
                    </w:rPr>
                    <w:t>危废仓库，</w:t>
                  </w:r>
                  <w:r>
                    <w:rPr>
                      <w:rFonts w:hint="default" w:ascii="Times New Roman" w:hAnsi="Times New Roman" w:cs="Times New Roman"/>
                      <w:color w:val="auto"/>
                      <w:kern w:val="2"/>
                      <w:sz w:val="21"/>
                      <w:szCs w:val="21"/>
                      <w:highlight w:val="none"/>
                      <w:shd w:val="clear" w:color="auto" w:fill="auto"/>
                      <w:lang w:val="en-US" w:eastAsia="zh-CN" w:bidi="ar-SA"/>
                    </w:rPr>
                    <w:t>层高4m，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kern w:val="2"/>
                      <w:sz w:val="21"/>
                      <w:szCs w:val="21"/>
                      <w:highlight w:val="none"/>
                      <w:lang w:val="en-US" w:eastAsia="zh-CN" w:bidi="ar-SA"/>
                    </w:rPr>
                    <w:t>30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10"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51"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辅助工程</w:t>
                  </w: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员工宿舍</w:t>
                  </w:r>
                </w:p>
              </w:tc>
              <w:tc>
                <w:tcPr>
                  <w:tcW w:w="1047"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b w:val="0"/>
                      <w:bCs w:val="0"/>
                      <w:color w:val="auto"/>
                      <w:kern w:val="2"/>
                      <w:sz w:val="21"/>
                      <w:szCs w:val="21"/>
                      <w:highlight w:val="none"/>
                      <w:lang w:val="en-US" w:eastAsia="zh-CN" w:bidi="ar-SA"/>
                    </w:rPr>
                    <w:t>共6层，</w:t>
                  </w:r>
                  <w:r>
                    <w:rPr>
                      <w:rFonts w:hint="default" w:ascii="Times New Roman" w:hAnsi="Times New Roman" w:cs="Times New Roman"/>
                      <w:b w:val="0"/>
                      <w:bCs w:val="0"/>
                      <w:color w:val="auto"/>
                      <w:sz w:val="21"/>
                      <w:szCs w:val="21"/>
                      <w:highlight w:val="none"/>
                      <w:shd w:val="clear" w:color="auto" w:fill="auto"/>
                      <w:lang w:val="en-US" w:eastAsia="zh-CN"/>
                    </w:rPr>
                    <w:t>总高19m。</w:t>
                  </w:r>
                  <w:r>
                    <w:rPr>
                      <w:rFonts w:hint="default" w:ascii="Times New Roman" w:hAnsi="Times New Roman" w:cs="Times New Roman"/>
                      <w:b w:val="0"/>
                      <w:bCs w:val="0"/>
                      <w:color w:val="auto"/>
                      <w:kern w:val="2"/>
                      <w:sz w:val="21"/>
                      <w:szCs w:val="21"/>
                      <w:highlight w:val="none"/>
                      <w:lang w:val="en-US" w:eastAsia="zh-CN" w:bidi="ar-SA"/>
                    </w:rPr>
                    <w:t>占地面积</w:t>
                  </w:r>
                  <w:r>
                    <w:rPr>
                      <w:rFonts w:hint="default" w:ascii="Times New Roman" w:hAnsi="Times New Roman" w:cs="Times New Roman"/>
                      <w:b w:val="0"/>
                      <w:bCs w:val="0"/>
                      <w:color w:val="auto"/>
                      <w:sz w:val="21"/>
                      <w:szCs w:val="21"/>
                      <w:highlight w:val="none"/>
                      <w:shd w:val="clear" w:color="auto" w:fill="auto"/>
                      <w:lang w:val="en-US" w:eastAsia="zh-CN"/>
                    </w:rPr>
                    <w:t>450m</w:t>
                  </w:r>
                  <w:r>
                    <w:rPr>
                      <w:rFonts w:hint="default" w:ascii="Times New Roman" w:hAnsi="Times New Roman" w:cs="Times New Roman"/>
                      <w:b w:val="0"/>
                      <w:bCs w:val="0"/>
                      <w:color w:val="auto"/>
                      <w:sz w:val="21"/>
                      <w:szCs w:val="21"/>
                      <w:highlight w:val="none"/>
                      <w:shd w:val="clear" w:color="auto" w:fill="auto"/>
                      <w:vertAlign w:val="superscript"/>
                      <w:lang w:val="en-US" w:eastAsia="zh-CN"/>
                    </w:rPr>
                    <w:t>2</w:t>
                  </w:r>
                  <w:r>
                    <w:rPr>
                      <w:rFonts w:hint="default" w:ascii="Times New Roman" w:hAnsi="Times New Roman" w:cs="Times New Roman"/>
                      <w:b w:val="0"/>
                      <w:bCs w:val="0"/>
                      <w:color w:val="auto"/>
                      <w:sz w:val="21"/>
                      <w:szCs w:val="21"/>
                      <w:highlight w:val="none"/>
                      <w:shd w:val="clear" w:color="auto" w:fill="auto"/>
                      <w:lang w:val="en-US" w:eastAsia="zh-CN"/>
                    </w:rPr>
                    <w:t>，建筑面积2843m</w:t>
                  </w:r>
                  <w:r>
                    <w:rPr>
                      <w:rFonts w:hint="default" w:ascii="Times New Roman" w:hAnsi="Times New Roman" w:cs="Times New Roman"/>
                      <w:b w:val="0"/>
                      <w:bCs w:val="0"/>
                      <w:color w:val="auto"/>
                      <w:sz w:val="21"/>
                      <w:szCs w:val="21"/>
                      <w:highlight w:val="none"/>
                      <w:shd w:val="clear" w:color="auto" w:fill="auto"/>
                      <w:vertAlign w:val="superscript"/>
                      <w:lang w:val="en-US" w:eastAsia="zh-CN"/>
                    </w:rPr>
                    <w:t>2</w:t>
                  </w:r>
                </w:p>
              </w:tc>
              <w:tc>
                <w:tcPr>
                  <w:tcW w:w="791"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w:t>
                  </w:r>
                </w:p>
              </w:tc>
              <w:tc>
                <w:tcPr>
                  <w:tcW w:w="1180"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b w:val="0"/>
                      <w:bCs w:val="0"/>
                      <w:color w:val="auto"/>
                      <w:kern w:val="2"/>
                      <w:sz w:val="21"/>
                      <w:szCs w:val="21"/>
                      <w:highlight w:val="none"/>
                      <w:lang w:val="en-US" w:eastAsia="zh-CN" w:bidi="ar-SA"/>
                    </w:rPr>
                    <w:t>共6层，</w:t>
                  </w:r>
                  <w:r>
                    <w:rPr>
                      <w:rFonts w:hint="default" w:ascii="Times New Roman" w:hAnsi="Times New Roman" w:cs="Times New Roman"/>
                      <w:b w:val="0"/>
                      <w:bCs w:val="0"/>
                      <w:color w:val="auto"/>
                      <w:sz w:val="21"/>
                      <w:szCs w:val="21"/>
                      <w:highlight w:val="none"/>
                      <w:shd w:val="clear" w:color="auto" w:fill="auto"/>
                      <w:lang w:val="en-US" w:eastAsia="zh-CN"/>
                    </w:rPr>
                    <w:t>总高19m。</w:t>
                  </w:r>
                  <w:r>
                    <w:rPr>
                      <w:rFonts w:hint="default" w:ascii="Times New Roman" w:hAnsi="Times New Roman" w:cs="Times New Roman"/>
                      <w:b w:val="0"/>
                      <w:bCs w:val="0"/>
                      <w:color w:val="auto"/>
                      <w:kern w:val="2"/>
                      <w:sz w:val="21"/>
                      <w:szCs w:val="21"/>
                      <w:highlight w:val="none"/>
                      <w:lang w:val="en-US" w:eastAsia="zh-CN" w:bidi="ar-SA"/>
                    </w:rPr>
                    <w:t>占地面积</w:t>
                  </w:r>
                  <w:r>
                    <w:rPr>
                      <w:rFonts w:hint="default" w:ascii="Times New Roman" w:hAnsi="Times New Roman" w:cs="Times New Roman"/>
                      <w:b w:val="0"/>
                      <w:bCs w:val="0"/>
                      <w:color w:val="auto"/>
                      <w:sz w:val="21"/>
                      <w:szCs w:val="21"/>
                      <w:highlight w:val="none"/>
                      <w:shd w:val="clear" w:color="auto" w:fill="auto"/>
                      <w:lang w:val="en-US" w:eastAsia="zh-CN"/>
                    </w:rPr>
                    <w:t>450m</w:t>
                  </w:r>
                  <w:r>
                    <w:rPr>
                      <w:rFonts w:hint="default" w:ascii="Times New Roman" w:hAnsi="Times New Roman" w:cs="Times New Roman"/>
                      <w:b w:val="0"/>
                      <w:bCs w:val="0"/>
                      <w:color w:val="auto"/>
                      <w:sz w:val="21"/>
                      <w:szCs w:val="21"/>
                      <w:highlight w:val="none"/>
                      <w:shd w:val="clear" w:color="auto" w:fill="auto"/>
                      <w:vertAlign w:val="superscript"/>
                      <w:lang w:val="en-US" w:eastAsia="zh-CN"/>
                    </w:rPr>
                    <w:t>2</w:t>
                  </w:r>
                  <w:r>
                    <w:rPr>
                      <w:rFonts w:hint="default" w:ascii="Times New Roman" w:hAnsi="Times New Roman" w:cs="Times New Roman"/>
                      <w:b w:val="0"/>
                      <w:bCs w:val="0"/>
                      <w:color w:val="auto"/>
                      <w:sz w:val="21"/>
                      <w:szCs w:val="21"/>
                      <w:highlight w:val="none"/>
                      <w:shd w:val="clear" w:color="auto" w:fill="auto"/>
                      <w:lang w:val="en-US" w:eastAsia="zh-CN"/>
                    </w:rPr>
                    <w:t>，建筑面积2843m</w:t>
                  </w:r>
                  <w:r>
                    <w:rPr>
                      <w:rFonts w:hint="default" w:ascii="Times New Roman" w:hAnsi="Times New Roman" w:cs="Times New Roman"/>
                      <w:b w:val="0"/>
                      <w:bCs w:val="0"/>
                      <w:color w:val="auto"/>
                      <w:sz w:val="21"/>
                      <w:szCs w:val="21"/>
                      <w:highlight w:val="none"/>
                      <w:shd w:val="clear" w:color="auto" w:fill="auto"/>
                      <w:vertAlign w:val="superscript"/>
                      <w:lang w:val="en-US" w:eastAsia="zh-CN"/>
                    </w:rPr>
                    <w:t>2</w:t>
                  </w:r>
                </w:p>
              </w:tc>
              <w:tc>
                <w:tcPr>
                  <w:tcW w:w="710"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食堂</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shd w:val="clear" w:color="auto" w:fill="auto"/>
                      <w:lang w:val="en-US" w:eastAsia="zh-CN"/>
                    </w:rPr>
                    <w:t>位于</w:t>
                  </w:r>
                  <w:r>
                    <w:rPr>
                      <w:rFonts w:hint="default" w:ascii="Times New Roman" w:hAnsi="Times New Roman"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default" w:ascii="Times New Roman" w:hAnsi="Times New Roman" w:cs="Times New Roman"/>
                      <w:color w:val="auto"/>
                      <w:sz w:val="21"/>
                      <w:szCs w:val="21"/>
                      <w:highlight w:val="none"/>
                      <w:lang w:val="en-US" w:eastAsia="zh-CN"/>
                    </w:rPr>
                    <w:t>1F，</w:t>
                  </w:r>
                  <w:r>
                    <w:rPr>
                      <w:rFonts w:hint="default" w:ascii="Times New Roman" w:hAnsi="Times New Roman" w:cs="Times New Roman"/>
                      <w:b w:val="0"/>
                      <w:bCs w:val="0"/>
                      <w:color w:val="auto"/>
                      <w:sz w:val="21"/>
                      <w:szCs w:val="21"/>
                      <w:highlight w:val="none"/>
                      <w:shd w:val="clear" w:color="auto" w:fill="auto"/>
                      <w:lang w:val="en-US" w:eastAsia="zh-CN"/>
                    </w:rPr>
                    <w:t>建筑面积</w:t>
                  </w:r>
                  <w:r>
                    <w:rPr>
                      <w:rFonts w:hint="default" w:ascii="Times New Roman" w:hAnsi="Times New Roman" w:cs="Times New Roman"/>
                      <w:b w:val="0"/>
                      <w:bCs w:val="0"/>
                      <w:color w:val="auto"/>
                      <w:kern w:val="2"/>
                      <w:sz w:val="21"/>
                      <w:szCs w:val="21"/>
                      <w:highlight w:val="none"/>
                      <w:lang w:val="en-US" w:eastAsia="zh-CN" w:bidi="ar-SA"/>
                    </w:rPr>
                    <w:t>450</w:t>
                  </w:r>
                  <w:r>
                    <w:rPr>
                      <w:rFonts w:hint="default" w:ascii="Times New Roman" w:hAnsi="Times New Roman" w:cs="Times New Roman"/>
                      <w:b w:val="0"/>
                      <w:bCs w:val="0"/>
                      <w:color w:val="auto"/>
                      <w:sz w:val="21"/>
                      <w:szCs w:val="21"/>
                      <w:highlight w:val="none"/>
                      <w:shd w:val="clear" w:color="auto" w:fill="auto"/>
                      <w:lang w:val="en-US" w:eastAsia="zh-CN"/>
                    </w:rPr>
                    <w:t>m</w:t>
                  </w:r>
                  <w:r>
                    <w:rPr>
                      <w:rFonts w:hint="default" w:ascii="Times New Roman" w:hAnsi="Times New Roman" w:cs="Times New Roman"/>
                      <w:b w:val="0"/>
                      <w:bCs w:val="0"/>
                      <w:color w:val="auto"/>
                      <w:sz w:val="21"/>
                      <w:szCs w:val="21"/>
                      <w:highlight w:val="none"/>
                      <w:shd w:val="clear" w:color="auto" w:fill="auto"/>
                      <w:vertAlign w:val="superscript"/>
                      <w:lang w:val="en-US" w:eastAsia="zh-CN"/>
                    </w:rPr>
                    <w:t>2</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shd w:val="clear" w:color="auto" w:fill="auto"/>
                      <w:lang w:val="en-US" w:eastAsia="zh-CN"/>
                    </w:rPr>
                    <w:t>位于</w:t>
                  </w:r>
                  <w:r>
                    <w:rPr>
                      <w:rFonts w:hint="default" w:ascii="Times New Roman" w:hAnsi="Times New Roman"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default" w:ascii="Times New Roman" w:hAnsi="Times New Roman" w:cs="Times New Roman"/>
                      <w:color w:val="auto"/>
                      <w:sz w:val="21"/>
                      <w:szCs w:val="21"/>
                      <w:highlight w:val="none"/>
                      <w:lang w:val="en-US" w:eastAsia="zh-CN"/>
                    </w:rPr>
                    <w:t>1F，</w:t>
                  </w:r>
                  <w:r>
                    <w:rPr>
                      <w:rFonts w:hint="default" w:ascii="Times New Roman" w:hAnsi="Times New Roman" w:cs="Times New Roman"/>
                      <w:b w:val="0"/>
                      <w:bCs w:val="0"/>
                      <w:color w:val="auto"/>
                      <w:sz w:val="21"/>
                      <w:szCs w:val="21"/>
                      <w:highlight w:val="none"/>
                      <w:shd w:val="clear" w:color="auto" w:fill="auto"/>
                      <w:lang w:val="en-US" w:eastAsia="zh-CN"/>
                    </w:rPr>
                    <w:t>建筑面积</w:t>
                  </w:r>
                  <w:r>
                    <w:rPr>
                      <w:rFonts w:hint="default" w:ascii="Times New Roman" w:hAnsi="Times New Roman" w:cs="Times New Roman"/>
                      <w:b w:val="0"/>
                      <w:bCs w:val="0"/>
                      <w:color w:val="auto"/>
                      <w:kern w:val="2"/>
                      <w:sz w:val="21"/>
                      <w:szCs w:val="21"/>
                      <w:highlight w:val="none"/>
                      <w:lang w:val="en-US" w:eastAsia="zh-CN" w:bidi="ar-SA"/>
                    </w:rPr>
                    <w:t>450</w:t>
                  </w:r>
                  <w:r>
                    <w:rPr>
                      <w:rFonts w:hint="default" w:ascii="Times New Roman" w:hAnsi="Times New Roman" w:cs="Times New Roman"/>
                      <w:b w:val="0"/>
                      <w:bCs w:val="0"/>
                      <w:color w:val="auto"/>
                      <w:sz w:val="21"/>
                      <w:szCs w:val="21"/>
                      <w:highlight w:val="none"/>
                      <w:shd w:val="clear" w:color="auto" w:fill="auto"/>
                      <w:lang w:val="en-US" w:eastAsia="zh-CN"/>
                    </w:rPr>
                    <w:t>m</w:t>
                  </w:r>
                  <w:r>
                    <w:rPr>
                      <w:rFonts w:hint="default" w:ascii="Times New Roman" w:hAnsi="Times New Roman" w:cs="Times New Roman"/>
                      <w:b w:val="0"/>
                      <w:bCs w:val="0"/>
                      <w:color w:val="auto"/>
                      <w:sz w:val="21"/>
                      <w:szCs w:val="21"/>
                      <w:highlight w:val="none"/>
                      <w:shd w:val="clear" w:color="auto" w:fill="auto"/>
                      <w:vertAlign w:val="superscript"/>
                      <w:lang w:val="en-US" w:eastAsia="zh-CN"/>
                    </w:rPr>
                    <w:t>2</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排水系统</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雨污分流，生活污水</w:t>
                  </w:r>
                  <w:r>
                    <w:rPr>
                      <w:rFonts w:hint="default" w:ascii="Times New Roman" w:hAnsi="Times New Roman" w:cs="Times New Roman"/>
                      <w:color w:val="auto"/>
                      <w:sz w:val="21"/>
                      <w:szCs w:val="21"/>
                      <w:highlight w:val="none"/>
                      <w:lang w:val="en-US" w:eastAsia="zh-CN"/>
                    </w:rPr>
                    <w:t>近期</w:t>
                  </w:r>
                  <w:r>
                    <w:rPr>
                      <w:rFonts w:hint="default" w:ascii="Times New Roman" w:hAnsi="Times New Roman" w:eastAsia="宋体" w:cs="Times New Roman"/>
                      <w:color w:val="auto"/>
                      <w:sz w:val="21"/>
                      <w:szCs w:val="21"/>
                      <w:highlight w:val="none"/>
                      <w:lang w:val="en-US" w:eastAsia="zh-CN"/>
                    </w:rPr>
                    <w:t>经</w:t>
                  </w:r>
                  <w:r>
                    <w:rPr>
                      <w:rFonts w:hint="default" w:ascii="Times New Roman" w:hAnsi="Times New Roman" w:cs="Times New Roman"/>
                      <w:color w:val="auto"/>
                      <w:sz w:val="21"/>
                      <w:szCs w:val="21"/>
                      <w:highlight w:val="none"/>
                      <w:lang w:val="en-US" w:eastAsia="zh-CN"/>
                    </w:rPr>
                    <w:t>三级化粪池预处理后，经自建的一体化生活污水处理设施处理达到广东省地方标准《水污染物排放限值》（DB44/26-2001）第二时段一级标准后排入铁场排渠。</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w:t>
                  </w:r>
                </w:p>
              </w:tc>
              <w:tc>
                <w:tcPr>
                  <w:tcW w:w="11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雨污分流，生活污水</w:t>
                  </w:r>
                  <w:r>
                    <w:rPr>
                      <w:rFonts w:hint="default" w:ascii="Times New Roman" w:hAnsi="Times New Roman" w:cs="Times New Roman"/>
                      <w:color w:val="auto"/>
                      <w:sz w:val="21"/>
                      <w:szCs w:val="21"/>
                      <w:highlight w:val="none"/>
                      <w:lang w:val="en-US" w:eastAsia="zh-CN"/>
                    </w:rPr>
                    <w:t>近期</w:t>
                  </w:r>
                  <w:r>
                    <w:rPr>
                      <w:rFonts w:hint="default" w:ascii="Times New Roman" w:hAnsi="Times New Roman" w:eastAsia="宋体" w:cs="Times New Roman"/>
                      <w:color w:val="auto"/>
                      <w:sz w:val="21"/>
                      <w:szCs w:val="21"/>
                      <w:highlight w:val="none"/>
                      <w:lang w:val="en-US" w:eastAsia="zh-CN"/>
                    </w:rPr>
                    <w:t>经</w:t>
                  </w:r>
                  <w:r>
                    <w:rPr>
                      <w:rFonts w:hint="default" w:ascii="Times New Roman" w:hAnsi="Times New Roman" w:cs="Times New Roman"/>
                      <w:color w:val="auto"/>
                      <w:sz w:val="21"/>
                      <w:szCs w:val="21"/>
                      <w:highlight w:val="none"/>
                      <w:lang w:val="en-US" w:eastAsia="zh-CN"/>
                    </w:rPr>
                    <w:t>三级化粪池预处理后，经自建的一体化生活污水处理设施处理达到广东省地方标准《水污染物排放限值》（DB44/26-2001）第二时段一级标准后排入铁场排渠。</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451"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公用工程</w:t>
                  </w: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给水系统</w:t>
                  </w:r>
                </w:p>
              </w:tc>
              <w:tc>
                <w:tcPr>
                  <w:tcW w:w="1047"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791"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default" w:ascii="Times New Roman" w:hAnsi="Times New Roman" w:cs="Times New Roman"/>
                      <w:color w:val="auto"/>
                      <w:sz w:val="21"/>
                      <w:szCs w:val="21"/>
                      <w:highlight w:val="none"/>
                      <w:lang w:val="en-US" w:eastAsia="zh-CN"/>
                    </w:rPr>
                    <w:t>现有</w:t>
                  </w:r>
                </w:p>
              </w:tc>
              <w:tc>
                <w:tcPr>
                  <w:tcW w:w="1180"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710"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818" w:type="pct"/>
                  <w:gridSpan w:val="2"/>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供电</w:t>
                  </w:r>
                </w:p>
              </w:tc>
              <w:tc>
                <w:tcPr>
                  <w:tcW w:w="1047"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市政电网供给，不设备用发电机</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default" w:ascii="Times New Roman" w:hAnsi="Times New Roman" w:cs="Times New Roman"/>
                      <w:color w:val="auto"/>
                      <w:sz w:val="21"/>
                      <w:szCs w:val="21"/>
                      <w:highlight w:val="none"/>
                      <w:lang w:val="en-US" w:eastAsia="zh-CN"/>
                    </w:rPr>
                    <w:t>现有</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rPr>
                    <w:t>市政电网供给，不设备用发电机</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451"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295"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523"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w:t>
                  </w:r>
                </w:p>
              </w:tc>
              <w:tc>
                <w:tcPr>
                  <w:tcW w:w="1047"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生活污水</w:t>
                  </w:r>
                  <w:r>
                    <w:rPr>
                      <w:rFonts w:hint="default" w:ascii="Times New Roman" w:hAnsi="Times New Roman" w:cs="Times New Roman"/>
                      <w:color w:val="auto"/>
                      <w:sz w:val="21"/>
                      <w:szCs w:val="21"/>
                      <w:highlight w:val="none"/>
                      <w:lang w:val="en-US" w:eastAsia="zh-CN"/>
                    </w:rPr>
                    <w:t>近期</w:t>
                  </w:r>
                  <w:r>
                    <w:rPr>
                      <w:rFonts w:hint="default" w:ascii="Times New Roman" w:hAnsi="Times New Roman" w:eastAsia="宋体" w:cs="Times New Roman"/>
                      <w:color w:val="auto"/>
                      <w:sz w:val="21"/>
                      <w:szCs w:val="21"/>
                      <w:highlight w:val="none"/>
                      <w:lang w:val="en-US" w:eastAsia="zh-CN"/>
                    </w:rPr>
                    <w:t>经</w:t>
                  </w:r>
                  <w:r>
                    <w:rPr>
                      <w:rFonts w:hint="default" w:ascii="Times New Roman" w:hAnsi="Times New Roman" w:cs="Times New Roman"/>
                      <w:color w:val="auto"/>
                      <w:sz w:val="21"/>
                      <w:szCs w:val="21"/>
                      <w:highlight w:val="none"/>
                      <w:lang w:val="en-US" w:eastAsia="zh-CN"/>
                    </w:rPr>
                    <w:t>三级化粪池预处理后，经自建的一体化生活污水处理设施处理达到广东省地方标准《水污染物排放限值》（DB44/26-2001）第二时段一级标准后排入铁场排渠；远期市政污水管网铺设好后生活污水纳入博罗县石湾镇大牛垒生活污水处理厂深度处理。</w:t>
                  </w:r>
                </w:p>
              </w:tc>
              <w:tc>
                <w:tcPr>
                  <w:tcW w:w="7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1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w:t>
                  </w:r>
                  <w:r>
                    <w:rPr>
                      <w:rFonts w:hint="default" w:ascii="Times New Roman" w:hAnsi="Times New Roman" w:cs="Times New Roman"/>
                      <w:color w:val="auto"/>
                      <w:sz w:val="21"/>
                      <w:szCs w:val="21"/>
                      <w:highlight w:val="none"/>
                      <w:lang w:val="en-US" w:eastAsia="zh-CN"/>
                    </w:rPr>
                    <w:t>近期</w:t>
                  </w:r>
                  <w:r>
                    <w:rPr>
                      <w:rFonts w:hint="default" w:ascii="Times New Roman" w:hAnsi="Times New Roman" w:eastAsia="宋体" w:cs="Times New Roman"/>
                      <w:color w:val="auto"/>
                      <w:sz w:val="21"/>
                      <w:szCs w:val="21"/>
                      <w:highlight w:val="none"/>
                      <w:lang w:val="en-US" w:eastAsia="zh-CN"/>
                    </w:rPr>
                    <w:t>经</w:t>
                  </w:r>
                  <w:r>
                    <w:rPr>
                      <w:rFonts w:hint="default" w:ascii="Times New Roman" w:hAnsi="Times New Roman" w:cs="Times New Roman"/>
                      <w:color w:val="auto"/>
                      <w:sz w:val="21"/>
                      <w:szCs w:val="21"/>
                      <w:highlight w:val="none"/>
                      <w:lang w:val="en-US" w:eastAsia="zh-CN"/>
                    </w:rPr>
                    <w:t>三级化粪池预处理后，经自建的一体化生活污水处理设施处理达到广东省地方标准《水污染物排放限值》（DB44/26-2001）第二时段一级标准后排入铁场排渠；远期市政污水管网铺设好后生活污水纳入博罗县石湾镇大牛垒生活污水处理厂深度处理。</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95"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523"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调胶工序</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经1套活性炭吸附装置处理达标后经1根15m高的排气筒DA002排放</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经1套活性炭吸附装置处理达标后经1根15m高的排气筒DA002排放</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9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523"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u w:val="none"/>
                      <w:shd w:val="clear" w:color="auto" w:fill="auto"/>
                      <w:vertAlign w:val="baseline"/>
                    </w:rPr>
                    <w:t>涂布</w:t>
                  </w:r>
                  <w:r>
                    <w:rPr>
                      <w:rFonts w:hint="default" w:ascii="Times New Roman" w:hAnsi="Times New Roman" w:cs="Times New Roman"/>
                      <w:color w:val="auto"/>
                      <w:sz w:val="21"/>
                      <w:szCs w:val="21"/>
                      <w:u w:val="none"/>
                      <w:shd w:val="clear" w:color="auto" w:fill="auto"/>
                      <w:vertAlign w:val="baseline"/>
                      <w:lang w:eastAsia="zh-CN"/>
                    </w:rPr>
                    <w:t>、</w:t>
                  </w:r>
                  <w:r>
                    <w:rPr>
                      <w:rFonts w:hint="default" w:ascii="Times New Roman" w:hAnsi="Times New Roman" w:cs="Times New Roman"/>
                      <w:color w:val="auto"/>
                      <w:sz w:val="21"/>
                      <w:szCs w:val="21"/>
                      <w:u w:val="none"/>
                      <w:shd w:val="clear" w:color="auto" w:fill="auto"/>
                      <w:vertAlign w:val="baseline"/>
                    </w:rPr>
                    <w:t>烤干工序</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经1套RTO废气处理装置处理达标后经1根20m高的排气筒DA001高空排放</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扩建项目保护膜生产过程产生的废气经1套水喷淋+干式过滤+二级活性炭吸附装置处理后经1根15m高的排气筒DA003排放</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现有项目</w:t>
                  </w:r>
                  <w:r>
                    <w:rPr>
                      <w:rFonts w:hint="default" w:ascii="Times New Roman" w:hAnsi="Times New Roman" w:cs="Times New Roman"/>
                      <w:color w:val="auto"/>
                      <w:sz w:val="21"/>
                      <w:szCs w:val="21"/>
                      <w:u w:val="none"/>
                      <w:shd w:val="clear" w:color="auto" w:fill="auto"/>
                      <w:vertAlign w:val="baseline"/>
                    </w:rPr>
                    <w:t>涂布</w:t>
                  </w:r>
                  <w:r>
                    <w:rPr>
                      <w:rFonts w:hint="default" w:ascii="Times New Roman" w:hAnsi="Times New Roman" w:cs="Times New Roman"/>
                      <w:color w:val="auto"/>
                      <w:sz w:val="21"/>
                      <w:szCs w:val="21"/>
                      <w:u w:val="none"/>
                      <w:shd w:val="clear" w:color="auto" w:fill="auto"/>
                      <w:vertAlign w:val="baseline"/>
                      <w:lang w:eastAsia="zh-CN"/>
                    </w:rPr>
                    <w:t>、</w:t>
                  </w:r>
                  <w:r>
                    <w:rPr>
                      <w:rFonts w:hint="default" w:ascii="Times New Roman" w:hAnsi="Times New Roman" w:cs="Times New Roman"/>
                      <w:color w:val="auto"/>
                      <w:sz w:val="21"/>
                      <w:szCs w:val="21"/>
                      <w:u w:val="none"/>
                      <w:shd w:val="clear" w:color="auto" w:fill="auto"/>
                      <w:vertAlign w:val="baseline"/>
                    </w:rPr>
                    <w:t>烤干工序</w:t>
                  </w:r>
                  <w:r>
                    <w:rPr>
                      <w:rFonts w:hint="default" w:ascii="Times New Roman" w:hAnsi="Times New Roman" w:cs="Times New Roman"/>
                      <w:color w:val="auto"/>
                      <w:sz w:val="21"/>
                      <w:szCs w:val="21"/>
                      <w:u w:val="none"/>
                      <w:shd w:val="clear" w:color="auto" w:fill="auto"/>
                      <w:vertAlign w:val="baseline"/>
                      <w:lang w:val="en-US" w:eastAsia="zh-CN"/>
                    </w:rPr>
                    <w:t>的废气</w:t>
                  </w:r>
                  <w:r>
                    <w:rPr>
                      <w:rFonts w:hint="default" w:ascii="Times New Roman" w:hAnsi="Times New Roman" w:cs="Times New Roman"/>
                      <w:color w:val="auto"/>
                      <w:sz w:val="21"/>
                      <w:szCs w:val="21"/>
                      <w:highlight w:val="none"/>
                      <w:lang w:val="en-US" w:eastAsia="zh-CN"/>
                    </w:rPr>
                    <w:t>经1套RTO废气处理装置处理达标后经1根20m高的排气筒DA001高空排放；</w:t>
                  </w:r>
                  <w:r>
                    <w:rPr>
                      <w:rFonts w:hint="default" w:ascii="Times New Roman" w:hAnsi="Times New Roman" w:cs="Times New Roman"/>
                      <w:color w:val="auto"/>
                      <w:sz w:val="21"/>
                      <w:szCs w:val="21"/>
                      <w:lang w:val="en-US" w:eastAsia="zh-CN"/>
                    </w:rPr>
                    <w:t>扩建项目保护膜生产过程产生的废气经1套水喷淋+干式过滤+二级活性炭吸附装置处理后经1根15m高的排气筒DA003排放</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扩建项目保护膜生产过程产生的废气经1套水喷淋+干式过滤+二级活性炭吸附装置处理后经1根15m高的排气筒DA003排放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9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523"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发泡工序</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聚氨酯高密度棉生产车间的废气收集后经1套</w:t>
                  </w:r>
                  <w:r>
                    <w:rPr>
                      <w:rFonts w:hint="default" w:ascii="Times New Roman" w:hAnsi="Times New Roman" w:cs="Times New Roman"/>
                      <w:color w:val="auto"/>
                      <w:sz w:val="21"/>
                      <w:szCs w:val="21"/>
                      <w:lang w:val="en-US" w:eastAsia="zh-CN"/>
                    </w:rPr>
                    <w:t>水喷淋+干式过滤+二级活性炭吸附装置处理后经1根15m高的排气筒DA004排放</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聚氨酯高密度棉生产车间的废气收集后经1套</w:t>
                  </w:r>
                  <w:r>
                    <w:rPr>
                      <w:rFonts w:hint="default" w:ascii="Times New Roman" w:hAnsi="Times New Roman" w:cs="Times New Roman"/>
                      <w:color w:val="auto"/>
                      <w:sz w:val="21"/>
                      <w:szCs w:val="21"/>
                      <w:lang w:val="en-US" w:eastAsia="zh-CN"/>
                    </w:rPr>
                    <w:t>水喷淋+干式过滤+二级活性炭吸附装置处理后经经1根15m高的排气筒DA004排放</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聚氨酯高密度棉生产车间的废气收集后经1套</w:t>
                  </w:r>
                  <w:r>
                    <w:rPr>
                      <w:rFonts w:hint="default" w:ascii="Times New Roman" w:hAnsi="Times New Roman" w:cs="Times New Roman"/>
                      <w:color w:val="auto"/>
                      <w:sz w:val="21"/>
                      <w:szCs w:val="21"/>
                      <w:lang w:val="en-US" w:eastAsia="zh-CN"/>
                    </w:rPr>
                    <w:t>水喷淋+干式过滤+二级活性炭吸附装置处理后经经1根15m高的排气筒DA004排放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9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523" w:type="pct"/>
                  <w:noWrap w:val="0"/>
                  <w:vAlign w:val="center"/>
                </w:tcPr>
                <w:p>
                  <w:pPr>
                    <w:spacing w:line="240" w:lineRule="auto"/>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天然气燃烧</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经RTO废气处理装置20m高的排气筒</w:t>
                  </w:r>
                  <w:r>
                    <w:rPr>
                      <w:rFonts w:hint="default" w:ascii="Times New Roman" w:hAnsi="Times New Roman" w:cs="Times New Roman"/>
                      <w:color w:val="auto"/>
                      <w:sz w:val="21"/>
                      <w:szCs w:val="21"/>
                      <w:lang w:val="en-US" w:eastAsia="zh-CN"/>
                    </w:rPr>
                    <w:t>DA001</w:t>
                  </w:r>
                  <w:r>
                    <w:rPr>
                      <w:rFonts w:hint="default" w:ascii="Times New Roman" w:hAnsi="Times New Roman" w:cs="Times New Roman"/>
                      <w:color w:val="auto"/>
                      <w:sz w:val="21"/>
                      <w:szCs w:val="21"/>
                      <w:highlight w:val="none"/>
                      <w:lang w:val="en-US" w:eastAsia="zh-CN"/>
                    </w:rPr>
                    <w:t>高空排放</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扩建项目燃烧废气经低氮燃烧装置处理后经1根22m高的排气筒DA005排放</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现有项目燃烧废气经RTO废气处理装置20m高的排气筒</w:t>
                  </w:r>
                  <w:r>
                    <w:rPr>
                      <w:rFonts w:hint="default" w:ascii="Times New Roman" w:hAnsi="Times New Roman" w:cs="Times New Roman"/>
                      <w:color w:val="auto"/>
                      <w:sz w:val="21"/>
                      <w:szCs w:val="21"/>
                      <w:lang w:val="en-US" w:eastAsia="zh-CN"/>
                    </w:rPr>
                    <w:t>DA001</w:t>
                  </w:r>
                  <w:r>
                    <w:rPr>
                      <w:rFonts w:hint="default" w:ascii="Times New Roman" w:hAnsi="Times New Roman" w:cs="Times New Roman"/>
                      <w:color w:val="auto"/>
                      <w:sz w:val="21"/>
                      <w:szCs w:val="21"/>
                      <w:highlight w:val="none"/>
                      <w:lang w:val="en-US" w:eastAsia="zh-CN"/>
                    </w:rPr>
                    <w:t>高空排放；</w:t>
                  </w:r>
                  <w:r>
                    <w:rPr>
                      <w:rFonts w:hint="default" w:ascii="Times New Roman" w:hAnsi="Times New Roman" w:cs="Times New Roman"/>
                      <w:color w:val="auto"/>
                      <w:sz w:val="21"/>
                      <w:szCs w:val="21"/>
                      <w:lang w:val="en-US" w:eastAsia="zh-CN"/>
                    </w:rPr>
                    <w:t>扩建项目燃烧废气经低氮燃烧装置处理后经1根22m高的排气筒DA005排放</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扩建项目燃烧废气经低氮燃烧装置处理后经1根22m高的排气筒DA005排放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default" w:ascii="Times New Roman" w:hAnsi="Times New Roman" w:cs="Times New Roman"/>
                      <w:color w:val="auto"/>
                      <w:sz w:val="21"/>
                      <w:szCs w:val="21"/>
                      <w:highlight w:val="none"/>
                      <w:lang w:val="en-US" w:eastAsia="zh-CN"/>
                    </w:rPr>
                    <w:t>现有</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95"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523"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危险</w:t>
                  </w:r>
                  <w:r>
                    <w:rPr>
                      <w:rFonts w:hint="default" w:ascii="Times New Roman" w:hAnsi="Times New Roman" w:cs="Times New Roman"/>
                      <w:bCs/>
                      <w:color w:val="auto"/>
                      <w:sz w:val="21"/>
                      <w:szCs w:val="21"/>
                      <w:highlight w:val="none"/>
                      <w:lang w:val="en-US" w:eastAsia="zh-CN"/>
                    </w:rPr>
                    <w:t>场所</w:t>
                  </w:r>
                </w:p>
              </w:tc>
              <w:tc>
                <w:tcPr>
                  <w:tcW w:w="104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设有一个单层危废仓库，</w:t>
                  </w:r>
                  <w:r>
                    <w:rPr>
                      <w:rFonts w:hint="default" w:ascii="Times New Roman" w:hAnsi="Times New Roman" w:cs="Times New Roman"/>
                      <w:color w:val="auto"/>
                      <w:kern w:val="2"/>
                      <w:sz w:val="21"/>
                      <w:szCs w:val="21"/>
                      <w:highlight w:val="none"/>
                      <w:shd w:val="clear" w:color="auto" w:fill="auto"/>
                      <w:lang w:val="en-US" w:eastAsia="zh-CN" w:bidi="ar-SA"/>
                    </w:rPr>
                    <w:t>层高4m，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kern w:val="2"/>
                      <w:sz w:val="21"/>
                      <w:szCs w:val="21"/>
                      <w:highlight w:val="none"/>
                      <w:lang w:val="en-US" w:eastAsia="zh-CN" w:bidi="ar-SA"/>
                    </w:rPr>
                    <w:t>30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lang w:val="en-US" w:eastAsia="zh-CN" w:bidi="ar-SA"/>
                    </w:rPr>
                    <w:t>依托现有</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z w:val="21"/>
                      <w:szCs w:val="21"/>
                      <w:highlight w:val="none"/>
                      <w:lang w:val="en-US" w:eastAsia="zh-CN"/>
                    </w:rPr>
                    <w:t>危废仓库，</w:t>
                  </w:r>
                  <w:r>
                    <w:rPr>
                      <w:rFonts w:hint="default" w:ascii="Times New Roman" w:hAnsi="Times New Roman" w:cs="Times New Roman"/>
                      <w:color w:val="auto"/>
                      <w:kern w:val="2"/>
                      <w:sz w:val="21"/>
                      <w:szCs w:val="21"/>
                      <w:highlight w:val="none"/>
                      <w:shd w:val="clear" w:color="auto" w:fill="auto"/>
                      <w:lang w:val="en-US" w:eastAsia="zh-CN" w:bidi="ar-SA"/>
                    </w:rPr>
                    <w:t>层高4m，</w:t>
                  </w:r>
                  <w:r>
                    <w:rPr>
                      <w:rFonts w:hint="default" w:ascii="Times New Roman" w:hAnsi="Times New Roman" w:cs="Times New Roman"/>
                      <w:color w:val="auto"/>
                      <w:sz w:val="21"/>
                      <w:szCs w:val="21"/>
                      <w:highlight w:val="none"/>
                      <w:shd w:val="clear" w:color="auto" w:fill="auto"/>
                      <w:lang w:val="en-US" w:eastAsia="zh-CN"/>
                    </w:rPr>
                    <w:t>建筑面积</w:t>
                  </w:r>
                  <w:r>
                    <w:rPr>
                      <w:rFonts w:hint="default" w:ascii="Times New Roman" w:hAnsi="Times New Roman" w:cs="Times New Roman"/>
                      <w:color w:val="auto"/>
                      <w:kern w:val="2"/>
                      <w:sz w:val="21"/>
                      <w:szCs w:val="21"/>
                      <w:highlight w:val="none"/>
                      <w:lang w:val="en-US" w:eastAsia="zh-CN" w:bidi="ar-SA"/>
                    </w:rPr>
                    <w:t>30</w:t>
                  </w:r>
                  <w:r>
                    <w:rPr>
                      <w:rFonts w:hint="default" w:ascii="Times New Roman" w:hAnsi="Times New Roman" w:cs="Times New Roman"/>
                      <w:color w:val="auto"/>
                      <w:sz w:val="21"/>
                      <w:szCs w:val="21"/>
                      <w:highlight w:val="none"/>
                      <w:shd w:val="clear" w:color="auto" w:fill="auto"/>
                      <w:lang w:val="en-US" w:eastAsia="zh-CN"/>
                    </w:rPr>
                    <w:t>m</w:t>
                  </w:r>
                  <w:r>
                    <w:rPr>
                      <w:rFonts w:hint="default" w:ascii="Times New Roman" w:hAnsi="Times New Roman" w:cs="Times New Roman"/>
                      <w:color w:val="auto"/>
                      <w:sz w:val="21"/>
                      <w:szCs w:val="21"/>
                      <w:highlight w:val="none"/>
                      <w:shd w:val="clear" w:color="auto" w:fill="auto"/>
                      <w:vertAlign w:val="superscript"/>
                      <w:lang w:val="en-US" w:eastAsia="zh-CN"/>
                    </w:rPr>
                    <w:t>2</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51"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9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523"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生活垃圾</w:t>
                  </w:r>
                </w:p>
              </w:tc>
              <w:tc>
                <w:tcPr>
                  <w:tcW w:w="1047" w:type="pct"/>
                  <w:noWrap w:val="0"/>
                  <w:vAlign w:val="center"/>
                </w:tcPr>
                <w:p>
                  <w:pPr>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厂内设垃圾桶，生活垃圾</w:t>
                  </w:r>
                  <w:r>
                    <w:rPr>
                      <w:rFonts w:hint="default" w:ascii="Times New Roman" w:hAnsi="Times New Roman" w:eastAsia="宋体" w:cs="Times New Roman"/>
                      <w:color w:val="auto"/>
                      <w:sz w:val="21"/>
                      <w:szCs w:val="21"/>
                      <w:highlight w:val="none"/>
                    </w:rPr>
                    <w:t>由环卫部门统一处理</w:t>
                  </w:r>
                </w:p>
              </w:tc>
              <w:tc>
                <w:tcPr>
                  <w:tcW w:w="791"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118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厂内设垃圾桶，生活垃圾</w:t>
                  </w:r>
                  <w:r>
                    <w:rPr>
                      <w:rFonts w:hint="default" w:ascii="Times New Roman" w:hAnsi="Times New Roman" w:eastAsia="宋体" w:cs="Times New Roman"/>
                      <w:color w:val="auto"/>
                      <w:sz w:val="21"/>
                      <w:szCs w:val="21"/>
                      <w:highlight w:val="none"/>
                    </w:rPr>
                    <w:t>由环卫部门统一处理</w:t>
                  </w:r>
                </w:p>
              </w:tc>
              <w:tc>
                <w:tcPr>
                  <w:tcW w:w="710"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51"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依托工程</w:t>
                  </w:r>
                </w:p>
              </w:tc>
              <w:tc>
                <w:tcPr>
                  <w:tcW w:w="8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污水处理厂</w:t>
                  </w:r>
                </w:p>
              </w:tc>
              <w:tc>
                <w:tcPr>
                  <w:tcW w:w="3729" w:type="pct"/>
                  <w:gridSpan w:val="4"/>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远期：博罗县石湾镇大牛垒生活污水处理厂</w:t>
                  </w:r>
                </w:p>
              </w:tc>
            </w:tr>
          </w:tbl>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3、项目主要产品及产能</w:t>
            </w:r>
          </w:p>
          <w:p>
            <w:pPr>
              <w:adjustRightInd w:val="0"/>
              <w:snapToGrid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扩建前后项目产品方案见下表。</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扩建前后产品方案一览表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1166"/>
              <w:gridCol w:w="927"/>
              <w:gridCol w:w="909"/>
              <w:gridCol w:w="925"/>
              <w:gridCol w:w="972"/>
              <w:gridCol w:w="2376"/>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shd w:val="clear" w:color="auto" w:fill="auto"/>
                    </w:rPr>
                    <w:t>序号</w:t>
                  </w:r>
                </w:p>
              </w:tc>
              <w:tc>
                <w:tcPr>
                  <w:tcW w:w="1350"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shd w:val="clear" w:color="auto" w:fill="auto"/>
                    </w:rPr>
                    <w:t>产品</w:t>
                  </w:r>
                  <w:r>
                    <w:rPr>
                      <w:rFonts w:hint="default" w:ascii="Times New Roman" w:hAnsi="Times New Roman" w:cs="Times New Roman"/>
                      <w:b/>
                      <w:bCs/>
                      <w:color w:val="auto"/>
                      <w:sz w:val="21"/>
                      <w:szCs w:val="21"/>
                      <w:highlight w:val="none"/>
                      <w:shd w:val="clear" w:color="auto" w:fill="auto"/>
                      <w:lang w:val="en-US" w:eastAsia="zh-CN"/>
                    </w:rPr>
                    <w:t>类别</w:t>
                  </w:r>
                </w:p>
              </w:tc>
              <w:tc>
                <w:tcPr>
                  <w:tcW w:w="109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现有项目年产量</w:t>
                  </w:r>
                </w:p>
              </w:tc>
              <w:tc>
                <w:tcPr>
                  <w:tcW w:w="1027"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扩建项目年产量</w:t>
                  </w:r>
                </w:p>
              </w:tc>
              <w:tc>
                <w:tcPr>
                  <w:tcW w:w="1051"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扩建后项目年产量</w:t>
                  </w:r>
                </w:p>
              </w:tc>
              <w:tc>
                <w:tcPr>
                  <w:tcW w:w="1066"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增减量</w:t>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cs="Times New Roman"/>
                      <w:b/>
                      <w:bCs/>
                      <w:color w:val="auto"/>
                      <w:sz w:val="21"/>
                      <w:szCs w:val="21"/>
                      <w:highlight w:val="none"/>
                      <w:shd w:val="clear" w:color="auto" w:fill="auto"/>
                      <w:lang w:val="en-US" w:eastAsia="zh-CN"/>
                    </w:rPr>
                    <w:t>产品照片</w:t>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b/>
                      <w:bCs/>
                      <w:color w:val="auto"/>
                      <w:sz w:val="21"/>
                      <w:szCs w:val="21"/>
                      <w:highlight w:val="none"/>
                      <w:shd w:val="clear" w:color="auto" w:fill="auto"/>
                      <w:lang w:val="en-US" w:eastAsia="zh-CN"/>
                    </w:rPr>
                  </w:pPr>
                  <w:r>
                    <w:rPr>
                      <w:rFonts w:hint="default" w:ascii="Times New Roman" w:hAnsi="Times New Roman" w:cs="Times New Roman"/>
                      <w:b/>
                      <w:bCs/>
                      <w:color w:val="auto"/>
                      <w:sz w:val="21"/>
                      <w:szCs w:val="21"/>
                      <w:highlight w:val="none"/>
                      <w:shd w:val="clear" w:color="auto" w:fill="auto"/>
                      <w:lang w:val="en-US" w:eastAsia="zh-CN"/>
                    </w:rPr>
                    <w:t>产品厚度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60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rPr>
                    <w:t>1</w:t>
                  </w:r>
                </w:p>
              </w:tc>
              <w:tc>
                <w:tcPr>
                  <w:tcW w:w="1350" w:type="dxa"/>
                  <w:vAlign w:val="center"/>
                </w:tcPr>
                <w:p>
                  <w:pPr>
                    <w:pStyle w:val="7"/>
                    <w:keepNext w:val="0"/>
                    <w:keepLines w:val="0"/>
                    <w:pageBreakBefore w:val="0"/>
                    <w:widowControl w:val="0"/>
                    <w:kinsoku/>
                    <w:wordWrap/>
                    <w:overflowPunct/>
                    <w:topLinePunct w:val="0"/>
                    <w:autoSpaceDE/>
                    <w:autoSpaceDN/>
                    <w:bidi w:val="0"/>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PET保护膜</w:t>
                  </w:r>
                </w:p>
              </w:tc>
              <w:tc>
                <w:tcPr>
                  <w:tcW w:w="109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600万m</w:t>
                  </w:r>
                  <w:r>
                    <w:rPr>
                      <w:rFonts w:hint="default" w:ascii="Times New Roman" w:hAnsi="Times New Roman" w:cs="Times New Roman"/>
                      <w:color w:val="auto"/>
                      <w:kern w:val="0"/>
                      <w:sz w:val="21"/>
                      <w:szCs w:val="21"/>
                      <w:highlight w:val="none"/>
                      <w:vertAlign w:val="superscript"/>
                    </w:rPr>
                    <w:t>2</w:t>
                  </w:r>
                </w:p>
              </w:tc>
              <w:tc>
                <w:tcPr>
                  <w:tcW w:w="1027"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shd w:val="clear" w:color="auto" w:fill="auto"/>
                      <w:lang w:val="en-US" w:eastAsia="zh-CN"/>
                    </w:rPr>
                    <w:t>1800</w:t>
                  </w:r>
                  <w:r>
                    <w:rPr>
                      <w:rFonts w:hint="default" w:ascii="Times New Roman" w:hAnsi="Times New Roman" w:cs="Times New Roman"/>
                      <w:color w:val="auto"/>
                      <w:kern w:val="0"/>
                      <w:sz w:val="21"/>
                      <w:szCs w:val="21"/>
                      <w:highlight w:val="none"/>
                    </w:rPr>
                    <w:t>万m</w:t>
                  </w:r>
                  <w:r>
                    <w:rPr>
                      <w:rFonts w:hint="default" w:ascii="Times New Roman" w:hAnsi="Times New Roman" w:cs="Times New Roman"/>
                      <w:color w:val="auto"/>
                      <w:kern w:val="0"/>
                      <w:sz w:val="21"/>
                      <w:szCs w:val="21"/>
                      <w:highlight w:val="none"/>
                      <w:vertAlign w:val="superscript"/>
                    </w:rPr>
                    <w:t>2</w:t>
                  </w:r>
                </w:p>
              </w:tc>
              <w:tc>
                <w:tcPr>
                  <w:tcW w:w="1051"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shd w:val="clear" w:color="auto" w:fill="auto"/>
                      <w:lang w:val="en-US" w:eastAsia="zh-CN" w:bidi="ar-SA"/>
                    </w:rPr>
                    <w:t>2400</w:t>
                  </w:r>
                  <w:r>
                    <w:rPr>
                      <w:rFonts w:hint="default" w:ascii="Times New Roman" w:hAnsi="Times New Roman" w:cs="Times New Roman"/>
                      <w:color w:val="auto"/>
                      <w:kern w:val="0"/>
                      <w:sz w:val="21"/>
                      <w:szCs w:val="21"/>
                      <w:highlight w:val="none"/>
                    </w:rPr>
                    <w:t>万m</w:t>
                  </w:r>
                  <w:r>
                    <w:rPr>
                      <w:rFonts w:hint="default" w:ascii="Times New Roman" w:hAnsi="Times New Roman" w:cs="Times New Roman"/>
                      <w:color w:val="auto"/>
                      <w:kern w:val="0"/>
                      <w:sz w:val="21"/>
                      <w:szCs w:val="21"/>
                      <w:highlight w:val="none"/>
                      <w:vertAlign w:val="superscript"/>
                    </w:rPr>
                    <w:t>2</w:t>
                  </w:r>
                </w:p>
              </w:tc>
              <w:tc>
                <w:tcPr>
                  <w:tcW w:w="1066"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shd w:val="clear" w:color="auto" w:fill="auto"/>
                      <w:lang w:val="en-US" w:eastAsia="zh-CN" w:bidi="ar-SA"/>
                    </w:rPr>
                    <w:t>+</w:t>
                  </w:r>
                  <w:r>
                    <w:rPr>
                      <w:rFonts w:hint="default" w:ascii="Times New Roman" w:hAnsi="Times New Roman" w:cs="Times New Roman"/>
                      <w:color w:val="auto"/>
                      <w:sz w:val="21"/>
                      <w:szCs w:val="21"/>
                      <w:highlight w:val="none"/>
                      <w:shd w:val="clear" w:color="auto" w:fill="auto"/>
                      <w:lang w:val="en-US" w:eastAsia="zh-CN"/>
                    </w:rPr>
                    <w:t>1800</w:t>
                  </w:r>
                  <w:r>
                    <w:rPr>
                      <w:rFonts w:hint="default" w:ascii="Times New Roman" w:hAnsi="Times New Roman" w:cs="Times New Roman"/>
                      <w:color w:val="auto"/>
                      <w:kern w:val="0"/>
                      <w:sz w:val="21"/>
                      <w:szCs w:val="21"/>
                      <w:highlight w:val="none"/>
                    </w:rPr>
                    <w:t>万m</w:t>
                  </w:r>
                  <w:r>
                    <w:rPr>
                      <w:rFonts w:hint="default" w:ascii="Times New Roman" w:hAnsi="Times New Roman" w:cs="Times New Roman"/>
                      <w:color w:val="auto"/>
                      <w:kern w:val="0"/>
                      <w:sz w:val="21"/>
                      <w:szCs w:val="21"/>
                      <w:highlight w:val="none"/>
                      <w:vertAlign w:val="superscript"/>
                    </w:rPr>
                    <w:t>2</w:t>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kern w:val="2"/>
                      <w:sz w:val="21"/>
                      <w:szCs w:val="21"/>
                      <w:highlight w:val="none"/>
                      <w:shd w:val="clear" w:color="auto" w:fill="auto"/>
                      <w:lang w:val="en-US" w:eastAsia="zh-CN" w:bidi="ar-SA"/>
                    </w:rPr>
                    <w:drawing>
                      <wp:inline distT="0" distB="0" distL="114300" distR="114300">
                        <wp:extent cx="970280" cy="597535"/>
                        <wp:effectExtent l="0" t="0" r="1270" b="12065"/>
                        <wp:docPr id="74" name="图片 74" descr="166979173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669791730134"/>
                                <pic:cNvPicPr>
                                  <a:picLocks noChangeAspect="1"/>
                                </pic:cNvPicPr>
                              </pic:nvPicPr>
                              <pic:blipFill>
                                <a:blip r:embed="rId24"/>
                                <a:stretch>
                                  <a:fillRect/>
                                </a:stretch>
                              </pic:blipFill>
                              <pic:spPr>
                                <a:xfrm>
                                  <a:off x="0" y="0"/>
                                  <a:ext cx="970280" cy="597535"/>
                                </a:xfrm>
                                <a:prstGeom prst="rect">
                                  <a:avLst/>
                                </a:prstGeom>
                              </pic:spPr>
                            </pic:pic>
                          </a:graphicData>
                        </a:graphic>
                      </wp:inline>
                    </w:drawing>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kern w:val="2"/>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t>25μm-75μm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rPr>
                    <w:t>2</w:t>
                  </w:r>
                </w:p>
              </w:tc>
              <w:tc>
                <w:tcPr>
                  <w:tcW w:w="1350" w:type="dxa"/>
                  <w:vAlign w:val="center"/>
                </w:tcPr>
                <w:p>
                  <w:pPr>
                    <w:pStyle w:val="7"/>
                    <w:keepNext w:val="0"/>
                    <w:keepLines w:val="0"/>
                    <w:pageBreakBefore w:val="0"/>
                    <w:widowControl w:val="0"/>
                    <w:kinsoku/>
                    <w:wordWrap/>
                    <w:overflowPunct/>
                    <w:topLinePunct w:val="0"/>
                    <w:autoSpaceDE/>
                    <w:autoSpaceDN/>
                    <w:bidi w:val="0"/>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BOPP保护膜</w:t>
                  </w:r>
                </w:p>
              </w:tc>
              <w:tc>
                <w:tcPr>
                  <w:tcW w:w="109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300万m</w:t>
                  </w:r>
                  <w:r>
                    <w:rPr>
                      <w:rFonts w:hint="default" w:ascii="Times New Roman" w:hAnsi="Times New Roman" w:cs="Times New Roman"/>
                      <w:color w:val="auto"/>
                      <w:kern w:val="0"/>
                      <w:sz w:val="21"/>
                      <w:szCs w:val="21"/>
                      <w:highlight w:val="none"/>
                      <w:vertAlign w:val="superscript"/>
                    </w:rPr>
                    <w:t>2</w:t>
                  </w:r>
                </w:p>
              </w:tc>
              <w:tc>
                <w:tcPr>
                  <w:tcW w:w="1027"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0</w:t>
                  </w:r>
                </w:p>
              </w:tc>
              <w:tc>
                <w:tcPr>
                  <w:tcW w:w="1051"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300万m</w:t>
                  </w:r>
                  <w:r>
                    <w:rPr>
                      <w:rFonts w:hint="default" w:ascii="Times New Roman" w:hAnsi="Times New Roman" w:cs="Times New Roman"/>
                      <w:color w:val="auto"/>
                      <w:kern w:val="0"/>
                      <w:sz w:val="21"/>
                      <w:szCs w:val="21"/>
                      <w:highlight w:val="none"/>
                      <w:vertAlign w:val="superscript"/>
                    </w:rPr>
                    <w:t>2</w:t>
                  </w:r>
                </w:p>
              </w:tc>
              <w:tc>
                <w:tcPr>
                  <w:tcW w:w="1066"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0</w:t>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pacing w:val="-8"/>
                      <w:kern w:val="0"/>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drawing>
                      <wp:inline distT="0" distB="0" distL="114300" distR="114300">
                        <wp:extent cx="1011555" cy="919480"/>
                        <wp:effectExtent l="0" t="0" r="17145" b="13970"/>
                        <wp:docPr id="183" name="图片 183" descr="产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产品1"/>
                                <pic:cNvPicPr>
                                  <a:picLocks noChangeAspect="1"/>
                                </pic:cNvPicPr>
                              </pic:nvPicPr>
                              <pic:blipFill>
                                <a:blip r:embed="rId25"/>
                                <a:srcRect l="53071" r="7469" b="52212"/>
                                <a:stretch>
                                  <a:fillRect/>
                                </a:stretch>
                              </pic:blipFill>
                              <pic:spPr>
                                <a:xfrm>
                                  <a:off x="0" y="0"/>
                                  <a:ext cx="1011555" cy="919480"/>
                                </a:xfrm>
                                <a:prstGeom prst="rect">
                                  <a:avLst/>
                                </a:prstGeom>
                              </pic:spPr>
                            </pic:pic>
                          </a:graphicData>
                        </a:graphic>
                      </wp:inline>
                    </w:drawing>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pacing w:val="-8"/>
                      <w:kern w:val="0"/>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t>25μm-75μm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9" w:type="dxa"/>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lang w:val="en-US" w:eastAsia="zh-CN"/>
                    </w:rPr>
                    <w:t>3</w:t>
                  </w:r>
                </w:p>
              </w:tc>
              <w:tc>
                <w:tcPr>
                  <w:tcW w:w="1350" w:type="dxa"/>
                  <w:vAlign w:val="center"/>
                </w:tcPr>
                <w:p>
                  <w:pPr>
                    <w:pStyle w:val="7"/>
                    <w:keepNext w:val="0"/>
                    <w:keepLines w:val="0"/>
                    <w:pageBreakBefore w:val="0"/>
                    <w:widowControl w:val="0"/>
                    <w:kinsoku/>
                    <w:wordWrap/>
                    <w:overflowPunct/>
                    <w:topLinePunct w:val="0"/>
                    <w:autoSpaceDE/>
                    <w:autoSpaceDN/>
                    <w:bidi w:val="0"/>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纸类标签材料</w:t>
                  </w:r>
                </w:p>
              </w:tc>
              <w:tc>
                <w:tcPr>
                  <w:tcW w:w="109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100万m</w:t>
                  </w:r>
                  <w:r>
                    <w:rPr>
                      <w:rFonts w:hint="default" w:ascii="Times New Roman" w:hAnsi="Times New Roman" w:cs="Times New Roman"/>
                      <w:color w:val="auto"/>
                      <w:kern w:val="0"/>
                      <w:sz w:val="21"/>
                      <w:szCs w:val="21"/>
                      <w:highlight w:val="none"/>
                      <w:vertAlign w:val="superscript"/>
                    </w:rPr>
                    <w:t>2</w:t>
                  </w:r>
                </w:p>
              </w:tc>
              <w:tc>
                <w:tcPr>
                  <w:tcW w:w="1027"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0</w:t>
                  </w:r>
                </w:p>
              </w:tc>
              <w:tc>
                <w:tcPr>
                  <w:tcW w:w="1051"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100万m</w:t>
                  </w:r>
                  <w:r>
                    <w:rPr>
                      <w:rFonts w:hint="default" w:ascii="Times New Roman" w:hAnsi="Times New Roman" w:cs="Times New Roman"/>
                      <w:color w:val="auto"/>
                      <w:kern w:val="0"/>
                      <w:sz w:val="21"/>
                      <w:szCs w:val="21"/>
                      <w:highlight w:val="none"/>
                      <w:vertAlign w:val="superscript"/>
                    </w:rPr>
                    <w:t>2</w:t>
                  </w:r>
                </w:p>
              </w:tc>
              <w:tc>
                <w:tcPr>
                  <w:tcW w:w="1066"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0</w:t>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pacing w:val="-8"/>
                      <w:kern w:val="0"/>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drawing>
                      <wp:inline distT="0" distB="0" distL="114300" distR="114300">
                        <wp:extent cx="1027430" cy="736600"/>
                        <wp:effectExtent l="0" t="0" r="1270" b="6350"/>
                        <wp:docPr id="196" name="图片 196" descr="1669791925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1669791925228"/>
                                <pic:cNvPicPr>
                                  <a:picLocks noChangeAspect="1"/>
                                </pic:cNvPicPr>
                              </pic:nvPicPr>
                              <pic:blipFill>
                                <a:blip r:embed="rId26"/>
                                <a:stretch>
                                  <a:fillRect/>
                                </a:stretch>
                              </pic:blipFill>
                              <pic:spPr>
                                <a:xfrm>
                                  <a:off x="0" y="0"/>
                                  <a:ext cx="1027430" cy="736600"/>
                                </a:xfrm>
                                <a:prstGeom prst="rect">
                                  <a:avLst/>
                                </a:prstGeom>
                              </pic:spPr>
                            </pic:pic>
                          </a:graphicData>
                        </a:graphic>
                      </wp:inline>
                    </w:drawing>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pacing w:val="-8"/>
                      <w:kern w:val="0"/>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t>25μm-75μm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0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shd w:val="clear" w:color="auto" w:fill="auto"/>
                      <w:lang w:val="en-US" w:eastAsia="zh-CN"/>
                    </w:rPr>
                    <w:t>4</w:t>
                  </w:r>
                </w:p>
              </w:tc>
              <w:tc>
                <w:tcPr>
                  <w:tcW w:w="1350" w:type="dxa"/>
                  <w:vAlign w:val="center"/>
                </w:tcPr>
                <w:p>
                  <w:pPr>
                    <w:pStyle w:val="7"/>
                    <w:keepNext w:val="0"/>
                    <w:keepLines w:val="0"/>
                    <w:pageBreakBefore w:val="0"/>
                    <w:widowControl w:val="0"/>
                    <w:kinsoku/>
                    <w:wordWrap/>
                    <w:overflowPunct/>
                    <w:topLinePunct w:val="0"/>
                    <w:autoSpaceDE/>
                    <w:autoSpaceDN/>
                    <w:bidi w:val="0"/>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rPr>
                    <w:t>聚氨酯高密度棉</w:t>
                  </w:r>
                </w:p>
              </w:tc>
              <w:tc>
                <w:tcPr>
                  <w:tcW w:w="1099"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kern w:val="0"/>
                      <w:sz w:val="21"/>
                      <w:szCs w:val="21"/>
                      <w:highlight w:val="none"/>
                      <w:lang w:val="en-US" w:eastAsia="zh-CN"/>
                    </w:rPr>
                    <w:t>0</w:t>
                  </w:r>
                </w:p>
              </w:tc>
              <w:tc>
                <w:tcPr>
                  <w:tcW w:w="1027"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400t</w:t>
                  </w:r>
                </w:p>
              </w:tc>
              <w:tc>
                <w:tcPr>
                  <w:tcW w:w="1051"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400t</w:t>
                  </w:r>
                </w:p>
              </w:tc>
              <w:tc>
                <w:tcPr>
                  <w:tcW w:w="1066"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pacing w:val="-8"/>
                      <w:kern w:val="0"/>
                      <w:sz w:val="21"/>
                      <w:szCs w:val="21"/>
                      <w:highlight w:val="none"/>
                      <w:shd w:val="clear" w:color="auto" w:fill="auto"/>
                      <w:lang w:val="en-US" w:eastAsia="zh-CN" w:bidi="ar-SA"/>
                    </w:rPr>
                    <w:t>+400t</w:t>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pacing w:val="-8"/>
                      <w:kern w:val="0"/>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drawing>
                      <wp:inline distT="0" distB="0" distL="114300" distR="114300">
                        <wp:extent cx="1021080" cy="1362075"/>
                        <wp:effectExtent l="0" t="0" r="9525" b="7620"/>
                        <wp:docPr id="223" name="图片 223" descr="a2576286ae58a83509696b6c6deaf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a2576286ae58a83509696b6c6deaf90"/>
                                <pic:cNvPicPr>
                                  <a:picLocks noChangeAspect="1"/>
                                </pic:cNvPicPr>
                              </pic:nvPicPr>
                              <pic:blipFill>
                                <a:blip r:embed="rId27"/>
                                <a:stretch>
                                  <a:fillRect/>
                                </a:stretch>
                              </pic:blipFill>
                              <pic:spPr>
                                <a:xfrm rot="5400000">
                                  <a:off x="0" y="0"/>
                                  <a:ext cx="1021080" cy="1362075"/>
                                </a:xfrm>
                                <a:prstGeom prst="rect">
                                  <a:avLst/>
                                </a:prstGeom>
                              </pic:spPr>
                            </pic:pic>
                          </a:graphicData>
                        </a:graphic>
                      </wp:inline>
                    </w:drawing>
                  </w:r>
                </w:p>
              </w:tc>
              <w:tc>
                <w:tcPr>
                  <w:tcW w:w="1532" w:type="dxa"/>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cs="Times New Roman"/>
                      <w:color w:val="auto"/>
                      <w:spacing w:val="-8"/>
                      <w:kern w:val="0"/>
                      <w:sz w:val="21"/>
                      <w:szCs w:val="21"/>
                      <w:highlight w:val="none"/>
                      <w:shd w:val="clear" w:color="auto" w:fill="auto"/>
                      <w:lang w:val="en-US" w:eastAsia="zh-CN" w:bidi="ar-SA"/>
                    </w:rPr>
                  </w:pPr>
                  <w:r>
                    <w:rPr>
                      <w:rFonts w:hint="default" w:ascii="Times New Roman" w:hAnsi="Times New Roman" w:cs="Times New Roman"/>
                      <w:color w:val="auto"/>
                      <w:spacing w:val="-8"/>
                      <w:kern w:val="0"/>
                      <w:sz w:val="21"/>
                      <w:szCs w:val="21"/>
                      <w:highlight w:val="none"/>
                      <w:shd w:val="clear" w:color="auto" w:fill="auto"/>
                      <w:lang w:val="en-US" w:eastAsia="zh-CN" w:bidi="ar-SA"/>
                    </w:rPr>
                    <w:t>0.1mm-1mm</w:t>
                  </w:r>
                </w:p>
              </w:tc>
            </w:tr>
          </w:tbl>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根据建设单位提供的资料，</w:t>
            </w:r>
            <w:r>
              <w:rPr>
                <w:rFonts w:hint="default" w:ascii="Times New Roman" w:hAnsi="Times New Roman" w:cs="Times New Roman"/>
                <w:bCs/>
                <w:color w:val="auto"/>
                <w:szCs w:val="21"/>
                <w:lang w:eastAsia="zh-CN"/>
              </w:rPr>
              <w:t>扩建</w:t>
            </w:r>
            <w:r>
              <w:rPr>
                <w:rFonts w:hint="default" w:ascii="Times New Roman" w:hAnsi="Times New Roman" w:cs="Times New Roman"/>
                <w:bCs/>
                <w:color w:val="auto"/>
                <w:szCs w:val="21"/>
                <w:lang w:val="en-US" w:eastAsia="zh-CN"/>
              </w:rPr>
              <w:t>前后</w:t>
            </w:r>
            <w:r>
              <w:rPr>
                <w:rFonts w:hint="default" w:ascii="Times New Roman" w:hAnsi="Times New Roman" w:cs="Times New Roman"/>
                <w:bCs/>
                <w:color w:val="auto"/>
                <w:szCs w:val="21"/>
                <w:lang w:eastAsia="zh-CN"/>
              </w:rPr>
              <w:t>项目</w:t>
            </w:r>
            <w:r>
              <w:rPr>
                <w:rFonts w:hint="default" w:ascii="Times New Roman" w:hAnsi="Times New Roman" w:cs="Times New Roman"/>
                <w:bCs/>
                <w:color w:val="auto"/>
                <w:szCs w:val="21"/>
              </w:rPr>
              <w:t>设备如下表：</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扩建前后项目生产设备一览表</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277"/>
              <w:gridCol w:w="543"/>
              <w:gridCol w:w="501"/>
              <w:gridCol w:w="1174"/>
              <w:gridCol w:w="1979"/>
              <w:gridCol w:w="1365"/>
              <w:gridCol w:w="942"/>
              <w:gridCol w:w="892"/>
              <w:gridCol w:w="794"/>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2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主要生产单元</w:t>
                  </w:r>
                </w:p>
              </w:tc>
              <w:tc>
                <w:tcPr>
                  <w:tcW w:w="2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主要工艺</w:t>
                  </w:r>
                </w:p>
              </w:tc>
              <w:tc>
                <w:tcPr>
                  <w:tcW w:w="6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主要生产设施</w:t>
                  </w:r>
                </w:p>
              </w:tc>
              <w:tc>
                <w:tcPr>
                  <w:tcW w:w="10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设施参数</w:t>
                  </w:r>
                </w:p>
              </w:tc>
              <w:tc>
                <w:tcPr>
                  <w:tcW w:w="7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现有项目数量</w:t>
                  </w:r>
                </w:p>
              </w:tc>
              <w:tc>
                <w:tcPr>
                  <w:tcW w:w="50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扩建项目数量</w:t>
                  </w:r>
                </w:p>
              </w:tc>
              <w:tc>
                <w:tcPr>
                  <w:tcW w:w="4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w:t>
                  </w:r>
                  <w:r>
                    <w:rPr>
                      <w:rFonts w:hint="default" w:ascii="Times New Roman" w:hAnsi="Times New Roman" w:eastAsia="宋体" w:cs="Times New Roman"/>
                      <w:b/>
                      <w:bCs/>
                      <w:color w:val="auto"/>
                      <w:sz w:val="21"/>
                      <w:szCs w:val="21"/>
                      <w:highlight w:val="none"/>
                      <w:lang w:eastAsia="zh-CN"/>
                    </w:rPr>
                    <w:t>后</w:t>
                  </w:r>
                  <w:r>
                    <w:rPr>
                      <w:rFonts w:hint="default" w:ascii="Times New Roman" w:hAnsi="Times New Roman" w:eastAsia="宋体" w:cs="Times New Roman"/>
                      <w:b/>
                      <w:bCs/>
                      <w:color w:val="auto"/>
                      <w:sz w:val="21"/>
                      <w:szCs w:val="21"/>
                      <w:highlight w:val="none"/>
                    </w:rPr>
                    <w:t>数量</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增减量</w:t>
                  </w:r>
                </w:p>
              </w:tc>
              <w:tc>
                <w:tcPr>
                  <w:tcW w:w="42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所在车间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9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保护膜及</w:t>
                  </w:r>
                  <w:r>
                    <w:rPr>
                      <w:rFonts w:hint="default" w:ascii="Times New Roman" w:hAnsi="Times New Roman" w:cs="Times New Roman"/>
                      <w:color w:val="auto"/>
                      <w:sz w:val="21"/>
                      <w:szCs w:val="21"/>
                      <w:lang w:val="en-US" w:eastAsia="zh-CN"/>
                    </w:rPr>
                    <w:t>纸类标签材料</w:t>
                  </w:r>
                  <w:r>
                    <w:rPr>
                      <w:rFonts w:hint="default" w:ascii="Times New Roman" w:hAnsi="Times New Roman" w:cs="Times New Roman"/>
                      <w:color w:val="auto"/>
                      <w:sz w:val="21"/>
                      <w:szCs w:val="21"/>
                      <w:highlight w:val="none"/>
                      <w:lang w:val="en-US" w:eastAsia="zh-CN"/>
                    </w:rPr>
                    <w:t>生产线</w:t>
                  </w:r>
                </w:p>
              </w:tc>
              <w:tc>
                <w:tcPr>
                  <w:tcW w:w="270"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涂布</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保护膜涂布生产线</w:t>
                  </w:r>
                  <w:r>
                    <w:rPr>
                      <w:rFonts w:hint="default" w:ascii="Times New Roman" w:hAnsi="Times New Roman" w:cs="Times New Roman"/>
                      <w:i w:val="0"/>
                      <w:iCs w:val="0"/>
                      <w:color w:val="auto"/>
                      <w:kern w:val="0"/>
                      <w:sz w:val="21"/>
                      <w:szCs w:val="21"/>
                      <w:u w:val="none"/>
                      <w:lang w:val="en-US" w:eastAsia="zh-CN" w:bidi="ar"/>
                    </w:rPr>
                    <w:t>（一体化涂布机，      包括涂布、烘干、贴合、收卷）</w:t>
                  </w:r>
                </w:p>
              </w:tc>
              <w:tc>
                <w:tcPr>
                  <w:tcW w:w="1067"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5m/min</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u w:val="none"/>
                      <w:lang w:val="en-US" w:eastAsia="zh-CN" w:bidi="ar"/>
                    </w:rPr>
                    <w:t>7条</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3条</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10条</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i w:val="0"/>
                      <w:iCs w:val="0"/>
                      <w:color w:val="auto"/>
                      <w:kern w:val="0"/>
                      <w:sz w:val="21"/>
                      <w:szCs w:val="21"/>
                      <w:u w:val="none"/>
                      <w:lang w:val="en-US" w:eastAsia="zh-CN" w:bidi="ar"/>
                    </w:rPr>
                    <w:t>+3条</w:t>
                  </w:r>
                </w:p>
              </w:tc>
              <w:tc>
                <w:tcPr>
                  <w:tcW w:w="42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涂布车间1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纸类标签材料生产线</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5m/min</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2条</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2条</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裁切</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裁切机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0.5kW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12台</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12台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分切车间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调胶</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调胶机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0.4kW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9台</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2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调胶车间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研磨机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0.5kW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5台</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预搅拌</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搅拌机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0.6kW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+9台</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空压机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0.75kW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2台</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5台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+3台</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废气处理</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RTO</w:t>
                  </w:r>
                  <w:r>
                    <w:rPr>
                      <w:rFonts w:hint="default" w:ascii="Times New Roman" w:hAnsi="Times New Roman" w:cs="Times New Roman"/>
                      <w:i w:val="0"/>
                      <w:iCs w:val="0"/>
                      <w:color w:val="auto"/>
                      <w:kern w:val="0"/>
                      <w:sz w:val="21"/>
                      <w:szCs w:val="21"/>
                      <w:u w:val="none"/>
                      <w:lang w:val="en-US" w:eastAsia="zh-CN" w:bidi="ar"/>
                    </w:rPr>
                    <w:t>废气处理</w:t>
                  </w:r>
                  <w:r>
                    <w:rPr>
                      <w:rFonts w:hint="default" w:ascii="Times New Roman" w:hAnsi="Times New Roman" w:eastAsia="宋体" w:cs="Times New Roman"/>
                      <w:i w:val="0"/>
                      <w:iCs w:val="0"/>
                      <w:color w:val="auto"/>
                      <w:kern w:val="0"/>
                      <w:sz w:val="21"/>
                      <w:szCs w:val="21"/>
                      <w:u w:val="none"/>
                      <w:lang w:val="en-US" w:eastAsia="zh-CN" w:bidi="ar"/>
                    </w:rPr>
                    <w:t>装置</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25000m</w:t>
                  </w:r>
                  <w:r>
                    <w:rPr>
                      <w:rFonts w:hint="default" w:ascii="Times New Roman" w:hAnsi="Times New Roman" w:cs="Times New Roman"/>
                      <w:i w:val="0"/>
                      <w:iCs w:val="0"/>
                      <w:color w:val="auto"/>
                      <w:kern w:val="0"/>
                      <w:sz w:val="21"/>
                      <w:szCs w:val="21"/>
                      <w:highlight w:val="none"/>
                      <w:u w:val="none"/>
                      <w:vertAlign w:val="superscript"/>
                      <w:lang w:val="en-US" w:eastAsia="zh-CN" w:bidi="ar"/>
                    </w:rPr>
                    <w:t>3</w:t>
                  </w:r>
                  <w:r>
                    <w:rPr>
                      <w:rFonts w:hint="default" w:ascii="Times New Roman" w:hAnsi="Times New Roman" w:cs="Times New Roman"/>
                      <w:i w:val="0"/>
                      <w:iCs w:val="0"/>
                      <w:color w:val="auto"/>
                      <w:kern w:val="0"/>
                      <w:sz w:val="21"/>
                      <w:szCs w:val="21"/>
                      <w:highlight w:val="none"/>
                      <w:u w:val="none"/>
                      <w:lang w:val="en-US" w:eastAsia="zh-CN" w:bidi="ar"/>
                    </w:rPr>
                    <w:t>/h-77000m</w:t>
                  </w:r>
                  <w:r>
                    <w:rPr>
                      <w:rFonts w:hint="default" w:ascii="Times New Roman" w:hAnsi="Times New Roman" w:cs="Times New Roman"/>
                      <w:i w:val="0"/>
                      <w:iCs w:val="0"/>
                      <w:color w:val="auto"/>
                      <w:kern w:val="0"/>
                      <w:sz w:val="21"/>
                      <w:szCs w:val="21"/>
                      <w:highlight w:val="none"/>
                      <w:u w:val="none"/>
                      <w:vertAlign w:val="superscript"/>
                      <w:lang w:val="en-US" w:eastAsia="zh-CN" w:bidi="ar"/>
                    </w:rPr>
                    <w:t>3</w:t>
                  </w:r>
                  <w:r>
                    <w:rPr>
                      <w:rFonts w:hint="default" w:ascii="Times New Roman" w:hAnsi="Times New Roman" w:cs="Times New Roman"/>
                      <w:i w:val="0"/>
                      <w:iCs w:val="0"/>
                      <w:color w:val="auto"/>
                      <w:kern w:val="0"/>
                      <w:sz w:val="21"/>
                      <w:szCs w:val="21"/>
                      <w:highlight w:val="none"/>
                      <w:u w:val="none"/>
                      <w:lang w:val="en-US" w:eastAsia="zh-CN" w:bidi="ar"/>
                    </w:rPr>
                    <w:t>/h</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1套</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1套</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4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品检车间东侧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收卷分切</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分条机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+3台</w:t>
                  </w:r>
                </w:p>
              </w:tc>
              <w:tc>
                <w:tcPr>
                  <w:tcW w:w="42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分切车间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切台机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9</w:t>
                  </w:r>
                </w:p>
              </w:tc>
              <w:tc>
                <w:tcPr>
                  <w:tcW w:w="29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聚氨酯高密度棉生产线</w:t>
                  </w:r>
                </w:p>
              </w:tc>
              <w:tc>
                <w:tcPr>
                  <w:tcW w:w="270"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预搅拌</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地上式</w:t>
                  </w:r>
                  <w:r>
                    <w:rPr>
                      <w:rFonts w:hint="default" w:ascii="Times New Roman" w:hAnsi="Times New Roman" w:eastAsia="宋体" w:cs="Times New Roman"/>
                      <w:i w:val="0"/>
                      <w:iCs w:val="0"/>
                      <w:color w:val="auto"/>
                      <w:kern w:val="0"/>
                      <w:sz w:val="21"/>
                      <w:szCs w:val="21"/>
                      <w:u w:val="none"/>
                      <w:lang w:val="en-US" w:eastAsia="zh-CN" w:bidi="ar"/>
                    </w:rPr>
                    <w:t>不锈钢</w:t>
                  </w:r>
                  <w:r>
                    <w:rPr>
                      <w:rFonts w:hint="default" w:ascii="Times New Roman" w:hAnsi="Times New Roman" w:cs="Times New Roman"/>
                      <w:i w:val="0"/>
                      <w:iCs w:val="0"/>
                      <w:color w:val="auto"/>
                      <w:kern w:val="0"/>
                      <w:sz w:val="21"/>
                      <w:szCs w:val="21"/>
                      <w:u w:val="none"/>
                      <w:lang w:val="en-US" w:eastAsia="zh-CN" w:bidi="ar"/>
                    </w:rPr>
                    <w:t>预搅拌</w:t>
                  </w:r>
                  <w:r>
                    <w:rPr>
                      <w:rFonts w:hint="default" w:ascii="Times New Roman" w:hAnsi="Times New Roman" w:eastAsia="宋体" w:cs="Times New Roman"/>
                      <w:i w:val="0"/>
                      <w:iCs w:val="0"/>
                      <w:color w:val="auto"/>
                      <w:kern w:val="0"/>
                      <w:sz w:val="21"/>
                      <w:szCs w:val="21"/>
                      <w:u w:val="none"/>
                      <w:lang w:val="en-US" w:eastAsia="zh-CN" w:bidi="ar"/>
                    </w:rPr>
                    <w:t>罐</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容积1500L/个</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3个</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3个</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+3个</w:t>
                  </w:r>
                </w:p>
              </w:tc>
              <w:tc>
                <w:tcPr>
                  <w:tcW w:w="42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聚氨酯高密度棉生产车间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p>
              </w:tc>
              <w:tc>
                <w:tcPr>
                  <w:tcW w:w="270"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highlight w:val="none"/>
                      <w:u w:val="none"/>
                      <w:lang w:val="en-US" w:eastAsia="zh-CN" w:bidi="ar"/>
                    </w:rPr>
                  </w:pP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地上式</w:t>
                  </w:r>
                  <w:r>
                    <w:rPr>
                      <w:rFonts w:hint="default" w:ascii="Times New Roman" w:hAnsi="Times New Roman" w:eastAsia="宋体" w:cs="Times New Roman"/>
                      <w:i w:val="0"/>
                      <w:iCs w:val="0"/>
                      <w:color w:val="auto"/>
                      <w:kern w:val="0"/>
                      <w:sz w:val="21"/>
                      <w:szCs w:val="21"/>
                      <w:u w:val="none"/>
                      <w:lang w:val="en-US" w:eastAsia="zh-CN" w:bidi="ar"/>
                    </w:rPr>
                    <w:t>不锈钢</w:t>
                  </w:r>
                  <w:r>
                    <w:rPr>
                      <w:rFonts w:hint="default" w:ascii="Times New Roman" w:hAnsi="Times New Roman" w:cs="Times New Roman"/>
                      <w:i w:val="0"/>
                      <w:iCs w:val="0"/>
                      <w:color w:val="auto"/>
                      <w:kern w:val="0"/>
                      <w:sz w:val="21"/>
                      <w:szCs w:val="21"/>
                      <w:u w:val="none"/>
                      <w:lang w:val="en-US" w:eastAsia="zh-CN" w:bidi="ar"/>
                    </w:rPr>
                    <w:t>预搅拌</w:t>
                  </w:r>
                  <w:r>
                    <w:rPr>
                      <w:rFonts w:hint="default" w:ascii="Times New Roman" w:hAnsi="Times New Roman" w:eastAsia="宋体" w:cs="Times New Roman"/>
                      <w:i w:val="0"/>
                      <w:iCs w:val="0"/>
                      <w:color w:val="auto"/>
                      <w:kern w:val="0"/>
                      <w:sz w:val="21"/>
                      <w:szCs w:val="21"/>
                      <w:u w:val="none"/>
                      <w:lang w:val="en-US" w:eastAsia="zh-CN" w:bidi="ar"/>
                    </w:rPr>
                    <w:t>罐</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容积150L/个</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u w:val="none"/>
                      <w:lang w:val="en-US" w:eastAsia="zh-CN" w:bidi="ar"/>
                    </w:rPr>
                    <w:t>4</w:t>
                  </w:r>
                  <w:r>
                    <w:rPr>
                      <w:rFonts w:hint="default" w:ascii="Times New Roman" w:hAnsi="Times New Roman" w:eastAsia="宋体" w:cs="Times New Roman"/>
                      <w:i w:val="0"/>
                      <w:iCs w:val="0"/>
                      <w:color w:val="auto"/>
                      <w:kern w:val="0"/>
                      <w:sz w:val="21"/>
                      <w:szCs w:val="21"/>
                      <w:u w:val="none"/>
                      <w:lang w:val="en-US" w:eastAsia="zh-CN" w:bidi="ar"/>
                    </w:rPr>
                    <w:t>个</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u w:val="none"/>
                      <w:lang w:val="en-US" w:eastAsia="zh-CN" w:bidi="ar"/>
                    </w:rPr>
                    <w:t>4</w:t>
                  </w:r>
                  <w:r>
                    <w:rPr>
                      <w:rFonts w:hint="default" w:ascii="Times New Roman" w:hAnsi="Times New Roman" w:eastAsia="宋体" w:cs="Times New Roman"/>
                      <w:i w:val="0"/>
                      <w:iCs w:val="0"/>
                      <w:color w:val="auto"/>
                      <w:kern w:val="0"/>
                      <w:sz w:val="21"/>
                      <w:szCs w:val="21"/>
                      <w:u w:val="none"/>
                      <w:lang w:val="en-US" w:eastAsia="zh-CN" w:bidi="ar"/>
                    </w:rPr>
                    <w:t>个</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4</w:t>
                  </w:r>
                  <w:r>
                    <w:rPr>
                      <w:rFonts w:hint="default" w:ascii="Times New Roman" w:hAnsi="Times New Roman" w:eastAsia="宋体" w:cs="Times New Roman"/>
                      <w:i w:val="0"/>
                      <w:iCs w:val="0"/>
                      <w:color w:val="auto"/>
                      <w:kern w:val="0"/>
                      <w:sz w:val="21"/>
                      <w:szCs w:val="21"/>
                      <w:u w:val="none"/>
                      <w:lang w:val="en-US" w:eastAsia="zh-CN" w:bidi="ar"/>
                    </w:rPr>
                    <w:t>个</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p>
              </w:tc>
              <w:tc>
                <w:tcPr>
                  <w:tcW w:w="270"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highlight w:val="none"/>
                      <w:u w:val="none"/>
                      <w:lang w:val="en-US" w:eastAsia="zh-CN" w:bidi="ar"/>
                    </w:rPr>
                  </w:pP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产品样品测试罐</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容积150L/个</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u w:val="none"/>
                      <w:lang w:val="en-US" w:eastAsia="zh-CN" w:bidi="ar"/>
                    </w:rPr>
                    <w:t>2</w:t>
                  </w:r>
                  <w:r>
                    <w:rPr>
                      <w:rFonts w:hint="default" w:ascii="Times New Roman" w:hAnsi="Times New Roman" w:eastAsia="宋体" w:cs="Times New Roman"/>
                      <w:i w:val="0"/>
                      <w:iCs w:val="0"/>
                      <w:color w:val="auto"/>
                      <w:kern w:val="0"/>
                      <w:sz w:val="21"/>
                      <w:szCs w:val="21"/>
                      <w:u w:val="none"/>
                      <w:lang w:val="en-US" w:eastAsia="zh-CN" w:bidi="ar"/>
                    </w:rPr>
                    <w:t>个</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u w:val="none"/>
                      <w:lang w:val="en-US" w:eastAsia="zh-CN" w:bidi="ar"/>
                    </w:rPr>
                    <w:t>2</w:t>
                  </w:r>
                  <w:r>
                    <w:rPr>
                      <w:rFonts w:hint="default" w:ascii="Times New Roman" w:hAnsi="Times New Roman" w:eastAsia="宋体" w:cs="Times New Roman"/>
                      <w:i w:val="0"/>
                      <w:iCs w:val="0"/>
                      <w:color w:val="auto"/>
                      <w:kern w:val="0"/>
                      <w:sz w:val="21"/>
                      <w:szCs w:val="21"/>
                      <w:u w:val="none"/>
                      <w:lang w:val="en-US" w:eastAsia="zh-CN" w:bidi="ar"/>
                    </w:rPr>
                    <w:t>个</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2</w:t>
                  </w:r>
                  <w:r>
                    <w:rPr>
                      <w:rFonts w:hint="default" w:ascii="Times New Roman" w:hAnsi="Times New Roman" w:eastAsia="宋体" w:cs="Times New Roman"/>
                      <w:i w:val="0"/>
                      <w:iCs w:val="0"/>
                      <w:color w:val="auto"/>
                      <w:kern w:val="0"/>
                      <w:sz w:val="21"/>
                      <w:szCs w:val="21"/>
                      <w:u w:val="none"/>
                      <w:lang w:val="en-US" w:eastAsia="zh-CN" w:bidi="ar"/>
                    </w:rPr>
                    <w:t>个</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0</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混合发泡</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均质机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8kW</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1</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发泡冷却</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冷水机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3m</w:t>
                  </w:r>
                  <w:r>
                    <w:rPr>
                      <w:rFonts w:hint="default" w:ascii="Times New Roman" w:hAnsi="Times New Roman" w:cs="Times New Roman"/>
                      <w:i w:val="0"/>
                      <w:iCs w:val="0"/>
                      <w:color w:val="auto"/>
                      <w:kern w:val="0"/>
                      <w:sz w:val="21"/>
                      <w:szCs w:val="21"/>
                      <w:highlight w:val="none"/>
                      <w:u w:val="none"/>
                      <w:vertAlign w:val="superscript"/>
                      <w:lang w:val="en-US" w:eastAsia="zh-CN" w:bidi="ar"/>
                    </w:rPr>
                    <w:t>3</w:t>
                  </w:r>
                  <w:r>
                    <w:rPr>
                      <w:rFonts w:hint="default" w:ascii="Times New Roman" w:hAnsi="Times New Roman" w:cs="Times New Roman"/>
                      <w:i w:val="0"/>
                      <w:iCs w:val="0"/>
                      <w:color w:val="auto"/>
                      <w:kern w:val="0"/>
                      <w:sz w:val="21"/>
                      <w:szCs w:val="21"/>
                      <w:highlight w:val="none"/>
                      <w:u w:val="none"/>
                      <w:lang w:val="en-US" w:eastAsia="zh-CN" w:bidi="ar"/>
                    </w:rPr>
                    <w:t>/h</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+1台</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color w:val="auto"/>
                      <w:sz w:val="21"/>
                      <w:szCs w:val="21"/>
                      <w:highlight w:val="none"/>
                      <w:lang w:val="en-US" w:eastAsia="zh-CN"/>
                    </w:rPr>
                    <w:t>2</w:t>
                  </w:r>
                </w:p>
              </w:tc>
              <w:tc>
                <w:tcPr>
                  <w:tcW w:w="2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涂布</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聚氨酯</w:t>
                  </w:r>
                  <w:r>
                    <w:rPr>
                      <w:rFonts w:hint="default" w:ascii="Times New Roman" w:hAnsi="Times New Roman" w:cs="Times New Roman"/>
                      <w:i w:val="0"/>
                      <w:iCs w:val="0"/>
                      <w:color w:val="auto"/>
                      <w:kern w:val="0"/>
                      <w:sz w:val="21"/>
                      <w:szCs w:val="21"/>
                      <w:u w:val="none"/>
                      <w:lang w:val="en-US" w:eastAsia="zh-CN" w:bidi="ar"/>
                    </w:rPr>
                    <w:t>高密度</w:t>
                  </w:r>
                  <w:r>
                    <w:rPr>
                      <w:rFonts w:hint="default" w:ascii="Times New Roman" w:hAnsi="Times New Roman" w:eastAsia="宋体" w:cs="Times New Roman"/>
                      <w:i w:val="0"/>
                      <w:iCs w:val="0"/>
                      <w:color w:val="auto"/>
                      <w:kern w:val="0"/>
                      <w:sz w:val="21"/>
                      <w:szCs w:val="21"/>
                      <w:u w:val="none"/>
                      <w:lang w:val="en-US" w:eastAsia="zh-CN" w:bidi="ar"/>
                    </w:rPr>
                    <w:t>棉生产线</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kern w:val="0"/>
                      <w:sz w:val="21"/>
                      <w:szCs w:val="21"/>
                      <w:lang w:val="en-US" w:eastAsia="zh-CN"/>
                    </w:rPr>
                    <w:t>含涂布、烘干、二次涂层、UV灯固化、收卷</w:t>
                  </w:r>
                  <w:r>
                    <w:rPr>
                      <w:rFonts w:hint="default" w:ascii="Times New Roman" w:hAnsi="Times New Roman" w:cs="Times New Roman"/>
                      <w:color w:val="auto"/>
                      <w:sz w:val="21"/>
                      <w:szCs w:val="21"/>
                      <w:lang w:eastAsia="zh-CN"/>
                    </w:rPr>
                    <w:t>）</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5m/min</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1条</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1条</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+1条</w:t>
                  </w:r>
                </w:p>
              </w:tc>
              <w:tc>
                <w:tcPr>
                  <w:tcW w:w="429"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4" w:hRule="atLeast"/>
                <w:jc w:val="center"/>
              </w:trPr>
              <w:tc>
                <w:tcPr>
                  <w:tcW w:w="1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13</w:t>
                  </w:r>
                </w:p>
              </w:tc>
              <w:tc>
                <w:tcPr>
                  <w:tcW w:w="2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2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烤干、烘烤</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燃烧机</w:t>
                  </w:r>
                </w:p>
              </w:tc>
              <w:tc>
                <w:tcPr>
                  <w:tcW w:w="10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100万大卡</w:t>
                  </w:r>
                  <w:r>
                    <w:rPr>
                      <w:rFonts w:hint="eastAsia" w:cs="Times New Roman"/>
                      <w:i w:val="0"/>
                      <w:iCs w:val="0"/>
                      <w:color w:val="auto"/>
                      <w:kern w:val="0"/>
                      <w:sz w:val="21"/>
                      <w:szCs w:val="21"/>
                      <w:highlight w:val="none"/>
                      <w:u w:val="none"/>
                      <w:lang w:val="en-US" w:eastAsia="zh-CN" w:bidi="ar"/>
                    </w:rPr>
                    <w:t>（1.7t/h）</w:t>
                  </w:r>
                </w:p>
              </w:tc>
              <w:tc>
                <w:tcPr>
                  <w:tcW w:w="7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w:t>
                  </w:r>
                </w:p>
              </w:tc>
              <w:tc>
                <w:tcPr>
                  <w:tcW w:w="5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1台</w:t>
                  </w:r>
                </w:p>
              </w:tc>
              <w:tc>
                <w:tcPr>
                  <w:tcW w:w="4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1台</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+1台</w:t>
                  </w:r>
                </w:p>
              </w:tc>
              <w:tc>
                <w:tcPr>
                  <w:tcW w:w="4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w:t>
                  </w:r>
                </w:p>
              </w:tc>
            </w:tr>
          </w:tbl>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扩建项目生产设备一览表</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49"/>
              <w:gridCol w:w="1638"/>
              <w:gridCol w:w="1401"/>
              <w:gridCol w:w="3547"/>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8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主要生产单元</w:t>
                  </w:r>
                </w:p>
              </w:tc>
              <w:tc>
                <w:tcPr>
                  <w:tcW w:w="7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主要工艺</w:t>
                  </w:r>
                </w:p>
              </w:tc>
              <w:tc>
                <w:tcPr>
                  <w:tcW w:w="19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主要生产设施</w:t>
                  </w:r>
                </w:p>
              </w:tc>
              <w:tc>
                <w:tcPr>
                  <w:tcW w:w="10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88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保护膜生产线</w:t>
                  </w:r>
                </w:p>
              </w:tc>
              <w:tc>
                <w:tcPr>
                  <w:tcW w:w="7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涂布</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保护膜涂布生产线</w:t>
                  </w:r>
                  <w:r>
                    <w:rPr>
                      <w:rFonts w:hint="default" w:ascii="Times New Roman" w:hAnsi="Times New Roman" w:cs="Times New Roman"/>
                      <w:i w:val="0"/>
                      <w:iCs w:val="0"/>
                      <w:color w:val="auto"/>
                      <w:kern w:val="0"/>
                      <w:sz w:val="21"/>
                      <w:szCs w:val="21"/>
                      <w:u w:val="none"/>
                      <w:lang w:val="en-US" w:eastAsia="zh-CN" w:bidi="ar"/>
                    </w:rPr>
                    <w:t>（一体化涂布机，      包括涂布、烘干、贴合、收卷）</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收卷分切</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分条机</w:t>
                  </w:r>
                </w:p>
              </w:tc>
              <w:tc>
                <w:tcPr>
                  <w:tcW w:w="1040"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u w:val="none"/>
                      <w:lang w:val="en-US" w:eastAsia="zh-CN" w:bidi="ar"/>
                    </w:rPr>
                  </w:pP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切台机</w:t>
                  </w:r>
                </w:p>
              </w:tc>
              <w:tc>
                <w:tcPr>
                  <w:tcW w:w="1040" w:type="pct"/>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color w:val="auto"/>
                      <w:kern w:val="0"/>
                      <w:sz w:val="21"/>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调胶、预搅拌</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搅拌机</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研磨机</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空压机</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7</w:t>
                  </w:r>
                </w:p>
              </w:tc>
              <w:tc>
                <w:tcPr>
                  <w:tcW w:w="88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聚氨酯高密度棉生产线</w:t>
                  </w:r>
                </w:p>
              </w:tc>
              <w:tc>
                <w:tcPr>
                  <w:tcW w:w="75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预搅拌</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1500L</w:t>
                  </w:r>
                  <w:r>
                    <w:rPr>
                      <w:rFonts w:hint="default" w:ascii="Times New Roman" w:hAnsi="Times New Roman" w:eastAsia="宋体" w:cs="Times New Roman"/>
                      <w:i w:val="0"/>
                      <w:iCs w:val="0"/>
                      <w:color w:val="auto"/>
                      <w:kern w:val="0"/>
                      <w:sz w:val="21"/>
                      <w:szCs w:val="21"/>
                      <w:u w:val="none"/>
                      <w:lang w:val="en-US" w:eastAsia="zh-CN" w:bidi="ar"/>
                    </w:rPr>
                    <w:t>不锈钢</w:t>
                  </w:r>
                  <w:r>
                    <w:rPr>
                      <w:rFonts w:hint="default" w:ascii="Times New Roman" w:hAnsi="Times New Roman" w:cs="Times New Roman"/>
                      <w:i w:val="0"/>
                      <w:iCs w:val="0"/>
                      <w:color w:val="auto"/>
                      <w:kern w:val="0"/>
                      <w:sz w:val="21"/>
                      <w:szCs w:val="21"/>
                      <w:u w:val="none"/>
                      <w:lang w:val="en-US" w:eastAsia="zh-CN" w:bidi="ar"/>
                    </w:rPr>
                    <w:t>预搅拌</w:t>
                  </w:r>
                  <w:r>
                    <w:rPr>
                      <w:rFonts w:hint="default" w:ascii="Times New Roman" w:hAnsi="Times New Roman" w:eastAsia="宋体" w:cs="Times New Roman"/>
                      <w:i w:val="0"/>
                      <w:iCs w:val="0"/>
                      <w:color w:val="auto"/>
                      <w:kern w:val="0"/>
                      <w:sz w:val="21"/>
                      <w:szCs w:val="21"/>
                      <w:u w:val="none"/>
                      <w:lang w:val="en-US" w:eastAsia="zh-CN" w:bidi="ar"/>
                    </w:rPr>
                    <w:t>罐</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p>
              </w:tc>
              <w:tc>
                <w:tcPr>
                  <w:tcW w:w="75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i w:val="0"/>
                      <w:iCs w:val="0"/>
                      <w:color w:val="auto"/>
                      <w:kern w:val="0"/>
                      <w:sz w:val="21"/>
                      <w:szCs w:val="21"/>
                      <w:highlight w:val="none"/>
                      <w:u w:val="none"/>
                      <w:lang w:val="en-US" w:eastAsia="zh-CN" w:bidi="ar"/>
                    </w:rPr>
                  </w:pP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150L</w:t>
                  </w:r>
                  <w:r>
                    <w:rPr>
                      <w:rFonts w:hint="default" w:ascii="Times New Roman" w:hAnsi="Times New Roman" w:eastAsia="宋体" w:cs="Times New Roman"/>
                      <w:i w:val="0"/>
                      <w:iCs w:val="0"/>
                      <w:color w:val="auto"/>
                      <w:kern w:val="0"/>
                      <w:sz w:val="21"/>
                      <w:szCs w:val="21"/>
                      <w:u w:val="none"/>
                      <w:lang w:val="en-US" w:eastAsia="zh-CN" w:bidi="ar"/>
                    </w:rPr>
                    <w:t>不锈钢</w:t>
                  </w:r>
                  <w:r>
                    <w:rPr>
                      <w:rFonts w:hint="default" w:ascii="Times New Roman" w:hAnsi="Times New Roman" w:cs="Times New Roman"/>
                      <w:i w:val="0"/>
                      <w:iCs w:val="0"/>
                      <w:color w:val="auto"/>
                      <w:kern w:val="0"/>
                      <w:sz w:val="21"/>
                      <w:szCs w:val="21"/>
                      <w:u w:val="none"/>
                      <w:lang w:val="en-US" w:eastAsia="zh-CN" w:bidi="ar"/>
                    </w:rPr>
                    <w:t>预搅拌</w:t>
                  </w:r>
                  <w:r>
                    <w:rPr>
                      <w:rFonts w:hint="default" w:ascii="Times New Roman" w:hAnsi="Times New Roman" w:eastAsia="宋体" w:cs="Times New Roman"/>
                      <w:i w:val="0"/>
                      <w:iCs w:val="0"/>
                      <w:color w:val="auto"/>
                      <w:kern w:val="0"/>
                      <w:sz w:val="21"/>
                      <w:szCs w:val="21"/>
                      <w:u w:val="none"/>
                      <w:lang w:val="en-US" w:eastAsia="zh-CN" w:bidi="ar"/>
                    </w:rPr>
                    <w:t>罐</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u w:val="none"/>
                      <w:lang w:val="en-US" w:eastAsia="zh-CN" w:bidi="ar"/>
                    </w:rPr>
                    <w:t>4</w:t>
                  </w:r>
                  <w:r>
                    <w:rPr>
                      <w:rFonts w:hint="default" w:ascii="Times New Roman" w:hAnsi="Times New Roman" w:eastAsia="宋体" w:cs="Times New Roman"/>
                      <w:i w:val="0"/>
                      <w:iCs w:val="0"/>
                      <w:color w:val="auto"/>
                      <w:kern w:val="0"/>
                      <w:sz w:val="21"/>
                      <w:szCs w:val="21"/>
                      <w:u w:val="none"/>
                      <w:lang w:val="en-US" w:eastAsia="zh-CN" w:bidi="ar"/>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5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产品样品测试罐</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8</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混合发泡</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均质机</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8"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9</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发泡冷却</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冷水机</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4"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10</w:t>
                  </w:r>
                </w:p>
              </w:tc>
              <w:tc>
                <w:tcPr>
                  <w:tcW w:w="8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涂布</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聚氨酯</w:t>
                  </w:r>
                  <w:r>
                    <w:rPr>
                      <w:rFonts w:hint="default" w:ascii="Times New Roman" w:hAnsi="Times New Roman" w:cs="Times New Roman"/>
                      <w:i w:val="0"/>
                      <w:iCs w:val="0"/>
                      <w:color w:val="auto"/>
                      <w:kern w:val="0"/>
                      <w:sz w:val="21"/>
                      <w:szCs w:val="21"/>
                      <w:u w:val="none"/>
                      <w:lang w:val="en-US" w:eastAsia="zh-CN" w:bidi="ar"/>
                    </w:rPr>
                    <w:t>高密度</w:t>
                  </w:r>
                  <w:r>
                    <w:rPr>
                      <w:rFonts w:hint="default" w:ascii="Times New Roman" w:hAnsi="Times New Roman" w:eastAsia="宋体" w:cs="Times New Roman"/>
                      <w:i w:val="0"/>
                      <w:iCs w:val="0"/>
                      <w:color w:val="auto"/>
                      <w:kern w:val="0"/>
                      <w:sz w:val="21"/>
                      <w:szCs w:val="21"/>
                      <w:u w:val="none"/>
                      <w:lang w:val="en-US" w:eastAsia="zh-CN" w:bidi="ar"/>
                    </w:rPr>
                    <w:t>棉生产线</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kern w:val="0"/>
                      <w:sz w:val="21"/>
                      <w:szCs w:val="21"/>
                      <w:lang w:val="en-US" w:eastAsia="zh-CN"/>
                    </w:rPr>
                    <w:t>含涂布、烘干、二次涂层、UV灯固化、收卷</w:t>
                  </w:r>
                  <w:r>
                    <w:rPr>
                      <w:rFonts w:hint="default" w:ascii="Times New Roman" w:hAnsi="Times New Roman" w:cs="Times New Roman"/>
                      <w:color w:val="auto"/>
                      <w:sz w:val="21"/>
                      <w:szCs w:val="21"/>
                      <w:lang w:eastAsia="zh-CN"/>
                    </w:rPr>
                    <w:t>）</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1条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4" w:hRule="atLeast"/>
                <w:jc w:val="center"/>
              </w:trPr>
              <w:tc>
                <w:tcPr>
                  <w:tcW w:w="4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11</w:t>
                  </w:r>
                </w:p>
              </w:tc>
              <w:tc>
                <w:tcPr>
                  <w:tcW w:w="8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供热</w:t>
                  </w:r>
                </w:p>
              </w:tc>
              <w:tc>
                <w:tcPr>
                  <w:tcW w:w="75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供热</w:t>
                  </w:r>
                </w:p>
              </w:tc>
              <w:tc>
                <w:tcPr>
                  <w:tcW w:w="191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kern w:val="2"/>
                      <w:sz w:val="21"/>
                      <w:szCs w:val="21"/>
                      <w:highlight w:val="none"/>
                      <w:lang w:val="en-US" w:eastAsia="zh-CN" w:bidi="ar-SA"/>
                    </w:rPr>
                    <w:t>1.7t/h</w:t>
                  </w:r>
                  <w:r>
                    <w:rPr>
                      <w:rFonts w:hint="default" w:ascii="Times New Roman" w:hAnsi="Times New Roman" w:cs="Times New Roman"/>
                      <w:color w:val="auto"/>
                      <w:kern w:val="2"/>
                      <w:sz w:val="21"/>
                      <w:szCs w:val="21"/>
                      <w:highlight w:val="none"/>
                      <w:lang w:val="en-US" w:eastAsia="zh-CN" w:bidi="ar-SA"/>
                    </w:rPr>
                    <w:t>燃烧机</w:t>
                  </w:r>
                </w:p>
              </w:tc>
              <w:tc>
                <w:tcPr>
                  <w:tcW w:w="104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1台</w:t>
                  </w:r>
                </w:p>
              </w:tc>
            </w:tr>
          </w:tbl>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（发泡）生产设备产能核算表</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924"/>
              <w:gridCol w:w="1291"/>
              <w:gridCol w:w="1048"/>
              <w:gridCol w:w="1033"/>
              <w:gridCol w:w="770"/>
              <w:gridCol w:w="935"/>
              <w:gridCol w:w="883"/>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jc w:val="center"/>
              </w:trPr>
              <w:tc>
                <w:tcPr>
                  <w:tcW w:w="72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eastAsia="宋体" w:cs="Times New Roman"/>
                      <w:b/>
                      <w:bCs w:val="0"/>
                      <w:color w:val="auto"/>
                      <w:kern w:val="0"/>
                      <w:sz w:val="21"/>
                      <w:szCs w:val="21"/>
                      <w:highlight w:val="none"/>
                      <w:lang w:val="en-US" w:eastAsia="zh-CN" w:bidi="ar"/>
                    </w:rPr>
                    <w:t>设备名称</w:t>
                  </w:r>
                </w:p>
              </w:tc>
              <w:tc>
                <w:tcPr>
                  <w:tcW w:w="4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eastAsia="宋体" w:cs="Times New Roman"/>
                      <w:b/>
                      <w:bCs w:val="0"/>
                      <w:color w:val="auto"/>
                      <w:kern w:val="0"/>
                      <w:sz w:val="21"/>
                      <w:szCs w:val="21"/>
                      <w:highlight w:val="none"/>
                      <w:lang w:val="en-US" w:eastAsia="zh-CN" w:bidi="ar"/>
                    </w:rPr>
                    <w:t>生产线数量</w:t>
                  </w:r>
                  <w:r>
                    <w:rPr>
                      <w:rFonts w:hint="default" w:ascii="Times New Roman" w:hAnsi="Times New Roman" w:cs="Times New Roman"/>
                      <w:b/>
                      <w:bCs w:val="0"/>
                      <w:color w:val="auto"/>
                      <w:kern w:val="0"/>
                      <w:sz w:val="21"/>
                      <w:szCs w:val="21"/>
                      <w:highlight w:val="none"/>
                      <w:lang w:val="en-US" w:eastAsia="zh-CN" w:bidi="ar"/>
                    </w:rPr>
                    <w:t>（条）</w:t>
                  </w:r>
                </w:p>
              </w:tc>
              <w:tc>
                <w:tcPr>
                  <w:tcW w:w="69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eastAsia="宋体" w:cs="Times New Roman"/>
                      <w:b/>
                      <w:bCs w:val="0"/>
                      <w:color w:val="auto"/>
                      <w:kern w:val="0"/>
                      <w:sz w:val="21"/>
                      <w:szCs w:val="21"/>
                      <w:highlight w:val="none"/>
                      <w:lang w:val="en-US" w:eastAsia="zh-CN" w:bidi="ar"/>
                    </w:rPr>
                    <w:t>出料速度</w:t>
                  </w:r>
                  <w:r>
                    <w:rPr>
                      <w:rFonts w:hint="default" w:ascii="Times New Roman" w:hAnsi="Times New Roman" w:cs="Times New Roman"/>
                      <w:b/>
                      <w:bCs w:val="0"/>
                      <w:color w:val="auto"/>
                      <w:kern w:val="0"/>
                      <w:sz w:val="21"/>
                      <w:szCs w:val="21"/>
                      <w:highlight w:val="none"/>
                      <w:lang w:val="en-US" w:eastAsia="zh-CN" w:bidi="ar"/>
                    </w:rPr>
                    <w:t>（</w:t>
                  </w:r>
                  <w:r>
                    <w:rPr>
                      <w:rFonts w:hint="default" w:ascii="Times New Roman" w:hAnsi="Times New Roman" w:eastAsia="宋体" w:cs="Times New Roman"/>
                      <w:b w:val="0"/>
                      <w:bCs/>
                      <w:color w:val="auto"/>
                      <w:kern w:val="0"/>
                      <w:sz w:val="21"/>
                      <w:szCs w:val="21"/>
                      <w:highlight w:val="none"/>
                      <w:lang w:val="en-US" w:eastAsia="zh-CN" w:bidi="ar"/>
                    </w:rPr>
                    <w:t>m/min</w:t>
                  </w:r>
                  <w:r>
                    <w:rPr>
                      <w:rFonts w:hint="default" w:ascii="Times New Roman" w:hAnsi="Times New Roman" w:cs="Times New Roman"/>
                      <w:b/>
                      <w:bCs w:val="0"/>
                      <w:color w:val="auto"/>
                      <w:kern w:val="0"/>
                      <w:sz w:val="21"/>
                      <w:szCs w:val="21"/>
                      <w:highlight w:val="none"/>
                      <w:lang w:val="en-US" w:eastAsia="zh-CN" w:bidi="ar"/>
                    </w:rPr>
                    <w:t>）</w:t>
                  </w:r>
                </w:p>
              </w:tc>
              <w:tc>
                <w:tcPr>
                  <w:tcW w:w="56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cs="Times New Roman"/>
                      <w:b/>
                      <w:bCs w:val="0"/>
                      <w:color w:val="auto"/>
                      <w:kern w:val="0"/>
                      <w:sz w:val="21"/>
                      <w:szCs w:val="21"/>
                      <w:highlight w:val="none"/>
                      <w:lang w:val="en-US" w:eastAsia="zh-CN" w:bidi="ar"/>
                    </w:rPr>
                    <w:t>年</w:t>
                  </w:r>
                  <w:r>
                    <w:rPr>
                      <w:rFonts w:hint="default" w:ascii="Times New Roman" w:hAnsi="Times New Roman" w:eastAsia="宋体" w:cs="Times New Roman"/>
                      <w:b/>
                      <w:bCs w:val="0"/>
                      <w:color w:val="auto"/>
                      <w:kern w:val="0"/>
                      <w:sz w:val="21"/>
                      <w:szCs w:val="21"/>
                      <w:highlight w:val="none"/>
                      <w:lang w:val="en-US" w:eastAsia="zh-CN" w:bidi="ar"/>
                    </w:rPr>
                    <w:t>工作时间</w:t>
                  </w:r>
                  <w:r>
                    <w:rPr>
                      <w:rFonts w:hint="default" w:ascii="Times New Roman" w:hAnsi="Times New Roman" w:cs="Times New Roman"/>
                      <w:b/>
                      <w:bCs w:val="0"/>
                      <w:color w:val="auto"/>
                      <w:kern w:val="0"/>
                      <w:sz w:val="21"/>
                      <w:szCs w:val="21"/>
                      <w:highlight w:val="none"/>
                      <w:lang w:val="en-US" w:eastAsia="zh-CN" w:bidi="ar"/>
                    </w:rPr>
                    <w:t>（</w:t>
                  </w:r>
                  <w:r>
                    <w:rPr>
                      <w:rFonts w:hint="default" w:ascii="Times New Roman" w:hAnsi="Times New Roman" w:eastAsia="宋体" w:cs="Times New Roman"/>
                      <w:b w:val="0"/>
                      <w:bCs/>
                      <w:color w:val="auto"/>
                      <w:kern w:val="0"/>
                      <w:sz w:val="21"/>
                      <w:szCs w:val="21"/>
                      <w:highlight w:val="none"/>
                      <w:lang w:val="en-US" w:eastAsia="zh-CN" w:bidi="ar"/>
                    </w:rPr>
                    <w:t>min</w:t>
                  </w:r>
                  <w:r>
                    <w:rPr>
                      <w:rFonts w:hint="default" w:ascii="Times New Roman" w:hAnsi="Times New Roman" w:cs="Times New Roman"/>
                      <w:b/>
                      <w:bCs w:val="0"/>
                      <w:color w:val="auto"/>
                      <w:kern w:val="0"/>
                      <w:sz w:val="21"/>
                      <w:szCs w:val="21"/>
                      <w:highlight w:val="none"/>
                      <w:lang w:val="en-US" w:eastAsia="zh-CN" w:bidi="ar"/>
                    </w:rPr>
                    <w:t>）</w:t>
                  </w:r>
                </w:p>
              </w:tc>
              <w:tc>
                <w:tcPr>
                  <w:tcW w:w="55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cs="Times New Roman"/>
                      <w:b/>
                      <w:bCs w:val="0"/>
                      <w:color w:val="auto"/>
                      <w:kern w:val="0"/>
                      <w:sz w:val="21"/>
                      <w:szCs w:val="21"/>
                      <w:highlight w:val="none"/>
                      <w:lang w:val="en-US" w:eastAsia="zh-CN" w:bidi="ar"/>
                    </w:rPr>
                    <w:t>设备设计产能（m）</w:t>
                  </w:r>
                </w:p>
              </w:tc>
              <w:tc>
                <w:tcPr>
                  <w:tcW w:w="41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cs="Times New Roman"/>
                      <w:b/>
                      <w:bCs w:val="0"/>
                      <w:color w:val="auto"/>
                      <w:kern w:val="0"/>
                      <w:sz w:val="21"/>
                      <w:szCs w:val="21"/>
                      <w:highlight w:val="none"/>
                      <w:lang w:val="en-US" w:eastAsia="zh-CN" w:bidi="ar"/>
                    </w:rPr>
                    <w:t>扩建项目产能（t）</w:t>
                  </w:r>
                </w:p>
              </w:tc>
              <w:tc>
                <w:tcPr>
                  <w:tcW w:w="504"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cs="Times New Roman"/>
                      <w:b/>
                      <w:bCs w:val="0"/>
                      <w:color w:val="auto"/>
                      <w:kern w:val="0"/>
                      <w:sz w:val="21"/>
                      <w:szCs w:val="21"/>
                      <w:highlight w:val="none"/>
                      <w:lang w:val="en-US" w:eastAsia="zh-CN" w:bidi="ar"/>
                    </w:rPr>
                  </w:pPr>
                  <w:r>
                    <w:rPr>
                      <w:rFonts w:hint="default" w:ascii="Times New Roman" w:hAnsi="Times New Roman" w:cs="Times New Roman"/>
                      <w:b/>
                      <w:bCs w:val="0"/>
                      <w:color w:val="auto"/>
                      <w:kern w:val="0"/>
                      <w:sz w:val="21"/>
                      <w:szCs w:val="21"/>
                      <w:highlight w:val="none"/>
                      <w:lang w:val="en-US" w:eastAsia="zh-CN" w:bidi="ar"/>
                    </w:rPr>
                    <w:t>单卷重量（kg）</w:t>
                  </w:r>
                </w:p>
              </w:tc>
              <w:tc>
                <w:tcPr>
                  <w:tcW w:w="47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cs="Times New Roman"/>
                      <w:b/>
                      <w:bCs w:val="0"/>
                      <w:color w:val="auto"/>
                      <w:kern w:val="0"/>
                      <w:sz w:val="21"/>
                      <w:szCs w:val="21"/>
                      <w:highlight w:val="none"/>
                      <w:lang w:val="en-US" w:eastAsia="zh-CN" w:bidi="ar"/>
                    </w:rPr>
                  </w:pPr>
                  <w:r>
                    <w:rPr>
                      <w:rFonts w:hint="default" w:ascii="Times New Roman" w:hAnsi="Times New Roman" w:cs="Times New Roman"/>
                      <w:b/>
                      <w:bCs w:val="0"/>
                      <w:color w:val="auto"/>
                      <w:kern w:val="0"/>
                      <w:sz w:val="21"/>
                      <w:szCs w:val="21"/>
                      <w:highlight w:val="none"/>
                      <w:lang w:val="en-US" w:eastAsia="zh-CN" w:bidi="ar"/>
                    </w:rPr>
                    <w:t>每卷长度（m）</w:t>
                  </w:r>
                </w:p>
              </w:tc>
              <w:tc>
                <w:tcPr>
                  <w:tcW w:w="55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eastAsia="宋体" w:cs="Times New Roman"/>
                      <w:b/>
                      <w:bCs w:val="0"/>
                      <w:color w:val="auto"/>
                      <w:kern w:val="0"/>
                      <w:sz w:val="21"/>
                      <w:szCs w:val="21"/>
                      <w:highlight w:val="none"/>
                      <w:lang w:val="en-US" w:eastAsia="zh-CN" w:bidi="ar"/>
                    </w:rPr>
                    <w:t>产品总长度</w:t>
                  </w:r>
                  <w:r>
                    <w:rPr>
                      <w:rFonts w:hint="default" w:ascii="Times New Roman" w:hAnsi="Times New Roman" w:cs="Times New Roman"/>
                      <w:b/>
                      <w:bCs w:val="0"/>
                      <w:color w:val="auto"/>
                      <w:kern w:val="0"/>
                      <w:sz w:val="21"/>
                      <w:szCs w:val="21"/>
                      <w:highlight w:val="none"/>
                      <w:lang w:val="en-US" w:eastAsia="zh-CN" w:bidi="ar"/>
                    </w:rPr>
                    <w:t>（</w:t>
                  </w:r>
                  <w:r>
                    <w:rPr>
                      <w:rFonts w:hint="default" w:ascii="Times New Roman" w:hAnsi="Times New Roman" w:eastAsia="宋体" w:cs="Times New Roman"/>
                      <w:b/>
                      <w:bCs w:val="0"/>
                      <w:color w:val="auto"/>
                      <w:kern w:val="0"/>
                      <w:sz w:val="21"/>
                      <w:szCs w:val="21"/>
                      <w:highlight w:val="none"/>
                      <w:lang w:val="en-US" w:eastAsia="zh-CN" w:bidi="ar"/>
                    </w:rPr>
                    <w:t>m</w:t>
                  </w:r>
                  <w:r>
                    <w:rPr>
                      <w:rFonts w:hint="default" w:ascii="Times New Roman" w:hAnsi="Times New Roman" w:cs="Times New Roman"/>
                      <w:b/>
                      <w:bCs w:val="0"/>
                      <w:color w:val="auto"/>
                      <w:kern w:val="0"/>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72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保护膜涂布生产线</w:t>
                  </w:r>
                </w:p>
              </w:tc>
              <w:tc>
                <w:tcPr>
                  <w:tcW w:w="4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3</w:t>
                  </w:r>
                </w:p>
              </w:tc>
              <w:tc>
                <w:tcPr>
                  <w:tcW w:w="69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5</w:t>
                  </w:r>
                </w:p>
              </w:tc>
              <w:tc>
                <w:tcPr>
                  <w:tcW w:w="56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144000</w:t>
                  </w:r>
                </w:p>
              </w:tc>
              <w:tc>
                <w:tcPr>
                  <w:tcW w:w="55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2160000</w:t>
                  </w:r>
                </w:p>
              </w:tc>
              <w:tc>
                <w:tcPr>
                  <w:tcW w:w="41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1289</w:t>
                  </w:r>
                </w:p>
              </w:tc>
              <w:tc>
                <w:tcPr>
                  <w:tcW w:w="504"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40</w:t>
                  </w:r>
                </w:p>
              </w:tc>
              <w:tc>
                <w:tcPr>
                  <w:tcW w:w="47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50</w:t>
                  </w:r>
                </w:p>
              </w:tc>
              <w:tc>
                <w:tcPr>
                  <w:tcW w:w="55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1611250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9" w:hRule="atLeast"/>
                <w:jc w:val="center"/>
              </w:trPr>
              <w:tc>
                <w:tcPr>
                  <w:tcW w:w="72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聚氨酯</w:t>
                  </w:r>
                  <w:r>
                    <w:rPr>
                      <w:rFonts w:hint="default" w:ascii="Times New Roman" w:hAnsi="Times New Roman" w:cs="Times New Roman"/>
                      <w:i w:val="0"/>
                      <w:iCs w:val="0"/>
                      <w:color w:val="auto"/>
                      <w:kern w:val="0"/>
                      <w:sz w:val="21"/>
                      <w:szCs w:val="21"/>
                      <w:u w:val="none"/>
                      <w:lang w:val="en-US" w:eastAsia="zh-CN" w:bidi="ar"/>
                    </w:rPr>
                    <w:t>高密度</w:t>
                  </w:r>
                  <w:r>
                    <w:rPr>
                      <w:rFonts w:hint="default" w:ascii="Times New Roman" w:hAnsi="Times New Roman" w:eastAsia="宋体" w:cs="Times New Roman"/>
                      <w:i w:val="0"/>
                      <w:iCs w:val="0"/>
                      <w:color w:val="auto"/>
                      <w:kern w:val="0"/>
                      <w:sz w:val="21"/>
                      <w:szCs w:val="21"/>
                      <w:u w:val="none"/>
                      <w:lang w:val="en-US" w:eastAsia="zh-CN" w:bidi="ar"/>
                    </w:rPr>
                    <w:t>棉生产线</w:t>
                  </w:r>
                </w:p>
              </w:tc>
              <w:tc>
                <w:tcPr>
                  <w:tcW w:w="49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eastAsia="宋体" w:cs="Times New Roman"/>
                      <w:b w:val="0"/>
                      <w:bCs/>
                      <w:color w:val="auto"/>
                      <w:kern w:val="0"/>
                      <w:sz w:val="21"/>
                      <w:szCs w:val="21"/>
                      <w:highlight w:val="none"/>
                      <w:lang w:val="en-US" w:eastAsia="zh-CN" w:bidi="ar"/>
                    </w:rPr>
                    <w:t>1</w:t>
                  </w:r>
                </w:p>
              </w:tc>
              <w:tc>
                <w:tcPr>
                  <w:tcW w:w="69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5</w:t>
                  </w:r>
                </w:p>
              </w:tc>
              <w:tc>
                <w:tcPr>
                  <w:tcW w:w="56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144000</w:t>
                  </w:r>
                </w:p>
              </w:tc>
              <w:tc>
                <w:tcPr>
                  <w:tcW w:w="55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720000</w:t>
                  </w:r>
                </w:p>
              </w:tc>
              <w:tc>
                <w:tcPr>
                  <w:tcW w:w="41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400</w:t>
                  </w:r>
                </w:p>
              </w:tc>
              <w:tc>
                <w:tcPr>
                  <w:tcW w:w="504"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32</w:t>
                  </w:r>
                </w:p>
              </w:tc>
              <w:tc>
                <w:tcPr>
                  <w:tcW w:w="476"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leftChars="0" w:right="0" w:rightChars="0"/>
                    <w:jc w:val="center"/>
                    <w:textAlignment w:val="baseline"/>
                    <w:rPr>
                      <w:rFonts w:hint="default" w:ascii="Times New Roman" w:hAnsi="Times New Roman"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50</w:t>
                  </w:r>
                </w:p>
              </w:tc>
              <w:tc>
                <w:tcPr>
                  <w:tcW w:w="558"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cs="Times New Roman"/>
                      <w:b w:val="0"/>
                      <w:bCs/>
                      <w:color w:val="auto"/>
                      <w:kern w:val="0"/>
                      <w:sz w:val="21"/>
                      <w:szCs w:val="21"/>
                      <w:highlight w:val="none"/>
                      <w:lang w:val="en-US" w:eastAsia="zh-CN" w:bidi="ar"/>
                    </w:rPr>
                    <w:t>625000</w:t>
                  </w:r>
                </w:p>
              </w:tc>
            </w:tr>
          </w:tbl>
          <w:p>
            <w:pPr>
              <w:pStyle w:val="64"/>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根据上述分析，设备设计产能满足本项目产能需求。</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扩建</w:t>
            </w:r>
            <w:r>
              <w:rPr>
                <w:rFonts w:hint="default" w:ascii="Times New Roman" w:hAnsi="Times New Roman" w:cs="Times New Roman"/>
                <w:color w:val="auto"/>
                <w:sz w:val="22"/>
                <w:szCs w:val="22"/>
                <w:highlight w:val="none"/>
                <w:lang w:val="en-US" w:eastAsia="zh-CN"/>
              </w:rPr>
              <w:t>项目预搅拌罐设置情况</w:t>
            </w:r>
            <w:r>
              <w:rPr>
                <w:rFonts w:hint="default" w:ascii="Times New Roman" w:hAnsi="Times New Roman" w:eastAsia="宋体" w:cs="Times New Roman"/>
                <w:color w:val="auto"/>
                <w:sz w:val="22"/>
                <w:szCs w:val="22"/>
                <w:highlight w:val="none"/>
                <w:lang w:val="en-US" w:eastAsia="zh-CN"/>
              </w:rPr>
              <w:t>一览表</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03"/>
              <w:gridCol w:w="1229"/>
              <w:gridCol w:w="1056"/>
              <w:gridCol w:w="793"/>
              <w:gridCol w:w="997"/>
              <w:gridCol w:w="806"/>
              <w:gridCol w:w="836"/>
              <w:gridCol w:w="704"/>
              <w:gridCol w:w="808"/>
              <w:gridCol w:w="732"/>
              <w:gridCol w:w="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3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序号</w:t>
                  </w:r>
                </w:p>
              </w:tc>
              <w:tc>
                <w:tcPr>
                  <w:tcW w:w="66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罐体大小</w:t>
                  </w:r>
                </w:p>
              </w:tc>
              <w:tc>
                <w:tcPr>
                  <w:tcW w:w="5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1500L</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1500L</w:t>
                  </w:r>
                </w:p>
              </w:tc>
              <w:tc>
                <w:tcPr>
                  <w:tcW w:w="5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1500L</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cs="Times New Roman"/>
                      <w:b w:val="0"/>
                      <w:bCs w:val="0"/>
                      <w:color w:val="auto"/>
                      <w:sz w:val="18"/>
                      <w:szCs w:val="18"/>
                      <w:highlight w:val="none"/>
                      <w:lang w:val="en-US" w:eastAsia="zh-CN"/>
                    </w:rPr>
                    <w:t>150L</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cs="Times New Roman"/>
                      <w:b w:val="0"/>
                      <w:bCs w:val="0"/>
                      <w:color w:val="auto"/>
                      <w:sz w:val="18"/>
                      <w:szCs w:val="18"/>
                      <w:highlight w:val="none"/>
                      <w:lang w:val="en-US" w:eastAsia="zh-CN"/>
                    </w:rPr>
                    <w:t>150L</w:t>
                  </w:r>
                </w:p>
              </w:tc>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cs="Times New Roman"/>
                      <w:b w:val="0"/>
                      <w:bCs w:val="0"/>
                      <w:color w:val="auto"/>
                      <w:sz w:val="18"/>
                      <w:szCs w:val="18"/>
                      <w:highlight w:val="none"/>
                      <w:lang w:val="en-US" w:eastAsia="zh-CN"/>
                    </w:rPr>
                    <w:t>150L</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cs="Times New Roman"/>
                      <w:b w:val="0"/>
                      <w:bCs w:val="0"/>
                      <w:color w:val="auto"/>
                      <w:sz w:val="18"/>
                      <w:szCs w:val="18"/>
                      <w:highlight w:val="none"/>
                      <w:lang w:val="en-US" w:eastAsia="zh-CN"/>
                    </w:rPr>
                    <w:t>150L</w:t>
                  </w:r>
                </w:p>
              </w:tc>
              <w:tc>
                <w:tcPr>
                  <w:tcW w:w="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cs="Times New Roman"/>
                      <w:b w:val="0"/>
                      <w:bCs w:val="0"/>
                      <w:color w:val="auto"/>
                      <w:sz w:val="18"/>
                      <w:szCs w:val="18"/>
                      <w:highlight w:val="none"/>
                      <w:lang w:val="en-US" w:eastAsia="zh-CN"/>
                    </w:rPr>
                    <w:t>150L</w:t>
                  </w:r>
                </w:p>
              </w:tc>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cs="Times New Roman"/>
                      <w:b w:val="0"/>
                      <w:bCs w:val="0"/>
                      <w:color w:val="auto"/>
                      <w:sz w:val="18"/>
                      <w:szCs w:val="18"/>
                      <w:highlight w:val="none"/>
                      <w:lang w:val="en-US" w:eastAsia="zh-CN"/>
                    </w:rPr>
                    <w:t>150L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3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1</w:t>
                  </w:r>
                </w:p>
              </w:tc>
              <w:tc>
                <w:tcPr>
                  <w:tcW w:w="66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罐体作用</w:t>
                  </w:r>
                </w:p>
              </w:tc>
              <w:tc>
                <w:tcPr>
                  <w:tcW w:w="5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预搅拌活化粉、抗氧剂、氢氧化铝、聚醚多元醇*</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预搅拌改性异氰酸酯</w:t>
                  </w:r>
                </w:p>
              </w:tc>
              <w:tc>
                <w:tcPr>
                  <w:tcW w:w="5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预搅拌活化粉、抗氧剂、氢氧化铝、聚醚多元醇备用罐</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预搅拌聚醚多元醇、炭黑</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预搅拌聚醚多元醇、炭黑备用罐*</w:t>
                  </w:r>
                </w:p>
              </w:tc>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预搅拌硅油</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rPr>
                  </w:pPr>
                  <w:r>
                    <w:rPr>
                      <w:rFonts w:hint="default" w:ascii="Times New Roman" w:hAnsi="Times New Roman" w:cs="Times New Roman"/>
                      <w:b w:val="0"/>
                      <w:bCs w:val="0"/>
                      <w:color w:val="auto"/>
                      <w:sz w:val="18"/>
                      <w:szCs w:val="18"/>
                      <w:highlight w:val="none"/>
                      <w:lang w:val="en-US" w:eastAsia="zh-CN"/>
                    </w:rPr>
                    <w:t>预搅拌硅油备用罐</w:t>
                  </w:r>
                </w:p>
              </w:tc>
              <w:tc>
                <w:tcPr>
                  <w:tcW w:w="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产品测试罐1</w:t>
                  </w:r>
                </w:p>
              </w:tc>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产品测试罐2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3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2</w:t>
                  </w:r>
                </w:p>
              </w:tc>
              <w:tc>
                <w:tcPr>
                  <w:tcW w:w="66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罐体直径/m</w:t>
                  </w:r>
                </w:p>
              </w:tc>
              <w:tc>
                <w:tcPr>
                  <w:tcW w:w="5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1.2</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1.2</w:t>
                  </w:r>
                </w:p>
              </w:tc>
              <w:tc>
                <w:tcPr>
                  <w:tcW w:w="5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1.2</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0.6</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0.6</w:t>
                  </w:r>
                </w:p>
              </w:tc>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0.6</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0.6</w:t>
                  </w:r>
                </w:p>
              </w:tc>
              <w:tc>
                <w:tcPr>
                  <w:tcW w:w="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0.6</w:t>
                  </w:r>
                </w:p>
              </w:tc>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3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3</w:t>
                  </w:r>
                </w:p>
              </w:tc>
              <w:tc>
                <w:tcPr>
                  <w:tcW w:w="6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bCs/>
                      <w:color w:val="auto"/>
                      <w:kern w:val="2"/>
                      <w:sz w:val="18"/>
                      <w:szCs w:val="18"/>
                      <w:highlight w:val="none"/>
                      <w:lang w:val="en-US" w:eastAsia="zh-CN" w:bidi="ar-SA"/>
                    </w:rPr>
                    <w:t>罐体高度/m</w:t>
                  </w:r>
                </w:p>
              </w:tc>
              <w:tc>
                <w:tcPr>
                  <w:tcW w:w="5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1.33</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1.33</w:t>
                  </w:r>
                </w:p>
              </w:tc>
              <w:tc>
                <w:tcPr>
                  <w:tcW w:w="5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1.33</w:t>
                  </w:r>
                </w:p>
              </w:tc>
              <w:tc>
                <w:tcPr>
                  <w:tcW w:w="435"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0.53</w:t>
                  </w:r>
                </w:p>
              </w:tc>
              <w:tc>
                <w:tcPr>
                  <w:tcW w:w="451"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0.53</w:t>
                  </w:r>
                </w:p>
              </w:tc>
              <w:tc>
                <w:tcPr>
                  <w:tcW w:w="38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0.53</w:t>
                  </w:r>
                </w:p>
              </w:tc>
              <w:tc>
                <w:tcPr>
                  <w:tcW w:w="436"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0.53</w:t>
                  </w:r>
                </w:p>
              </w:tc>
              <w:tc>
                <w:tcPr>
                  <w:tcW w:w="395"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0.53</w:t>
                  </w:r>
                </w:p>
              </w:tc>
              <w:tc>
                <w:tcPr>
                  <w:tcW w:w="373"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sz w:val="18"/>
                      <w:szCs w:val="18"/>
                      <w:highlight w:val="none"/>
                      <w:lang w:val="en-US" w:eastAsia="zh-CN"/>
                    </w:rPr>
                    <w:t>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3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4</w:t>
                  </w:r>
                </w:p>
              </w:tc>
              <w:tc>
                <w:tcPr>
                  <w:tcW w:w="6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bCs/>
                      <w:color w:val="auto"/>
                      <w:kern w:val="2"/>
                      <w:sz w:val="18"/>
                      <w:szCs w:val="18"/>
                      <w:highlight w:val="none"/>
                      <w:lang w:val="en-US" w:eastAsia="zh-CN" w:bidi="ar-SA"/>
                    </w:rPr>
                    <w:t>容量（</w:t>
                  </w:r>
                  <w:r>
                    <w:rPr>
                      <w:rFonts w:hint="default" w:ascii="Times New Roman" w:hAnsi="Times New Roman" w:eastAsia="宋体" w:cs="Times New Roman"/>
                      <w:b/>
                      <w:bCs/>
                      <w:color w:val="auto"/>
                      <w:sz w:val="18"/>
                      <w:szCs w:val="18"/>
                      <w:highlight w:val="none"/>
                    </w:rPr>
                    <w:t>m</w:t>
                  </w:r>
                  <w:r>
                    <w:rPr>
                      <w:rFonts w:hint="default" w:ascii="Times New Roman" w:hAnsi="Times New Roman" w:eastAsia="宋体" w:cs="Times New Roman"/>
                      <w:b/>
                      <w:bCs/>
                      <w:color w:val="auto"/>
                      <w:sz w:val="18"/>
                      <w:szCs w:val="18"/>
                      <w:highlight w:val="none"/>
                      <w:vertAlign w:val="superscript"/>
                    </w:rPr>
                    <w:t>3</w:t>
                  </w:r>
                  <w:r>
                    <w:rPr>
                      <w:rFonts w:hint="default" w:ascii="Times New Roman" w:hAnsi="Times New Roman" w:cs="Times New Roman"/>
                      <w:b/>
                      <w:bCs/>
                      <w:color w:val="auto"/>
                      <w:kern w:val="2"/>
                      <w:sz w:val="18"/>
                      <w:szCs w:val="18"/>
                      <w:highlight w:val="none"/>
                      <w:lang w:val="en-US" w:eastAsia="zh-CN" w:bidi="ar-SA"/>
                    </w:rPr>
                    <w:t>）</w:t>
                  </w:r>
                </w:p>
              </w:tc>
              <w:tc>
                <w:tcPr>
                  <w:tcW w:w="57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1.5</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1.5</w:t>
                  </w:r>
                </w:p>
              </w:tc>
              <w:tc>
                <w:tcPr>
                  <w:tcW w:w="53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1.5</w:t>
                  </w:r>
                </w:p>
              </w:tc>
              <w:tc>
                <w:tcPr>
                  <w:tcW w:w="4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0.15</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0.15</w:t>
                  </w:r>
                </w:p>
              </w:tc>
              <w:tc>
                <w:tcPr>
                  <w:tcW w:w="38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0.15</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0.15</w:t>
                  </w:r>
                </w:p>
              </w:tc>
              <w:tc>
                <w:tcPr>
                  <w:tcW w:w="39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0.15</w:t>
                  </w:r>
                </w:p>
              </w:tc>
              <w:tc>
                <w:tcPr>
                  <w:tcW w:w="3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val="0"/>
                      <w:bCs w:val="0"/>
                      <w:color w:val="auto"/>
                      <w:sz w:val="18"/>
                      <w:szCs w:val="18"/>
                      <w:highlight w:val="none"/>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3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5</w:t>
                  </w:r>
                </w:p>
              </w:tc>
              <w:tc>
                <w:tcPr>
                  <w:tcW w:w="6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bCs/>
                      <w:color w:val="auto"/>
                      <w:kern w:val="2"/>
                      <w:sz w:val="18"/>
                      <w:szCs w:val="18"/>
                      <w:highlight w:val="none"/>
                      <w:lang w:val="en-US" w:eastAsia="zh-CN" w:bidi="ar-SA"/>
                    </w:rPr>
                    <w:t>有效容量（</w:t>
                  </w:r>
                  <w:r>
                    <w:rPr>
                      <w:rFonts w:hint="default" w:ascii="Times New Roman" w:hAnsi="Times New Roman" w:eastAsia="宋体" w:cs="Times New Roman"/>
                      <w:b/>
                      <w:bCs/>
                      <w:color w:val="auto"/>
                      <w:sz w:val="18"/>
                      <w:szCs w:val="18"/>
                      <w:highlight w:val="none"/>
                    </w:rPr>
                    <w:t>m</w:t>
                  </w:r>
                  <w:r>
                    <w:rPr>
                      <w:rFonts w:hint="default" w:ascii="Times New Roman" w:hAnsi="Times New Roman" w:eastAsia="宋体" w:cs="Times New Roman"/>
                      <w:b/>
                      <w:bCs/>
                      <w:color w:val="auto"/>
                      <w:sz w:val="18"/>
                      <w:szCs w:val="18"/>
                      <w:highlight w:val="none"/>
                      <w:vertAlign w:val="superscript"/>
                    </w:rPr>
                    <w:t>3</w:t>
                  </w:r>
                  <w:r>
                    <w:rPr>
                      <w:rFonts w:hint="default" w:ascii="Times New Roman" w:hAnsi="Times New Roman" w:cs="Times New Roman"/>
                      <w:b/>
                      <w:bCs/>
                      <w:color w:val="auto"/>
                      <w:kern w:val="2"/>
                      <w:sz w:val="18"/>
                      <w:szCs w:val="18"/>
                      <w:highlight w:val="none"/>
                      <w:lang w:val="en-US" w:eastAsia="zh-CN" w:bidi="ar-SA"/>
                    </w:rPr>
                    <w:t>）</w:t>
                  </w:r>
                </w:p>
              </w:tc>
              <w:tc>
                <w:tcPr>
                  <w:tcW w:w="570"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1.35 </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1.35 </w:t>
                  </w:r>
                </w:p>
              </w:tc>
              <w:tc>
                <w:tcPr>
                  <w:tcW w:w="53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1.35 </w:t>
                  </w:r>
                </w:p>
              </w:tc>
              <w:tc>
                <w:tcPr>
                  <w:tcW w:w="4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0.13 </w:t>
                  </w:r>
                </w:p>
              </w:tc>
              <w:tc>
                <w:tcPr>
                  <w:tcW w:w="45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0.13 </w:t>
                  </w:r>
                </w:p>
              </w:tc>
              <w:tc>
                <w:tcPr>
                  <w:tcW w:w="380"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0.13 </w:t>
                  </w:r>
                </w:p>
              </w:tc>
              <w:tc>
                <w:tcPr>
                  <w:tcW w:w="43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0.13 </w:t>
                  </w:r>
                </w:p>
              </w:tc>
              <w:tc>
                <w:tcPr>
                  <w:tcW w:w="39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0.13 </w:t>
                  </w:r>
                </w:p>
              </w:tc>
              <w:tc>
                <w:tcPr>
                  <w:tcW w:w="373"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kern w:val="0"/>
                      <w:sz w:val="18"/>
                      <w:szCs w:val="18"/>
                      <w:lang w:val="en-US" w:eastAsia="zh-CN" w:bidi="ar-SA"/>
                    </w:rPr>
                  </w:pPr>
                  <w:r>
                    <w:rPr>
                      <w:rFonts w:hint="default" w:ascii="Times New Roman" w:hAnsi="Times New Roman" w:eastAsia="宋体" w:cs="Times New Roman"/>
                      <w:i w:val="0"/>
                      <w:iCs w:val="0"/>
                      <w:color w:val="auto"/>
                      <w:kern w:val="0"/>
                      <w:sz w:val="18"/>
                      <w:szCs w:val="18"/>
                      <w:u w:val="none"/>
                      <w:lang w:val="en-US" w:eastAsia="zh-CN" w:bidi="ar"/>
                    </w:rPr>
                    <w:t xml:space="preserve">0.13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cs="Times New Roman"/>
                      <w:b w:val="0"/>
                      <w:bCs w:val="0"/>
                      <w:i w:val="0"/>
                      <w:iCs w:val="0"/>
                      <w:color w:val="auto"/>
                      <w:kern w:val="0"/>
                      <w:sz w:val="18"/>
                      <w:szCs w:val="18"/>
                      <w:highlight w:val="none"/>
                      <w:u w:val="none"/>
                      <w:lang w:val="en-US" w:eastAsia="zh-CN" w:bidi="ar"/>
                    </w:rPr>
                    <w:t>6</w:t>
                  </w:r>
                </w:p>
              </w:tc>
              <w:tc>
                <w:tcPr>
                  <w:tcW w:w="6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kern w:val="0"/>
                      <w:sz w:val="18"/>
                      <w:szCs w:val="18"/>
                      <w:highlight w:val="none"/>
                      <w:u w:val="none"/>
                      <w:lang w:val="en-US" w:eastAsia="zh-CN" w:bidi="ar"/>
                    </w:rPr>
                  </w:pPr>
                  <w:r>
                    <w:rPr>
                      <w:rFonts w:hint="default" w:ascii="Times New Roman" w:hAnsi="Times New Roman" w:cs="Times New Roman"/>
                      <w:b/>
                      <w:bCs/>
                      <w:i w:val="0"/>
                      <w:iCs w:val="0"/>
                      <w:color w:val="auto"/>
                      <w:kern w:val="0"/>
                      <w:sz w:val="18"/>
                      <w:szCs w:val="18"/>
                      <w:highlight w:val="none"/>
                      <w:u w:val="none"/>
                      <w:lang w:val="en-US" w:eastAsia="zh-CN" w:bidi="ar"/>
                    </w:rPr>
                    <w:t>密度</w:t>
                  </w:r>
                  <w:r>
                    <w:rPr>
                      <w:rFonts w:hint="default" w:ascii="Times New Roman" w:hAnsi="Times New Roman" w:eastAsia="宋体" w:cs="Times New Roman"/>
                      <w:b/>
                      <w:bCs/>
                      <w:color w:val="auto"/>
                      <w:sz w:val="18"/>
                      <w:szCs w:val="18"/>
                      <w:highlight w:val="none"/>
                      <w:lang w:val="en-US" w:eastAsia="zh-CN"/>
                    </w:rPr>
                    <w:t>（kg/m</w:t>
                  </w:r>
                  <w:r>
                    <w:rPr>
                      <w:rFonts w:hint="default" w:ascii="Times New Roman" w:hAnsi="Times New Roman" w:eastAsia="宋体" w:cs="Times New Roman"/>
                      <w:b/>
                      <w:bCs/>
                      <w:color w:val="auto"/>
                      <w:sz w:val="18"/>
                      <w:szCs w:val="18"/>
                      <w:highlight w:val="none"/>
                      <w:vertAlign w:val="superscript"/>
                      <w:lang w:val="en-US" w:eastAsia="zh-CN"/>
                    </w:rPr>
                    <w:t>3</w:t>
                  </w:r>
                  <w:r>
                    <w:rPr>
                      <w:rFonts w:hint="default" w:ascii="Times New Roman" w:hAnsi="Times New Roman" w:eastAsia="宋体" w:cs="Times New Roman"/>
                      <w:b/>
                      <w:bCs/>
                      <w:color w:val="auto"/>
                      <w:sz w:val="18"/>
                      <w:szCs w:val="18"/>
                      <w:highlight w:val="none"/>
                      <w:lang w:val="en-US" w:eastAsia="zh-CN"/>
                    </w:rPr>
                    <w:t>）</w:t>
                  </w:r>
                </w:p>
              </w:tc>
              <w:tc>
                <w:tcPr>
                  <w:tcW w:w="5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cs="Times New Roman"/>
                      <w:b w:val="0"/>
                      <w:bCs w:val="0"/>
                      <w:i w:val="0"/>
                      <w:iCs w:val="0"/>
                      <w:color w:val="auto"/>
                      <w:kern w:val="0"/>
                      <w:sz w:val="18"/>
                      <w:szCs w:val="18"/>
                      <w:highlight w:val="none"/>
                      <w:u w:val="none"/>
                      <w:lang w:val="en-US" w:eastAsia="zh-CN" w:bidi="ar"/>
                    </w:rPr>
                    <w:t>1.612</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cs="Times New Roman"/>
                      <w:b w:val="0"/>
                      <w:bCs w:val="0"/>
                      <w:i w:val="0"/>
                      <w:iCs w:val="0"/>
                      <w:color w:val="auto"/>
                      <w:kern w:val="0"/>
                      <w:sz w:val="18"/>
                      <w:szCs w:val="18"/>
                      <w:highlight w:val="none"/>
                      <w:u w:val="none"/>
                      <w:lang w:val="en-US" w:eastAsia="zh-CN" w:bidi="ar"/>
                    </w:rPr>
                    <w:t>1.2</w:t>
                  </w:r>
                </w:p>
              </w:tc>
              <w:tc>
                <w:tcPr>
                  <w:tcW w:w="538"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i w:val="0"/>
                      <w:iCs w:val="0"/>
                      <w:color w:val="auto"/>
                      <w:kern w:val="0"/>
                      <w:sz w:val="18"/>
                      <w:szCs w:val="18"/>
                      <w:highlight w:val="none"/>
                      <w:u w:val="none"/>
                      <w:lang w:val="en-US" w:eastAsia="zh-CN" w:bidi="ar"/>
                    </w:rPr>
                    <w:t>1.612</w:t>
                  </w:r>
                </w:p>
              </w:tc>
              <w:tc>
                <w:tcPr>
                  <w:tcW w:w="435"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1.401</w:t>
                  </w:r>
                </w:p>
              </w:tc>
              <w:tc>
                <w:tcPr>
                  <w:tcW w:w="451"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1.401</w:t>
                  </w:r>
                </w:p>
              </w:tc>
              <w:tc>
                <w:tcPr>
                  <w:tcW w:w="380"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0.963</w:t>
                  </w:r>
                </w:p>
              </w:tc>
              <w:tc>
                <w:tcPr>
                  <w:tcW w:w="436"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0.963</w:t>
                  </w:r>
                </w:p>
              </w:tc>
              <w:tc>
                <w:tcPr>
                  <w:tcW w:w="395"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w:t>
                  </w:r>
                </w:p>
              </w:tc>
              <w:tc>
                <w:tcPr>
                  <w:tcW w:w="373"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cs="Times New Roman"/>
                      <w:b w:val="0"/>
                      <w:bCs w:val="0"/>
                      <w:i w:val="0"/>
                      <w:iCs w:val="0"/>
                      <w:color w:val="auto"/>
                      <w:kern w:val="0"/>
                      <w:sz w:val="18"/>
                      <w:szCs w:val="18"/>
                      <w:highlight w:val="none"/>
                      <w:u w:val="none"/>
                      <w:lang w:val="en-US" w:eastAsia="zh-CN" w:bidi="ar"/>
                    </w:rPr>
                    <w:t>7</w:t>
                  </w:r>
                </w:p>
              </w:tc>
              <w:tc>
                <w:tcPr>
                  <w:tcW w:w="6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kern w:val="0"/>
                      <w:sz w:val="18"/>
                      <w:szCs w:val="18"/>
                      <w:highlight w:val="none"/>
                      <w:u w:val="none"/>
                      <w:lang w:val="en-US" w:eastAsia="zh-CN" w:bidi="ar"/>
                    </w:rPr>
                  </w:pPr>
                  <w:r>
                    <w:rPr>
                      <w:rFonts w:hint="default" w:ascii="Times New Roman" w:hAnsi="Times New Roman" w:cs="Times New Roman"/>
                      <w:b/>
                      <w:bCs/>
                      <w:i w:val="0"/>
                      <w:iCs w:val="0"/>
                      <w:color w:val="auto"/>
                      <w:kern w:val="0"/>
                      <w:sz w:val="18"/>
                      <w:szCs w:val="18"/>
                      <w:highlight w:val="none"/>
                      <w:u w:val="none"/>
                      <w:lang w:val="en-US" w:eastAsia="zh-CN" w:bidi="ar"/>
                    </w:rPr>
                    <w:t>装填量（t）</w:t>
                  </w:r>
                </w:p>
              </w:tc>
              <w:tc>
                <w:tcPr>
                  <w:tcW w:w="570"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2.43 </w:t>
                  </w:r>
                </w:p>
              </w:tc>
              <w:tc>
                <w:tcPr>
                  <w:tcW w:w="4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1.80 </w:t>
                  </w:r>
                </w:p>
              </w:tc>
              <w:tc>
                <w:tcPr>
                  <w:tcW w:w="53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2.43 </w:t>
                  </w:r>
                </w:p>
              </w:tc>
              <w:tc>
                <w:tcPr>
                  <w:tcW w:w="4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0.21 </w:t>
                  </w:r>
                </w:p>
              </w:tc>
              <w:tc>
                <w:tcPr>
                  <w:tcW w:w="45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0.21 </w:t>
                  </w:r>
                </w:p>
              </w:tc>
              <w:tc>
                <w:tcPr>
                  <w:tcW w:w="380"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0.14 </w:t>
                  </w:r>
                </w:p>
              </w:tc>
              <w:tc>
                <w:tcPr>
                  <w:tcW w:w="43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 xml:space="preserve">0.14 </w:t>
                  </w:r>
                </w:p>
              </w:tc>
              <w:tc>
                <w:tcPr>
                  <w:tcW w:w="395"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w:t>
                  </w:r>
                </w:p>
              </w:tc>
              <w:tc>
                <w:tcPr>
                  <w:tcW w:w="373" w:type="pct"/>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32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8</w:t>
                  </w:r>
                </w:p>
              </w:tc>
              <w:tc>
                <w:tcPr>
                  <w:tcW w:w="66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bCs/>
                      <w:color w:val="auto"/>
                      <w:kern w:val="2"/>
                      <w:sz w:val="18"/>
                      <w:szCs w:val="18"/>
                      <w:highlight w:val="none"/>
                      <w:lang w:val="en-US" w:eastAsia="zh-CN" w:bidi="ar-SA"/>
                    </w:rPr>
                    <w:t>罐体类型</w:t>
                  </w:r>
                </w:p>
              </w:tc>
              <w:tc>
                <w:tcPr>
                  <w:tcW w:w="5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常温</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常温</w:t>
                  </w:r>
                </w:p>
              </w:tc>
              <w:tc>
                <w:tcPr>
                  <w:tcW w:w="5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c>
                <w:tcPr>
                  <w:tcW w:w="4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c>
                <w:tcPr>
                  <w:tcW w:w="4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c>
                <w:tcPr>
                  <w:tcW w:w="3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c>
                <w:tcPr>
                  <w:tcW w:w="4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c>
                <w:tcPr>
                  <w:tcW w:w="3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c>
                <w:tcPr>
                  <w:tcW w:w="37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cs="Times New Roman"/>
                      <w:b w:val="0"/>
                      <w:bCs w:val="0"/>
                      <w:color w:val="auto"/>
                      <w:kern w:val="2"/>
                      <w:sz w:val="18"/>
                      <w:szCs w:val="18"/>
                      <w:highlight w:val="none"/>
                      <w:lang w:val="en-US" w:eastAsia="zh-CN" w:bidi="ar-SA"/>
                    </w:rPr>
                    <w:t>常温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p>
              </w:tc>
              <w:tc>
                <w:tcPr>
                  <w:tcW w:w="66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p>
              </w:tc>
              <w:tc>
                <w:tcPr>
                  <w:tcW w:w="5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立式</w:t>
                  </w:r>
                </w:p>
              </w:tc>
              <w:tc>
                <w:tcPr>
                  <w:tcW w:w="42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立式</w:t>
                  </w:r>
                </w:p>
              </w:tc>
              <w:tc>
                <w:tcPr>
                  <w:tcW w:w="53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c>
                <w:tcPr>
                  <w:tcW w:w="4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c>
                <w:tcPr>
                  <w:tcW w:w="4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c>
                <w:tcPr>
                  <w:tcW w:w="3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c>
                <w:tcPr>
                  <w:tcW w:w="43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c>
                <w:tcPr>
                  <w:tcW w:w="39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c>
                <w:tcPr>
                  <w:tcW w:w="37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cs="Times New Roman"/>
                      <w:b w:val="0"/>
                      <w:bCs w:val="0"/>
                      <w:color w:val="auto"/>
                      <w:kern w:val="2"/>
                      <w:sz w:val="18"/>
                      <w:szCs w:val="18"/>
                      <w:highlight w:val="none"/>
                      <w:lang w:val="en-US" w:eastAsia="zh-CN" w:bidi="ar-SA"/>
                    </w:rPr>
                    <w:t>立式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9</w:t>
                  </w:r>
                </w:p>
              </w:tc>
              <w:tc>
                <w:tcPr>
                  <w:tcW w:w="66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cs="Times New Roman"/>
                      <w:b/>
                      <w:bCs/>
                      <w:color w:val="auto"/>
                      <w:kern w:val="2"/>
                      <w:sz w:val="18"/>
                      <w:szCs w:val="18"/>
                      <w:highlight w:val="none"/>
                      <w:lang w:val="en-US" w:eastAsia="zh-CN" w:bidi="ar-SA"/>
                    </w:rPr>
                    <w:t>是否需要氮气封存</w:t>
                  </w:r>
                </w:p>
              </w:tc>
              <w:tc>
                <w:tcPr>
                  <w:tcW w:w="4009" w:type="pct"/>
                  <w:gridSpan w:val="9"/>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18"/>
                      <w:szCs w:val="18"/>
                      <w:highlight w:val="none"/>
                      <w:lang w:val="en-US" w:eastAsia="zh-CN" w:bidi="ar-SA"/>
                    </w:rPr>
                  </w:pPr>
                  <w:r>
                    <w:rPr>
                      <w:rFonts w:hint="default" w:ascii="Times New Roman" w:hAnsi="Times New Roman" w:cs="Times New Roman"/>
                      <w:b w:val="0"/>
                      <w:bCs w:val="0"/>
                      <w:color w:val="auto"/>
                      <w:kern w:val="2"/>
                      <w:sz w:val="18"/>
                      <w:szCs w:val="18"/>
                      <w:highlight w:val="none"/>
                      <w:lang w:val="en-US" w:eastAsia="zh-CN" w:bidi="ar-SA"/>
                    </w:rPr>
                    <w:t>否</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cs="Times New Roman"/>
                <w:b w:val="0"/>
                <w:bCs w:val="0"/>
                <w:color w:val="auto"/>
                <w:sz w:val="18"/>
                <w:szCs w:val="18"/>
                <w:highlight w:val="none"/>
                <w:lang w:val="en-US" w:eastAsia="zh-CN"/>
              </w:rPr>
            </w:pPr>
            <w:r>
              <w:rPr>
                <w:rFonts w:hint="default" w:ascii="Times New Roman" w:hAnsi="Times New Roman" w:cs="Times New Roman"/>
                <w:b/>
                <w:color w:val="auto"/>
                <w:szCs w:val="21"/>
                <w:lang w:val="en-US" w:eastAsia="zh-CN"/>
              </w:rPr>
              <w:t>注：</w:t>
            </w:r>
            <w:r>
              <w:rPr>
                <w:rFonts w:hint="default" w:ascii="Times New Roman" w:hAnsi="Times New Roman" w:cs="Times New Roman"/>
                <w:b w:val="0"/>
                <w:bCs w:val="0"/>
                <w:color w:val="auto"/>
                <w:sz w:val="18"/>
                <w:szCs w:val="18"/>
                <w:highlight w:val="none"/>
                <w:lang w:val="en-US" w:eastAsia="zh-CN"/>
              </w:rPr>
              <w:t>活化粉、抗氧剂、氢氧化铝、聚醚多元醇搅拌均匀后的密度为：（2+1.06+2.4+1.002）g/cm</w:t>
            </w:r>
            <w:r>
              <w:rPr>
                <w:rFonts w:hint="default" w:ascii="Times New Roman" w:hAnsi="Times New Roman" w:cs="Times New Roman"/>
                <w:b w:val="0"/>
                <w:bCs w:val="0"/>
                <w:color w:val="auto"/>
                <w:sz w:val="18"/>
                <w:szCs w:val="18"/>
                <w:highlight w:val="none"/>
                <w:vertAlign w:val="superscript"/>
                <w:lang w:val="en-US" w:eastAsia="zh-CN"/>
              </w:rPr>
              <w:t>3</w:t>
            </w:r>
            <w:r>
              <w:rPr>
                <w:rFonts w:hint="default" w:ascii="Times New Roman" w:hAnsi="Times New Roman" w:cs="Times New Roman"/>
                <w:b w:val="0"/>
                <w:bCs w:val="0"/>
                <w:color w:val="auto"/>
                <w:sz w:val="18"/>
                <w:szCs w:val="18"/>
                <w:highlight w:val="none"/>
                <w:vertAlign w:val="baseline"/>
                <w:lang w:val="en-US" w:eastAsia="zh-CN"/>
              </w:rPr>
              <w:t>÷4</w:t>
            </w:r>
            <w:r>
              <w:rPr>
                <w:rFonts w:hint="default" w:ascii="Times New Roman" w:hAnsi="Times New Roman" w:cs="Times New Roman"/>
                <w:b w:val="0"/>
                <w:bCs w:val="0"/>
                <w:color w:val="auto"/>
                <w:sz w:val="18"/>
                <w:szCs w:val="18"/>
                <w:highlight w:val="none"/>
                <w:lang w:val="en-US" w:eastAsia="zh-CN"/>
              </w:rPr>
              <w:t>=1.612g/cm</w:t>
            </w:r>
            <w:r>
              <w:rPr>
                <w:rFonts w:hint="default" w:ascii="Times New Roman" w:hAnsi="Times New Roman" w:cs="Times New Roman"/>
                <w:b w:val="0"/>
                <w:bCs w:val="0"/>
                <w:color w:val="auto"/>
                <w:sz w:val="18"/>
                <w:szCs w:val="18"/>
                <w:highlight w:val="none"/>
                <w:vertAlign w:val="superscript"/>
                <w:lang w:val="en-US" w:eastAsia="zh-CN"/>
              </w:rPr>
              <w:t>3</w:t>
            </w:r>
            <w:r>
              <w:rPr>
                <w:rFonts w:hint="default" w:ascii="Times New Roman" w:hAnsi="Times New Roman" w:cs="Times New Roman"/>
                <w:b w:val="0"/>
                <w:bCs w:val="0"/>
                <w:color w:val="auto"/>
                <w:sz w:val="18"/>
                <w:szCs w:val="18"/>
                <w:highlight w:val="none"/>
                <w:lang w:val="en-US" w:eastAsia="zh-CN"/>
              </w:rPr>
              <w:t>；醚多元醇、炭黑混合均匀后的密度为（1.002+1.8）g/cm</w:t>
            </w:r>
            <w:r>
              <w:rPr>
                <w:rFonts w:hint="default" w:ascii="Times New Roman" w:hAnsi="Times New Roman" w:cs="Times New Roman"/>
                <w:b w:val="0"/>
                <w:bCs w:val="0"/>
                <w:color w:val="auto"/>
                <w:sz w:val="18"/>
                <w:szCs w:val="18"/>
                <w:highlight w:val="none"/>
                <w:vertAlign w:val="superscript"/>
                <w:lang w:val="en-US" w:eastAsia="zh-CN"/>
              </w:rPr>
              <w:t>3</w:t>
            </w:r>
            <w:r>
              <w:rPr>
                <w:rFonts w:hint="default" w:ascii="Times New Roman" w:hAnsi="Times New Roman" w:cs="Times New Roman"/>
                <w:b w:val="0"/>
                <w:bCs w:val="0"/>
                <w:color w:val="auto"/>
                <w:sz w:val="18"/>
                <w:szCs w:val="18"/>
                <w:highlight w:val="none"/>
                <w:vertAlign w:val="baseline"/>
                <w:lang w:val="en-US" w:eastAsia="zh-CN"/>
              </w:rPr>
              <w:t>÷2</w:t>
            </w:r>
            <w:r>
              <w:rPr>
                <w:rFonts w:hint="default" w:ascii="Times New Roman" w:hAnsi="Times New Roman" w:cs="Times New Roman"/>
                <w:b w:val="0"/>
                <w:bCs w:val="0"/>
                <w:color w:val="auto"/>
                <w:sz w:val="18"/>
                <w:szCs w:val="18"/>
                <w:highlight w:val="none"/>
                <w:lang w:val="en-US" w:eastAsia="zh-CN"/>
              </w:rPr>
              <w:t>=1.401g/cm</w:t>
            </w:r>
            <w:r>
              <w:rPr>
                <w:rFonts w:hint="default" w:ascii="Times New Roman" w:hAnsi="Times New Roman" w:cs="Times New Roman"/>
                <w:b w:val="0"/>
                <w:bCs w:val="0"/>
                <w:color w:val="auto"/>
                <w:sz w:val="18"/>
                <w:szCs w:val="18"/>
                <w:highlight w:val="none"/>
                <w:vertAlign w:val="superscript"/>
                <w:lang w:val="en-US" w:eastAsia="zh-CN"/>
              </w:rPr>
              <w:t>3</w:t>
            </w:r>
            <w:r>
              <w:rPr>
                <w:rFonts w:hint="default" w:ascii="Times New Roman" w:hAnsi="Times New Roman" w:cs="Times New Roman"/>
                <w:b w:val="0"/>
                <w:bCs w:val="0"/>
                <w:color w:val="auto"/>
                <w:sz w:val="18"/>
                <w:szCs w:val="18"/>
                <w:highlight w:val="none"/>
                <w:lang w:val="en-US" w:eastAsia="zh-CN"/>
              </w:rPr>
              <w:t>。</w:t>
            </w:r>
            <w:r>
              <w:rPr>
                <w:rFonts w:hint="eastAsia" w:cs="Times New Roman"/>
                <w:b w:val="0"/>
                <w:bCs w:val="0"/>
                <w:color w:val="auto"/>
                <w:sz w:val="18"/>
                <w:szCs w:val="18"/>
                <w:highlight w:val="none"/>
                <w:lang w:val="en-US" w:eastAsia="zh-CN"/>
              </w:rPr>
              <w:t>根据企业提供资料，</w:t>
            </w:r>
            <w:r>
              <w:rPr>
                <w:rFonts w:hint="default" w:ascii="Times New Roman" w:hAnsi="Times New Roman" w:cs="Times New Roman"/>
                <w:b w:val="0"/>
                <w:bCs w:val="0"/>
                <w:color w:val="auto"/>
                <w:sz w:val="18"/>
                <w:szCs w:val="18"/>
                <w:highlight w:val="none"/>
                <w:lang w:val="en-US" w:eastAsia="zh-CN"/>
              </w:rPr>
              <w:t>活化粉、抗氧剂、氢氧化铝、聚醚多元醇预搅拌</w:t>
            </w:r>
            <w:r>
              <w:rPr>
                <w:rFonts w:hint="eastAsia" w:cs="Times New Roman"/>
                <w:b w:val="0"/>
                <w:bCs w:val="0"/>
                <w:color w:val="auto"/>
                <w:sz w:val="18"/>
                <w:szCs w:val="18"/>
                <w:highlight w:val="none"/>
                <w:lang w:val="en-US" w:eastAsia="zh-CN"/>
              </w:rPr>
              <w:t>罐内</w:t>
            </w:r>
            <w:r>
              <w:rPr>
                <w:rFonts w:hint="default" w:ascii="Times New Roman" w:hAnsi="Times New Roman" w:cs="Times New Roman"/>
                <w:b w:val="0"/>
                <w:bCs w:val="0"/>
                <w:color w:val="auto"/>
                <w:sz w:val="18"/>
                <w:szCs w:val="18"/>
                <w:highlight w:val="none"/>
                <w:lang w:val="en-US" w:eastAsia="zh-CN"/>
              </w:rPr>
              <w:t>活化粉</w:t>
            </w:r>
            <w:r>
              <w:rPr>
                <w:rFonts w:hint="eastAsia" w:cs="Times New Roman"/>
                <w:b w:val="0"/>
                <w:bCs w:val="0"/>
                <w:color w:val="auto"/>
                <w:sz w:val="18"/>
                <w:szCs w:val="18"/>
                <w:highlight w:val="none"/>
                <w:lang w:val="en-US" w:eastAsia="zh-CN"/>
              </w:rPr>
              <w:t>+</w:t>
            </w:r>
            <w:r>
              <w:rPr>
                <w:rFonts w:hint="default" w:ascii="Times New Roman" w:hAnsi="Times New Roman" w:cs="Times New Roman"/>
                <w:b w:val="0"/>
                <w:bCs w:val="0"/>
                <w:color w:val="auto"/>
                <w:sz w:val="18"/>
                <w:szCs w:val="18"/>
                <w:highlight w:val="none"/>
                <w:lang w:val="en-US" w:eastAsia="zh-CN"/>
              </w:rPr>
              <w:t>抗氧剂</w:t>
            </w:r>
            <w:r>
              <w:rPr>
                <w:rFonts w:hint="eastAsia" w:cs="Times New Roman"/>
                <w:b w:val="0"/>
                <w:bCs w:val="0"/>
                <w:color w:val="auto"/>
                <w:sz w:val="18"/>
                <w:szCs w:val="18"/>
                <w:highlight w:val="none"/>
                <w:lang w:val="en-US" w:eastAsia="zh-CN"/>
              </w:rPr>
              <w:t>+</w:t>
            </w:r>
            <w:r>
              <w:rPr>
                <w:rFonts w:hint="default" w:ascii="Times New Roman" w:hAnsi="Times New Roman" w:cs="Times New Roman"/>
                <w:b w:val="0"/>
                <w:bCs w:val="0"/>
                <w:color w:val="auto"/>
                <w:sz w:val="18"/>
                <w:szCs w:val="18"/>
                <w:highlight w:val="none"/>
                <w:lang w:val="en-US" w:eastAsia="zh-CN"/>
              </w:rPr>
              <w:t>氢氧化铝</w:t>
            </w:r>
            <w:r>
              <w:rPr>
                <w:rFonts w:hint="eastAsia" w:cs="Times New Roman"/>
                <w:b w:val="0"/>
                <w:bCs w:val="0"/>
                <w:color w:val="auto"/>
                <w:sz w:val="18"/>
                <w:szCs w:val="18"/>
                <w:highlight w:val="none"/>
                <w:lang w:val="en-US" w:eastAsia="zh-CN"/>
              </w:rPr>
              <w:t>：</w:t>
            </w:r>
            <w:r>
              <w:rPr>
                <w:rFonts w:hint="default" w:ascii="Times New Roman" w:hAnsi="Times New Roman" w:cs="Times New Roman"/>
                <w:b w:val="0"/>
                <w:bCs w:val="0"/>
                <w:color w:val="auto"/>
                <w:sz w:val="18"/>
                <w:szCs w:val="18"/>
                <w:highlight w:val="none"/>
                <w:lang w:val="en-US" w:eastAsia="zh-CN"/>
              </w:rPr>
              <w:t>聚醚多元醇</w:t>
            </w:r>
            <w:r>
              <w:rPr>
                <w:rFonts w:hint="eastAsia" w:cs="Times New Roman"/>
                <w:b w:val="0"/>
                <w:bCs w:val="0"/>
                <w:color w:val="auto"/>
                <w:sz w:val="18"/>
                <w:szCs w:val="18"/>
                <w:highlight w:val="none"/>
                <w:lang w:val="en-US" w:eastAsia="zh-CN"/>
              </w:rPr>
              <w:t>=4:1，则</w:t>
            </w:r>
            <w:r>
              <w:rPr>
                <w:rFonts w:hint="default" w:ascii="Times New Roman" w:hAnsi="Times New Roman" w:cs="Times New Roman"/>
                <w:b w:val="0"/>
                <w:bCs w:val="0"/>
                <w:color w:val="auto"/>
                <w:sz w:val="18"/>
                <w:szCs w:val="18"/>
                <w:highlight w:val="none"/>
                <w:lang w:val="en-US" w:eastAsia="zh-CN"/>
              </w:rPr>
              <w:t>聚醚多元醇</w:t>
            </w:r>
            <w:r>
              <w:rPr>
                <w:rFonts w:hint="eastAsia" w:cs="Times New Roman"/>
                <w:b w:val="0"/>
                <w:bCs w:val="0"/>
                <w:color w:val="auto"/>
                <w:sz w:val="18"/>
                <w:szCs w:val="18"/>
                <w:highlight w:val="none"/>
                <w:lang w:val="en-US" w:eastAsia="zh-CN"/>
              </w:rPr>
              <w:t>的投加量为2.43t×4÷（4+1）=1.94t；聚醚多元醇、炭黑预搅拌罐内聚醚多元醇：炭黑=100:1，则</w:t>
            </w:r>
            <w:r>
              <w:rPr>
                <w:rFonts w:hint="default" w:ascii="Times New Roman" w:hAnsi="Times New Roman" w:cs="Times New Roman"/>
                <w:b w:val="0"/>
                <w:bCs w:val="0"/>
                <w:color w:val="auto"/>
                <w:sz w:val="18"/>
                <w:szCs w:val="18"/>
                <w:highlight w:val="none"/>
                <w:lang w:val="en-US" w:eastAsia="zh-CN"/>
              </w:rPr>
              <w:t>聚醚多元醇</w:t>
            </w:r>
            <w:r>
              <w:rPr>
                <w:rFonts w:hint="eastAsia" w:cs="Times New Roman"/>
                <w:b w:val="0"/>
                <w:bCs w:val="0"/>
                <w:color w:val="auto"/>
                <w:sz w:val="18"/>
                <w:szCs w:val="18"/>
                <w:highlight w:val="none"/>
                <w:lang w:val="en-US" w:eastAsia="zh-CN"/>
              </w:rPr>
              <w:t>的投加量为0.21t×100÷（100+1）=0.208t，则预搅拌罐区内聚醚多元醇总暂存量为1.94t+0.208t=2.148t。</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4、主要原辅材料的种类和用量</w:t>
            </w:r>
          </w:p>
          <w:p>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lang w:eastAsia="zh-CN"/>
              </w:rPr>
              <w:t>扩建</w:t>
            </w:r>
            <w:r>
              <w:rPr>
                <w:rFonts w:hint="default" w:ascii="Times New Roman" w:hAnsi="Times New Roman" w:cs="Times New Roman"/>
                <w:color w:val="auto"/>
                <w:lang w:val="en-US" w:eastAsia="zh-CN"/>
              </w:rPr>
              <w:t>前后</w:t>
            </w:r>
            <w:r>
              <w:rPr>
                <w:rFonts w:hint="default" w:ascii="Times New Roman" w:hAnsi="Times New Roman" w:cs="Times New Roman"/>
                <w:color w:val="auto"/>
                <w:lang w:eastAsia="zh-CN"/>
              </w:rPr>
              <w:t>项目</w:t>
            </w:r>
            <w:r>
              <w:rPr>
                <w:rFonts w:hint="default" w:ascii="Times New Roman" w:hAnsi="Times New Roman" w:cs="Times New Roman"/>
                <w:color w:val="auto"/>
              </w:rPr>
              <w:t>主要原辅材料如下表所示：</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扩建前后项目主要原辅材料及用量</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75"/>
              <w:gridCol w:w="1020"/>
              <w:gridCol w:w="786"/>
              <w:gridCol w:w="773"/>
              <w:gridCol w:w="786"/>
              <w:gridCol w:w="752"/>
              <w:gridCol w:w="933"/>
              <w:gridCol w:w="933"/>
              <w:gridCol w:w="647"/>
              <w:gridCol w:w="809"/>
              <w:gridCol w:w="603"/>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55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原辅料名称</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现有项目用量</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扩建项目用量</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扩建后用量</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增减量</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包装规格</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扩建后最大储存量</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使用工序</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物料形态</w:t>
                  </w:r>
                </w:p>
              </w:tc>
              <w:tc>
                <w:tcPr>
                  <w:tcW w:w="32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来源</w:t>
                  </w:r>
                </w:p>
              </w:tc>
              <w:tc>
                <w:tcPr>
                  <w:tcW w:w="45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储存位置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PET原膜</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rPr>
                    <w:t>600t/a</w:t>
                  </w:r>
                </w:p>
              </w:tc>
              <w:tc>
                <w:tcPr>
                  <w:tcW w:w="417"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lang w:val="en-US" w:eastAsia="zh-CN"/>
                    </w:rPr>
                    <w:t>8</w:t>
                  </w:r>
                  <w:r>
                    <w:rPr>
                      <w:rFonts w:hint="default" w:ascii="Times New Roman" w:hAnsi="Times New Roman" w:cs="Times New Roman"/>
                      <w:color w:val="auto"/>
                      <w:sz w:val="21"/>
                      <w:szCs w:val="21"/>
                    </w:rPr>
                    <w:t>00t/a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1400</w:t>
                  </w:r>
                  <w:r>
                    <w:rPr>
                      <w:rFonts w:hint="default" w:ascii="Times New Roman" w:hAnsi="Times New Roman" w:cs="Times New Roman"/>
                      <w:color w:val="auto"/>
                      <w:sz w:val="21"/>
                      <w:szCs w:val="21"/>
                    </w:rPr>
                    <w:t>t/a</w:t>
                  </w:r>
                </w:p>
              </w:tc>
              <w:tc>
                <w:tcPr>
                  <w:tcW w:w="4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lang w:val="en-US" w:eastAsia="zh-CN"/>
                    </w:rPr>
                    <w:t>+8</w:t>
                  </w:r>
                  <w:r>
                    <w:rPr>
                      <w:rFonts w:hint="default" w:ascii="Times New Roman" w:hAnsi="Times New Roman" w:cs="Times New Roman"/>
                      <w:color w:val="auto"/>
                      <w:sz w:val="21"/>
                      <w:szCs w:val="21"/>
                    </w:rPr>
                    <w:t>00t/a</w:t>
                  </w:r>
                </w:p>
              </w:tc>
              <w:tc>
                <w:tcPr>
                  <w:tcW w:w="503" w:type="pct"/>
                  <w:noWrap w:val="0"/>
                  <w:vAlign w:val="center"/>
                </w:tcPr>
                <w:p>
                  <w:pPr>
                    <w:keepNext w:val="0"/>
                    <w:keepLines w:val="0"/>
                    <w:widowControl/>
                    <w:suppressLineNumbers w:val="0"/>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20t</w:t>
                  </w:r>
                </w:p>
              </w:tc>
              <w:tc>
                <w:tcPr>
                  <w:tcW w:w="349"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涂布</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外购</w:t>
                  </w:r>
                </w:p>
              </w:tc>
              <w:tc>
                <w:tcPr>
                  <w:tcW w:w="45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4"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BOPP</w:t>
                  </w:r>
                  <w:r>
                    <w:rPr>
                      <w:rFonts w:hint="default" w:ascii="Times New Roman" w:hAnsi="Times New Roman" w:cs="Times New Roman"/>
                      <w:color w:val="auto"/>
                      <w:sz w:val="21"/>
                      <w:szCs w:val="21"/>
                      <w:highlight w:val="none"/>
                    </w:rPr>
                    <w:t>原膜</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rPr>
                    <w:t>360t/a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360</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500</w:t>
                  </w:r>
                  <w:r>
                    <w:rPr>
                      <w:rFonts w:hint="default" w:ascii="Times New Roman" w:hAnsi="Times New Roman" w:cs="Times New Roman"/>
                      <w:color w:val="auto"/>
                      <w:sz w:val="21"/>
                      <w:szCs w:val="21"/>
                      <w:lang w:val="en-US" w:eastAsia="zh-CN"/>
                    </w:rPr>
                    <w:t>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w:t>
                  </w:r>
                  <w:r>
                    <w:rPr>
                      <w:rFonts w:hint="default" w:ascii="Times New Roman" w:hAnsi="Times New Roman" w:cs="Times New Roman"/>
                      <w:color w:val="auto"/>
                      <w:sz w:val="21"/>
                      <w:szCs w:val="21"/>
                      <w:highlight w:val="none"/>
                      <w:lang w:val="en-US" w:eastAsia="zh-CN"/>
                    </w:rPr>
                    <w:t>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印刷用纸</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rPr>
                    <w:t>240t/a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240</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500</w:t>
                  </w:r>
                  <w:r>
                    <w:rPr>
                      <w:rFonts w:hint="default" w:ascii="Times New Roman" w:hAnsi="Times New Roman" w:cs="Times New Roman"/>
                      <w:color w:val="auto"/>
                      <w:sz w:val="21"/>
                      <w:szCs w:val="21"/>
                      <w:lang w:val="en-US" w:eastAsia="zh-CN"/>
                    </w:rPr>
                    <w:t>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w:t>
                  </w:r>
                  <w:r>
                    <w:rPr>
                      <w:rFonts w:hint="default" w:ascii="Times New Roman" w:hAnsi="Times New Roman" w:cs="Times New Roman"/>
                      <w:color w:val="auto"/>
                      <w:sz w:val="21"/>
                      <w:szCs w:val="21"/>
                      <w:highlight w:val="none"/>
                      <w:lang w:val="en-US" w:eastAsia="zh-CN"/>
                    </w:rPr>
                    <w:t>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亚克力胶水</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rPr>
                    <w:t>500t/a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kern w:val="2"/>
                      <w:sz w:val="21"/>
                      <w:szCs w:val="21"/>
                      <w:highlight w:val="none"/>
                      <w:lang w:val="en-US" w:eastAsia="zh-CN" w:bidi="ar-SA"/>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助剂（乙酸乙酯）</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rPr>
                    <w:t>0.5t/a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0.5</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200</w:t>
                  </w:r>
                  <w:r>
                    <w:rPr>
                      <w:rFonts w:hint="default" w:ascii="Times New Roman" w:hAnsi="Times New Roman" w:cs="Times New Roman"/>
                      <w:color w:val="auto"/>
                      <w:sz w:val="21"/>
                      <w:szCs w:val="21"/>
                      <w:highlight w:val="none"/>
                      <w:lang w:val="en-US" w:eastAsia="zh-CN"/>
                    </w:rPr>
                    <w:t>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0.01t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调胶</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离型纸</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rPr>
                    <w:t>300t/a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400</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7</w:t>
                  </w:r>
                  <w:r>
                    <w:rPr>
                      <w:rFonts w:hint="default" w:ascii="Times New Roman" w:hAnsi="Times New Roman" w:cs="Times New Roman"/>
                      <w:color w:val="auto"/>
                      <w:sz w:val="21"/>
                      <w:szCs w:val="21"/>
                    </w:rPr>
                    <w:t>00t/a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+400</w:t>
                  </w:r>
                  <w:r>
                    <w:rPr>
                      <w:rFonts w:hint="default" w:ascii="Times New Roman" w:hAnsi="Times New Roman" w:cs="Times New Roman"/>
                      <w:color w:val="auto"/>
                      <w:sz w:val="21"/>
                      <w:szCs w:val="21"/>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500kg/捆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10</w:t>
                  </w:r>
                  <w:r>
                    <w:rPr>
                      <w:rFonts w:hint="default" w:ascii="Times New Roman" w:hAnsi="Times New Roman" w:cs="Times New Roman"/>
                      <w:color w:val="auto"/>
                      <w:sz w:val="21"/>
                      <w:szCs w:val="21"/>
                      <w:highlight w:val="none"/>
                      <w:lang w:val="en-US" w:eastAsia="zh-CN"/>
                    </w:rPr>
                    <w:t>t</w:t>
                  </w:r>
                </w:p>
              </w:tc>
              <w:tc>
                <w:tcPr>
                  <w:tcW w:w="349"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复卷</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离型膜</w:t>
                  </w:r>
                </w:p>
              </w:tc>
              <w:tc>
                <w:tcPr>
                  <w:tcW w:w="424"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400</w:t>
                  </w:r>
                  <w:r>
                    <w:rPr>
                      <w:rFonts w:hint="default" w:ascii="Times New Roman" w:hAnsi="Times New Roman" w:cs="Times New Roman"/>
                      <w:color w:val="auto"/>
                      <w:sz w:val="21"/>
                      <w:szCs w:val="21"/>
                    </w:rPr>
                    <w:t>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u w:val="none"/>
                      <w:lang w:val="en-US" w:eastAsia="zh-CN" w:bidi="ar"/>
                    </w:rPr>
                    <w:t>4</w:t>
                  </w:r>
                  <w:r>
                    <w:rPr>
                      <w:rFonts w:hint="default" w:ascii="Times New Roman" w:hAnsi="Times New Roman" w:eastAsia="宋体" w:cs="Times New Roman"/>
                      <w:i w:val="0"/>
                      <w:iCs w:val="0"/>
                      <w:color w:val="auto"/>
                      <w:kern w:val="0"/>
                      <w:sz w:val="21"/>
                      <w:szCs w:val="21"/>
                      <w:u w:val="none"/>
                      <w:lang w:val="en-US" w:eastAsia="zh-CN" w:bidi="ar"/>
                    </w:rPr>
                    <w:t>00</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5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500kg/捆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20t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w:t>
                  </w:r>
                </w:p>
              </w:tc>
              <w:tc>
                <w:tcPr>
                  <w:tcW w:w="5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天然气</w:t>
                  </w:r>
                </w:p>
              </w:tc>
              <w:tc>
                <w:tcPr>
                  <w:tcW w:w="424"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rPr>
                    <w:t>6万m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/a</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31.362</w:t>
                  </w:r>
                  <w:r>
                    <w:rPr>
                      <w:rFonts w:hint="default" w:ascii="Times New Roman" w:hAnsi="Times New Roman" w:cs="Times New Roman"/>
                      <w:color w:val="auto"/>
                      <w:sz w:val="21"/>
                      <w:szCs w:val="21"/>
                    </w:rPr>
                    <w:t>万m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/a</w:t>
                  </w:r>
                </w:p>
              </w:tc>
              <w:tc>
                <w:tcPr>
                  <w:tcW w:w="424"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37.362</w:t>
                  </w:r>
                  <w:r>
                    <w:rPr>
                      <w:rFonts w:hint="default" w:ascii="Times New Roman" w:hAnsi="Times New Roman" w:cs="Times New Roman"/>
                      <w:color w:val="auto"/>
                      <w:sz w:val="21"/>
                      <w:szCs w:val="21"/>
                    </w:rPr>
                    <w:t>万m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+31.362</w:t>
                  </w:r>
                  <w:r>
                    <w:rPr>
                      <w:rFonts w:hint="default" w:ascii="Times New Roman" w:hAnsi="Times New Roman" w:cs="Times New Roman"/>
                      <w:color w:val="auto"/>
                      <w:sz w:val="21"/>
                      <w:szCs w:val="21"/>
                    </w:rPr>
                    <w:t>万m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烤干、烘烤</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天然气管道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w:t>
                  </w:r>
                </w:p>
              </w:tc>
              <w:tc>
                <w:tcPr>
                  <w:tcW w:w="55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水性压敏胶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90</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+90</w:t>
                  </w:r>
                  <w:r>
                    <w:rPr>
                      <w:rFonts w:hint="default" w:ascii="Times New Roman" w:hAnsi="Times New Roman" w:cs="Times New Roman"/>
                      <w:color w:val="auto"/>
                      <w:sz w:val="21"/>
                      <w:szCs w:val="21"/>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200</w:t>
                  </w:r>
                  <w:r>
                    <w:rPr>
                      <w:rFonts w:hint="default" w:ascii="Times New Roman" w:hAnsi="Times New Roman" w:cs="Times New Roman"/>
                      <w:color w:val="auto"/>
                      <w:sz w:val="21"/>
                      <w:szCs w:val="21"/>
                      <w:highlight w:val="none"/>
                      <w:lang w:val="en-US" w:eastAsia="zh-CN"/>
                    </w:rPr>
                    <w:t>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预搅拌、涂布</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w:t>
                  </w:r>
                </w:p>
              </w:tc>
              <w:tc>
                <w:tcPr>
                  <w:tcW w:w="55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PE胶管</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2万条</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2万条</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+2万条</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100kg/捆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0.5万条</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收卷</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桶状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11</w:t>
                  </w:r>
                </w:p>
              </w:tc>
              <w:tc>
                <w:tcPr>
                  <w:tcW w:w="55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rPr>
                    <w:t>PE拉伸膜</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r>
                    <w:rPr>
                      <w:rFonts w:hint="default" w:ascii="Times New Roman" w:hAnsi="Times New Roman" w:cs="Times New Roman"/>
                      <w:color w:val="auto"/>
                      <w:sz w:val="21"/>
                      <w:szCs w:val="21"/>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500kg/捆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0.5t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包装</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w:t>
                  </w:r>
                </w:p>
              </w:tc>
              <w:tc>
                <w:tcPr>
                  <w:tcW w:w="55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PET原膜（用于聚氨酯棉）</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122</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12</w:t>
                  </w:r>
                  <w:r>
                    <w:rPr>
                      <w:rFonts w:hint="default" w:ascii="Times New Roman" w:hAnsi="Times New Roman" w:cs="Times New Roman"/>
                      <w:i w:val="0"/>
                      <w:iCs w:val="0"/>
                      <w:color w:val="auto"/>
                      <w:kern w:val="0"/>
                      <w:sz w:val="21"/>
                      <w:szCs w:val="21"/>
                      <w:u w:val="none"/>
                      <w:lang w:val="en-US" w:eastAsia="zh-CN" w:bidi="ar"/>
                    </w:rPr>
                    <w:t>2</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+122</w:t>
                  </w:r>
                  <w:r>
                    <w:rPr>
                      <w:rFonts w:hint="default" w:ascii="Times New Roman" w:hAnsi="Times New Roman" w:cs="Times New Roman"/>
                      <w:color w:val="auto"/>
                      <w:sz w:val="21"/>
                      <w:szCs w:val="21"/>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500kg/捆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聚氨酯涂布</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13</w:t>
                  </w:r>
                </w:p>
              </w:tc>
              <w:tc>
                <w:tcPr>
                  <w:tcW w:w="55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聚醚多元醇</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160</w:t>
                  </w:r>
                  <w:r>
                    <w:rPr>
                      <w:rFonts w:hint="default" w:ascii="Times New Roman" w:hAnsi="Times New Roman" w:cs="Times New Roman"/>
                      <w:color w:val="auto"/>
                      <w:sz w:val="21"/>
                      <w:szCs w:val="21"/>
                      <w:highlight w:val="none"/>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160</w:t>
                  </w:r>
                  <w:r>
                    <w:rPr>
                      <w:rFonts w:hint="default" w:ascii="Times New Roman" w:hAnsi="Times New Roman" w:cs="Times New Roman"/>
                      <w:color w:val="auto"/>
                      <w:sz w:val="21"/>
                      <w:szCs w:val="21"/>
                      <w:highlight w:val="none"/>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+160</w:t>
                  </w:r>
                  <w:r>
                    <w:rPr>
                      <w:rFonts w:hint="default" w:ascii="Times New Roman" w:hAnsi="Times New Roman" w:cs="Times New Roman"/>
                      <w:color w:val="auto"/>
                      <w:sz w:val="21"/>
                      <w:szCs w:val="21"/>
                      <w:highlight w:val="none"/>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2.2t</w:t>
                  </w:r>
                </w:p>
              </w:tc>
              <w:tc>
                <w:tcPr>
                  <w:tcW w:w="349"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混合发泡</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化学品仓库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14</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改性异氰酸酯</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20</w:t>
                  </w:r>
                  <w:r>
                    <w:rPr>
                      <w:rFonts w:hint="default" w:ascii="Times New Roman" w:hAnsi="Times New Roman" w:cs="Times New Roman"/>
                      <w:color w:val="auto"/>
                      <w:sz w:val="21"/>
                      <w:szCs w:val="21"/>
                      <w:highlight w:val="none"/>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20</w:t>
                  </w:r>
                  <w:r>
                    <w:rPr>
                      <w:rFonts w:hint="default" w:ascii="Times New Roman" w:hAnsi="Times New Roman" w:cs="Times New Roman"/>
                      <w:color w:val="auto"/>
                      <w:sz w:val="21"/>
                      <w:szCs w:val="21"/>
                      <w:highlight w:val="none"/>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+20</w:t>
                  </w:r>
                  <w:r>
                    <w:rPr>
                      <w:rFonts w:hint="default" w:ascii="Times New Roman" w:hAnsi="Times New Roman" w:cs="Times New Roman"/>
                      <w:color w:val="auto"/>
                      <w:sz w:val="21"/>
                      <w:szCs w:val="21"/>
                      <w:highlight w:val="none"/>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氢氧化铝</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76</w:t>
                  </w:r>
                  <w:r>
                    <w:rPr>
                      <w:rFonts w:hint="default" w:ascii="Times New Roman" w:hAnsi="Times New Roman" w:cs="Times New Roman"/>
                      <w:color w:val="auto"/>
                      <w:sz w:val="21"/>
                      <w:szCs w:val="21"/>
                      <w:highlight w:val="none"/>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76</w:t>
                  </w:r>
                  <w:r>
                    <w:rPr>
                      <w:rFonts w:hint="default" w:ascii="Times New Roman" w:hAnsi="Times New Roman" w:cs="Times New Roman"/>
                      <w:color w:val="auto"/>
                      <w:sz w:val="21"/>
                      <w:szCs w:val="21"/>
                      <w:highlight w:val="none"/>
                    </w:rPr>
                    <w:t>t/a</w:t>
                  </w:r>
                </w:p>
              </w:tc>
              <w:tc>
                <w:tcPr>
                  <w:tcW w:w="40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+76</w:t>
                  </w:r>
                  <w:r>
                    <w:rPr>
                      <w:rFonts w:hint="default" w:ascii="Times New Roman" w:hAnsi="Times New Roman" w:cs="Times New Roman"/>
                      <w:color w:val="auto"/>
                      <w:sz w:val="21"/>
                      <w:szCs w:val="21"/>
                      <w:highlight w:val="none"/>
                    </w:rPr>
                    <w:t>t/a</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25kg/包</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0.5t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粉状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炭黑</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12</w:t>
                  </w:r>
                  <w:r>
                    <w:rPr>
                      <w:rFonts w:hint="default" w:ascii="Times New Roman" w:hAnsi="Times New Roman" w:cs="Times New Roman"/>
                      <w:color w:val="auto"/>
                      <w:sz w:val="21"/>
                      <w:szCs w:val="21"/>
                      <w:highlight w:val="none"/>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12</w:t>
                  </w:r>
                  <w:r>
                    <w:rPr>
                      <w:rFonts w:hint="default" w:ascii="Times New Roman" w:hAnsi="Times New Roman" w:cs="Times New Roman"/>
                      <w:color w:val="auto"/>
                      <w:sz w:val="21"/>
                      <w:szCs w:val="21"/>
                      <w:highlight w:val="none"/>
                    </w:rPr>
                    <w:t>t/a</w:t>
                  </w:r>
                </w:p>
              </w:tc>
              <w:tc>
                <w:tcPr>
                  <w:tcW w:w="405"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+12</w:t>
                  </w:r>
                  <w:r>
                    <w:rPr>
                      <w:rFonts w:hint="default" w:ascii="Times New Roman" w:hAnsi="Times New Roman" w:cs="Times New Roman"/>
                      <w:color w:val="auto"/>
                      <w:sz w:val="21"/>
                      <w:szCs w:val="21"/>
                      <w:highlight w:val="none"/>
                    </w:rPr>
                    <w:t>t/a</w:t>
                  </w:r>
                </w:p>
              </w:tc>
              <w:tc>
                <w:tcPr>
                  <w:tcW w:w="503"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25kg/包</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0.2t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粉状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17</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硅油</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8</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w:t>
                  </w:r>
                  <w:r>
                    <w:rPr>
                      <w:rFonts w:hint="default" w:ascii="Times New Roman" w:hAnsi="Times New Roman" w:cs="Times New Roman"/>
                      <w:color w:val="auto"/>
                      <w:sz w:val="21"/>
                      <w:szCs w:val="21"/>
                    </w:rPr>
                    <w:t>t/a</w:t>
                  </w:r>
                </w:p>
              </w:tc>
              <w:tc>
                <w:tcPr>
                  <w:tcW w:w="405"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+8</w:t>
                  </w:r>
                  <w:r>
                    <w:rPr>
                      <w:rFonts w:hint="default" w:ascii="Times New Roman" w:hAnsi="Times New Roman" w:cs="Times New Roman"/>
                      <w:color w:val="auto"/>
                      <w:sz w:val="21"/>
                      <w:szCs w:val="21"/>
                    </w:rPr>
                    <w:t>t/a</w:t>
                  </w:r>
                </w:p>
              </w:tc>
              <w:tc>
                <w:tcPr>
                  <w:tcW w:w="503"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highlight w:val="none"/>
                      <w:lang w:val="en-US" w:eastAsia="zh-CN"/>
                    </w:rPr>
                    <w:t>200kg/桶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0.4</w:t>
                  </w:r>
                  <w:r>
                    <w:rPr>
                      <w:rFonts w:hint="default" w:ascii="Times New Roman" w:hAnsi="Times New Roman" w:cs="Times New Roman"/>
                      <w:color w:val="auto"/>
                      <w:kern w:val="2"/>
                      <w:sz w:val="21"/>
                      <w:szCs w:val="21"/>
                      <w:highlight w:val="none"/>
                      <w:lang w:val="en-US" w:eastAsia="zh-CN" w:bidi="ar-SA"/>
                    </w:rPr>
                    <w:t>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18</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活化粉</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r>
                    <w:rPr>
                      <w:rFonts w:hint="default" w:ascii="Times New Roman" w:hAnsi="Times New Roman" w:cs="Times New Roman"/>
                      <w:color w:val="auto"/>
                      <w:sz w:val="21"/>
                      <w:szCs w:val="21"/>
                    </w:rPr>
                    <w:t>t/a</w:t>
                  </w:r>
                </w:p>
              </w:tc>
              <w:tc>
                <w:tcPr>
                  <w:tcW w:w="405"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t/a</w:t>
                  </w:r>
                </w:p>
              </w:tc>
              <w:tc>
                <w:tcPr>
                  <w:tcW w:w="503"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25kg/包</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0.2t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粉状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19</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抗氧剂</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0.4</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r>
                    <w:rPr>
                      <w:rFonts w:hint="default" w:ascii="Times New Roman" w:hAnsi="Times New Roman" w:cs="Times New Roman"/>
                      <w:color w:val="auto"/>
                      <w:sz w:val="21"/>
                      <w:szCs w:val="21"/>
                    </w:rPr>
                    <w:t>t/a</w:t>
                  </w:r>
                </w:p>
              </w:tc>
              <w:tc>
                <w:tcPr>
                  <w:tcW w:w="405"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+0.4</w:t>
                  </w:r>
                  <w:r>
                    <w:rPr>
                      <w:rFonts w:hint="default" w:ascii="Times New Roman" w:hAnsi="Times New Roman" w:cs="Times New Roman"/>
                      <w:color w:val="auto"/>
                      <w:sz w:val="21"/>
                      <w:szCs w:val="21"/>
                    </w:rPr>
                    <w:t>t/a</w:t>
                  </w:r>
                </w:p>
              </w:tc>
              <w:tc>
                <w:tcPr>
                  <w:tcW w:w="503"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highlight w:val="none"/>
                      <w:lang w:val="en-US" w:eastAsia="zh-CN"/>
                    </w:rPr>
                    <w:t>20kg/桶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0.1t</w:t>
                  </w:r>
                </w:p>
              </w:tc>
              <w:tc>
                <w:tcPr>
                  <w:tcW w:w="34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20</w:t>
                  </w:r>
                </w:p>
              </w:tc>
              <w:tc>
                <w:tcPr>
                  <w:tcW w:w="550"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聚氨酯胶粘剂</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c>
                <w:tcPr>
                  <w:tcW w:w="417"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1.6</w:t>
                  </w:r>
                  <w:r>
                    <w:rPr>
                      <w:rFonts w:hint="default" w:ascii="Times New Roman" w:hAnsi="Times New Roman" w:cs="Times New Roman"/>
                      <w:color w:val="auto"/>
                      <w:sz w:val="21"/>
                      <w:szCs w:val="21"/>
                    </w:rPr>
                    <w:t>t/a</w:t>
                  </w:r>
                </w:p>
              </w:tc>
              <w:tc>
                <w:tcPr>
                  <w:tcW w:w="42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r>
                    <w:rPr>
                      <w:rFonts w:hint="default" w:ascii="Times New Roman" w:hAnsi="Times New Roman" w:cs="Times New Roman"/>
                      <w:color w:val="auto"/>
                      <w:sz w:val="21"/>
                      <w:szCs w:val="21"/>
                    </w:rPr>
                    <w:t>t/a</w:t>
                  </w:r>
                </w:p>
              </w:tc>
              <w:tc>
                <w:tcPr>
                  <w:tcW w:w="405"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+1.6</w:t>
                  </w:r>
                  <w:r>
                    <w:rPr>
                      <w:rFonts w:hint="default" w:ascii="Times New Roman" w:hAnsi="Times New Roman" w:cs="Times New Roman"/>
                      <w:color w:val="auto"/>
                      <w:sz w:val="21"/>
                      <w:szCs w:val="21"/>
                    </w:rPr>
                    <w:t>t/a</w:t>
                  </w:r>
                </w:p>
              </w:tc>
              <w:tc>
                <w:tcPr>
                  <w:tcW w:w="503" w:type="pct"/>
                  <w:noWrap w:val="0"/>
                  <w:vAlign w:val="center"/>
                </w:tcPr>
                <w:p>
                  <w:pPr>
                    <w:keepLines w:val="0"/>
                    <w:pageBreakBefore w:val="0"/>
                    <w:widowControl w:val="0"/>
                    <w:kinsoku/>
                    <w:wordWrap/>
                    <w:topLinePunct w:val="0"/>
                    <w:autoSpaceDE/>
                    <w:autoSpaceDN/>
                    <w:bidi w:val="0"/>
                    <w:adjustRightIn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highlight w:val="none"/>
                      <w:lang w:val="en-US" w:eastAsia="zh-CN"/>
                    </w:rPr>
                    <w:t>25kg/桶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0.1t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聚氨酯涂布</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21</w:t>
                  </w:r>
                </w:p>
              </w:tc>
              <w:tc>
                <w:tcPr>
                  <w:tcW w:w="5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润滑油</w:t>
                  </w:r>
                </w:p>
              </w:tc>
              <w:tc>
                <w:tcPr>
                  <w:tcW w:w="424"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0.2</w:t>
                  </w:r>
                  <w:r>
                    <w:rPr>
                      <w:rFonts w:hint="default" w:ascii="Times New Roman" w:hAnsi="Times New Roman" w:cs="Times New Roman"/>
                      <w:color w:val="auto"/>
                      <w:sz w:val="21"/>
                      <w:szCs w:val="21"/>
                    </w:rPr>
                    <w:t>t/a</w:t>
                  </w:r>
                </w:p>
              </w:tc>
              <w:tc>
                <w:tcPr>
                  <w:tcW w:w="424"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color w:val="auto"/>
                      <w:kern w:val="2"/>
                      <w:sz w:val="21"/>
                      <w:szCs w:val="21"/>
                      <w:lang w:val="en-US" w:eastAsia="zh-CN" w:bidi="ar-SA"/>
                    </w:rPr>
                    <w:t>0.2</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kern w:val="2"/>
                      <w:sz w:val="21"/>
                      <w:szCs w:val="21"/>
                      <w:lang w:val="en-US" w:eastAsia="zh-CN" w:bidi="ar-SA"/>
                    </w:rPr>
                    <w:t>0.2</w:t>
                  </w:r>
                  <w:r>
                    <w:rPr>
                      <w:rFonts w:hint="default" w:ascii="Times New Roman" w:hAnsi="Times New Roman" w:cs="Times New Roman"/>
                      <w:color w:val="auto"/>
                      <w:sz w:val="21"/>
                      <w:szCs w:val="21"/>
                    </w:rPr>
                    <w:t>t/a</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25kg/桶</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0.025t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设备保养</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液态</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02" w:type="pct"/>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22</w:t>
                  </w:r>
                </w:p>
              </w:tc>
              <w:tc>
                <w:tcPr>
                  <w:tcW w:w="5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包装材料</w:t>
                  </w:r>
                </w:p>
              </w:tc>
              <w:tc>
                <w:tcPr>
                  <w:tcW w:w="424"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w:t>
                  </w:r>
                </w:p>
              </w:tc>
              <w:tc>
                <w:tcPr>
                  <w:tcW w:w="417"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r>
                    <w:rPr>
                      <w:rFonts w:hint="default" w:ascii="Times New Roman" w:hAnsi="Times New Roman" w:cs="Times New Roman"/>
                      <w:color w:val="auto"/>
                      <w:sz w:val="21"/>
                      <w:szCs w:val="21"/>
                    </w:rPr>
                    <w:t>t/a</w:t>
                  </w:r>
                </w:p>
              </w:tc>
              <w:tc>
                <w:tcPr>
                  <w:tcW w:w="424"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r>
                    <w:rPr>
                      <w:rFonts w:hint="default" w:ascii="Times New Roman" w:hAnsi="Times New Roman" w:cs="Times New Roman"/>
                      <w:color w:val="auto"/>
                      <w:sz w:val="21"/>
                      <w:szCs w:val="21"/>
                    </w:rPr>
                    <w:t>t/a</w:t>
                  </w:r>
                </w:p>
              </w:tc>
              <w:tc>
                <w:tcPr>
                  <w:tcW w:w="40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kern w:val="2"/>
                      <w:sz w:val="21"/>
                      <w:szCs w:val="21"/>
                      <w:lang w:val="en-US" w:eastAsia="zh-CN" w:bidi="ar-SA"/>
                    </w:rPr>
                    <w:t>+5</w:t>
                  </w:r>
                  <w:r>
                    <w:rPr>
                      <w:rFonts w:hint="default" w:ascii="Times New Roman" w:hAnsi="Times New Roman" w:cs="Times New Roman"/>
                      <w:color w:val="auto"/>
                      <w:sz w:val="21"/>
                      <w:szCs w:val="21"/>
                    </w:rPr>
                    <w:t>t/a</w:t>
                  </w:r>
                </w:p>
              </w:tc>
              <w:tc>
                <w:tcPr>
                  <w:tcW w:w="5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50kg/捆</w:t>
                  </w:r>
                </w:p>
              </w:tc>
              <w:tc>
                <w:tcPr>
                  <w:tcW w:w="50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2t</w:t>
                  </w:r>
                </w:p>
              </w:tc>
              <w:tc>
                <w:tcPr>
                  <w:tcW w:w="34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聚氨酯高密度棉包装</w:t>
                  </w:r>
                </w:p>
              </w:tc>
              <w:tc>
                <w:tcPr>
                  <w:tcW w:w="43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lang w:val="en-US" w:eastAsia="zh-CN"/>
                    </w:rPr>
                    <w:t>捆</w:t>
                  </w:r>
                  <w:r>
                    <w:rPr>
                      <w:rFonts w:hint="default" w:ascii="Times New Roman" w:hAnsi="Times New Roman" w:cs="Times New Roman"/>
                      <w:color w:val="auto"/>
                      <w:sz w:val="21"/>
                      <w:szCs w:val="21"/>
                      <w:highlight w:val="none"/>
                      <w:lang w:val="en-US" w:eastAsia="zh-CN"/>
                    </w:rPr>
                    <w:t>状</w:t>
                  </w:r>
                </w:p>
              </w:tc>
              <w:tc>
                <w:tcPr>
                  <w:tcW w:w="325"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45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原料仓库</w:t>
                  </w:r>
                </w:p>
              </w:tc>
            </w:tr>
          </w:tbl>
          <w:p>
            <w:p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原辅材料的理化性质如下：</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本项目主要原辅材料理化性质</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
              <w:gridCol w:w="990"/>
              <w:gridCol w:w="1623"/>
              <w:gridCol w:w="6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534"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原辅料名称</w:t>
                  </w:r>
                </w:p>
              </w:tc>
              <w:tc>
                <w:tcPr>
                  <w:tcW w:w="4234" w:type="pct"/>
                  <w:gridSpan w:val="2"/>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53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水性压敏胶</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乳白色液体</w:t>
                  </w:r>
                  <w:r>
                    <w:rPr>
                      <w:rFonts w:hint="default" w:ascii="Times New Roman" w:hAnsi="Times New Roman" w:cs="Times New Roman"/>
                      <w:color w:val="auto"/>
                      <w:kern w:val="2"/>
                      <w:sz w:val="21"/>
                      <w:szCs w:val="21"/>
                      <w:lang w:val="en-US" w:eastAsia="zh-CN" w:bidi="ar-SA"/>
                    </w:rPr>
                    <w:t>，主要成分为丙烯酸共聚乳液45-47%、水53-55%、甲基丙烯酸甲酯≤0.0025%、丙烯酸丁酯≤0.0025%、丙烯酸异辛酯≤0.0025%。pH值为7.5-8 .2，沸点为100℃，密度为1.04-1.07 g/m</w:t>
                  </w:r>
                  <w:r>
                    <w:rPr>
                      <w:rFonts w:hint="default" w:ascii="Times New Roman" w:hAnsi="Times New Roman" w:cs="Times New Roman"/>
                      <w:color w:val="auto"/>
                      <w:kern w:val="2"/>
                      <w:sz w:val="21"/>
                      <w:szCs w:val="21"/>
                      <w:vertAlign w:val="superscript"/>
                      <w:lang w:val="en-US" w:eastAsia="zh-CN" w:bidi="ar-SA"/>
                    </w:rPr>
                    <w:t>3</w:t>
                  </w:r>
                  <w:r>
                    <w:rPr>
                      <w:rFonts w:hint="default" w:ascii="Times New Roman" w:hAnsi="Times New Roman" w:cs="Times New Roman"/>
                      <w:color w:val="auto"/>
                      <w:kern w:val="2"/>
                      <w:sz w:val="21"/>
                      <w:szCs w:val="21"/>
                      <w:lang w:val="en-US" w:eastAsia="zh-CN" w:bidi="ar-SA"/>
                    </w:rPr>
                    <w:t>。详见附件15。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挥发性要求</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根据建设单位提供的VOC检测报告，详见附件16，本项目使用的水性压敏胶VOC含量为2g/L≤50g/L，符合《胶粘剂挥发性有机化合物限量》（GB33372-2020）中水性胶粘剂含量限值要求。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kern w:val="2"/>
                      <w:sz w:val="21"/>
                      <w:szCs w:val="21"/>
                      <w:highlight w:val="none"/>
                      <w:lang w:val="en-US" w:eastAsia="zh-CN" w:bidi="ar-SA"/>
                    </w:rPr>
                    <w:t>聚醚多元醇</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无色液体，有轻微气味，主要成分为聚丙二醇（CAS号：25322-69-4），闪点为174℃，相对密度（水=1，25℃时）为1.002g/cm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，不溶于水，无爆炸危险。</w:t>
                  </w:r>
                  <w:r>
                    <w:rPr>
                      <w:rFonts w:hint="default" w:ascii="Times New Roman" w:hAnsi="Times New Roman" w:cs="Times New Roman"/>
                      <w:color w:val="auto"/>
                      <w:kern w:val="2"/>
                      <w:sz w:val="21"/>
                      <w:szCs w:val="21"/>
                      <w:lang w:val="en-US" w:eastAsia="zh-CN" w:bidi="ar-SA"/>
                    </w:rPr>
                    <w:t>详见附件11。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急性经口毒性—LD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（大鼠）：＞10000mg/kg</w:t>
                  </w:r>
                </w:p>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急性经皮毒性—LD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（家兔）：＞10000mg/kg</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急性吸入毒性—室温时单次暴露不可能存在危险。加热时物料产生的蒸汽或薄雾可能引起呼吸刺激。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鱼类的急性毒性—物质对鱼基本无急性毒性(LC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100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改性异氰酸酯</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left"/>
                    <w:textAlignment w:val="auto"/>
                    <w:rPr>
                      <w:rFonts w:hint="default" w:ascii="Times New Roman" w:hAnsi="Times New Roman" w:eastAsia="宋体" w:cs="Times New Roman"/>
                      <w:b/>
                      <w:bCs/>
                      <w:color w:val="auto"/>
                      <w:kern w:val="2"/>
                      <w:sz w:val="21"/>
                      <w:szCs w:val="21"/>
                      <w:u w:val="none"/>
                      <w:lang w:val="en-US" w:eastAsia="zh-CN" w:bidi="ar-SA"/>
                    </w:rPr>
                  </w:pPr>
                  <w:r>
                    <w:rPr>
                      <w:rFonts w:hint="default" w:ascii="Times New Roman" w:hAnsi="Times New Roman" w:eastAsia="宋体" w:cs="Times New Roman"/>
                      <w:color w:val="auto"/>
                      <w:kern w:val="2"/>
                      <w:sz w:val="21"/>
                      <w:szCs w:val="21"/>
                      <w:u w:val="none"/>
                      <w:lang w:val="en-US" w:eastAsia="zh-CN" w:bidi="ar-SA"/>
                    </w:rPr>
                    <w:t>淡黄色液体，几乎</w:t>
                  </w:r>
                  <w:r>
                    <w:rPr>
                      <w:rFonts w:hint="default" w:ascii="Times New Roman" w:hAnsi="Times New Roman" w:cs="Times New Roman"/>
                      <w:color w:val="auto"/>
                      <w:sz w:val="21"/>
                      <w:szCs w:val="21"/>
                      <w:highlight w:val="none"/>
                      <w:lang w:val="en-US" w:eastAsia="zh-CN"/>
                    </w:rPr>
                    <w:t>无臭，主要成分为99%改性异氰酸酯＞99℃、61%二苯基甲烷-4,4'-二异氰酸酯。相对密度（水=1，23℃时）为1.2g/cm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，闪点为210℃，可燃，难溶于水，可溶于甲苯，醋酸乙酯，丙酮等。常温下稳定。</w:t>
                  </w:r>
                  <w:r>
                    <w:rPr>
                      <w:rFonts w:hint="default" w:ascii="Times New Roman" w:hAnsi="Times New Roman" w:cs="Times New Roman"/>
                      <w:color w:val="auto"/>
                      <w:kern w:val="2"/>
                      <w:sz w:val="21"/>
                      <w:szCs w:val="21"/>
                      <w:lang w:val="en-US" w:eastAsia="zh-CN" w:bidi="ar-SA"/>
                    </w:rPr>
                    <w:t>详见附件14。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急性经口毒性—LD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（大鼠）：＞5000mg/kg</w:t>
                  </w:r>
                </w:p>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急性经皮毒性—LD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（家兔）：＞5000mg/kg</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急性吸入毒性—LC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（大鼠）：490mg/m</w:t>
                  </w:r>
                  <w:r>
                    <w:rPr>
                      <w:rFonts w:hint="default" w:ascii="Times New Roman" w:hAnsi="Times New Roman" w:cs="Times New Roman"/>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鱼和无脊椎动物以及藻类的毒性—LC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1000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4</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氢氧化铝</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白色粉末，主要成分为＞97%氢氧化铝（CAS号：21645-51-2）、0.5%水（CAS号：7732-18-5）、0.4%氧化钠（CAS号：1313-59-3）、0.02%氧化铁（CAS号：1309-168-2）、0.02%二氧化硅（CAS号：7631-86-9）。</w:t>
                  </w:r>
                  <w:r>
                    <w:rPr>
                      <w:rFonts w:hint="default" w:ascii="Times New Roman" w:hAnsi="Times New Roman" w:cs="Times New Roman"/>
                      <w:color w:val="auto"/>
                      <w:kern w:val="2"/>
                      <w:sz w:val="21"/>
                      <w:szCs w:val="21"/>
                      <w:lang w:val="en-US" w:eastAsia="zh-CN" w:bidi="ar-SA"/>
                    </w:rPr>
                    <w:t>详见附件13。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2"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急性经口毒性（氧化铁）—LD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（大鼠）：＞5000mg/kg</w:t>
                  </w:r>
                </w:p>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急性经口毒性（二氧化硅）—LD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（大鼠）：＞10000mg/kg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5</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炭黑</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黑色粉末，主要成分为C（CAS号：1333-86-4），分子量为12.01，其中C含量87-99%，H含量为5-8%。熔点为3550℃，相对密度为1.7-1.9g/mL，沸点在500-600℃，闪点＞230°F，不溶于水，常温下稳定，橡胶补强剂及色素。可能造成粉尘爆炸，不易燃。引燃温度：＞400℃，爆炸下限：50g/c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kern w:val="2"/>
                      <w:sz w:val="21"/>
                      <w:szCs w:val="21"/>
                      <w:lang w:val="en-US" w:eastAsia="zh-CN" w:bidi="ar-SA"/>
                    </w:rPr>
                    <w:t>详见附件10。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急性经口毒性—LD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（兔子）：＞8000mg/kg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对鱼类的毒性—LC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680 mg/L。</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对水蚤和其他水生无脊椎动物的毒性：EC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2808 mg/L。</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对藻类的毒性：EC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328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i w:val="0"/>
                      <w:iCs w:val="0"/>
                      <w:color w:val="auto"/>
                      <w:kern w:val="0"/>
                      <w:sz w:val="21"/>
                      <w:szCs w:val="21"/>
                      <w:u w:val="none"/>
                      <w:lang w:val="en-US" w:eastAsia="zh-CN" w:bidi="ar"/>
                    </w:rPr>
                    <w:t>6</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活化粉</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主要成分为沸石，</w:t>
                  </w:r>
                  <w:r>
                    <w:rPr>
                      <w:rFonts w:hint="default" w:ascii="Times New Roman" w:hAnsi="Times New Roman" w:cs="Times New Roman"/>
                      <w:color w:val="auto"/>
                      <w:sz w:val="21"/>
                      <w:szCs w:val="21"/>
                      <w:highlight w:val="none"/>
                      <w:lang w:val="en-US" w:eastAsia="zh-CN"/>
                    </w:rPr>
                    <w:t>粉末状，主要成分为</w:t>
                  </w:r>
                  <w:r>
                    <w:rPr>
                      <w:rFonts w:hint="default" w:ascii="Times New Roman" w:hAnsi="Times New Roman" w:eastAsia="Tahoma" w:cs="Times New Roman"/>
                      <w:i w:val="0"/>
                      <w:iCs w:val="0"/>
                      <w:caps w:val="0"/>
                      <w:color w:val="auto"/>
                      <w:spacing w:val="0"/>
                      <w:sz w:val="18"/>
                      <w:szCs w:val="18"/>
                    </w:rPr>
                    <w:t>Ni</w:t>
                  </w:r>
                  <w:r>
                    <w:rPr>
                      <w:rFonts w:hint="default" w:ascii="Times New Roman" w:hAnsi="Times New Roman" w:eastAsia="Tahoma" w:cs="Times New Roman"/>
                      <w:i w:val="0"/>
                      <w:iCs w:val="0"/>
                      <w:caps w:val="0"/>
                      <w:color w:val="auto"/>
                      <w:spacing w:val="0"/>
                      <w:sz w:val="24"/>
                      <w:szCs w:val="24"/>
                      <w:vertAlign w:val="subscript"/>
                    </w:rPr>
                    <w:t>2</w:t>
                  </w:r>
                  <w:r>
                    <w:rPr>
                      <w:rFonts w:hint="default" w:ascii="Times New Roman" w:hAnsi="Times New Roman" w:eastAsia="Tahoma" w:cs="Times New Roman"/>
                      <w:i w:val="0"/>
                      <w:iCs w:val="0"/>
                      <w:caps w:val="0"/>
                      <w:color w:val="auto"/>
                      <w:spacing w:val="0"/>
                      <w:sz w:val="18"/>
                      <w:szCs w:val="18"/>
                    </w:rPr>
                    <w:t>O</w:t>
                  </w:r>
                  <w:r>
                    <w:rPr>
                      <w:rFonts w:hint="default" w:ascii="Times New Roman" w:hAnsi="Times New Roman" w:eastAsia="Tahoma" w:cs="Times New Roman"/>
                      <w:i w:val="0"/>
                      <w:iCs w:val="0"/>
                      <w:caps w:val="0"/>
                      <w:color w:val="auto"/>
                      <w:spacing w:val="0"/>
                      <w:sz w:val="24"/>
                      <w:szCs w:val="24"/>
                      <w:vertAlign w:val="subscript"/>
                    </w:rPr>
                    <w:t>3</w:t>
                  </w:r>
                  <w:r>
                    <w:rPr>
                      <w:rFonts w:hint="default" w:ascii="Times New Roman" w:hAnsi="Times New Roman" w:cs="Times New Roman"/>
                      <w:color w:val="auto"/>
                      <w:sz w:val="21"/>
                      <w:szCs w:val="21"/>
                      <w:highlight w:val="none"/>
                      <w:lang w:val="en-US" w:eastAsia="zh-CN"/>
                    </w:rPr>
                    <w:t>（CAS号：1318-02-1），熔点/凝固点＞400℃，相对密度（水=1）为2g/cm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，比重＞2，常温下稳定。</w:t>
                  </w:r>
                  <w:r>
                    <w:rPr>
                      <w:rFonts w:hint="default" w:ascii="Times New Roman" w:hAnsi="Times New Roman" w:cs="Times New Roman"/>
                      <w:color w:val="auto"/>
                      <w:kern w:val="2"/>
                      <w:sz w:val="21"/>
                      <w:szCs w:val="21"/>
                      <w:lang w:val="en-US" w:eastAsia="zh-CN" w:bidi="ar-SA"/>
                    </w:rPr>
                    <w:t>详见附件12。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急性经口毒性—LD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（大鼠）：＞5110mg/kg</w:t>
                  </w:r>
                </w:p>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急性经皮毒性—LD</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（家兔）：＞2000mg/kg</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急性吸入毒性—LD</w:t>
                  </w:r>
                  <w:r>
                    <w:rPr>
                      <w:rFonts w:hint="default" w:ascii="Times New Roman" w:hAnsi="Times New Roman" w:cs="Times New Roman"/>
                      <w:color w:val="auto"/>
                      <w:sz w:val="21"/>
                      <w:szCs w:val="21"/>
                      <w:highlight w:val="none"/>
                      <w:vertAlign w:val="subscript"/>
                      <w:lang w:val="en-US" w:eastAsia="zh-CN"/>
                    </w:rPr>
                    <w:t>0</w:t>
                  </w:r>
                  <w:r>
                    <w:rPr>
                      <w:rFonts w:hint="default"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vertAlign w:val="baseline"/>
                      <w:lang w:val="en-US" w:eastAsia="zh-CN"/>
                    </w:rPr>
                    <w:t>3.36mg/L，持续时间：4h</w:t>
                  </w:r>
                  <w:r>
                    <w:rPr>
                      <w:rFonts w:hint="default"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对鱼类的毒性—LC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680 mg/L。</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对水蚤和其他水生无脊椎动物的毒性：EC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2808 mg/L。</w:t>
                  </w:r>
                  <w:r>
                    <w:rPr>
                      <w:rFonts w:hint="default" w:ascii="Times New Roman" w:hAnsi="Times New Roman" w:cs="Times New Roman"/>
                      <w:color w:val="auto"/>
                      <w:sz w:val="21"/>
                      <w:szCs w:val="21"/>
                      <w:highlight w:val="none"/>
                      <w:lang w:val="en-US" w:eastAsia="zh-CN"/>
                    </w:rPr>
                    <w:br w:type="textWrapping"/>
                  </w:r>
                  <w:r>
                    <w:rPr>
                      <w:rFonts w:hint="default" w:ascii="Times New Roman" w:hAnsi="Times New Roman" w:cs="Times New Roman"/>
                      <w:color w:val="auto"/>
                      <w:sz w:val="21"/>
                      <w:szCs w:val="21"/>
                      <w:highlight w:val="none"/>
                      <w:lang w:val="en-US" w:eastAsia="zh-CN"/>
                    </w:rPr>
                    <w:t>对藻类的毒性：EC</w:t>
                  </w:r>
                  <w:r>
                    <w:rPr>
                      <w:rFonts w:hint="default" w:ascii="Times New Roman" w:hAnsi="Times New Roman" w:cs="Times New Roman"/>
                      <w:color w:val="auto"/>
                      <w:sz w:val="21"/>
                      <w:szCs w:val="21"/>
                      <w:highlight w:val="none"/>
                      <w:vertAlign w:val="subscript"/>
                      <w:lang w:val="en-US" w:eastAsia="zh-CN"/>
                    </w:rPr>
                    <w:t>50</w:t>
                  </w:r>
                  <w:r>
                    <w:rPr>
                      <w:rFonts w:hint="default" w:ascii="Times New Roman" w:hAnsi="Times New Roman" w:cs="Times New Roman"/>
                      <w:color w:val="auto"/>
                      <w:sz w:val="21"/>
                      <w:szCs w:val="21"/>
                      <w:highlight w:val="none"/>
                      <w:lang w:val="en-US" w:eastAsia="zh-CN"/>
                    </w:rPr>
                    <w:t xml:space="preserve"> &gt; 328 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restar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i w:val="0"/>
                      <w:iCs w:val="0"/>
                      <w:color w:val="auto"/>
                      <w:kern w:val="0"/>
                      <w:sz w:val="21"/>
                      <w:szCs w:val="21"/>
                      <w:u w:val="none"/>
                      <w:lang w:val="en-US" w:eastAsia="zh-CN" w:bidi="ar"/>
                    </w:rPr>
                    <w:t>7</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抗氧剂</w:t>
                  </w:r>
                  <w:r>
                    <w:rPr>
                      <w:rFonts w:hint="default" w:ascii="Times New Roman" w:hAnsi="Times New Roman" w:cs="Times New Roman"/>
                      <w:i w:val="0"/>
                      <w:iCs w:val="0"/>
                      <w:color w:val="auto"/>
                      <w:kern w:val="0"/>
                      <w:sz w:val="21"/>
                      <w:szCs w:val="21"/>
                      <w:u w:val="none"/>
                      <w:lang w:val="en-US" w:eastAsia="zh-CN" w:bidi="ar"/>
                    </w:rPr>
                    <w:t>17</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主要成分为 4,4'-二(苯基异丙基)二苯胺，白色粉末。</w:t>
                  </w:r>
                  <w:r>
                    <w:rPr>
                      <w:rFonts w:hint="default" w:ascii="Times New Roman" w:hAnsi="Times New Roman" w:cs="Times New Roman"/>
                      <w:color w:val="auto"/>
                      <w:sz w:val="21"/>
                      <w:szCs w:val="21"/>
                      <w:highlight w:val="none"/>
                      <w:lang w:val="en-US" w:eastAsia="zh-CN"/>
                    </w:rPr>
                    <w:t>熔点为99-100</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，闪点292</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cs="Times New Roman"/>
                      <w:color w:val="auto"/>
                      <w:sz w:val="21"/>
                      <w:szCs w:val="21"/>
                      <w:highlight w:val="none"/>
                      <w:lang w:val="en-US" w:eastAsia="zh-CN"/>
                    </w:rPr>
                    <w:t>，沸点535.2ºC at 760 mmHg，密度为1.061g/cm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kern w:val="2"/>
                      <w:sz w:val="21"/>
                      <w:szCs w:val="21"/>
                      <w:lang w:val="en-US" w:eastAsia="zh-CN" w:bidi="ar-SA"/>
                    </w:rPr>
                    <w:t>详见附件17。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534"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restart"/>
                  <w:noWrap w:val="0"/>
                  <w:vAlign w:val="center"/>
                </w:tcPr>
                <w:p>
                  <w:pPr>
                    <w:keepNext w:val="0"/>
                    <w:keepLines w:val="0"/>
                    <w:pageBreakBefore w:val="0"/>
                    <w:widowControl/>
                    <w:suppressLineNumbers w:val="0"/>
                    <w:kinsoku/>
                    <w:wordWrap/>
                    <w:overflowPunct/>
                    <w:topLinePunct w:val="0"/>
                    <w:autoSpaceDE/>
                    <w:autoSpaceDN/>
                    <w:bidi w:val="0"/>
                    <w:snapToGrid/>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i w:val="0"/>
                      <w:iCs w:val="0"/>
                      <w:color w:val="auto"/>
                      <w:kern w:val="0"/>
                      <w:sz w:val="21"/>
                      <w:szCs w:val="21"/>
                      <w:u w:val="none"/>
                      <w:lang w:val="en-US" w:eastAsia="zh-CN" w:bidi="ar"/>
                    </w:rPr>
                    <w:t>8</w:t>
                  </w:r>
                </w:p>
              </w:tc>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i w:val="0"/>
                      <w:iCs w:val="0"/>
                      <w:color w:val="auto"/>
                      <w:kern w:val="0"/>
                      <w:sz w:val="21"/>
                      <w:szCs w:val="21"/>
                      <w:u w:val="none"/>
                      <w:lang w:val="en-US" w:eastAsia="zh-CN" w:bidi="ar"/>
                    </w:rPr>
                    <w:t>18</w:t>
                  </w:r>
                  <w:r>
                    <w:rPr>
                      <w:rFonts w:hint="default" w:ascii="Times New Roman" w:hAnsi="Times New Roman" w:eastAsia="宋体" w:cs="Times New Roman"/>
                      <w:i w:val="0"/>
                      <w:iCs w:val="0"/>
                      <w:color w:val="auto"/>
                      <w:kern w:val="0"/>
                      <w:sz w:val="21"/>
                      <w:szCs w:val="21"/>
                      <w:u w:val="none"/>
                      <w:lang w:val="en-US" w:eastAsia="zh-CN" w:bidi="ar"/>
                    </w:rPr>
                    <w:t>聚氨酯</w:t>
                  </w:r>
                  <w:r>
                    <w:rPr>
                      <w:rFonts w:hint="default" w:ascii="Times New Roman" w:hAnsi="Times New Roman" w:cs="Times New Roman"/>
                      <w:i w:val="0"/>
                      <w:iCs w:val="0"/>
                      <w:color w:val="auto"/>
                      <w:kern w:val="0"/>
                      <w:sz w:val="21"/>
                      <w:szCs w:val="21"/>
                      <w:u w:val="none"/>
                      <w:lang w:val="en-US" w:eastAsia="zh-CN" w:bidi="ar"/>
                    </w:rPr>
                    <w:t>胶粘</w:t>
                  </w:r>
                  <w:r>
                    <w:rPr>
                      <w:rFonts w:hint="default" w:ascii="Times New Roman" w:hAnsi="Times New Roman" w:eastAsia="宋体" w:cs="Times New Roman"/>
                      <w:i w:val="0"/>
                      <w:iCs w:val="0"/>
                      <w:color w:val="auto"/>
                      <w:kern w:val="0"/>
                      <w:sz w:val="21"/>
                      <w:szCs w:val="21"/>
                      <w:u w:val="none"/>
                      <w:lang w:val="en-US" w:eastAsia="zh-CN" w:bidi="ar"/>
                    </w:rPr>
                    <w:t>剂</w:t>
                  </w: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理化特性</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白色液体，有轻微气味，主要成分为50%功能性聚氨酯齐聚物</w:t>
                  </w:r>
                </w:p>
                <w:p>
                  <w:pPr>
                    <w:keepNext w:val="0"/>
                    <w:keepLines w:val="0"/>
                    <w:pageBreakBefore w:val="0"/>
                    <w:widowControl w:val="0"/>
                    <w:kinsoku/>
                    <w:wordWrap/>
                    <w:overflowPunct/>
                    <w:topLinePunct w:val="0"/>
                    <w:autoSpaceDE/>
                    <w:autoSpaceDN/>
                    <w:bidi w:val="0"/>
                    <w:adjustRightInd w:val="0"/>
                    <w:snapToGrid/>
                    <w:spacing w:line="240" w:lineRule="auto"/>
                    <w:jc w:val="both"/>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CAS号：无）、25%1,6-己二醇二丙烯酸酯（CAS号：13048-33-4）、20%3-乙氧基三羟甲基丙烷三丙烯酸酯（CAS号：28961-43-5）、2%羟基二甲基苯乙酮（CAS号：54784-04-2）、3%苯基双(2,4,6-三甲基苯甲酰基)氧化膦（CAS号：162881-26-7），pH为6-7，粘度（25℃）为700-1000，化学性质稳定，不溶于水，无爆炸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毒理学信息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吸入有刺激性，摄入会恶心、呕吐、腹泻，对眼睛、皮肤有刺激性。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r>
                    <w:rPr>
                      <w:rFonts w:hint="default" w:ascii="Times New Roman" w:hAnsi="Times New Roman" w:cs="Times New Roman"/>
                      <w:color w:val="auto"/>
                      <w:sz w:val="21"/>
                      <w:szCs w:val="21"/>
                      <w:highlight w:val="none"/>
                      <w:lang w:val="en-US" w:eastAsia="zh-CN"/>
                    </w:rPr>
                    <w:t>生态学信息</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rPr>
                  </w:pPr>
                </w:p>
              </w:tc>
              <w:tc>
                <w:tcPr>
                  <w:tcW w:w="53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u w:val="none"/>
                      <w:lang w:val="en-US" w:eastAsia="zh-CN" w:bidi="ar-SA"/>
                    </w:rPr>
                  </w:pPr>
                </w:p>
              </w:tc>
              <w:tc>
                <w:tcPr>
                  <w:tcW w:w="876"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挥发性要求</w:t>
                  </w:r>
                </w:p>
              </w:tc>
              <w:tc>
                <w:tcPr>
                  <w:tcW w:w="3358"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lang w:val="en-US" w:eastAsia="zh-CN" w:bidi="ar-SA"/>
                    </w:rPr>
                    <w:t>根据建设单位提供的VOC检测报告，详见附件19，本项目使用的聚氨酯胶粘剂VOC含量为31g/L≤50g/L，符合《胶粘剂挥发性有机化合物限量》（GB33372-2020）中</w:t>
                  </w:r>
                  <w:r>
                    <w:rPr>
                      <w:rFonts w:hint="eastAsia" w:cs="Times New Roman"/>
                      <w:color w:val="auto"/>
                      <w:kern w:val="2"/>
                      <w:sz w:val="21"/>
                      <w:szCs w:val="21"/>
                      <w:lang w:val="en-US" w:eastAsia="zh-CN" w:bidi="ar-SA"/>
                    </w:rPr>
                    <w:t>本体型</w:t>
                  </w:r>
                  <w:r>
                    <w:rPr>
                      <w:rFonts w:hint="default" w:ascii="Times New Roman" w:hAnsi="Times New Roman" w:cs="Times New Roman"/>
                      <w:color w:val="auto"/>
                      <w:kern w:val="2"/>
                      <w:sz w:val="21"/>
                      <w:szCs w:val="21"/>
                      <w:lang w:val="en-US" w:eastAsia="zh-CN" w:bidi="ar-SA"/>
                    </w:rPr>
                    <w:t>胶粘剂含量限值要求。</w:t>
                  </w:r>
                </w:p>
              </w:tc>
            </w:tr>
          </w:tbl>
          <w:p>
            <w:pPr>
              <w:adjustRightInd w:val="0"/>
              <w:snapToGrid w:val="0"/>
              <w:ind w:firstLine="482" w:firstLineChars="200"/>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rPr>
              <w:t>5、项目</w:t>
            </w:r>
            <w:r>
              <w:rPr>
                <w:rFonts w:hint="default" w:ascii="Times New Roman" w:hAnsi="Times New Roman" w:cs="Times New Roman"/>
                <w:b/>
                <w:color w:val="auto"/>
                <w:szCs w:val="21"/>
                <w:lang w:val="en-US" w:eastAsia="zh-CN"/>
              </w:rPr>
              <w:t>能耗情况</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color w:val="auto"/>
                <w:lang w:eastAsia="zh-CN"/>
              </w:rPr>
              <w:t>扩建</w:t>
            </w:r>
            <w:r>
              <w:rPr>
                <w:rFonts w:hint="default" w:ascii="Times New Roman" w:hAnsi="Times New Roman" w:cs="Times New Roman"/>
                <w:bCs/>
                <w:color w:val="auto"/>
                <w:szCs w:val="21"/>
              </w:rPr>
              <w:t>项目生产设备</w:t>
            </w:r>
            <w:r>
              <w:rPr>
                <w:rFonts w:hint="default" w:ascii="Times New Roman" w:hAnsi="Times New Roman" w:cs="Times New Roman"/>
                <w:bCs/>
                <w:color w:val="auto"/>
                <w:szCs w:val="21"/>
                <w:lang w:val="en-US" w:eastAsia="zh-CN"/>
              </w:rPr>
              <w:t>以电、天然气为能源</w:t>
            </w:r>
            <w:r>
              <w:rPr>
                <w:rFonts w:hint="default" w:ascii="Times New Roman" w:hAnsi="Times New Roman" w:cs="Times New Roman"/>
                <w:bCs/>
                <w:color w:val="auto"/>
                <w:szCs w:val="21"/>
                <w:lang w:eastAsia="zh-CN"/>
              </w:rPr>
              <w:t>，</w:t>
            </w:r>
            <w:r>
              <w:rPr>
                <w:rFonts w:hint="default" w:ascii="Times New Roman" w:hAnsi="Times New Roman" w:cs="Times New Roman"/>
                <w:color w:val="auto"/>
                <w:szCs w:val="21"/>
                <w:highlight w:val="none"/>
              </w:rPr>
              <w:t>由市政电网</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市政天然气管道</w:t>
            </w:r>
            <w:r>
              <w:rPr>
                <w:rFonts w:hint="default" w:ascii="Times New Roman" w:hAnsi="Times New Roman" w:cs="Times New Roman"/>
                <w:color w:val="auto"/>
                <w:szCs w:val="21"/>
                <w:highlight w:val="none"/>
              </w:rPr>
              <w:t>统一供给，</w:t>
            </w:r>
            <w:r>
              <w:rPr>
                <w:rFonts w:hint="default" w:ascii="Times New Roman" w:hAnsi="Times New Roman" w:cs="Times New Roman"/>
                <w:bCs/>
                <w:color w:val="auto"/>
                <w:szCs w:val="21"/>
                <w:highlight w:val="none"/>
              </w:rPr>
              <w:t>年用电量约为</w:t>
            </w:r>
            <w:r>
              <w:rPr>
                <w:rFonts w:hint="default" w:ascii="Times New Roman" w:hAnsi="Times New Roman" w:cs="Times New Roman"/>
                <w:bCs/>
                <w:color w:val="auto"/>
                <w:szCs w:val="21"/>
                <w:highlight w:val="none"/>
                <w:lang w:val="en-US" w:eastAsia="zh-CN"/>
              </w:rPr>
              <w:t>24kwh</w:t>
            </w:r>
            <w:r>
              <w:rPr>
                <w:rFonts w:hint="default" w:ascii="Times New Roman" w:hAnsi="Times New Roman" w:cs="Times New Roman"/>
                <w:bCs/>
                <w:color w:val="auto"/>
                <w:szCs w:val="21"/>
                <w:highlight w:val="none"/>
              </w:rPr>
              <w:t>/年</w:t>
            </w:r>
            <w:r>
              <w:rPr>
                <w:rFonts w:hint="default" w:ascii="Times New Roman" w:hAnsi="Times New Roman" w:cs="Times New Roman"/>
                <w:bCs/>
                <w:color w:val="auto"/>
                <w:szCs w:val="21"/>
                <w:highlight w:val="none"/>
                <w:lang w:eastAsia="zh-CN"/>
              </w:rPr>
              <w:t>，</w:t>
            </w:r>
            <w:r>
              <w:rPr>
                <w:rFonts w:hint="default" w:ascii="Times New Roman" w:hAnsi="Times New Roman" w:cs="Times New Roman"/>
                <w:bCs/>
                <w:color w:val="auto"/>
                <w:szCs w:val="21"/>
                <w:highlight w:val="none"/>
                <w:lang w:val="en-US" w:eastAsia="zh-CN"/>
              </w:rPr>
              <w:t>年用天然气量约为31.362万m</w:t>
            </w:r>
            <w:r>
              <w:rPr>
                <w:rFonts w:hint="default" w:ascii="Times New Roman" w:hAnsi="Times New Roman" w:cs="Times New Roman"/>
                <w:bCs/>
                <w:color w:val="auto"/>
                <w:szCs w:val="21"/>
                <w:highlight w:val="none"/>
                <w:vertAlign w:val="superscript"/>
                <w:lang w:val="en-US" w:eastAsia="zh-CN"/>
              </w:rPr>
              <w:t>3</w:t>
            </w:r>
            <w:r>
              <w:rPr>
                <w:rFonts w:hint="default" w:ascii="Times New Roman" w:hAnsi="Times New Roman" w:cs="Times New Roman"/>
                <w:bCs/>
                <w:color w:val="auto"/>
                <w:szCs w:val="21"/>
                <w:highlight w:val="none"/>
                <w:lang w:val="en-US" w:eastAsia="zh-CN"/>
              </w:rPr>
              <w:t>。</w:t>
            </w:r>
            <w:r>
              <w:rPr>
                <w:rFonts w:hint="default" w:ascii="Times New Roman" w:hAnsi="Times New Roman" w:cs="Times New Roman"/>
                <w:color w:val="auto"/>
                <w:szCs w:val="21"/>
              </w:rPr>
              <w:t>项目</w:t>
            </w:r>
            <w:r>
              <w:rPr>
                <w:rFonts w:hint="default" w:ascii="Times New Roman" w:hAnsi="Times New Roman" w:cs="Times New Roman"/>
                <w:color w:val="auto"/>
                <w:szCs w:val="21"/>
                <w:lang w:val="en-US" w:eastAsia="zh-CN"/>
              </w:rPr>
              <w:t>不设</w:t>
            </w:r>
            <w:r>
              <w:rPr>
                <w:rFonts w:hint="default" w:ascii="Times New Roman" w:hAnsi="Times New Roman" w:cs="Times New Roman"/>
                <w:color w:val="auto"/>
                <w:szCs w:val="21"/>
              </w:rPr>
              <w:t>备用发电机</w:t>
            </w:r>
            <w:r>
              <w:rPr>
                <w:rFonts w:hint="default" w:ascii="Times New Roman" w:hAnsi="Times New Roman" w:cs="Times New Roman"/>
                <w:bCs/>
                <w:color w:val="auto"/>
                <w:szCs w:val="21"/>
              </w:rPr>
              <w:t>。</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6、给排水工程</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（1）生活给排水</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扩建</w:t>
            </w:r>
            <w:r>
              <w:rPr>
                <w:rFonts w:hint="default" w:ascii="Times New Roman" w:hAnsi="Times New Roman" w:cs="Times New Roman"/>
                <w:color w:val="auto"/>
                <w:sz w:val="24"/>
                <w:szCs w:val="24"/>
                <w:lang w:val="en-US" w:eastAsia="zh-CN"/>
              </w:rPr>
              <w:t>项目</w:t>
            </w:r>
            <w:r>
              <w:rPr>
                <w:rFonts w:hint="default" w:ascii="Times New Roman" w:hAnsi="Times New Roman" w:eastAsia="宋体" w:cs="Times New Roman"/>
                <w:color w:val="auto"/>
                <w:sz w:val="24"/>
                <w:szCs w:val="24"/>
              </w:rPr>
              <w:t>在现有</w:t>
            </w:r>
            <w:r>
              <w:rPr>
                <w:rFonts w:hint="default" w:ascii="Times New Roman" w:hAnsi="Times New Roman" w:cs="Times New Roman"/>
                <w:color w:val="auto"/>
                <w:sz w:val="24"/>
                <w:szCs w:val="24"/>
                <w:lang w:val="en-US" w:eastAsia="zh-CN"/>
              </w:rPr>
              <w:t>员工人数上</w:t>
            </w:r>
            <w:r>
              <w:rPr>
                <w:rFonts w:hint="default" w:ascii="Times New Roman" w:hAnsi="Times New Roman" w:eastAsia="宋体" w:cs="Times New Roman"/>
                <w:color w:val="auto"/>
                <w:sz w:val="24"/>
                <w:szCs w:val="24"/>
              </w:rPr>
              <w:t>调配，</w:t>
            </w:r>
            <w:r>
              <w:rPr>
                <w:rFonts w:hint="default" w:ascii="Times New Roman" w:hAnsi="Times New Roman" w:cs="Times New Roman"/>
                <w:color w:val="auto"/>
              </w:rPr>
              <w:t>不新增</w:t>
            </w:r>
            <w:r>
              <w:rPr>
                <w:rFonts w:hint="default" w:ascii="Times New Roman" w:hAnsi="Times New Roman" w:cs="Times New Roman"/>
                <w:color w:val="auto"/>
                <w:lang w:val="en-US" w:eastAsia="zh-CN"/>
              </w:rPr>
              <w:t>员工，因此无生活污水产生及排放</w:t>
            </w:r>
            <w:r>
              <w:rPr>
                <w:rFonts w:hint="default" w:ascii="Times New Roman" w:hAnsi="Times New Roman" w:eastAsia="宋体" w:cs="Times New Roman"/>
                <w:color w:val="auto"/>
                <w:sz w:val="24"/>
                <w:szCs w:val="24"/>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val="0"/>
                <w:color w:val="auto"/>
                <w:sz w:val="24"/>
                <w:szCs w:val="24"/>
                <w:lang w:val="en-US" w:eastAsia="zh-CN"/>
              </w:rPr>
            </w:pPr>
            <w:r>
              <w:rPr>
                <w:rFonts w:hint="default" w:ascii="Times New Roman" w:hAnsi="Times New Roman" w:cs="Times New Roman"/>
                <w:b/>
                <w:bCs w:val="0"/>
                <w:color w:val="auto"/>
                <w:sz w:val="24"/>
                <w:szCs w:val="24"/>
                <w:lang w:val="en-US" w:eastAsia="zh-CN"/>
              </w:rPr>
              <w:t>（2）生产给排水</w:t>
            </w:r>
          </w:p>
          <w:p>
            <w:pPr>
              <w:pageBreakBefore w:val="0"/>
              <w:widowControl w:val="0"/>
              <w:kinsoku/>
              <w:wordWrap/>
              <w:overflowPunct/>
              <w:topLinePunct w:val="0"/>
              <w:autoSpaceDE/>
              <w:autoSpaceDN/>
              <w:bidi w:val="0"/>
              <w:adjustRightInd w:val="0"/>
              <w:snapToGrid w:val="0"/>
              <w:ind w:firstLine="482"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bCs/>
                <w:color w:val="auto"/>
                <w:lang w:val="en-US" w:eastAsia="zh-CN"/>
              </w:rPr>
              <w:t>1）混合发泡间接冷却</w:t>
            </w:r>
            <w:r>
              <w:rPr>
                <w:rFonts w:hint="default" w:ascii="Times New Roman" w:hAnsi="Times New Roman" w:cs="Times New Roman"/>
                <w:b/>
                <w:bCs w:val="0"/>
                <w:color w:val="auto"/>
                <w:sz w:val="24"/>
                <w:szCs w:val="24"/>
                <w:lang w:val="en-US" w:eastAsia="zh-CN"/>
              </w:rPr>
              <w:t>给排</w:t>
            </w:r>
            <w:r>
              <w:rPr>
                <w:rFonts w:hint="default" w:ascii="Times New Roman" w:hAnsi="Times New Roman" w:cs="Times New Roman"/>
                <w:b/>
                <w:bCs w:val="0"/>
                <w:color w:val="auto"/>
                <w:lang w:val="en-US" w:eastAsia="zh-CN"/>
              </w:rPr>
              <w:t>水</w:t>
            </w:r>
            <w:r>
              <w:rPr>
                <w:rFonts w:hint="default" w:ascii="Times New Roman" w:hAnsi="Times New Roman" w:cs="Times New Roman"/>
                <w:b/>
                <w:bCs/>
                <w:color w:val="auto"/>
                <w:lang w:val="en-US" w:eastAsia="zh-CN"/>
              </w:rPr>
              <w:t>：</w:t>
            </w:r>
            <w:r>
              <w:rPr>
                <w:rFonts w:hint="default" w:ascii="Times New Roman" w:hAnsi="Times New Roman" w:cs="Times New Roman"/>
                <w:b w:val="0"/>
                <w:bCs w:val="0"/>
                <w:color w:val="auto"/>
                <w:lang w:val="en-US" w:eastAsia="zh-CN"/>
              </w:rPr>
              <w:t>本项目拟设1个冷水机用于混合发泡间接冷却，冷却水为自来水，无需添加药剂，循环使用不外排。冷水机的循环水量为3t/h，则循环水量为3t/h×8h=24t/d（7200t/a）。（年工作时间300天，每天工作8小时）。冷却用水在循环使用过程中存在少量的损耗，需要补给水，参考《建筑给水排水设计标准》（GB50015-2019）3.11.14“冷却塔的补充水量应按冷却水循环水量的1%~2%计算”，本项目按2%计算，则补充新鲜水约0.48t/d（144t/a）。</w:t>
            </w:r>
          </w:p>
          <w:p>
            <w:pPr>
              <w:pageBreakBefore w:val="0"/>
              <w:widowControl w:val="0"/>
              <w:kinsoku/>
              <w:wordWrap/>
              <w:overflowPunct/>
              <w:topLinePunct w:val="0"/>
              <w:autoSpaceDE/>
              <w:autoSpaceDN/>
              <w:bidi w:val="0"/>
              <w:adjustRightInd w:val="0"/>
              <w:snapToGrid w:val="0"/>
              <w:ind w:firstLine="482" w:firstLineChars="200"/>
              <w:textAlignment w:val="auto"/>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2）喷淋塔给排水</w:t>
            </w:r>
          </w:p>
          <w:p>
            <w:pPr>
              <w:adjustRightInd w:val="0"/>
              <w:snapToGrid w:val="0"/>
              <w:ind w:firstLine="480" w:firstLineChars="200"/>
              <w:rPr>
                <w:rFonts w:hint="default" w:ascii="Times New Roman" w:hAnsi="Times New Roman" w:cs="Times New Roman"/>
                <w:b w:val="0"/>
                <w:bCs w:val="0"/>
                <w:color w:val="auto"/>
              </w:rPr>
            </w:pPr>
            <w:r>
              <w:rPr>
                <w:rFonts w:hint="default" w:ascii="Times New Roman" w:hAnsi="Times New Roman" w:cs="Times New Roman"/>
                <w:b w:val="0"/>
                <w:bCs w:val="0"/>
                <w:color w:val="auto"/>
              </w:rPr>
              <w:t>本项目</w:t>
            </w:r>
            <w:r>
              <w:rPr>
                <w:rFonts w:hint="default" w:ascii="Times New Roman" w:hAnsi="Times New Roman" w:cs="Times New Roman"/>
                <w:b w:val="0"/>
                <w:bCs w:val="0"/>
                <w:color w:val="auto"/>
                <w:lang w:val="en-US" w:eastAsia="zh-CN"/>
              </w:rPr>
              <w:t>涂布车间2和聚氨酯高密度棉生产车间的废气拟各自设1套“水喷淋+干式过滤器+二级活性炭吸附装置”处理后分别经1根20m高的排气筒高空排放。因此本项目新增2个水喷淋塔。2个</w:t>
            </w:r>
            <w:r>
              <w:rPr>
                <w:rFonts w:hint="default" w:ascii="Times New Roman" w:hAnsi="Times New Roman" w:cs="Times New Roman"/>
                <w:b w:val="0"/>
                <w:bCs w:val="0"/>
                <w:color w:val="auto"/>
              </w:rPr>
              <w:t>水喷淋塔的循环水量</w:t>
            </w:r>
            <w:r>
              <w:rPr>
                <w:rFonts w:hint="default" w:ascii="Times New Roman" w:hAnsi="Times New Roman" w:cs="Times New Roman"/>
                <w:b w:val="0"/>
                <w:bCs w:val="0"/>
                <w:color w:val="auto"/>
                <w:lang w:val="en-US" w:eastAsia="zh-CN"/>
              </w:rPr>
              <w:t>均</w:t>
            </w:r>
            <w:r>
              <w:rPr>
                <w:rFonts w:hint="default" w:ascii="Times New Roman" w:hAnsi="Times New Roman" w:cs="Times New Roman"/>
                <w:b w:val="0"/>
                <w:bCs w:val="0"/>
                <w:color w:val="auto"/>
              </w:rPr>
              <w:t>为</w:t>
            </w:r>
            <w:r>
              <w:rPr>
                <w:rFonts w:hint="default" w:ascii="Times New Roman" w:hAnsi="Times New Roman" w:cs="Times New Roman"/>
                <w:b w:val="0"/>
                <w:bCs w:val="0"/>
                <w:color w:val="auto"/>
                <w:lang w:val="en-US" w:eastAsia="zh-CN"/>
              </w:rPr>
              <w:t>8</w:t>
            </w:r>
            <w:r>
              <w:rPr>
                <w:rFonts w:hint="default" w:ascii="Times New Roman" w:hAnsi="Times New Roman" w:cs="Times New Roman"/>
                <w:b w:val="0"/>
                <w:bCs w:val="0"/>
                <w:color w:val="auto"/>
              </w:rPr>
              <w:t>t/h，</w:t>
            </w:r>
            <w:r>
              <w:rPr>
                <w:rFonts w:hint="default" w:ascii="Times New Roman" w:hAnsi="Times New Roman" w:cs="Times New Roman"/>
                <w:b w:val="0"/>
                <w:bCs w:val="0"/>
                <w:color w:val="auto"/>
                <w:lang w:val="en-US" w:eastAsia="zh-CN"/>
              </w:rPr>
              <w:t>则总循环水量为16</w:t>
            </w:r>
            <w:r>
              <w:rPr>
                <w:rFonts w:hint="default" w:ascii="Times New Roman" w:hAnsi="Times New Roman" w:cs="Times New Roman"/>
                <w:b w:val="0"/>
                <w:bCs w:val="0"/>
                <w:color w:val="auto"/>
              </w:rPr>
              <w:t>t/h，</w:t>
            </w:r>
            <w:r>
              <w:rPr>
                <w:rFonts w:hint="default" w:ascii="Times New Roman" w:hAnsi="Times New Roman" w:cs="Times New Roman"/>
                <w:b w:val="0"/>
                <w:bCs w:val="0"/>
                <w:color w:val="auto"/>
                <w:lang w:val="en-US" w:eastAsia="zh-CN"/>
              </w:rPr>
              <w:t>2个喷淋塔的</w:t>
            </w:r>
            <w:r>
              <w:rPr>
                <w:rFonts w:hint="default" w:ascii="Times New Roman" w:hAnsi="Times New Roman" w:cs="Times New Roman"/>
                <w:b w:val="0"/>
                <w:bCs w:val="0"/>
                <w:color w:val="auto"/>
              </w:rPr>
              <w:t>循环水池直径</w:t>
            </w:r>
            <w:r>
              <w:rPr>
                <w:rFonts w:hint="default" w:ascii="Times New Roman" w:hAnsi="Times New Roman" w:cs="Times New Roman"/>
                <w:b w:val="0"/>
                <w:bCs w:val="0"/>
                <w:color w:val="auto"/>
                <w:lang w:val="en-US" w:eastAsia="zh-CN"/>
              </w:rPr>
              <w:t>均</w:t>
            </w:r>
            <w:r>
              <w:rPr>
                <w:rFonts w:hint="default" w:ascii="Times New Roman" w:hAnsi="Times New Roman" w:cs="Times New Roman"/>
                <w:b w:val="0"/>
                <w:bCs w:val="0"/>
                <w:color w:val="auto"/>
              </w:rPr>
              <w:t>为</w:t>
            </w:r>
            <w:r>
              <w:rPr>
                <w:rFonts w:hint="default" w:ascii="Times New Roman" w:hAnsi="Times New Roman" w:cs="Times New Roman"/>
                <w:b w:val="0"/>
                <w:bCs w:val="0"/>
                <w:color w:val="auto"/>
                <w:lang w:val="en-US" w:eastAsia="zh-CN"/>
              </w:rPr>
              <w:t>2</w:t>
            </w:r>
            <w:r>
              <w:rPr>
                <w:rFonts w:hint="default" w:ascii="Times New Roman" w:hAnsi="Times New Roman" w:cs="Times New Roman"/>
                <w:b w:val="0"/>
                <w:bCs w:val="0"/>
                <w:color w:val="auto"/>
              </w:rPr>
              <w:t>m，有效高度</w:t>
            </w:r>
            <w:r>
              <w:rPr>
                <w:rFonts w:hint="default" w:ascii="Times New Roman" w:hAnsi="Times New Roman" w:cs="Times New Roman"/>
                <w:b w:val="0"/>
                <w:bCs w:val="0"/>
                <w:color w:val="auto"/>
                <w:lang w:val="en-US" w:eastAsia="zh-CN"/>
              </w:rPr>
              <w:t>均</w:t>
            </w:r>
            <w:r>
              <w:rPr>
                <w:rFonts w:hint="default" w:ascii="Times New Roman" w:hAnsi="Times New Roman" w:cs="Times New Roman"/>
                <w:b w:val="0"/>
                <w:bCs w:val="0"/>
                <w:color w:val="auto"/>
              </w:rPr>
              <w:t>为0.</w:t>
            </w:r>
            <w:r>
              <w:rPr>
                <w:rFonts w:hint="default" w:ascii="Times New Roman" w:hAnsi="Times New Roman" w:cs="Times New Roman"/>
                <w:b w:val="0"/>
                <w:bCs w:val="0"/>
                <w:color w:val="auto"/>
                <w:lang w:val="en-US" w:eastAsia="zh-CN"/>
              </w:rPr>
              <w:t>4</w:t>
            </w:r>
            <w:r>
              <w:rPr>
                <w:rFonts w:hint="default" w:ascii="Times New Roman" w:hAnsi="Times New Roman" w:cs="Times New Roman"/>
                <w:b w:val="0"/>
                <w:bCs w:val="0"/>
                <w:color w:val="auto"/>
              </w:rPr>
              <w:t>m，则</w:t>
            </w:r>
            <w:r>
              <w:rPr>
                <w:rFonts w:hint="default" w:ascii="Times New Roman" w:hAnsi="Times New Roman" w:cs="Times New Roman"/>
                <w:b w:val="0"/>
                <w:bCs w:val="0"/>
                <w:color w:val="auto"/>
                <w:lang w:val="en-US" w:eastAsia="zh-CN"/>
              </w:rPr>
              <w:t>总</w:t>
            </w:r>
            <w:r>
              <w:rPr>
                <w:rFonts w:hint="default" w:ascii="Times New Roman" w:hAnsi="Times New Roman" w:cs="Times New Roman"/>
                <w:b w:val="0"/>
                <w:bCs w:val="0"/>
                <w:color w:val="auto"/>
              </w:rPr>
              <w:t>有效容积为</w:t>
            </w:r>
            <w:r>
              <w:rPr>
                <w:rFonts w:hint="default" w:ascii="Times New Roman" w:hAnsi="Times New Roman" w:cs="Times New Roman"/>
                <w:b w:val="0"/>
                <w:bCs w:val="0"/>
                <w:color w:val="auto"/>
                <w:lang w:val="en-US" w:eastAsia="zh-CN"/>
              </w:rPr>
              <w:t>2.512</w:t>
            </w:r>
            <w:r>
              <w:rPr>
                <w:rFonts w:hint="default" w:ascii="Times New Roman" w:hAnsi="Times New Roman" w:cs="Times New Roman"/>
                <w:b w:val="0"/>
                <w:bCs w:val="0"/>
                <w:color w:val="auto"/>
              </w:rPr>
              <w:t>m</w:t>
            </w:r>
            <w:r>
              <w:rPr>
                <w:rFonts w:hint="default" w:ascii="Times New Roman" w:hAnsi="Times New Roman" w:cs="Times New Roman"/>
                <w:b w:val="0"/>
                <w:bCs w:val="0"/>
                <w:color w:val="auto"/>
                <w:vertAlign w:val="superscript"/>
              </w:rPr>
              <w:t>3</w:t>
            </w:r>
            <w:r>
              <w:rPr>
                <w:rFonts w:hint="default" w:ascii="Times New Roman" w:hAnsi="Times New Roman" w:cs="Times New Roman"/>
                <w:b w:val="0"/>
                <w:bCs w:val="0"/>
                <w:color w:val="auto"/>
              </w:rPr>
              <w:t>；水喷淋塔的水循环使用，喷淋塔使用过程由于蒸发造成的一定的损耗，损耗量按循环水量的2％计，则水喷淋塔需补充的新鲜水量为</w:t>
            </w:r>
            <w:r>
              <w:rPr>
                <w:rFonts w:hint="default" w:ascii="Times New Roman" w:hAnsi="Times New Roman" w:cs="Times New Roman"/>
                <w:b w:val="0"/>
                <w:bCs w:val="0"/>
                <w:color w:val="auto"/>
                <w:lang w:val="en-US" w:eastAsia="zh-CN"/>
              </w:rPr>
              <w:t>2.56</w:t>
            </w:r>
            <w:r>
              <w:rPr>
                <w:rFonts w:hint="default" w:ascii="Times New Roman" w:hAnsi="Times New Roman" w:cs="Times New Roman"/>
                <w:b w:val="0"/>
                <w:bCs w:val="0"/>
                <w:color w:val="auto"/>
              </w:rPr>
              <w:t>t/d、</w:t>
            </w:r>
            <w:r>
              <w:rPr>
                <w:rFonts w:hint="default" w:ascii="Times New Roman" w:hAnsi="Times New Roman" w:cs="Times New Roman"/>
                <w:b w:val="0"/>
                <w:bCs w:val="0"/>
                <w:color w:val="auto"/>
                <w:lang w:val="en-US" w:eastAsia="zh-CN"/>
              </w:rPr>
              <w:t>768</w:t>
            </w:r>
            <w:r>
              <w:rPr>
                <w:rFonts w:hint="default" w:ascii="Times New Roman" w:hAnsi="Times New Roman" w:cs="Times New Roman"/>
                <w:b w:val="0"/>
                <w:bCs w:val="0"/>
                <w:color w:val="auto"/>
              </w:rPr>
              <w:t>t/a；喷淋塔废水每六个月更换一次，每次更换量为</w:t>
            </w:r>
            <w:r>
              <w:rPr>
                <w:rFonts w:hint="default" w:ascii="Times New Roman" w:hAnsi="Times New Roman" w:cs="Times New Roman"/>
                <w:b w:val="0"/>
                <w:bCs w:val="0"/>
                <w:color w:val="auto"/>
                <w:lang w:val="en-US" w:eastAsia="zh-CN"/>
              </w:rPr>
              <w:t>2.512</w:t>
            </w:r>
            <w:r>
              <w:rPr>
                <w:rFonts w:hint="default" w:ascii="Times New Roman" w:hAnsi="Times New Roman" w:cs="Times New Roman"/>
                <w:b w:val="0"/>
                <w:bCs w:val="0"/>
                <w:color w:val="auto"/>
              </w:rPr>
              <w:t>t，</w:t>
            </w:r>
            <w:r>
              <w:rPr>
                <w:rFonts w:hint="default" w:ascii="Times New Roman" w:hAnsi="Times New Roman" w:cs="Times New Roman"/>
                <w:b w:val="0"/>
                <w:bCs w:val="0"/>
                <w:color w:val="auto"/>
                <w:lang w:val="en-US" w:eastAsia="zh-CN"/>
              </w:rPr>
              <w:t>则年更换水量为0.017</w:t>
            </w:r>
            <w:r>
              <w:rPr>
                <w:rFonts w:hint="default" w:ascii="Times New Roman" w:hAnsi="Times New Roman" w:cs="Times New Roman"/>
                <w:b w:val="0"/>
                <w:bCs w:val="0"/>
                <w:color w:val="auto"/>
              </w:rPr>
              <w:t>t/d、</w:t>
            </w:r>
            <w:r>
              <w:rPr>
                <w:rFonts w:hint="default" w:ascii="Times New Roman" w:hAnsi="Times New Roman" w:cs="Times New Roman"/>
                <w:b w:val="0"/>
                <w:bCs w:val="0"/>
                <w:color w:val="auto"/>
                <w:lang w:val="en-US" w:eastAsia="zh-CN"/>
              </w:rPr>
              <w:t>5.024</w:t>
            </w:r>
            <w:r>
              <w:rPr>
                <w:rFonts w:hint="default" w:ascii="Times New Roman" w:hAnsi="Times New Roman" w:cs="Times New Roman"/>
                <w:b w:val="0"/>
                <w:bCs w:val="0"/>
                <w:color w:val="auto"/>
              </w:rPr>
              <w:t>t/a，则更换时补充水量</w:t>
            </w:r>
            <w:r>
              <w:rPr>
                <w:rFonts w:hint="default" w:ascii="Times New Roman" w:hAnsi="Times New Roman" w:cs="Times New Roman"/>
                <w:b w:val="0"/>
                <w:bCs w:val="0"/>
                <w:color w:val="auto"/>
                <w:lang w:val="en-US" w:eastAsia="zh-CN"/>
              </w:rPr>
              <w:t>为0.017</w:t>
            </w:r>
            <w:r>
              <w:rPr>
                <w:rFonts w:hint="default" w:ascii="Times New Roman" w:hAnsi="Times New Roman" w:cs="Times New Roman"/>
                <w:b w:val="0"/>
                <w:bCs w:val="0"/>
                <w:color w:val="auto"/>
              </w:rPr>
              <w:t>t/d、</w:t>
            </w:r>
            <w:r>
              <w:rPr>
                <w:rFonts w:hint="default" w:ascii="Times New Roman" w:hAnsi="Times New Roman" w:cs="Times New Roman"/>
                <w:b w:val="0"/>
                <w:bCs w:val="0"/>
                <w:color w:val="auto"/>
                <w:lang w:val="en-US" w:eastAsia="zh-CN"/>
              </w:rPr>
              <w:t>5.024</w:t>
            </w:r>
            <w:r>
              <w:rPr>
                <w:rFonts w:hint="default" w:ascii="Times New Roman" w:hAnsi="Times New Roman" w:cs="Times New Roman"/>
                <w:b w:val="0"/>
                <w:bCs w:val="0"/>
                <w:color w:val="auto"/>
              </w:rPr>
              <w:t>t/a，则喷淋塔总用水量约为</w:t>
            </w:r>
            <w:r>
              <w:rPr>
                <w:rFonts w:hint="default" w:ascii="Times New Roman" w:hAnsi="Times New Roman" w:cs="Times New Roman"/>
                <w:b w:val="0"/>
                <w:bCs w:val="0"/>
                <w:color w:val="auto"/>
                <w:lang w:val="en-US" w:eastAsia="zh-CN"/>
              </w:rPr>
              <w:t>2.56</w:t>
            </w:r>
            <w:r>
              <w:rPr>
                <w:rFonts w:hint="default" w:ascii="Times New Roman" w:hAnsi="Times New Roman" w:cs="Times New Roman"/>
                <w:b w:val="0"/>
                <w:bCs w:val="0"/>
                <w:color w:val="auto"/>
              </w:rPr>
              <w:t>t/d+</w:t>
            </w:r>
            <w:r>
              <w:rPr>
                <w:rFonts w:hint="default" w:ascii="Times New Roman" w:hAnsi="Times New Roman" w:cs="Times New Roman"/>
                <w:b w:val="0"/>
                <w:bCs w:val="0"/>
                <w:color w:val="auto"/>
                <w:lang w:val="en-US" w:eastAsia="zh-CN"/>
              </w:rPr>
              <w:t>0.017</w:t>
            </w:r>
            <w:r>
              <w:rPr>
                <w:rFonts w:hint="default" w:ascii="Times New Roman" w:hAnsi="Times New Roman" w:cs="Times New Roman"/>
                <w:b w:val="0"/>
                <w:bCs w:val="0"/>
                <w:color w:val="auto"/>
              </w:rPr>
              <w:t>t/d=</w:t>
            </w:r>
            <w:r>
              <w:rPr>
                <w:rFonts w:hint="default" w:ascii="Times New Roman" w:hAnsi="Times New Roman" w:cs="Times New Roman"/>
                <w:b w:val="0"/>
                <w:bCs w:val="0"/>
                <w:color w:val="auto"/>
                <w:lang w:val="en-US" w:eastAsia="zh-CN"/>
              </w:rPr>
              <w:t>2.577</w:t>
            </w:r>
            <w:r>
              <w:rPr>
                <w:rFonts w:hint="default" w:ascii="Times New Roman" w:hAnsi="Times New Roman" w:cs="Times New Roman"/>
                <w:b w:val="0"/>
                <w:bCs w:val="0"/>
                <w:color w:val="auto"/>
              </w:rPr>
              <w:t>t/d（</w:t>
            </w:r>
            <w:r>
              <w:rPr>
                <w:rFonts w:hint="default" w:ascii="Times New Roman" w:hAnsi="Times New Roman" w:cs="Times New Roman"/>
                <w:b w:val="0"/>
                <w:bCs w:val="0"/>
                <w:color w:val="auto"/>
                <w:lang w:val="en-US" w:eastAsia="zh-CN"/>
              </w:rPr>
              <w:t>768</w:t>
            </w:r>
            <w:r>
              <w:rPr>
                <w:rFonts w:hint="default" w:ascii="Times New Roman" w:hAnsi="Times New Roman" w:cs="Times New Roman"/>
                <w:b w:val="0"/>
                <w:bCs w:val="0"/>
                <w:color w:val="auto"/>
              </w:rPr>
              <w:t>t/a+</w:t>
            </w:r>
            <w:r>
              <w:rPr>
                <w:rFonts w:hint="default" w:ascii="Times New Roman" w:hAnsi="Times New Roman" w:cs="Times New Roman"/>
                <w:b w:val="0"/>
                <w:bCs w:val="0"/>
                <w:color w:val="auto"/>
                <w:lang w:val="en-US" w:eastAsia="zh-CN"/>
              </w:rPr>
              <w:t>5.024</w:t>
            </w:r>
            <w:r>
              <w:rPr>
                <w:rFonts w:hint="default" w:ascii="Times New Roman" w:hAnsi="Times New Roman" w:cs="Times New Roman"/>
                <w:b w:val="0"/>
                <w:bCs w:val="0"/>
                <w:color w:val="auto"/>
              </w:rPr>
              <w:t>t/a=</w:t>
            </w:r>
            <w:r>
              <w:rPr>
                <w:rFonts w:hint="default" w:ascii="Times New Roman" w:hAnsi="Times New Roman" w:cs="Times New Roman"/>
                <w:b w:val="0"/>
                <w:bCs w:val="0"/>
                <w:color w:val="auto"/>
                <w:lang w:val="en-US" w:eastAsia="zh-CN"/>
              </w:rPr>
              <w:t>773.024</w:t>
            </w:r>
            <w:r>
              <w:rPr>
                <w:rFonts w:hint="default" w:ascii="Times New Roman" w:hAnsi="Times New Roman" w:cs="Times New Roman"/>
                <w:b w:val="0"/>
                <w:bCs w:val="0"/>
                <w:color w:val="auto"/>
              </w:rPr>
              <w:t>t/a）。</w:t>
            </w:r>
          </w:p>
          <w:p>
            <w:pPr>
              <w:keepNext w:val="0"/>
              <w:keepLines w:val="0"/>
              <w:suppressLineNumbers w:val="0"/>
              <w:snapToGrid w:val="0"/>
              <w:spacing w:before="0" w:beforeAutospacing="0" w:after="0" w:afterAutospacing="0" w:line="360" w:lineRule="auto"/>
              <w:ind w:left="0" w:right="0" w:firstLine="482" w:firstLineChars="200"/>
              <w:jc w:val="both"/>
              <w:rPr>
                <w:rFonts w:hint="default" w:ascii="Times New Roman" w:hAnsi="Times New Roman" w:cs="Times New Roman"/>
                <w:color w:val="auto"/>
                <w:sz w:val="24"/>
                <w:lang w:val="en-US"/>
              </w:rPr>
            </w:pPr>
            <w:r>
              <w:rPr>
                <w:rFonts w:hint="default" w:ascii="Times New Roman" w:hAnsi="Times New Roman" w:cs="Times New Roman"/>
                <w:b/>
                <w:bCs/>
                <w:color w:val="auto"/>
                <w:sz w:val="24"/>
                <w:lang w:val="en-US" w:eastAsia="zh-CN"/>
              </w:rPr>
              <w:t>⑥</w:t>
            </w:r>
            <w:r>
              <w:rPr>
                <w:rFonts w:hint="default" w:ascii="Times New Roman" w:hAnsi="Times New Roman" w:cs="Times New Roman"/>
                <w:b/>
                <w:bCs/>
                <w:color w:val="auto"/>
                <w:sz w:val="24"/>
              </w:rPr>
              <w:t>初期雨水</w:t>
            </w:r>
            <w:r>
              <w:rPr>
                <w:rFonts w:hint="default" w:ascii="Times New Roman" w:hAnsi="Times New Roman" w:cs="Times New Roman"/>
                <w:b/>
                <w:bCs/>
                <w:color w:val="auto"/>
                <w:sz w:val="24"/>
                <w:lang w:eastAsia="zh-CN"/>
              </w:rPr>
              <w:t>：</w:t>
            </w:r>
            <w:r>
              <w:rPr>
                <w:rFonts w:hint="eastAsia" w:cs="Times New Roman"/>
                <w:b w:val="0"/>
                <w:bCs w:val="0"/>
                <w:color w:val="auto"/>
                <w:sz w:val="24"/>
                <w:lang w:val="en-US" w:eastAsia="zh-CN"/>
              </w:rPr>
              <w:t>根据《化工建设项目环境保护工程设计标准》（GB/T 50483-2019）化工装置物料性质不同，有些装置在开停车检修和生产过程中可能发生污染物或化工物料的泄露或漫流，如煤气化装置合成氨装置、净化装置的脱硫脱碳工段、甲乙丙类液体罐区等，这些区域的初期雨水必须收集。本项目不设储罐区，原料进厂后暂存于室内化学品仓库，不存在对原料泄漏对雨水产生污染，因此可不考虑初期雨水。</w:t>
            </w:r>
          </w:p>
          <w:p>
            <w:pPr>
              <w:widowControl/>
              <w:adjustRightInd w:val="0"/>
              <w:snapToGrid w:val="0"/>
              <w:spacing w:line="360" w:lineRule="auto"/>
              <w:ind w:firstLine="480" w:firstLineChars="200"/>
              <w:rPr>
                <w:rFonts w:hint="default" w:ascii="Times New Roman" w:hAnsi="Times New Roman" w:eastAsia="宋体" w:cs="Times New Roman"/>
                <w:color w:val="auto"/>
                <w:sz w:val="24"/>
                <w:highlight w:val="none"/>
              </w:rPr>
            </w:pPr>
          </w:p>
          <w:p>
            <w:pPr>
              <w:adjustRightInd w:val="0"/>
              <w:snapToGrid w:val="0"/>
              <w:jc w:val="center"/>
              <w:rPr>
                <w:rFonts w:hint="default" w:ascii="Times New Roman" w:hAnsi="Times New Roman" w:cs="Times New Roman"/>
                <w:b/>
                <w:bCs/>
                <w:color w:val="auto"/>
              </w:rPr>
            </w:pPr>
            <w:r>
              <w:rPr>
                <w:rFonts w:hint="default" w:ascii="Times New Roman" w:hAnsi="Times New Roman" w:cs="Times New Roman"/>
                <w:b/>
                <w:bCs/>
                <w:color w:val="auto"/>
              </w:rPr>
              <w:object>
                <v:shape id="_x0000_i1025" o:spt="75" type="#_x0000_t75" style="height:236.25pt;width:375pt;" o:ole="t" filled="f" o:preferrelative="t" stroked="f" coordsize="21600,21600">
                  <v:path/>
                  <v:fill on="f" focussize="0,0"/>
                  <v:stroke on="f"/>
                  <v:imagedata r:id="rId29" o:title=""/>
                  <o:lock v:ext="edit" aspectratio="f"/>
                  <w10:wrap type="none"/>
                  <w10:anchorlock/>
                </v:shape>
                <o:OLEObject Type="Embed" ProgID="Visio.Drawing.11" ShapeID="_x0000_i1025" DrawAspect="Content" ObjectID="_1468075725" r:id="rId28">
                  <o:LockedField>false</o:LockedField>
                </o:OLEObject>
              </w:object>
            </w:r>
          </w:p>
          <w:p>
            <w:pPr>
              <w:pStyle w:val="46"/>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本项目水平衡图（t/d）</w:t>
            </w:r>
          </w:p>
          <w:p>
            <w:p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7</w:t>
            </w:r>
            <w:r>
              <w:rPr>
                <w:rFonts w:hint="default" w:ascii="Times New Roman" w:hAnsi="Times New Roman" w:cs="Times New Roman"/>
                <w:b/>
                <w:bCs/>
                <w:color w:val="auto"/>
                <w:lang w:eastAsia="zh-CN"/>
              </w:rPr>
              <w:t>、</w:t>
            </w:r>
            <w:r>
              <w:rPr>
                <w:rFonts w:hint="default" w:ascii="Times New Roman" w:hAnsi="Times New Roman" w:cs="Times New Roman"/>
                <w:b/>
                <w:bCs/>
                <w:color w:val="auto"/>
              </w:rPr>
              <w:t>劳动定员及工作制度</w:t>
            </w:r>
          </w:p>
          <w:p>
            <w:pPr>
              <w:adjustRightInd w:val="0"/>
              <w:snapToGrid w:val="0"/>
              <w:ind w:firstLine="480" w:firstLineChars="200"/>
              <w:jc w:val="both"/>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项目工作制度以及员工人数见下表。 </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项目工作制度及劳动定员一览表</w:t>
            </w:r>
          </w:p>
          <w:tbl>
            <w:tblPr>
              <w:tblStyle w:val="33"/>
              <w:tblW w:w="92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2953"/>
              <w:gridCol w:w="2886"/>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3" w:type="dxa"/>
                  <w:vAlign w:val="center"/>
                </w:tcPr>
                <w:p>
                  <w:pPr>
                    <w:pStyle w:val="54"/>
                    <w:numPr>
                      <w:ilvl w:val="0"/>
                      <w:numId w:val="0"/>
                    </w:numPr>
                    <w:tabs>
                      <w:tab w:val="left" w:pos="430"/>
                    </w:tabs>
                    <w:bidi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项目</w:t>
                  </w:r>
                </w:p>
              </w:tc>
              <w:tc>
                <w:tcPr>
                  <w:tcW w:w="2953" w:type="dxa"/>
                  <w:vAlign w:val="center"/>
                </w:tcPr>
                <w:p>
                  <w:pPr>
                    <w:pStyle w:val="54"/>
                    <w:numPr>
                      <w:ilvl w:val="0"/>
                      <w:numId w:val="0"/>
                    </w:numPr>
                    <w:tabs>
                      <w:tab w:val="left" w:pos="430"/>
                    </w:tabs>
                    <w:bidi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扩建前</w:t>
                  </w:r>
                </w:p>
              </w:tc>
              <w:tc>
                <w:tcPr>
                  <w:tcW w:w="2886" w:type="dxa"/>
                  <w:vAlign w:val="center"/>
                </w:tcPr>
                <w:p>
                  <w:pPr>
                    <w:pStyle w:val="54"/>
                    <w:numPr>
                      <w:ilvl w:val="0"/>
                      <w:numId w:val="0"/>
                    </w:numPr>
                    <w:tabs>
                      <w:tab w:val="left" w:pos="430"/>
                    </w:tabs>
                    <w:bidi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扩建后</w:t>
                  </w:r>
                </w:p>
              </w:tc>
              <w:tc>
                <w:tcPr>
                  <w:tcW w:w="1900" w:type="dxa"/>
                  <w:vAlign w:val="center"/>
                </w:tcPr>
                <w:p>
                  <w:pPr>
                    <w:pStyle w:val="54"/>
                    <w:numPr>
                      <w:ilvl w:val="0"/>
                      <w:numId w:val="0"/>
                    </w:numPr>
                    <w:tabs>
                      <w:tab w:val="left" w:pos="430"/>
                    </w:tabs>
                    <w:bidi w:val="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3"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员工人数</w:t>
                  </w:r>
                </w:p>
              </w:tc>
              <w:tc>
                <w:tcPr>
                  <w:tcW w:w="2953"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150人</w:t>
                  </w:r>
                </w:p>
              </w:tc>
              <w:tc>
                <w:tcPr>
                  <w:tcW w:w="2886"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150人</w:t>
                  </w:r>
                </w:p>
              </w:tc>
              <w:tc>
                <w:tcPr>
                  <w:tcW w:w="1900"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3"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工作制度</w:t>
                  </w:r>
                </w:p>
              </w:tc>
              <w:tc>
                <w:tcPr>
                  <w:tcW w:w="2953"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每天1班制，每班8小时工作制，全年生产300天</w:t>
                  </w:r>
                </w:p>
              </w:tc>
              <w:tc>
                <w:tcPr>
                  <w:tcW w:w="2886"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每天1班制，每班8小时工作制，全年生产300天</w:t>
                  </w:r>
                </w:p>
              </w:tc>
              <w:tc>
                <w:tcPr>
                  <w:tcW w:w="1900"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63"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食宿情况</w:t>
                  </w:r>
                </w:p>
              </w:tc>
              <w:tc>
                <w:tcPr>
                  <w:tcW w:w="2953"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均在厂区内食宿</w:t>
                  </w:r>
                </w:p>
              </w:tc>
              <w:tc>
                <w:tcPr>
                  <w:tcW w:w="2886"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均在厂区内食宿</w:t>
                  </w:r>
                </w:p>
              </w:tc>
              <w:tc>
                <w:tcPr>
                  <w:tcW w:w="1900" w:type="dxa"/>
                  <w:vAlign w:val="center"/>
                </w:tcPr>
                <w:p>
                  <w:pPr>
                    <w:pStyle w:val="54"/>
                    <w:numPr>
                      <w:ilvl w:val="0"/>
                      <w:numId w:val="0"/>
                    </w:numPr>
                    <w:tabs>
                      <w:tab w:val="left" w:pos="430"/>
                    </w:tabs>
                    <w:bidi w:val="0"/>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无变化</w:t>
                  </w:r>
                </w:p>
              </w:tc>
            </w:tr>
          </w:tbl>
          <w:p>
            <w:p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8</w:t>
            </w:r>
            <w:r>
              <w:rPr>
                <w:rFonts w:hint="default" w:ascii="Times New Roman" w:hAnsi="Times New Roman" w:cs="Times New Roman"/>
                <w:b/>
                <w:bCs/>
                <w:color w:val="auto"/>
                <w:lang w:eastAsia="zh-CN"/>
              </w:rPr>
              <w:t>、</w:t>
            </w:r>
            <w:r>
              <w:rPr>
                <w:rFonts w:hint="default" w:ascii="Times New Roman" w:hAnsi="Times New Roman" w:cs="Times New Roman"/>
                <w:b/>
                <w:bCs/>
                <w:color w:val="auto"/>
              </w:rPr>
              <w:t>四至情况及平面布局</w:t>
            </w:r>
          </w:p>
          <w:p>
            <w:pPr>
              <w:adjustRightInd w:val="0"/>
              <w:snapToGrid w:val="0"/>
              <w:ind w:firstLine="482" w:firstLineChars="200"/>
              <w:rPr>
                <w:rFonts w:hint="default" w:ascii="Times New Roman" w:hAnsi="Times New Roman" w:cs="Times New Roman"/>
                <w:color w:val="auto"/>
                <w:highlight w:val="none"/>
              </w:rPr>
            </w:pPr>
            <w:r>
              <w:rPr>
                <w:rFonts w:hint="default" w:ascii="Times New Roman" w:hAnsi="Times New Roman" w:cs="Times New Roman"/>
                <w:b/>
                <w:bCs/>
                <w:color w:val="auto"/>
                <w:highlight w:val="none"/>
              </w:rPr>
              <w:t>（1）项目四至情况</w:t>
            </w:r>
          </w:p>
          <w:p>
            <w:pPr>
              <w:adjustRightInd w:val="0"/>
              <w:snapToGrid w:val="0"/>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根据现场勘查，</w:t>
            </w:r>
            <w:r>
              <w:rPr>
                <w:rFonts w:hint="default" w:ascii="Times New Roman" w:hAnsi="Times New Roman" w:cs="Times New Roman"/>
                <w:color w:val="auto"/>
                <w:highlight w:val="none"/>
                <w:lang w:eastAsia="zh-CN"/>
              </w:rPr>
              <w:t>扩建</w:t>
            </w:r>
            <w:r>
              <w:rPr>
                <w:rFonts w:hint="default" w:ascii="Times New Roman" w:hAnsi="Times New Roman" w:eastAsia="宋体" w:cs="Times New Roman"/>
                <w:color w:val="auto"/>
                <w:highlight w:val="none"/>
                <w:lang w:eastAsia="zh-CN"/>
              </w:rPr>
              <w:t>项目</w:t>
            </w:r>
            <w:r>
              <w:rPr>
                <w:rFonts w:hint="default" w:ascii="Times New Roman" w:hAnsi="Times New Roman" w:eastAsia="宋体" w:cs="Times New Roman"/>
                <w:color w:val="auto"/>
                <w:highlight w:val="none"/>
              </w:rPr>
              <w:t>在现有项目占地范围内进行，项目四至关系</w:t>
            </w:r>
            <w:r>
              <w:rPr>
                <w:rFonts w:hint="default" w:ascii="Times New Roman" w:hAnsi="Times New Roman" w:cs="Times New Roman"/>
                <w:color w:val="auto"/>
                <w:highlight w:val="none"/>
                <w:lang w:val="en-US" w:eastAsia="zh-CN"/>
              </w:rPr>
              <w:t>见下表，</w:t>
            </w:r>
            <w:r>
              <w:rPr>
                <w:rFonts w:hint="default" w:ascii="Times New Roman" w:hAnsi="Times New Roman" w:eastAsia="宋体" w:cs="Times New Roman"/>
                <w:color w:val="auto"/>
                <w:highlight w:val="none"/>
              </w:rPr>
              <w:t>图见附图2，现场勘查照片见附图</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eastAsia="zh-CN"/>
              </w:rPr>
              <w:t>。</w:t>
            </w:r>
            <w:r>
              <w:rPr>
                <w:rFonts w:hint="default" w:ascii="Times New Roman" w:hAnsi="Times New Roman" w:cs="Times New Roman"/>
                <w:color w:val="auto"/>
                <w:highlight w:val="none"/>
                <w:lang w:val="en-US" w:eastAsia="zh-CN"/>
              </w:rPr>
              <w:t>距离本项目最近的敏感点为距离本项目西面90m处的福乐公寓。</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四至关系一览表</w:t>
            </w:r>
          </w:p>
          <w:tbl>
            <w:tblPr>
              <w:tblStyle w:val="32"/>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24"/>
              <w:gridCol w:w="1268"/>
              <w:gridCol w:w="3833"/>
              <w:gridCol w:w="3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 w:hRule="atLeast"/>
              </w:trPr>
              <w:tc>
                <w:tcPr>
                  <w:tcW w:w="44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6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方位</w:t>
                  </w:r>
                </w:p>
              </w:tc>
              <w:tc>
                <w:tcPr>
                  <w:tcW w:w="2068"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相邻建筑名称</w:t>
                  </w:r>
                </w:p>
              </w:tc>
              <w:tc>
                <w:tcPr>
                  <w:tcW w:w="18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与项目厂界距离（m）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r>
                    <w:rPr>
                      <w:rFonts w:hint="default" w:ascii="Times New Roman" w:hAnsi="Times New Roman" w:eastAsia="宋体" w:cs="Times New Roman"/>
                      <w:color w:val="auto"/>
                      <w:sz w:val="21"/>
                      <w:szCs w:val="21"/>
                    </w:rPr>
                    <w:t>面</w:t>
                  </w:r>
                </w:p>
              </w:tc>
              <w:tc>
                <w:tcPr>
                  <w:tcW w:w="2068"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华盛聚元（惠州）新材料科技有限公司</w:t>
                  </w:r>
                </w:p>
              </w:tc>
              <w:tc>
                <w:tcPr>
                  <w:tcW w:w="18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68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南面</w:t>
                  </w:r>
                </w:p>
              </w:tc>
              <w:tc>
                <w:tcPr>
                  <w:tcW w:w="2068"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惠州市泓泰五金制品有限公司</w:t>
                  </w:r>
                </w:p>
              </w:tc>
              <w:tc>
                <w:tcPr>
                  <w:tcW w:w="18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p>
              </w:tc>
              <w:tc>
                <w:tcPr>
                  <w:tcW w:w="68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p>
              </w:tc>
              <w:tc>
                <w:tcPr>
                  <w:tcW w:w="2068"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惠州市百凯五金制品有限公司</w:t>
                  </w:r>
                </w:p>
              </w:tc>
              <w:tc>
                <w:tcPr>
                  <w:tcW w:w="18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西面</w:t>
                  </w:r>
                </w:p>
              </w:tc>
              <w:tc>
                <w:tcPr>
                  <w:tcW w:w="2068"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惠州市泰源制品工艺有限公司</w:t>
                  </w:r>
                </w:p>
              </w:tc>
              <w:tc>
                <w:tcPr>
                  <w:tcW w:w="18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8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东</w:t>
                  </w:r>
                  <w:r>
                    <w:rPr>
                      <w:rFonts w:hint="default" w:ascii="Times New Roman" w:hAnsi="Times New Roman" w:eastAsia="宋体" w:cs="Times New Roman"/>
                      <w:color w:val="auto"/>
                      <w:sz w:val="21"/>
                      <w:szCs w:val="21"/>
                    </w:rPr>
                    <w:t>面</w:t>
                  </w:r>
                </w:p>
              </w:tc>
              <w:tc>
                <w:tcPr>
                  <w:tcW w:w="2068"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广东快速电梯有限公司</w:t>
                  </w:r>
                </w:p>
              </w:tc>
              <w:tc>
                <w:tcPr>
                  <w:tcW w:w="180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w:t>
                  </w:r>
                </w:p>
              </w:tc>
            </w:tr>
          </w:tbl>
          <w:p>
            <w:pPr>
              <w:adjustRightInd w:val="0"/>
              <w:snapToGrid w:val="0"/>
              <w:ind w:firstLine="482"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b/>
                <w:bCs/>
                <w:color w:val="auto"/>
                <w:highlight w:val="none"/>
              </w:rPr>
              <w:t>（</w:t>
            </w:r>
            <w:r>
              <w:rPr>
                <w:rFonts w:hint="default" w:ascii="Times New Roman" w:hAnsi="Times New Roman" w:cs="Times New Roman"/>
                <w:b/>
                <w:bCs/>
                <w:color w:val="auto"/>
                <w:highlight w:val="none"/>
                <w:lang w:val="en-US" w:eastAsia="zh-CN"/>
              </w:rPr>
              <w:t>2</w:t>
            </w:r>
            <w:r>
              <w:rPr>
                <w:rFonts w:hint="default" w:ascii="Times New Roman" w:hAnsi="Times New Roman" w:cs="Times New Roman"/>
                <w:b/>
                <w:bCs/>
                <w:color w:val="auto"/>
                <w:highlight w:val="none"/>
              </w:rPr>
              <w:t>）平面布局</w:t>
            </w:r>
            <w:r>
              <w:rPr>
                <w:rFonts w:hint="default" w:ascii="Times New Roman" w:hAnsi="Times New Roman" w:cs="Times New Roman"/>
                <w:b/>
                <w:bCs/>
                <w:color w:val="auto"/>
                <w:highlight w:val="none"/>
                <w:lang w:val="en-US" w:eastAsia="zh-CN"/>
              </w:rPr>
              <w:t>及合理性</w:t>
            </w:r>
          </w:p>
          <w:p>
            <w:pPr>
              <w:adjustRightInd w:val="0"/>
              <w:snapToGrid w:val="0"/>
              <w:ind w:firstLine="480" w:firstLineChars="200"/>
              <w:rPr>
                <w:rFonts w:hint="default" w:ascii="Times New Roman" w:hAnsi="Times New Roman" w:eastAsia="宋体" w:cs="Times New Roman"/>
                <w:bCs/>
                <w:color w:val="auto"/>
                <w:kern w:val="0"/>
                <w:szCs w:val="21"/>
                <w:highlight w:val="none"/>
                <w:lang w:val="en-US" w:eastAsia="zh-CN"/>
              </w:rPr>
            </w:pPr>
            <w:r>
              <w:rPr>
                <w:rFonts w:hint="default" w:ascii="Times New Roman" w:hAnsi="Times New Roman" w:eastAsia="宋体" w:cs="Times New Roman"/>
                <w:bCs/>
                <w:color w:val="auto"/>
                <w:kern w:val="0"/>
                <w:szCs w:val="21"/>
                <w:highlight w:val="none"/>
                <w:lang w:val="en-US" w:eastAsia="zh-CN"/>
              </w:rPr>
              <w:t>项目</w:t>
            </w:r>
            <w:r>
              <w:rPr>
                <w:rFonts w:hint="default" w:ascii="Times New Roman" w:hAnsi="Times New Roman" w:cs="Times New Roman"/>
                <w:bCs/>
                <w:color w:val="auto"/>
                <w:kern w:val="0"/>
                <w:szCs w:val="21"/>
                <w:highlight w:val="none"/>
                <w:lang w:val="en-US" w:eastAsia="zh-CN"/>
              </w:rPr>
              <w:t>有1栋2层生产车间（从西至东为分切车间、品检车间）、1栋1层生产车间（从西至东为调胶车间、涂布车间、聚氨酯高密度棉生产车间）、1栋1层化学品仓库、1栋1层仓库（从西至东为原料仓库、成品仓库及涂布生产车间2）及1栋6层员工宿舍</w:t>
            </w:r>
            <w:r>
              <w:rPr>
                <w:rFonts w:hint="default" w:ascii="Times New Roman" w:hAnsi="Times New Roman" w:eastAsia="宋体" w:cs="Times New Roman"/>
                <w:bCs/>
                <w:color w:val="auto"/>
                <w:kern w:val="0"/>
                <w:szCs w:val="21"/>
                <w:highlight w:val="none"/>
                <w:lang w:val="en-US" w:eastAsia="zh-CN"/>
              </w:rPr>
              <w:t>，</w:t>
            </w:r>
            <w:r>
              <w:rPr>
                <w:rFonts w:hint="default" w:ascii="Times New Roman" w:hAnsi="Times New Roman" w:cs="Times New Roman"/>
                <w:bCs/>
                <w:color w:val="auto"/>
                <w:kern w:val="0"/>
                <w:szCs w:val="21"/>
                <w:highlight w:val="none"/>
                <w:lang w:val="en-US" w:eastAsia="zh-CN"/>
              </w:rPr>
              <w:t>生产厂房</w:t>
            </w:r>
            <w:r>
              <w:rPr>
                <w:rFonts w:hint="default" w:ascii="Times New Roman" w:hAnsi="Times New Roman" w:eastAsia="宋体" w:cs="Times New Roman"/>
                <w:bCs/>
                <w:color w:val="auto"/>
                <w:kern w:val="0"/>
                <w:szCs w:val="21"/>
                <w:highlight w:val="none"/>
                <w:lang w:val="en-US" w:eastAsia="zh-CN"/>
              </w:rPr>
              <w:t>远离附近的居民区，生产车间布置合理。</w:t>
            </w:r>
          </w:p>
          <w:p>
            <w:pPr>
              <w:adjustRightInd w:val="0"/>
              <w:snapToGrid w:val="0"/>
              <w:ind w:firstLine="480" w:firstLineChars="200"/>
              <w:rPr>
                <w:rFonts w:hint="default" w:ascii="Times New Roman" w:hAnsi="Times New Roman" w:eastAsia="宋体" w:cs="Times New Roman"/>
                <w:bCs/>
                <w:color w:val="auto"/>
                <w:kern w:val="0"/>
                <w:szCs w:val="21"/>
                <w:highlight w:val="none"/>
                <w:lang w:val="en-US" w:eastAsia="zh-CN"/>
              </w:rPr>
            </w:pPr>
            <w:r>
              <w:rPr>
                <w:rFonts w:hint="default" w:ascii="Times New Roman" w:hAnsi="Times New Roman" w:eastAsia="宋体" w:cs="Times New Roman"/>
                <w:bCs/>
                <w:color w:val="auto"/>
                <w:kern w:val="0"/>
                <w:szCs w:val="21"/>
                <w:highlight w:val="none"/>
                <w:lang w:val="en-US" w:eastAsia="zh-CN"/>
              </w:rPr>
              <w:t>总体布局功能分区明确、人员进出口及污物运输路线分开，布局合理，项目所在区域常年主导风向为西北风，项目废气排放口不位于主导风向上风向，其布局合理。</w:t>
            </w:r>
          </w:p>
          <w:p>
            <w:pPr>
              <w:adjustRightInd w:val="0"/>
              <w:snapToGrid w:val="0"/>
              <w:rPr>
                <w:rFonts w:hint="default" w:ascii="Times New Roman" w:hAnsi="Times New Roman" w:eastAsia="宋体" w:cs="Times New Roman"/>
                <w:bCs/>
                <w:color w:val="auto"/>
                <w:szCs w:val="21"/>
                <w:lang w:val="en-US" w:eastAsia="zh-CN"/>
              </w:rPr>
            </w:pPr>
          </w:p>
        </w:tc>
      </w:tr>
    </w:tbl>
    <w:p>
      <w:pPr>
        <w:rPr>
          <w:rFonts w:hint="default" w:ascii="Times New Roman" w:hAnsi="Times New Roman" w:cs="Times New Roman"/>
          <w:color w:val="auto"/>
        </w:rPr>
        <w:sectPr>
          <w:footerReference r:id="rId8"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9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457" w:type="pct"/>
            <w:noWrap/>
            <w:vAlign w:val="center"/>
          </w:tcPr>
          <w:p>
            <w:pPr>
              <w:pStyle w:val="28"/>
              <w:adjustRightInd w:val="0"/>
              <w:snapToGrid w:val="0"/>
              <w:spacing w:before="0" w:beforeAutospacing="0" w:after="0" w:afterAutospacing="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工艺</w:t>
            </w:r>
          </w:p>
          <w:p>
            <w:pPr>
              <w:pStyle w:val="28"/>
              <w:adjustRightInd w:val="0"/>
              <w:snapToGrid w:val="0"/>
              <w:spacing w:before="0" w:beforeAutospacing="0" w:after="0" w:afterAutospacing="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流程</w:t>
            </w:r>
          </w:p>
          <w:p>
            <w:pPr>
              <w:pStyle w:val="28"/>
              <w:adjustRightInd w:val="0"/>
              <w:snapToGrid w:val="0"/>
              <w:spacing w:before="0" w:beforeAutospacing="0" w:after="0" w:afterAutospacing="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和产</w:t>
            </w:r>
          </w:p>
          <w:p>
            <w:pPr>
              <w:pStyle w:val="28"/>
              <w:adjustRightInd w:val="0"/>
              <w:snapToGrid w:val="0"/>
              <w:spacing w:before="0" w:beforeAutospacing="0" w:after="0" w:afterAutospacing="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排污</w:t>
            </w:r>
          </w:p>
          <w:p>
            <w:pPr>
              <w:pStyle w:val="2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4"/>
                <w:szCs w:val="24"/>
              </w:rPr>
              <w:t>环节</w:t>
            </w:r>
          </w:p>
        </w:tc>
        <w:tc>
          <w:tcPr>
            <w:tcW w:w="4542" w:type="pct"/>
            <w:noWrap/>
          </w:tcPr>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一、工艺流程简述（图示）：</w:t>
            </w:r>
          </w:p>
          <w:p>
            <w:pPr>
              <w:adjustRightInd w:val="0"/>
              <w:snapToGrid w:val="0"/>
              <w:jc w:val="both"/>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lang w:val="en-US" w:eastAsia="zh-CN"/>
              </w:rPr>
              <w:t>1、保护膜生产工艺</w:t>
            </w:r>
          </w:p>
          <w:p>
            <w:pPr>
              <w:pStyle w:val="27"/>
              <w:ind w:left="0" w:leftChars="0" w:firstLine="0" w:firstLineChars="0"/>
              <w:jc w:val="center"/>
              <w:rPr>
                <w:rFonts w:hint="default" w:ascii="Times New Roman" w:hAnsi="Times New Roman" w:cs="Times New Roman"/>
                <w:color w:val="auto"/>
              </w:rPr>
            </w:pPr>
            <w:r>
              <w:rPr>
                <w:rFonts w:hint="default" w:ascii="Times New Roman" w:hAnsi="Times New Roman" w:cs="Times New Roman"/>
                <w:color w:val="auto"/>
              </w:rPr>
              <w:object>
                <v:shape id="_x0000_i1026" o:spt="75" type="#_x0000_t75" style="height:402pt;width:399pt;" o:ole="t" filled="f" o:preferrelative="t" stroked="f" coordsize="21600,21600">
                  <v:path/>
                  <v:fill on="f" focussize="0,0"/>
                  <v:stroke on="f"/>
                  <v:imagedata r:id="rId31" o:title=""/>
                  <o:lock v:ext="edit" aspectratio="f"/>
                  <w10:wrap type="none"/>
                  <w10:anchorlock/>
                </v:shape>
                <o:OLEObject Type="Embed" ProgID="Visio.Drawing.11" ShapeID="_x0000_i1026" DrawAspect="Content" ObjectID="_1468075726" r:id="rId30">
                  <o:LockedField>false</o:LockedField>
                </o:OLEObject>
              </w:object>
            </w:r>
          </w:p>
          <w:p>
            <w:pPr>
              <w:pStyle w:val="46"/>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保护膜</w:t>
            </w:r>
            <w:r>
              <w:rPr>
                <w:rFonts w:hint="default" w:ascii="Times New Roman" w:hAnsi="Times New Roman" w:cs="Times New Roman"/>
                <w:color w:val="auto"/>
              </w:rPr>
              <w:t>生产工艺流程图</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工艺流程说明：</w:t>
            </w:r>
          </w:p>
          <w:p>
            <w:pPr>
              <w:pStyle w:val="16"/>
              <w:spacing w:line="360" w:lineRule="auto"/>
              <w:ind w:firstLine="482" w:firstLineChars="200"/>
              <w:rPr>
                <w:rFonts w:hint="default" w:ascii="Times New Roman" w:hAnsi="Times New Roman" w:cs="Times New Roman"/>
                <w:b w:val="0"/>
                <w:bCs w:val="0"/>
                <w:color w:val="auto"/>
                <w:sz w:val="24"/>
              </w:rPr>
            </w:pPr>
            <w:r>
              <w:rPr>
                <w:rFonts w:hint="default" w:ascii="Times New Roman" w:hAnsi="Times New Roman" w:cs="Times New Roman"/>
                <w:b/>
                <w:bCs/>
                <w:color w:val="auto"/>
                <w:sz w:val="24"/>
              </w:rPr>
              <w:t>①</w:t>
            </w:r>
            <w:r>
              <w:rPr>
                <w:rFonts w:hint="default" w:ascii="Times New Roman" w:hAnsi="Times New Roman" w:cs="Times New Roman"/>
                <w:b/>
                <w:bCs/>
                <w:color w:val="auto"/>
                <w:sz w:val="24"/>
                <w:lang w:val="en-US" w:eastAsia="zh-CN"/>
              </w:rPr>
              <w:t>预搅拌</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本项目外购已配制好的水性压敏胶，胶水在运输过程可能发生沉淀，先用搅拌机搅拌均匀后再使用，此工序会产生少量VOCs及噪声</w:t>
            </w:r>
            <w:r>
              <w:rPr>
                <w:rFonts w:hint="default" w:ascii="Times New Roman" w:hAnsi="Times New Roman" w:cs="Times New Roman"/>
                <w:b w:val="0"/>
                <w:bCs w:val="0"/>
                <w:color w:val="auto"/>
                <w:sz w:val="24"/>
              </w:rPr>
              <w:t>。</w:t>
            </w:r>
          </w:p>
          <w:p>
            <w:pPr>
              <w:pStyle w:val="16"/>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②</w:t>
            </w:r>
            <w:r>
              <w:rPr>
                <w:rFonts w:hint="default" w:ascii="Times New Roman" w:hAnsi="Times New Roman" w:cs="Times New Roman"/>
                <w:b/>
                <w:bCs/>
                <w:color w:val="auto"/>
                <w:sz w:val="24"/>
                <w:lang w:val="en-US" w:eastAsia="zh-CN"/>
              </w:rPr>
              <w:t>涂布</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本项目使用的设备为</w:t>
            </w:r>
            <w:r>
              <w:rPr>
                <w:rFonts w:hint="default" w:ascii="Times New Roman" w:hAnsi="Times New Roman" w:cs="Times New Roman"/>
                <w:color w:val="auto"/>
                <w:kern w:val="0"/>
                <w:szCs w:val="21"/>
              </w:rPr>
              <w:t>一体化涂布机（</w:t>
            </w:r>
            <w:r>
              <w:rPr>
                <w:rFonts w:hint="default" w:ascii="Times New Roman" w:hAnsi="Times New Roman" w:cs="Times New Roman"/>
                <w:color w:val="auto"/>
                <w:kern w:val="0"/>
                <w:szCs w:val="21"/>
                <w:lang w:val="en-US" w:eastAsia="zh-CN"/>
              </w:rPr>
              <w:t>包括</w:t>
            </w:r>
            <w:r>
              <w:rPr>
                <w:rFonts w:hint="default" w:ascii="Times New Roman" w:hAnsi="Times New Roman" w:cs="Times New Roman"/>
                <w:color w:val="auto"/>
                <w:kern w:val="0"/>
                <w:szCs w:val="21"/>
              </w:rPr>
              <w:t>涂布、烘干、贴合、收卷</w:t>
            </w:r>
            <w:r>
              <w:rPr>
                <w:rFonts w:hint="default" w:ascii="Times New Roman" w:hAnsi="Times New Roman" w:cs="Times New Roman"/>
                <w:color w:val="auto"/>
                <w:kern w:val="0"/>
                <w:szCs w:val="21"/>
                <w:lang w:val="en-US" w:eastAsia="zh-CN"/>
              </w:rPr>
              <w:t>工段</w:t>
            </w:r>
            <w:r>
              <w:rPr>
                <w:rFonts w:hint="default" w:ascii="Times New Roman" w:hAnsi="Times New Roman" w:cs="Times New Roman"/>
                <w:color w:val="auto"/>
                <w:szCs w:val="21"/>
              </w:rPr>
              <w:t>）</w:t>
            </w:r>
            <w:r>
              <w:rPr>
                <w:rFonts w:hint="default" w:ascii="Times New Roman" w:hAnsi="Times New Roman" w:cs="Times New Roman"/>
                <w:color w:val="auto"/>
                <w:szCs w:val="21"/>
                <w:lang w:eastAsia="zh-CN"/>
              </w:rPr>
              <w:t>，</w:t>
            </w:r>
            <w:r>
              <w:rPr>
                <w:rFonts w:hint="default" w:ascii="Times New Roman" w:hAnsi="Times New Roman" w:cs="Times New Roman"/>
                <w:b w:val="0"/>
                <w:bCs w:val="0"/>
                <w:color w:val="auto"/>
                <w:sz w:val="24"/>
                <w:lang w:val="en-US" w:eastAsia="zh-CN"/>
              </w:rPr>
              <w:t>人工将PET原膜装上一体化涂布机</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lang w:val="en-US" w:eastAsia="zh-CN"/>
              </w:rPr>
              <w:t>在设备的运行下，PET原膜平整铺好，水性压敏胶通过涂布机刮板均匀涂在PET膜上，此工序</w:t>
            </w:r>
            <w:r>
              <w:rPr>
                <w:rFonts w:hint="default" w:ascii="Times New Roman" w:hAnsi="Times New Roman" w:cs="Times New Roman"/>
                <w:color w:val="auto"/>
                <w:sz w:val="24"/>
              </w:rPr>
              <w:t>会产生</w:t>
            </w:r>
            <w:r>
              <w:rPr>
                <w:rFonts w:hint="default" w:ascii="Times New Roman" w:hAnsi="Times New Roman" w:cs="Times New Roman"/>
                <w:color w:val="auto"/>
                <w:sz w:val="24"/>
                <w:lang w:val="en-US" w:eastAsia="zh-CN"/>
              </w:rPr>
              <w:t>VOCs及</w:t>
            </w:r>
            <w:r>
              <w:rPr>
                <w:rFonts w:hint="default" w:ascii="Times New Roman" w:hAnsi="Times New Roman" w:cs="Times New Roman"/>
                <w:color w:val="auto"/>
                <w:sz w:val="24"/>
              </w:rPr>
              <w:t>噪声。</w:t>
            </w:r>
          </w:p>
          <w:p>
            <w:pPr>
              <w:pStyle w:val="16"/>
              <w:spacing w:line="360" w:lineRule="auto"/>
              <w:ind w:firstLine="482" w:firstLineChars="200"/>
              <w:rPr>
                <w:rFonts w:hint="default" w:ascii="Times New Roman" w:hAnsi="Times New Roman" w:eastAsia="宋体" w:cs="Times New Roman"/>
                <w:b/>
                <w:bCs/>
                <w:color w:val="auto"/>
                <w:sz w:val="24"/>
                <w:vertAlign w:val="baseline"/>
                <w:lang w:val="en-US" w:eastAsia="zh-CN"/>
              </w:rPr>
            </w:pPr>
            <w:r>
              <w:rPr>
                <w:rFonts w:hint="default" w:ascii="Times New Roman" w:hAnsi="Times New Roman" w:cs="Times New Roman"/>
                <w:b/>
                <w:bCs/>
                <w:color w:val="auto"/>
                <w:sz w:val="24"/>
              </w:rPr>
              <w:t>③</w:t>
            </w:r>
            <w:r>
              <w:rPr>
                <w:rFonts w:hint="default" w:ascii="Times New Roman" w:hAnsi="Times New Roman" w:cs="Times New Roman"/>
                <w:b/>
                <w:bCs/>
                <w:color w:val="auto"/>
                <w:sz w:val="24"/>
                <w:lang w:val="en-US" w:eastAsia="zh-CN"/>
              </w:rPr>
              <w:t>烤干</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涂好水性压敏胶的PET膜经过烤干燃烧机燃烧产生的热气工段，烤干温度为180℃，烤干时间预计5min，烤干的热源来自燃烧机，</w:t>
            </w:r>
            <w:r>
              <w:rPr>
                <w:rFonts w:hint="default" w:ascii="Times New Roman" w:hAnsi="Times New Roman" w:cs="Times New Roman"/>
                <w:color w:val="auto"/>
                <w:szCs w:val="21"/>
                <w:highlight w:val="none"/>
              </w:rPr>
              <w:t>通过热传导进行间接加热。</w:t>
            </w:r>
            <w:r>
              <w:rPr>
                <w:rFonts w:hint="default" w:ascii="Times New Roman" w:hAnsi="Times New Roman" w:cs="Times New Roman"/>
                <w:b w:val="0"/>
                <w:bCs w:val="0"/>
                <w:color w:val="auto"/>
                <w:sz w:val="24"/>
                <w:lang w:val="en-US" w:eastAsia="zh-CN"/>
              </w:rPr>
              <w:t>此工序会产生</w:t>
            </w:r>
            <w:r>
              <w:rPr>
                <w:rFonts w:hint="default" w:ascii="Times New Roman" w:hAnsi="Times New Roman" w:cs="Times New Roman"/>
                <w:color w:val="auto"/>
                <w:sz w:val="24"/>
                <w:lang w:val="en-US" w:eastAsia="zh-CN"/>
              </w:rPr>
              <w:t>VOCs、</w:t>
            </w:r>
            <w:r>
              <w:rPr>
                <w:rFonts w:hint="default" w:ascii="Times New Roman" w:hAnsi="Times New Roman" w:cs="Times New Roman"/>
                <w:b w:val="0"/>
                <w:bCs w:val="0"/>
                <w:color w:val="auto"/>
                <w:sz w:val="24"/>
                <w:lang w:val="en-US" w:eastAsia="zh-CN"/>
              </w:rPr>
              <w:t>噪声</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天然气燃烧会产生烟尘、NOx、SO</w:t>
            </w:r>
            <w:r>
              <w:rPr>
                <w:rFonts w:hint="default" w:ascii="Times New Roman" w:hAnsi="Times New Roman" w:cs="Times New Roman"/>
                <w:color w:val="auto"/>
                <w:sz w:val="24"/>
                <w:vertAlign w:val="subscript"/>
                <w:lang w:val="en-US" w:eastAsia="zh-CN"/>
              </w:rPr>
              <w:t>2</w:t>
            </w:r>
            <w:r>
              <w:rPr>
                <w:rFonts w:hint="default" w:ascii="Times New Roman" w:hAnsi="Times New Roman" w:cs="Times New Roman"/>
                <w:color w:val="auto"/>
                <w:sz w:val="24"/>
                <w:vertAlign w:val="baseline"/>
                <w:lang w:val="en-US" w:eastAsia="zh-CN"/>
              </w:rPr>
              <w:t>。</w:t>
            </w:r>
          </w:p>
          <w:p>
            <w:pPr>
              <w:pStyle w:val="16"/>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④</w:t>
            </w:r>
            <w:r>
              <w:rPr>
                <w:rFonts w:hint="default" w:ascii="Times New Roman" w:hAnsi="Times New Roman" w:cs="Times New Roman"/>
                <w:b/>
                <w:bCs/>
                <w:color w:val="auto"/>
                <w:sz w:val="24"/>
                <w:lang w:val="en-US" w:eastAsia="zh-CN"/>
              </w:rPr>
              <w:t>复卷</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烤干后的PET膜经</w:t>
            </w:r>
            <w:r>
              <w:rPr>
                <w:rFonts w:hint="default" w:ascii="Times New Roman" w:hAnsi="Times New Roman" w:cs="Times New Roman"/>
                <w:color w:val="auto"/>
                <w:kern w:val="0"/>
                <w:szCs w:val="21"/>
              </w:rPr>
              <w:t>一体化涂布机</w:t>
            </w:r>
            <w:r>
              <w:rPr>
                <w:rFonts w:hint="default" w:ascii="Times New Roman" w:hAnsi="Times New Roman" w:cs="Times New Roman"/>
                <w:color w:val="auto"/>
                <w:kern w:val="0"/>
                <w:szCs w:val="21"/>
                <w:lang w:val="en-US" w:eastAsia="zh-CN"/>
              </w:rPr>
              <w:t>的复卷工段，与离型纸贴合在一起，然后经PE胶管收卷</w:t>
            </w:r>
            <w:r>
              <w:rPr>
                <w:rFonts w:hint="default" w:ascii="Times New Roman" w:hAnsi="Times New Roman" w:cs="Times New Roman"/>
                <w:b w:val="0"/>
                <w:bCs w:val="0"/>
                <w:color w:val="auto"/>
                <w:sz w:val="24"/>
                <w:lang w:val="en-US" w:eastAsia="zh-CN"/>
              </w:rPr>
              <w:t>，变成产品-保护膜。此工序会产生噪声</w:t>
            </w:r>
            <w:r>
              <w:rPr>
                <w:rFonts w:hint="default" w:ascii="Times New Roman" w:hAnsi="Times New Roman" w:cs="Times New Roman"/>
                <w:color w:val="auto"/>
                <w:sz w:val="24"/>
              </w:rPr>
              <w:t>。</w:t>
            </w:r>
          </w:p>
          <w:p>
            <w:pPr>
              <w:pStyle w:val="16"/>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⑤</w:t>
            </w:r>
            <w:r>
              <w:rPr>
                <w:rFonts w:hint="default" w:ascii="Times New Roman" w:hAnsi="Times New Roman" w:cs="Times New Roman"/>
                <w:b/>
                <w:bCs/>
                <w:color w:val="auto"/>
                <w:sz w:val="24"/>
                <w:lang w:val="en-US" w:eastAsia="zh-CN"/>
              </w:rPr>
              <w:t>裁切</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完成涂布工序的保护膜按客户要求裁切成不同长度</w:t>
            </w:r>
            <w:r>
              <w:rPr>
                <w:rFonts w:hint="default" w:ascii="Times New Roman" w:hAnsi="Times New Roman" w:cs="Times New Roman"/>
                <w:b w:val="0"/>
                <w:bCs w:val="0"/>
                <w:color w:val="auto"/>
                <w:sz w:val="24"/>
              </w:rPr>
              <w:t>，</w:t>
            </w:r>
            <w:r>
              <w:rPr>
                <w:rFonts w:hint="default" w:ascii="Times New Roman" w:hAnsi="Times New Roman" w:cs="Times New Roman"/>
                <w:b w:val="0"/>
                <w:bCs w:val="0"/>
                <w:color w:val="auto"/>
                <w:sz w:val="24"/>
                <w:lang w:val="en-US" w:eastAsia="zh-CN"/>
              </w:rPr>
              <w:t>此工序</w:t>
            </w:r>
            <w:r>
              <w:rPr>
                <w:rFonts w:hint="default" w:ascii="Times New Roman" w:hAnsi="Times New Roman" w:cs="Times New Roman"/>
                <w:color w:val="auto"/>
                <w:sz w:val="24"/>
              </w:rPr>
              <w:t>会产生噪声。</w:t>
            </w:r>
          </w:p>
          <w:p>
            <w:pPr>
              <w:pStyle w:val="16"/>
              <w:spacing w:line="360" w:lineRule="auto"/>
              <w:ind w:firstLine="482" w:firstLineChars="200"/>
              <w:rPr>
                <w:rFonts w:hint="default" w:ascii="Times New Roman" w:hAnsi="Times New Roman" w:cs="Times New Roman"/>
                <w:b w:val="0"/>
                <w:bCs w:val="0"/>
                <w:color w:val="auto"/>
                <w:sz w:val="24"/>
              </w:rPr>
            </w:pPr>
            <w:r>
              <w:rPr>
                <w:rFonts w:hint="default" w:ascii="Times New Roman" w:hAnsi="Times New Roman" w:cs="Times New Roman"/>
                <w:b/>
                <w:bCs/>
                <w:color w:val="auto"/>
                <w:sz w:val="24"/>
                <w:lang w:val="en-US" w:eastAsia="zh-CN"/>
              </w:rPr>
              <w:t>⑥包装出货：</w:t>
            </w:r>
            <w:r>
              <w:rPr>
                <w:rFonts w:hint="default" w:ascii="Times New Roman" w:hAnsi="Times New Roman" w:cs="Times New Roman"/>
                <w:b w:val="0"/>
                <w:bCs w:val="0"/>
                <w:color w:val="auto"/>
                <w:sz w:val="24"/>
                <w:lang w:val="en-US" w:eastAsia="zh-CN"/>
              </w:rPr>
              <w:t>裁切好的保护膜使用PE拉伸膜包装好，然后运至成品仓库暂存，按客户要求出货。</w:t>
            </w:r>
          </w:p>
          <w:p>
            <w:pPr>
              <w:adjustRightInd w:val="0"/>
              <w:snapToGrid w:val="0"/>
              <w:rPr>
                <w:rFonts w:hint="default" w:ascii="Times New Roman" w:hAnsi="Times New Roman" w:eastAsia="宋体" w:cs="Times New Roman"/>
                <w:b/>
                <w:color w:val="auto"/>
                <w:szCs w:val="21"/>
                <w:lang w:val="en-US" w:eastAsia="zh-CN"/>
              </w:rPr>
            </w:pPr>
            <w:r>
              <w:rPr>
                <w:rFonts w:hint="eastAsia" w:cs="Times New Roman"/>
                <w:b/>
                <w:color w:val="auto"/>
                <w:szCs w:val="21"/>
                <w:lang w:val="en-US" w:eastAsia="zh-CN"/>
              </w:rPr>
              <w:t>2</w:t>
            </w:r>
            <w:r>
              <w:rPr>
                <w:rFonts w:hint="default" w:ascii="Times New Roman" w:hAnsi="Times New Roman" w:cs="Times New Roman"/>
                <w:b/>
                <w:color w:val="auto"/>
                <w:szCs w:val="21"/>
                <w:lang w:val="en-US" w:eastAsia="zh-CN"/>
              </w:rPr>
              <w:t>、聚氨酯高密度棉</w:t>
            </w:r>
            <w:r>
              <w:rPr>
                <w:rFonts w:hint="eastAsia" w:cs="Times New Roman"/>
                <w:b/>
                <w:color w:val="auto"/>
                <w:szCs w:val="21"/>
                <w:lang w:val="en-US" w:eastAsia="zh-CN"/>
              </w:rPr>
              <w:t>试</w:t>
            </w:r>
            <w:r>
              <w:rPr>
                <w:rFonts w:hint="default" w:ascii="Times New Roman" w:hAnsi="Times New Roman" w:cs="Times New Roman"/>
                <w:b/>
                <w:color w:val="auto"/>
                <w:szCs w:val="21"/>
                <w:lang w:val="en-US" w:eastAsia="zh-CN"/>
              </w:rPr>
              <w:t>生产工艺</w:t>
            </w:r>
          </w:p>
          <w:p>
            <w:pPr>
              <w:adjustRightInd w:val="0"/>
              <w:snapToGrid w:val="0"/>
              <w:rPr>
                <w:rFonts w:hint="eastAsia" w:cs="Times New Roman"/>
                <w:b/>
                <w:color w:val="auto"/>
                <w:szCs w:val="21"/>
                <w:lang w:val="en-US" w:eastAsia="zh-CN"/>
              </w:rPr>
            </w:pPr>
            <w:r>
              <w:rPr>
                <w:rFonts w:hint="eastAsia" w:cs="Times New Roman"/>
                <w:b/>
                <w:color w:val="auto"/>
                <w:szCs w:val="21"/>
                <w:lang w:val="en-US" w:eastAsia="zh-CN"/>
              </w:rPr>
              <w:object>
                <v:shape id="_x0000_i1027" o:spt="75" type="#_x0000_t75" style="height:522.05pt;width:436.35pt;" o:ole="t" filled="f" o:preferrelative="t" stroked="f" coordsize="21600,21600">
                  <v:path/>
                  <v:fill on="f" focussize="0,0"/>
                  <v:stroke on="f"/>
                  <v:imagedata r:id="rId33" o:title=""/>
                  <o:lock v:ext="edit" aspectratio="f"/>
                  <w10:wrap type="none"/>
                  <w10:anchorlock/>
                </v:shape>
                <o:OLEObject Type="Embed" ProgID="Visio.Drawing.11" ShapeID="_x0000_i1027" DrawAspect="Content" ObjectID="_1468075727" r:id="rId32">
                  <o:LockedField>false</o:LockedField>
                </o:OLEObject>
              </w:object>
            </w:r>
          </w:p>
          <w:p>
            <w:pPr>
              <w:pStyle w:val="46"/>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聚氨酯高密度棉</w:t>
            </w:r>
            <w:r>
              <w:rPr>
                <w:rFonts w:hint="eastAsia" w:cs="Times New Roman"/>
                <w:color w:val="auto"/>
                <w:lang w:val="en-US" w:eastAsia="zh-CN"/>
              </w:rPr>
              <w:t>试</w:t>
            </w:r>
            <w:r>
              <w:rPr>
                <w:rFonts w:hint="default" w:ascii="Times New Roman" w:hAnsi="Times New Roman" w:cs="Times New Roman"/>
                <w:color w:val="auto"/>
              </w:rPr>
              <w:t>生产工艺流程图</w:t>
            </w:r>
          </w:p>
          <w:p>
            <w:pPr>
              <w:ind w:firstLine="482" w:firstLineChars="200"/>
              <w:rPr>
                <w:rFonts w:hint="default" w:cs="Times New Roman"/>
                <w:b w:val="0"/>
                <w:bCs w:val="0"/>
                <w:color w:val="auto"/>
                <w:szCs w:val="21"/>
                <w:lang w:val="en-US" w:eastAsia="zh-CN"/>
              </w:rPr>
            </w:pPr>
            <w:r>
              <w:rPr>
                <w:rFonts w:hint="eastAsia" w:cs="Times New Roman"/>
                <w:b/>
                <w:color w:val="auto"/>
                <w:szCs w:val="21"/>
                <w:lang w:val="en-US" w:eastAsia="zh-CN"/>
              </w:rPr>
              <w:t>工艺说明：</w:t>
            </w:r>
            <w:r>
              <w:rPr>
                <w:rFonts w:hint="eastAsia" w:cs="Times New Roman"/>
                <w:b w:val="0"/>
                <w:bCs w:val="0"/>
                <w:color w:val="auto"/>
                <w:sz w:val="24"/>
                <w:lang w:val="en-US" w:eastAsia="zh-CN"/>
              </w:rPr>
              <w:t>本项目拟设置2个产品样品测试罐（一用一备，容积均为150L），根据客户需求进行产品试样生产，样品满足客户要求后，则进行大量生产。首先</w:t>
            </w:r>
            <w:r>
              <w:rPr>
                <w:rFonts w:hint="eastAsia" w:cs="Times New Roman"/>
                <w:b w:val="0"/>
                <w:bCs w:val="0"/>
                <w:color w:val="auto"/>
                <w:szCs w:val="21"/>
                <w:lang w:val="en-US" w:eastAsia="zh-CN"/>
              </w:rPr>
              <w:t>接到客户单子后，按照客户的需求按比例将定好量的各个物料抽进</w:t>
            </w:r>
            <w:r>
              <w:rPr>
                <w:rFonts w:hint="eastAsia" w:cs="Times New Roman"/>
                <w:b w:val="0"/>
                <w:bCs w:val="0"/>
                <w:color w:val="auto"/>
                <w:sz w:val="24"/>
                <w:lang w:val="en-US" w:eastAsia="zh-CN"/>
              </w:rPr>
              <w:t>150L的预搅拌罐内搅拌均匀，然后混合发泡、流平、烘烤、涂布、UV固化、收卷分切，再检查其厚度和质量，达到客户要求后，进行量产。此过程产生的废气主要有非甲烷总烃、MDI、臭气浓度、VOCs、聚氨酯发泡棉边角料、噪声等。</w:t>
            </w:r>
          </w:p>
          <w:p>
            <w:pPr>
              <w:adjustRightInd w:val="0"/>
              <w:snapToGrid w:val="0"/>
              <w:rPr>
                <w:rFonts w:hint="default" w:ascii="Times New Roman" w:hAnsi="Times New Roman" w:eastAsia="宋体" w:cs="Times New Roman"/>
                <w:b/>
                <w:color w:val="auto"/>
                <w:szCs w:val="21"/>
                <w:lang w:val="en-US" w:eastAsia="zh-CN"/>
              </w:rPr>
            </w:pPr>
            <w:r>
              <w:rPr>
                <w:rFonts w:hint="eastAsia" w:cs="Times New Roman"/>
                <w:b/>
                <w:color w:val="auto"/>
                <w:szCs w:val="21"/>
                <w:lang w:val="en-US" w:eastAsia="zh-CN"/>
              </w:rPr>
              <w:t>3</w:t>
            </w:r>
            <w:r>
              <w:rPr>
                <w:rFonts w:hint="default" w:ascii="Times New Roman" w:hAnsi="Times New Roman" w:cs="Times New Roman"/>
                <w:b/>
                <w:color w:val="auto"/>
                <w:szCs w:val="21"/>
                <w:lang w:val="en-US" w:eastAsia="zh-CN"/>
              </w:rPr>
              <w:t>、聚氨酯高密度棉生产工艺</w:t>
            </w:r>
          </w:p>
          <w:p>
            <w:pPr>
              <w:adjustRightInd w:val="0"/>
              <w:snapToGrid w:val="0"/>
              <w:rPr>
                <w:rFonts w:hint="default" w:ascii="Times New Roman" w:hAnsi="Times New Roman" w:cs="Times New Roman"/>
                <w:b/>
                <w:color w:val="auto"/>
                <w:szCs w:val="21"/>
              </w:rPr>
            </w:pPr>
            <w:r>
              <w:rPr>
                <w:rFonts w:hint="default" w:ascii="Times New Roman" w:hAnsi="Times New Roman" w:cs="Times New Roman"/>
                <w:b/>
                <w:color w:val="auto"/>
                <w:szCs w:val="21"/>
              </w:rPr>
              <w:object>
                <v:shape id="_x0000_i1028" o:spt="75" type="#_x0000_t75" style="height:510.75pt;width:425.15pt;" o:ole="t" filled="f" o:preferrelative="t" stroked="f" coordsize="21600,21600">
                  <v:path/>
                  <v:fill on="f" focussize="0,0"/>
                  <v:stroke on="f"/>
                  <v:imagedata r:id="rId35" o:title=""/>
                  <o:lock v:ext="edit" aspectratio="f"/>
                  <w10:wrap type="none"/>
                  <w10:anchorlock/>
                </v:shape>
                <o:OLEObject Type="Embed" ProgID="Visio.Drawing.11" ShapeID="_x0000_i1028" DrawAspect="Content" ObjectID="_1468075728" r:id="rId34">
                  <o:LockedField>false</o:LockedField>
                </o:OLEObject>
              </w:object>
            </w:r>
          </w:p>
          <w:p>
            <w:pPr>
              <w:pStyle w:val="46"/>
              <w:keepNext w:val="0"/>
              <w:keepLines w:val="0"/>
              <w:pageBreakBefore w:val="0"/>
              <w:widowControl w:val="0"/>
              <w:kinsoku/>
              <w:wordWrap/>
              <w:overflowPunct/>
              <w:topLinePunct w:val="0"/>
              <w:autoSpaceDE/>
              <w:autoSpaceDN/>
              <w:bidi w:val="0"/>
              <w:adjustRightInd w:val="0"/>
              <w:snapToGrid w:val="0"/>
              <w:ind w:left="0" w:leftChars="0" w:firstLineChars="0"/>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聚氨酯高密度棉</w:t>
            </w:r>
            <w:r>
              <w:rPr>
                <w:rFonts w:hint="default" w:ascii="Times New Roman" w:hAnsi="Times New Roman" w:cs="Times New Roman"/>
                <w:color w:val="auto"/>
              </w:rPr>
              <w:t>生产工艺流程图</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工艺流程说明：</w:t>
            </w:r>
          </w:p>
          <w:p>
            <w:pPr>
              <w:pStyle w:val="16"/>
              <w:spacing w:line="360" w:lineRule="auto"/>
              <w:ind w:firstLine="482"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bCs/>
                <w:color w:val="auto"/>
                <w:sz w:val="24"/>
              </w:rPr>
              <w:t>①</w:t>
            </w:r>
            <w:r>
              <w:rPr>
                <w:rFonts w:hint="default" w:ascii="Times New Roman" w:hAnsi="Times New Roman" w:cs="Times New Roman"/>
                <w:b/>
                <w:bCs/>
                <w:color w:val="auto"/>
                <w:sz w:val="24"/>
                <w:lang w:val="en-US" w:eastAsia="zh-CN"/>
              </w:rPr>
              <w:t>预搅拌</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本项目聚氨酯高密度棉生产所需的原料为聚醚多元醇、改性异氰酸酯、炭黑、活化粉、抗氧剂、氢氧化铝、硅油。所有原料外购回来均以包装桶形式储存于化学品仓库，本项目不设储罐储存原料，只设预搅拌罐，根据生产需要将原料拉至车间，使用抽泵将各个原料抽至各自的预搅拌罐搅拌均匀后，再全部混合进行发泡。本项目共设3个1500L的预搅拌罐、</w:t>
            </w:r>
            <w:r>
              <w:rPr>
                <w:rFonts w:hint="eastAsia" w:cs="Times New Roman"/>
                <w:b w:val="0"/>
                <w:bCs w:val="0"/>
                <w:color w:val="auto"/>
                <w:sz w:val="24"/>
                <w:lang w:val="en-US" w:eastAsia="zh-CN"/>
              </w:rPr>
              <w:t>4</w:t>
            </w:r>
            <w:r>
              <w:rPr>
                <w:rFonts w:hint="default" w:ascii="Times New Roman" w:hAnsi="Times New Roman" w:cs="Times New Roman"/>
                <w:b w:val="0"/>
                <w:bCs w:val="0"/>
                <w:color w:val="auto"/>
                <w:sz w:val="24"/>
                <w:lang w:val="en-US" w:eastAsia="zh-CN"/>
              </w:rPr>
              <w:t>个150L的预搅拌罐。</w:t>
            </w:r>
          </w:p>
          <w:p>
            <w:pPr>
              <w:pStyle w:val="16"/>
              <w:spacing w:line="360" w:lineRule="auto"/>
              <w:ind w:firstLine="480"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根据企业提供资料，预搅拌过程如下：</w:t>
            </w:r>
          </w:p>
          <w:p>
            <w:pPr>
              <w:ind w:firstLine="480"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聚醚多元醇和炭黑拉至车间内，按配比从包装桶中抽至1个150L的预搅拌罐中搅拌均匀后等待使用（含150L的预搅拌罐一用一备）；</w:t>
            </w:r>
          </w:p>
          <w:p>
            <w:pPr>
              <w:pStyle w:val="16"/>
              <w:spacing w:line="360" w:lineRule="auto"/>
              <w:ind w:firstLine="480"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聚醚多元醇、活化粉、抗氧剂、氢氧化铝拉至车间内，按配比从包装桶中抽至1个1500L的预搅拌罐中搅拌均匀后等待使用（含1500L的预搅拌罐一用一备）；</w:t>
            </w:r>
          </w:p>
          <w:p>
            <w:pPr>
              <w:ind w:firstLine="480"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硅油拉至车间内，按配比从包装桶中抽至1个150L的预搅拌罐中搅拌均匀后等待使用（含150L的预搅拌罐一用一备）；</w:t>
            </w:r>
          </w:p>
          <w:p>
            <w:pPr>
              <w:ind w:firstLine="480"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改性异氰酸酯拉至车间内，按配比从包装桶中抽至1个1500L的预搅拌罐中搅拌均匀后等待使用。</w:t>
            </w:r>
          </w:p>
          <w:p>
            <w:pPr>
              <w:pStyle w:val="16"/>
              <w:spacing w:line="360" w:lineRule="auto"/>
              <w:ind w:firstLine="480"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上述物料中氢氧化铝、炭黑、活化粉、抗氧剂为粉末状，使用袋子包装；聚醚多元醇、改性异氰酸酯、硅油为液态，使用包装桶包装。粉状物料使用抽料系统直接从袋子抽到预搅拌罐内，此过程不会产生粉尘。</w:t>
            </w:r>
          </w:p>
          <w:p>
            <w:pPr>
              <w:pStyle w:val="16"/>
              <w:spacing w:line="360" w:lineRule="auto"/>
              <w:ind w:firstLine="482"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bCs/>
                <w:color w:val="auto"/>
                <w:sz w:val="24"/>
              </w:rPr>
              <w:t>②</w:t>
            </w:r>
            <w:r>
              <w:rPr>
                <w:rFonts w:hint="default" w:ascii="Times New Roman" w:hAnsi="Times New Roman" w:cs="Times New Roman"/>
                <w:b/>
                <w:bCs/>
                <w:color w:val="auto"/>
                <w:sz w:val="24"/>
                <w:lang w:val="en-US" w:eastAsia="zh-CN"/>
              </w:rPr>
              <w:t>混合发泡</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上述预搅拌好的物料经抽泵抽至均质机中混合，同时往均质机中通入空气（空气需经除湿机除湿之后再抽进均质机中），均质机类似一个石磨盘，物料在抽泵作用下往里面注入的同时，均质机不停旋转，在旋转过程中所有物料彻底混合均匀并发泡。发泡过程不需要加热加压。均质机在旋转过程设备温度会有所升高，需使用冷水机进行间接循环冷却。</w:t>
            </w:r>
          </w:p>
          <w:p>
            <w:pPr>
              <w:pStyle w:val="110"/>
              <w:keepNext w:val="0"/>
              <w:keepLines w:val="0"/>
              <w:pageBreakBefore w:val="0"/>
              <w:widowControl w:val="0"/>
              <w:kinsoku/>
              <w:wordWrap/>
              <w:overflowPunct/>
              <w:topLinePunct w:val="0"/>
              <w:autoSpaceDE/>
              <w:autoSpaceDN/>
              <w:bidi w:val="0"/>
              <w:spacing w:line="360" w:lineRule="auto"/>
              <w:rPr>
                <w:rFonts w:hint="default" w:ascii="Times New Roman" w:hAnsi="Times New Roman" w:cs="Times New Roman"/>
                <w:color w:val="auto"/>
                <w:sz w:val="24"/>
                <w:szCs w:val="24"/>
              </w:rPr>
            </w:pPr>
            <w:r>
              <w:rPr>
                <w:rFonts w:hint="default" w:ascii="Times New Roman" w:hAnsi="Times New Roman" w:cs="Times New Roman"/>
                <w:b w:val="0"/>
                <w:bCs w:val="0"/>
                <w:color w:val="auto"/>
                <w:sz w:val="24"/>
                <w:lang w:val="en-US" w:eastAsia="zh-CN"/>
              </w:rPr>
              <w:t>发泡过程主要为聚醚多元醇、改性异氰酸酯发生化学反应，主要反应如下：</w:t>
            </w:r>
            <w:r>
              <w:rPr>
                <w:rFonts w:hint="default" w:ascii="Times New Roman" w:hAnsi="Times New Roman" w:cs="Times New Roman"/>
                <w:b w:val="0"/>
                <w:bCs w:val="0"/>
                <w:color w:val="auto"/>
                <w:sz w:val="24"/>
                <w:lang w:val="en-US" w:eastAsia="zh-CN"/>
              </w:rPr>
              <w:br w:type="textWrapping"/>
            </w:r>
            <w:r>
              <w:rPr>
                <w:rFonts w:hint="default" w:ascii="Times New Roman" w:hAnsi="Times New Roman" w:cs="Times New Roman"/>
                <w:color w:val="auto"/>
                <w:sz w:val="21"/>
                <w:szCs w:val="21"/>
              </w:rPr>
              <w:t xml:space="preserve"> </w:t>
            </w: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改性异氰酸酯</w:t>
            </w:r>
            <w:r>
              <w:rPr>
                <w:rFonts w:hint="default" w:ascii="Times New Roman" w:hAnsi="Times New Roman" w:cs="Times New Roman"/>
                <w:color w:val="auto"/>
                <w:sz w:val="24"/>
                <w:szCs w:val="24"/>
              </w:rPr>
              <w:t>与</w:t>
            </w:r>
            <w:r>
              <w:rPr>
                <w:rFonts w:hint="default" w:ascii="Times New Roman" w:hAnsi="Times New Roman" w:cs="Times New Roman"/>
                <w:color w:val="auto"/>
                <w:sz w:val="24"/>
                <w:szCs w:val="24"/>
                <w:lang w:val="en-US" w:eastAsia="zh-CN"/>
              </w:rPr>
              <w:t>羟基</w:t>
            </w:r>
            <w:r>
              <w:rPr>
                <w:rFonts w:hint="default" w:ascii="Times New Roman" w:hAnsi="Times New Roman" w:cs="Times New Roman"/>
                <w:color w:val="auto"/>
                <w:sz w:val="24"/>
                <w:szCs w:val="24"/>
              </w:rPr>
              <w:t>反应</w:t>
            </w:r>
            <w:r>
              <w:rPr>
                <w:rFonts w:hint="default" w:ascii="Times New Roman" w:hAnsi="Times New Roman" w:cs="Times New Roman"/>
                <w:color w:val="auto"/>
                <w:sz w:val="24"/>
                <w:szCs w:val="24"/>
                <w:lang w:eastAsia="zh-CN"/>
              </w:rPr>
              <w:t>（</w:t>
            </w:r>
            <w:r>
              <w:rPr>
                <w:rFonts w:hint="default" w:ascii="Times New Roman" w:hAnsi="Times New Roman" w:cs="Times New Roman"/>
                <w:b w:val="0"/>
                <w:bCs w:val="0"/>
                <w:color w:val="auto"/>
                <w:sz w:val="24"/>
                <w:lang w:val="en-US" w:eastAsia="zh-CN"/>
              </w:rPr>
              <w:t>改性异氰酸酯</w:t>
            </w:r>
            <w:r>
              <w:rPr>
                <w:rFonts w:hint="default" w:ascii="Times New Roman" w:hAnsi="Times New Roman" w:cs="Times New Roman"/>
                <w:color w:val="auto"/>
                <w:sz w:val="24"/>
                <w:szCs w:val="24"/>
                <w:lang w:val="en-US" w:eastAsia="zh-CN"/>
              </w:rPr>
              <w:t>与聚醚多元醇反应生成聚氨酯</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 xml:space="preserve">： </w:t>
            </w:r>
          </w:p>
          <w:p>
            <w:pPr>
              <w:pStyle w:val="16"/>
              <w:keepNext w:val="0"/>
              <w:keepLines w:val="0"/>
              <w:pageBreakBefore w:val="0"/>
              <w:widowControl w:val="0"/>
              <w:kinsoku/>
              <w:wordWrap/>
              <w:overflowPunct/>
              <w:topLinePunct w:val="0"/>
              <w:autoSpaceDE/>
              <w:autoSpaceDN/>
              <w:bidi w:val="0"/>
              <w:spacing w:line="360" w:lineRule="auto"/>
              <w:ind w:left="0" w:leftChars="0" w:firstLine="0" w:firstLineChars="0"/>
              <w:jc w:val="center"/>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drawing>
                <wp:inline distT="0" distB="0" distL="114300" distR="114300">
                  <wp:extent cx="5542915" cy="903605"/>
                  <wp:effectExtent l="0" t="0" r="635" b="10795"/>
                  <wp:docPr id="9" name="图片 9" descr="1665995610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65995610745"/>
                          <pic:cNvPicPr>
                            <a:picLocks noChangeAspect="1"/>
                          </pic:cNvPicPr>
                        </pic:nvPicPr>
                        <pic:blipFill>
                          <a:blip r:embed="rId36"/>
                          <a:stretch>
                            <a:fillRect/>
                          </a:stretch>
                        </pic:blipFill>
                        <pic:spPr>
                          <a:xfrm>
                            <a:off x="0" y="0"/>
                            <a:ext cx="5542915" cy="903605"/>
                          </a:xfrm>
                          <a:prstGeom prst="rect">
                            <a:avLst/>
                          </a:prstGeom>
                        </pic:spPr>
                      </pic:pic>
                    </a:graphicData>
                  </a:graphic>
                </wp:inline>
              </w:drawing>
            </w:r>
          </w:p>
          <w:p>
            <w:pPr>
              <w:pStyle w:val="110"/>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上述反应为凝胶反应，产生氨基甲酸酯，氨基甲酸酯是泡沫塑料的主要成分，含有数量众多的氨基甲酸酯基团（-NHCOO-）链节的高分子聚合物。</w:t>
            </w:r>
          </w:p>
          <w:p>
            <w:pPr>
              <w:pStyle w:val="110"/>
              <w:keepNext w:val="0"/>
              <w:keepLines w:val="0"/>
              <w:pageBreakBefore w:val="0"/>
              <w:widowControl w:val="0"/>
              <w:kinsoku/>
              <w:wordWrap/>
              <w:overflowPunct/>
              <w:topLinePunct w:val="0"/>
              <w:autoSpaceDE/>
              <w:autoSpaceDN/>
              <w:bidi w:val="0"/>
              <w:spacing w:line="360" w:lineRule="auto"/>
              <w:ind w:left="0" w:leftChars="0" w:firstLine="0" w:firstLineChars="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w:t>
            </w:r>
            <w:r>
              <w:rPr>
                <w:rFonts w:hint="default" w:ascii="Times New Roman" w:hAnsi="Times New Roman" w:cs="Times New Roman"/>
                <w:b w:val="0"/>
                <w:bCs w:val="0"/>
                <w:color w:val="auto"/>
                <w:sz w:val="24"/>
                <w:lang w:val="en-US" w:eastAsia="zh-CN"/>
              </w:rPr>
              <w:t>改性异氰酸酯</w:t>
            </w:r>
            <w:r>
              <w:rPr>
                <w:rFonts w:hint="default" w:ascii="Times New Roman" w:hAnsi="Times New Roman" w:cs="Times New Roman"/>
                <w:color w:val="auto"/>
                <w:sz w:val="24"/>
                <w:szCs w:val="24"/>
              </w:rPr>
              <w:t>与</w:t>
            </w:r>
            <w:r>
              <w:rPr>
                <w:rFonts w:hint="default" w:ascii="Times New Roman" w:hAnsi="Times New Roman" w:cs="Times New Roman"/>
                <w:color w:val="auto"/>
                <w:sz w:val="24"/>
                <w:szCs w:val="24"/>
                <w:lang w:val="en-US" w:eastAsia="zh-CN"/>
              </w:rPr>
              <w:t>聚氨酯上的</w:t>
            </w:r>
            <w:r>
              <w:rPr>
                <w:rFonts w:hint="default" w:ascii="Times New Roman" w:hAnsi="Times New Roman" w:cs="Times New Roman"/>
                <w:color w:val="auto"/>
                <w:sz w:val="24"/>
                <w:szCs w:val="24"/>
              </w:rPr>
              <w:t>氨基甲酸酯</w:t>
            </w:r>
            <w:r>
              <w:rPr>
                <w:rFonts w:hint="default" w:ascii="Times New Roman" w:hAnsi="Times New Roman" w:cs="Times New Roman"/>
                <w:color w:val="auto"/>
                <w:sz w:val="24"/>
                <w:szCs w:val="24"/>
                <w:lang w:val="en-US" w:eastAsia="zh-CN"/>
              </w:rPr>
              <w:t>基团中氮原子上的氢</w:t>
            </w:r>
            <w:r>
              <w:rPr>
                <w:rFonts w:hint="default" w:ascii="Times New Roman" w:hAnsi="Times New Roman" w:cs="Times New Roman"/>
                <w:color w:val="auto"/>
                <w:sz w:val="24"/>
                <w:szCs w:val="24"/>
              </w:rPr>
              <w:t>反应</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形成脲基甲酸酯</w:t>
            </w:r>
            <w:r>
              <w:rPr>
                <w:rFonts w:hint="default" w:ascii="Times New Roman" w:hAnsi="Times New Roman" w:cs="Times New Roman"/>
                <w:color w:val="auto"/>
                <w:sz w:val="24"/>
                <w:szCs w:val="24"/>
              </w:rPr>
              <w:t>：</w:t>
            </w:r>
          </w:p>
          <w:p>
            <w:pPr>
              <w:pStyle w:val="111"/>
              <w:keepNext w:val="0"/>
              <w:keepLines w:val="0"/>
              <w:pageBreakBefore w:val="0"/>
              <w:widowControl w:val="0"/>
              <w:kinsoku/>
              <w:wordWrap/>
              <w:overflowPunct/>
              <w:topLinePunct w:val="0"/>
              <w:autoSpaceDE/>
              <w:autoSpaceDN/>
              <w:bidi w:val="0"/>
              <w:snapToGrid w:val="0"/>
              <w:spacing w:line="360" w:lineRule="auto"/>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drawing>
                <wp:inline distT="0" distB="0" distL="114300" distR="114300">
                  <wp:extent cx="5426075" cy="1654175"/>
                  <wp:effectExtent l="0" t="0" r="3175" b="3175"/>
                  <wp:docPr id="13" name="图片 13" descr="1665997156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65997156424"/>
                          <pic:cNvPicPr>
                            <a:picLocks noChangeAspect="1"/>
                          </pic:cNvPicPr>
                        </pic:nvPicPr>
                        <pic:blipFill>
                          <a:blip r:embed="rId37"/>
                          <a:stretch>
                            <a:fillRect/>
                          </a:stretch>
                        </pic:blipFill>
                        <pic:spPr>
                          <a:xfrm>
                            <a:off x="0" y="0"/>
                            <a:ext cx="5426075" cy="1654175"/>
                          </a:xfrm>
                          <a:prstGeom prst="rect">
                            <a:avLst/>
                          </a:prstGeom>
                        </pic:spPr>
                      </pic:pic>
                    </a:graphicData>
                  </a:graphic>
                </wp:inline>
              </w:drawing>
            </w:r>
          </w:p>
          <w:p>
            <w:pPr>
              <w:pStyle w:val="110"/>
              <w:keepNext w:val="0"/>
              <w:keepLines w:val="0"/>
              <w:pageBreakBefore w:val="0"/>
              <w:widowControl w:val="0"/>
              <w:kinsoku/>
              <w:wordWrap/>
              <w:overflowPunct/>
              <w:topLinePunct w:val="0"/>
              <w:autoSpaceDE/>
              <w:autoSpaceDN/>
              <w:bidi w:val="0"/>
              <w:spacing w:line="360" w:lineRule="auto"/>
              <w:ind w:left="0" w:leftChars="0" w:firstLine="0" w:firstLineChars="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w:t>
            </w:r>
            <w:r>
              <w:rPr>
                <w:rFonts w:hint="default" w:ascii="Times New Roman" w:hAnsi="Times New Roman" w:cs="Times New Roman"/>
                <w:b w:val="0"/>
                <w:bCs w:val="0"/>
                <w:color w:val="auto"/>
                <w:sz w:val="24"/>
                <w:lang w:val="en-US" w:eastAsia="zh-CN"/>
              </w:rPr>
              <w:t>改性异氰酸酯</w:t>
            </w:r>
            <w:r>
              <w:rPr>
                <w:rFonts w:hint="default" w:ascii="Times New Roman" w:hAnsi="Times New Roman" w:cs="Times New Roman"/>
                <w:color w:val="auto"/>
                <w:sz w:val="24"/>
                <w:szCs w:val="24"/>
              </w:rPr>
              <w:t>与</w:t>
            </w:r>
            <w:r>
              <w:rPr>
                <w:rFonts w:hint="default" w:ascii="Times New Roman" w:hAnsi="Times New Roman" w:cs="Times New Roman"/>
                <w:color w:val="auto"/>
                <w:sz w:val="24"/>
                <w:szCs w:val="24"/>
                <w:lang w:val="en-US" w:eastAsia="zh-CN"/>
              </w:rPr>
              <w:t>脲基甲酸酯中氮原子上的氢</w:t>
            </w:r>
            <w:r>
              <w:rPr>
                <w:rFonts w:hint="default" w:ascii="Times New Roman" w:hAnsi="Times New Roman" w:cs="Times New Roman"/>
                <w:color w:val="auto"/>
                <w:sz w:val="24"/>
                <w:szCs w:val="24"/>
              </w:rPr>
              <w:t>反应</w:t>
            </w:r>
            <w:r>
              <w:rPr>
                <w:rFonts w:hint="default" w:ascii="Times New Roman" w:hAnsi="Times New Roman" w:cs="Times New Roman"/>
                <w:color w:val="auto"/>
                <w:sz w:val="24"/>
                <w:szCs w:val="24"/>
                <w:lang w:val="en-US" w:eastAsia="zh-CN"/>
              </w:rPr>
              <w:t>形成缩二脲</w:t>
            </w:r>
            <w:r>
              <w:rPr>
                <w:rFonts w:hint="default" w:ascii="Times New Roman" w:hAnsi="Times New Roman" w:cs="Times New Roman"/>
                <w:color w:val="auto"/>
                <w:sz w:val="24"/>
                <w:szCs w:val="24"/>
              </w:rPr>
              <w:t>：</w:t>
            </w:r>
          </w:p>
          <w:p>
            <w:pPr>
              <w:pStyle w:val="16"/>
              <w:keepNext w:val="0"/>
              <w:keepLines w:val="0"/>
              <w:pageBreakBefore w:val="0"/>
              <w:widowControl w:val="0"/>
              <w:kinsoku/>
              <w:wordWrap/>
              <w:overflowPunct/>
              <w:topLinePunct w:val="0"/>
              <w:autoSpaceDE/>
              <w:autoSpaceDN/>
              <w:bidi w:val="0"/>
              <w:spacing w:line="360" w:lineRule="auto"/>
              <w:ind w:left="0" w:leftChars="0" w:firstLine="0" w:firstLineChars="0"/>
              <w:rPr>
                <w:rFonts w:hint="default" w:ascii="Times New Roman" w:hAnsi="Times New Roman"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drawing>
                <wp:inline distT="0" distB="0" distL="114300" distR="114300">
                  <wp:extent cx="5448935" cy="1386840"/>
                  <wp:effectExtent l="0" t="0" r="18415" b="3810"/>
                  <wp:docPr id="11" name="图片 11" descr="1665995848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65995848728"/>
                          <pic:cNvPicPr>
                            <a:picLocks noChangeAspect="1"/>
                          </pic:cNvPicPr>
                        </pic:nvPicPr>
                        <pic:blipFill>
                          <a:blip r:embed="rId38"/>
                          <a:stretch>
                            <a:fillRect/>
                          </a:stretch>
                        </pic:blipFill>
                        <pic:spPr>
                          <a:xfrm>
                            <a:off x="0" y="0"/>
                            <a:ext cx="5448935" cy="1386840"/>
                          </a:xfrm>
                          <a:prstGeom prst="rect">
                            <a:avLst/>
                          </a:prstGeom>
                        </pic:spPr>
                      </pic:pic>
                    </a:graphicData>
                  </a:graphic>
                </wp:inline>
              </w:drawing>
            </w:r>
          </w:p>
          <w:p>
            <w:pPr>
              <w:pStyle w:val="16"/>
              <w:spacing w:line="360" w:lineRule="auto"/>
              <w:ind w:firstLine="480" w:firstLineChars="200"/>
              <w:rPr>
                <w:rFonts w:hint="default" w:ascii="Times New Roman" w:hAnsi="Times New Roman" w:eastAsia="宋体" w:cs="Times New Roman"/>
                <w:b w:val="0"/>
                <w:bCs w:val="0"/>
                <w:color w:val="auto"/>
                <w:sz w:val="24"/>
                <w:lang w:val="en-US" w:eastAsia="zh-CN"/>
              </w:rPr>
            </w:pPr>
            <w:r>
              <w:rPr>
                <w:rFonts w:hint="default" w:ascii="Times New Roman" w:hAnsi="Times New Roman" w:cs="Times New Roman"/>
                <w:b w:val="0"/>
                <w:bCs w:val="0"/>
                <w:color w:val="auto"/>
                <w:sz w:val="24"/>
                <w:lang w:val="en-US" w:eastAsia="zh-CN"/>
              </w:rPr>
              <w:t>发泡过程中需要通入除湿后的空气，控制形成的气泡密度，形成均匀分布的细小气泡。除了产生非甲烷总烃、MDI，相应的会伴有明显的异味，异味以臭气浓度计。此过程会产生非甲烷总烃、MDI、臭气浓度、噪声。</w:t>
            </w:r>
          </w:p>
          <w:p>
            <w:pPr>
              <w:pStyle w:val="16"/>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③</w:t>
            </w:r>
            <w:r>
              <w:rPr>
                <w:rFonts w:hint="default" w:ascii="Times New Roman" w:hAnsi="Times New Roman" w:cs="Times New Roman"/>
                <w:b/>
                <w:bCs/>
                <w:color w:val="auto"/>
                <w:sz w:val="24"/>
                <w:lang w:val="en-US" w:eastAsia="zh-CN"/>
              </w:rPr>
              <w:t>流平</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发泡好的物料呈现细密泡沫流体状，通过压力挤出流到已铺平的PET原膜上，通过涂布工段刮平，此工序会产生非甲烷总烃、MDI、臭气浓度及噪声</w:t>
            </w:r>
            <w:r>
              <w:rPr>
                <w:rFonts w:hint="default" w:ascii="Times New Roman" w:hAnsi="Times New Roman" w:cs="Times New Roman"/>
                <w:color w:val="auto"/>
                <w:sz w:val="24"/>
              </w:rPr>
              <w:t>。</w:t>
            </w:r>
          </w:p>
          <w:p>
            <w:pPr>
              <w:pStyle w:val="16"/>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④</w:t>
            </w:r>
            <w:r>
              <w:rPr>
                <w:rFonts w:hint="default" w:ascii="Times New Roman" w:hAnsi="Times New Roman" w:cs="Times New Roman"/>
                <w:b/>
                <w:bCs/>
                <w:color w:val="auto"/>
                <w:sz w:val="24"/>
                <w:lang w:val="en-US" w:eastAsia="zh-CN"/>
              </w:rPr>
              <w:t>烘烤</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刮平后的物料进入烘烤工段，温度为100-160℃，烘烤2-3min可定型，热源来自</w:t>
            </w:r>
            <w:r>
              <w:rPr>
                <w:rFonts w:hint="default" w:ascii="Times New Roman" w:hAnsi="Times New Roman" w:cs="Times New Roman"/>
                <w:color w:val="auto"/>
                <w:lang w:val="en-US" w:eastAsia="zh-CN"/>
              </w:rPr>
              <w:t>燃烧机燃烧产生的热气</w:t>
            </w:r>
            <w:r>
              <w:rPr>
                <w:rFonts w:hint="default" w:ascii="Times New Roman" w:hAnsi="Times New Roman" w:cs="Times New Roman"/>
                <w:b w:val="0"/>
                <w:bCs w:val="0"/>
                <w:color w:val="auto"/>
                <w:sz w:val="24"/>
                <w:lang w:val="en-US" w:eastAsia="zh-CN"/>
              </w:rPr>
              <w:t>，</w:t>
            </w:r>
            <w:r>
              <w:rPr>
                <w:rFonts w:hint="default" w:ascii="Times New Roman" w:hAnsi="Times New Roman" w:cs="Times New Roman"/>
                <w:color w:val="auto"/>
                <w:szCs w:val="21"/>
                <w:highlight w:val="none"/>
              </w:rPr>
              <w:t>通过热传导进行间接加热。</w:t>
            </w:r>
            <w:r>
              <w:rPr>
                <w:rFonts w:hint="default" w:ascii="Times New Roman" w:hAnsi="Times New Roman" w:cs="Times New Roman"/>
                <w:b w:val="0"/>
                <w:bCs w:val="0"/>
                <w:color w:val="auto"/>
                <w:sz w:val="24"/>
                <w:lang w:val="en-US" w:eastAsia="zh-CN"/>
              </w:rPr>
              <w:t>此工序会产生非甲烷总烃、臭气浓度、及噪声</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天然气燃烧会产生</w:t>
            </w:r>
            <w:r>
              <w:rPr>
                <w:rFonts w:hint="default" w:ascii="Times New Roman" w:hAnsi="Times New Roman" w:cs="Times New Roman"/>
                <w:b w:val="0"/>
                <w:bCs w:val="0"/>
                <w:color w:val="auto"/>
                <w:sz w:val="24"/>
                <w:lang w:val="en-US" w:eastAsia="zh-CN"/>
              </w:rPr>
              <w:t>NOx、SO</w:t>
            </w:r>
            <w:r>
              <w:rPr>
                <w:rFonts w:hint="default" w:ascii="Times New Roman" w:hAnsi="Times New Roman" w:cs="Times New Roman"/>
                <w:b w:val="0"/>
                <w:bCs w:val="0"/>
                <w:color w:val="auto"/>
                <w:sz w:val="24"/>
                <w:vertAlign w:val="subscript"/>
                <w:lang w:val="en-US" w:eastAsia="zh-CN"/>
              </w:rPr>
              <w:t>2</w:t>
            </w:r>
            <w:r>
              <w:rPr>
                <w:rFonts w:hint="default" w:ascii="Times New Roman" w:hAnsi="Times New Roman" w:cs="Times New Roman"/>
                <w:b w:val="0"/>
                <w:bCs w:val="0"/>
                <w:color w:val="auto"/>
                <w:sz w:val="24"/>
                <w:lang w:val="en-US" w:eastAsia="zh-CN"/>
              </w:rPr>
              <w:t>、烟尘。</w:t>
            </w:r>
          </w:p>
          <w:p>
            <w:pPr>
              <w:pStyle w:val="16"/>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rPr>
              <w:t>⑤</w:t>
            </w:r>
            <w:r>
              <w:rPr>
                <w:rFonts w:hint="default" w:ascii="Times New Roman" w:hAnsi="Times New Roman" w:cs="Times New Roman"/>
                <w:b/>
                <w:bCs/>
                <w:color w:val="auto"/>
                <w:sz w:val="24"/>
                <w:lang w:val="en-US" w:eastAsia="zh-CN"/>
              </w:rPr>
              <w:t>涂布</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定型后的物料进入二次涂层工段，在物料表面涂上聚氨酯胶粘剂</w:t>
            </w:r>
            <w:r>
              <w:rPr>
                <w:rFonts w:hint="default" w:ascii="Times New Roman" w:hAnsi="Times New Roman" w:cs="Times New Roman"/>
                <w:color w:val="auto"/>
                <w:sz w:val="24"/>
              </w:rPr>
              <w:t>，</w:t>
            </w:r>
            <w:r>
              <w:rPr>
                <w:rFonts w:hint="default" w:ascii="Times New Roman" w:hAnsi="Times New Roman" w:cs="Times New Roman"/>
                <w:b w:val="0"/>
                <w:bCs w:val="0"/>
                <w:color w:val="auto"/>
                <w:sz w:val="24"/>
                <w:lang w:val="en-US" w:eastAsia="zh-CN"/>
              </w:rPr>
              <w:t>此工序</w:t>
            </w:r>
            <w:r>
              <w:rPr>
                <w:rFonts w:hint="default" w:ascii="Times New Roman" w:hAnsi="Times New Roman" w:cs="Times New Roman"/>
                <w:color w:val="auto"/>
                <w:sz w:val="24"/>
              </w:rPr>
              <w:t>会产生VOCs、噪声。</w:t>
            </w:r>
          </w:p>
          <w:p>
            <w:pPr>
              <w:pStyle w:val="16"/>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lang w:val="en-US" w:eastAsia="zh-CN"/>
              </w:rPr>
              <w:t>⑥UV固化：</w:t>
            </w:r>
            <w:r>
              <w:rPr>
                <w:rFonts w:hint="default" w:ascii="Times New Roman" w:hAnsi="Times New Roman" w:cs="Times New Roman"/>
                <w:b w:val="0"/>
                <w:bCs w:val="0"/>
                <w:color w:val="auto"/>
                <w:sz w:val="24"/>
                <w:lang w:val="en-US" w:eastAsia="zh-CN"/>
              </w:rPr>
              <w:t>涂好聚氨酯胶粘剂的物料经UV固化工段固化，5-10s即可固化完成，UV灯管需定期更换，此工序</w:t>
            </w:r>
            <w:r>
              <w:rPr>
                <w:rFonts w:hint="default" w:ascii="Times New Roman" w:hAnsi="Times New Roman" w:cs="Times New Roman"/>
                <w:b w:val="0"/>
                <w:bCs w:val="0"/>
                <w:color w:val="auto"/>
                <w:sz w:val="24"/>
              </w:rPr>
              <w:t>会产</w:t>
            </w:r>
            <w:r>
              <w:rPr>
                <w:rFonts w:hint="default" w:ascii="Times New Roman" w:hAnsi="Times New Roman" w:cs="Times New Roman"/>
                <w:color w:val="auto"/>
                <w:sz w:val="24"/>
              </w:rPr>
              <w:t>生</w:t>
            </w:r>
            <w:r>
              <w:rPr>
                <w:rFonts w:hint="default" w:ascii="Times New Roman" w:hAnsi="Times New Roman" w:cs="Times New Roman"/>
                <w:color w:val="auto"/>
                <w:sz w:val="24"/>
                <w:lang w:val="en-US" w:eastAsia="zh-CN"/>
              </w:rPr>
              <w:t>废UV灯管、</w:t>
            </w:r>
            <w:r>
              <w:rPr>
                <w:rFonts w:hint="default" w:ascii="Times New Roman" w:hAnsi="Times New Roman" w:cs="Times New Roman"/>
                <w:color w:val="auto"/>
                <w:sz w:val="24"/>
              </w:rPr>
              <w:t>VOCs、噪声。</w:t>
            </w:r>
          </w:p>
          <w:p>
            <w:pPr>
              <w:pStyle w:val="16"/>
              <w:spacing w:line="360" w:lineRule="auto"/>
              <w:ind w:firstLine="482" w:firstLineChars="200"/>
              <w:rPr>
                <w:rFonts w:hint="default" w:ascii="Times New Roman" w:hAnsi="Times New Roman" w:cs="Times New Roman"/>
                <w:b w:val="0"/>
                <w:bCs w:val="0"/>
                <w:color w:val="auto"/>
                <w:sz w:val="24"/>
                <w:lang w:val="en-US" w:eastAsia="zh-CN"/>
              </w:rPr>
            </w:pPr>
            <w:r>
              <w:rPr>
                <w:rFonts w:hint="default" w:ascii="Times New Roman" w:hAnsi="Times New Roman" w:cs="Times New Roman"/>
                <w:b/>
                <w:bCs/>
                <w:color w:val="auto"/>
                <w:sz w:val="24"/>
                <w:lang w:val="en-US" w:eastAsia="zh-CN"/>
              </w:rPr>
              <w:t>⑦收卷分切：</w:t>
            </w:r>
            <w:r>
              <w:rPr>
                <w:rFonts w:hint="default" w:ascii="Times New Roman" w:hAnsi="Times New Roman" w:cs="Times New Roman"/>
                <w:b w:val="0"/>
                <w:bCs w:val="0"/>
                <w:color w:val="auto"/>
                <w:sz w:val="24"/>
                <w:lang w:val="en-US" w:eastAsia="zh-CN"/>
              </w:rPr>
              <w:t>固化完成后的物料极为聚氨酯高密度棉，经收卷工段收卷分切，此工序会产生聚氨酯发泡棉边角料。</w:t>
            </w:r>
          </w:p>
          <w:p>
            <w:pPr>
              <w:pStyle w:val="16"/>
              <w:spacing w:line="360" w:lineRule="auto"/>
              <w:ind w:firstLine="482" w:firstLineChars="200"/>
              <w:rPr>
                <w:rFonts w:hint="default" w:ascii="Times New Roman" w:hAnsi="Times New Roman" w:cs="Times New Roman"/>
                <w:color w:val="auto"/>
                <w:sz w:val="24"/>
              </w:rPr>
            </w:pPr>
            <w:r>
              <w:rPr>
                <w:rFonts w:hint="default" w:ascii="Times New Roman" w:hAnsi="Times New Roman" w:cs="Times New Roman"/>
                <w:b/>
                <w:bCs/>
                <w:color w:val="auto"/>
                <w:sz w:val="24"/>
                <w:lang w:val="en-US" w:eastAsia="zh-CN"/>
              </w:rPr>
              <w:t>⑧包装入库</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使用PE拉伸膜将产品包装好之后暂存于成品仓库，按需出货</w:t>
            </w:r>
            <w:r>
              <w:rPr>
                <w:rFonts w:hint="default" w:ascii="Times New Roman" w:hAnsi="Times New Roman" w:cs="Times New Roman"/>
                <w:b w:val="0"/>
                <w:bCs w:val="0"/>
                <w:color w:val="auto"/>
                <w:sz w:val="24"/>
              </w:rPr>
              <w:t>。</w:t>
            </w:r>
          </w:p>
          <w:p>
            <w:pPr>
              <w:adjustRightInd w:val="0"/>
              <w:snapToGrid w:val="0"/>
              <w:rPr>
                <w:rFonts w:hint="default" w:ascii="Times New Roman" w:hAnsi="Times New Roman" w:eastAsia="宋体" w:cs="Times New Roman"/>
                <w:b/>
                <w:color w:val="auto"/>
                <w:szCs w:val="21"/>
                <w:lang w:val="en-US" w:eastAsia="zh-CN"/>
              </w:rPr>
            </w:pPr>
          </w:p>
          <w:p>
            <w:pPr>
              <w:adjustRightInd w:val="0"/>
              <w:snapToGrid w:val="0"/>
              <w:ind w:firstLine="482" w:firstLineChars="200"/>
              <w:rPr>
                <w:rFonts w:hint="default" w:ascii="Times New Roman" w:hAnsi="Times New Roman" w:cs="Times New Roman"/>
                <w:bCs/>
                <w:color w:val="auto"/>
                <w:szCs w:val="21"/>
              </w:rPr>
            </w:pPr>
            <w:r>
              <w:rPr>
                <w:rFonts w:hint="default" w:ascii="Times New Roman" w:hAnsi="Times New Roman" w:cs="Times New Roman"/>
                <w:b/>
                <w:color w:val="auto"/>
                <w:szCs w:val="21"/>
              </w:rPr>
              <w:t>二、产污环节</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lang w:eastAsia="zh-CN"/>
              </w:rPr>
              <w:t>扩建项目</w:t>
            </w:r>
            <w:r>
              <w:rPr>
                <w:rFonts w:hint="default" w:ascii="Times New Roman" w:hAnsi="Times New Roman" w:cs="Times New Roman"/>
                <w:bCs/>
                <w:color w:val="auto"/>
                <w:szCs w:val="21"/>
              </w:rPr>
              <w:t>产生的污染物如下表所示：</w:t>
            </w:r>
          </w:p>
          <w:p>
            <w:pPr>
              <w:pStyle w:val="41"/>
              <w:rPr>
                <w:rFonts w:hint="default" w:ascii="Times New Roman" w:hAnsi="Times New Roman" w:cs="Times New Roman"/>
                <w:color w:val="auto"/>
              </w:rPr>
            </w:pP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扩建项目产污环节</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901"/>
              <w:gridCol w:w="2217"/>
              <w:gridCol w:w="3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73"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类别</w:t>
                  </w: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产污工序</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73" w:type="pct"/>
                  <w:vMerge w:val="restar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预搅拌、</w:t>
                  </w:r>
                  <w:r>
                    <w:rPr>
                      <w:rFonts w:hint="default" w:ascii="Times New Roman" w:hAnsi="Times New Roman" w:cs="Times New Roman"/>
                      <w:color w:val="auto"/>
                      <w:sz w:val="21"/>
                      <w:szCs w:val="21"/>
                      <w:lang w:val="en-US" w:eastAsia="zh-CN"/>
                    </w:rPr>
                    <w:t>涂布、烤干</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VOCs</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收集后经1套“水喷淋+干式过滤器+二级活性炭吸附装置”处理后经1根15m高的排气筒DA003排放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预搅拌、混合发泡、流平、烘烤</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非甲烷总烃、MDI、臭气浓度</w:t>
                  </w:r>
                </w:p>
              </w:tc>
              <w:tc>
                <w:tcPr>
                  <w:tcW w:w="2266" w:type="pct"/>
                  <w:vMerge w:val="restart"/>
                  <w:tcBorders>
                    <w:tl2br w:val="nil"/>
                    <w:tr2bl w:val="nil"/>
                  </w:tcBorders>
                  <w:noWrap/>
                  <w:vAlign w:val="center"/>
                </w:tcPr>
                <w:p>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color w:val="auto"/>
                      <w:sz w:val="21"/>
                      <w:szCs w:val="21"/>
                      <w:highlight w:val="none"/>
                      <w:lang w:val="en-US" w:eastAsia="zh-CN"/>
                    </w:rPr>
                    <w:t>收集后经1套“水喷淋+干式过滤器+二级活性炭吸附装置”处理后经1根15m高的排气筒DA004排放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涂布、UV固化</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VOCs</w:t>
                  </w:r>
                </w:p>
              </w:tc>
              <w:tc>
                <w:tcPr>
                  <w:tcW w:w="2266"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天然气燃烧</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烟尘、NOx、SO</w:t>
                  </w:r>
                  <w:r>
                    <w:rPr>
                      <w:rFonts w:hint="default" w:ascii="Times New Roman" w:hAnsi="Times New Roman" w:eastAsia="宋体" w:cs="Times New Roman"/>
                      <w:color w:val="auto"/>
                      <w:kern w:val="2"/>
                      <w:sz w:val="21"/>
                      <w:szCs w:val="21"/>
                      <w:vertAlign w:val="subscript"/>
                      <w:lang w:val="en-US" w:eastAsia="zh-CN" w:bidi="ar-SA"/>
                    </w:rPr>
                    <w:t>2</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采用低氮燃烧技术处理，废气经1根22m高的排气筒DA005排放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73" w:type="pct"/>
                  <w:vMerge w:val="restar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混合发泡间接冷却</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冷却废水</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循环使用，定期补充，不外排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废气水喷淋</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喷淋废水</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收集后交由有资质单位处理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73" w:type="pct"/>
                  <w:vMerge w:val="restar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固体废物</w:t>
                  </w:r>
                </w:p>
              </w:tc>
              <w:tc>
                <w:tcPr>
                  <w:tcW w:w="1089" w:type="pct"/>
                  <w:tcBorders>
                    <w:tl2br w:val="nil"/>
                    <w:tr2bl w:val="nil"/>
                  </w:tcBorders>
                  <w:noWrap/>
                  <w:vAlign w:val="center"/>
                </w:tcPr>
                <w:p>
                  <w:pPr>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裁切</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保护膜边角料</w:t>
                  </w:r>
                </w:p>
              </w:tc>
              <w:tc>
                <w:tcPr>
                  <w:tcW w:w="2266" w:type="pct"/>
                  <w:vMerge w:val="restart"/>
                  <w:tcBorders>
                    <w:tl2br w:val="nil"/>
                    <w:tr2bl w:val="nil"/>
                  </w:tcBorders>
                  <w:noWrap/>
                  <w:vAlign w:val="center"/>
                </w:tcPr>
                <w:p>
                  <w:pPr>
                    <w:adjustRightInd w:val="0"/>
                    <w:snapToGrid w:val="0"/>
                    <w:spacing w:line="24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收集后交由专业回收公司处理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包装</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废包装材料</w:t>
                  </w:r>
                </w:p>
              </w:tc>
              <w:tc>
                <w:tcPr>
                  <w:tcW w:w="2266"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收卷分切</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聚氨酯发泡棉边角料</w:t>
                  </w:r>
                </w:p>
              </w:tc>
              <w:tc>
                <w:tcPr>
                  <w:tcW w:w="2266"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73"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UV固化</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废UV灯管</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收集后交由有资质单位处理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73"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089"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生产设备</w:t>
                  </w:r>
                </w:p>
              </w:tc>
              <w:tc>
                <w:tcPr>
                  <w:tcW w:w="1270"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设备噪声</w:t>
                  </w:r>
                </w:p>
              </w:tc>
              <w:tc>
                <w:tcPr>
                  <w:tcW w:w="2266" w:type="pct"/>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b w:val="0"/>
                      <w:bCs w:val="0"/>
                      <w:color w:val="auto"/>
                      <w:sz w:val="21"/>
                      <w:szCs w:val="21"/>
                      <w:vertAlign w:val="baseline"/>
                      <w:lang w:val="en-US" w:eastAsia="zh-CN"/>
                    </w:rPr>
                    <w:t>设备选型、隔声降噪等</w:t>
                  </w:r>
                </w:p>
              </w:tc>
            </w:tr>
          </w:tbl>
          <w:p>
            <w:pPr>
              <w:pStyle w:val="41"/>
              <w:rPr>
                <w:rFonts w:hint="default" w:ascii="Times New Roman" w:hAnsi="Times New Roman" w:cs="Times New Roman"/>
                <w:bCs/>
                <w:color w:val="auto"/>
                <w:szCs w:val="21"/>
              </w:rPr>
            </w:pPr>
          </w:p>
          <w:p>
            <w:pPr>
              <w:pStyle w:val="7"/>
              <w:rPr>
                <w:rFonts w:hint="default" w:ascii="Times New Roman" w:hAnsi="Times New Roman" w:cs="Times New Roman"/>
                <w:bCs/>
                <w:color w:val="auto"/>
                <w:szCs w:val="21"/>
              </w:rPr>
            </w:pPr>
          </w:p>
          <w:p>
            <w:pPr>
              <w:rPr>
                <w:rFonts w:hint="default" w:ascii="Times New Roman" w:hAnsi="Times New Roman" w:cs="Times New Roman"/>
                <w:bCs/>
                <w:color w:val="auto"/>
                <w:szCs w:val="21"/>
              </w:rPr>
            </w:pPr>
          </w:p>
          <w:p>
            <w:pPr>
              <w:pStyle w:val="41"/>
              <w:rPr>
                <w:rFonts w:hint="default" w:ascii="Times New Roman" w:hAnsi="Times New Roman" w:cs="Times New Roman"/>
                <w:bCs/>
                <w:color w:val="auto"/>
                <w:szCs w:val="21"/>
              </w:rPr>
            </w:pPr>
          </w:p>
          <w:p>
            <w:pPr>
              <w:pStyle w:val="7"/>
              <w:rPr>
                <w:rFonts w:hint="default" w:ascii="Times New Roman" w:hAnsi="Times New Roman" w:cs="Times New Roman"/>
                <w:bCs/>
                <w:color w:val="auto"/>
                <w:szCs w:val="21"/>
              </w:rPr>
            </w:pPr>
          </w:p>
          <w:p>
            <w:pPr>
              <w:rPr>
                <w:rFonts w:hint="default" w:ascii="Times New Roman" w:hAnsi="Times New Roman" w:cs="Times New Roman"/>
                <w:bCs/>
                <w:color w:val="auto"/>
                <w:szCs w:val="21"/>
              </w:rPr>
            </w:pPr>
          </w:p>
          <w:p>
            <w:pPr>
              <w:pStyle w:val="41"/>
              <w:rPr>
                <w:rFonts w:hint="default" w:ascii="Times New Roman" w:hAnsi="Times New Roman" w:cs="Times New Roman"/>
                <w:bCs/>
                <w:color w:val="auto"/>
                <w:szCs w:val="21"/>
              </w:rPr>
            </w:pPr>
          </w:p>
          <w:p>
            <w:pPr>
              <w:adjustRightInd w:val="0"/>
              <w:snapToGrid w:val="0"/>
              <w:rPr>
                <w:rFonts w:hint="default" w:ascii="Times New Roman" w:hAnsi="Times New Roman" w:eastAsia="宋体" w:cs="Times New Roman"/>
                <w:bCs/>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58" w:hRule="atLeast"/>
          <w:jc w:val="center"/>
        </w:trPr>
        <w:tc>
          <w:tcPr>
            <w:tcW w:w="457" w:type="pct"/>
            <w:noWrap/>
            <w:vAlign w:val="center"/>
          </w:tcPr>
          <w:p>
            <w:pPr>
              <w:pStyle w:val="28"/>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
                <w:bCs w:val="0"/>
                <w:color w:val="auto"/>
                <w:kern w:val="2"/>
                <w:sz w:val="24"/>
                <w:szCs w:val="24"/>
              </w:rPr>
              <w:t>与项目有关的原有环境污染问题</w:t>
            </w:r>
          </w:p>
        </w:tc>
        <w:tc>
          <w:tcPr>
            <w:tcW w:w="4542" w:type="pct"/>
            <w:noWrap/>
          </w:tcPr>
          <w:p>
            <w:pPr>
              <w:adjustRightInd w:val="0"/>
              <w:snapToGrid w:val="0"/>
              <w:ind w:firstLine="482" w:firstLineChars="200"/>
              <w:jc w:val="left"/>
              <w:rPr>
                <w:rFonts w:hint="default" w:ascii="Times New Roman" w:hAnsi="Times New Roman" w:cs="Times New Roman"/>
                <w:color w:val="auto"/>
              </w:rPr>
            </w:pPr>
            <w:r>
              <w:rPr>
                <w:rFonts w:hint="default" w:ascii="Times New Roman" w:hAnsi="Times New Roman" w:cs="Times New Roman"/>
                <w:b/>
                <w:bCs/>
                <w:color w:val="auto"/>
              </w:rPr>
              <w:t>1、现有项目基本情况</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default" w:ascii="Times New Roman" w:hAnsi="Times New Roman" w:cs="Times New Roman"/>
                <w:bCs/>
                <w:color w:val="auto"/>
                <w:szCs w:val="21"/>
                <w:highlight w:val="none"/>
                <w:lang w:val="en-US" w:eastAsia="zh-CN"/>
              </w:rPr>
              <w:t>惠州冠宝新材料有限公司</w:t>
            </w:r>
            <w:r>
              <w:rPr>
                <w:rFonts w:hint="default" w:ascii="Times New Roman" w:hAnsi="Times New Roman" w:eastAsia="宋体" w:cs="Times New Roman"/>
                <w:bCs/>
                <w:color w:val="auto"/>
                <w:szCs w:val="21"/>
                <w:highlight w:val="none"/>
                <w:lang w:val="en-US" w:eastAsia="zh-CN"/>
              </w:rPr>
              <w:t>于</w:t>
            </w:r>
            <w:r>
              <w:rPr>
                <w:rFonts w:hint="default" w:ascii="Times New Roman" w:hAnsi="Times New Roman" w:cs="Times New Roman"/>
                <w:bCs/>
                <w:color w:val="auto"/>
                <w:szCs w:val="21"/>
                <w:highlight w:val="none"/>
                <w:lang w:val="en-US" w:eastAsia="zh-CN"/>
              </w:rPr>
              <w:t>2019</w:t>
            </w:r>
            <w:r>
              <w:rPr>
                <w:rFonts w:hint="default" w:ascii="Times New Roman" w:hAnsi="Times New Roman" w:eastAsia="宋体" w:cs="Times New Roman"/>
                <w:bCs/>
                <w:color w:val="auto"/>
                <w:szCs w:val="21"/>
                <w:highlight w:val="none"/>
                <w:lang w:val="en-US" w:eastAsia="zh-CN"/>
              </w:rPr>
              <w:t>年</w:t>
            </w:r>
            <w:r>
              <w:rPr>
                <w:rFonts w:hint="default" w:ascii="Times New Roman" w:hAnsi="Times New Roman" w:cs="Times New Roman"/>
                <w:bCs/>
                <w:color w:val="auto"/>
                <w:szCs w:val="21"/>
                <w:highlight w:val="none"/>
                <w:lang w:val="en-US" w:eastAsia="zh-CN"/>
              </w:rPr>
              <w:t>4</w:t>
            </w:r>
            <w:r>
              <w:rPr>
                <w:rFonts w:hint="default"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委托宁夏中蓝正华环境技术有限公司编制了《</w:t>
            </w:r>
            <w:r>
              <w:rPr>
                <w:rFonts w:hint="default" w:ascii="Times New Roman" w:hAnsi="Times New Roman" w:cs="Times New Roman"/>
                <w:bCs/>
                <w:color w:val="auto"/>
                <w:szCs w:val="21"/>
                <w:highlight w:val="none"/>
                <w:lang w:val="en-US" w:eastAsia="zh-CN"/>
              </w:rPr>
              <w:t>惠州冠宝新材料有限公司建设项目</w:t>
            </w:r>
            <w:r>
              <w:rPr>
                <w:rFonts w:hint="default" w:ascii="Times New Roman" w:hAnsi="Times New Roman" w:eastAsia="宋体" w:cs="Times New Roman"/>
                <w:color w:val="auto"/>
                <w:highlight w:val="none"/>
                <w:lang w:val="en-US" w:eastAsia="zh-CN"/>
              </w:rPr>
              <w:t>环境影响报告表》，</w:t>
            </w:r>
            <w:r>
              <w:rPr>
                <w:rFonts w:hint="default" w:ascii="Times New Roman" w:hAnsi="Times New Roman" w:cs="Times New Roman"/>
                <w:color w:val="auto"/>
                <w:highlight w:val="none"/>
                <w:lang w:val="en-US" w:eastAsia="zh-CN"/>
              </w:rPr>
              <w:t>并</w:t>
            </w:r>
            <w:r>
              <w:rPr>
                <w:rFonts w:hint="default" w:ascii="Times New Roman" w:hAnsi="Times New Roman" w:eastAsia="宋体" w:cs="Times New Roman"/>
                <w:color w:val="auto"/>
                <w:highlight w:val="none"/>
                <w:lang w:val="en-US" w:eastAsia="zh-CN"/>
              </w:rPr>
              <w:t>于</w:t>
            </w:r>
            <w:r>
              <w:rPr>
                <w:rFonts w:hint="default" w:ascii="Times New Roman" w:hAnsi="Times New Roman" w:cs="Times New Roman"/>
                <w:color w:val="auto"/>
                <w:highlight w:val="none"/>
                <w:lang w:val="en-US" w:eastAsia="zh-CN"/>
              </w:rPr>
              <w:t>2019</w:t>
            </w:r>
            <w:r>
              <w:rPr>
                <w:rFonts w:hint="default" w:ascii="Times New Roman" w:hAnsi="Times New Roman" w:eastAsia="宋体" w:cs="Times New Roman"/>
                <w:color w:val="auto"/>
                <w:highlight w:val="none"/>
                <w:lang w:val="en-US" w:eastAsia="zh-CN"/>
              </w:rPr>
              <w:t>年</w:t>
            </w:r>
            <w:r>
              <w:rPr>
                <w:rFonts w:hint="default" w:ascii="Times New Roman" w:hAnsi="Times New Roman" w:cs="Times New Roman"/>
                <w:color w:val="auto"/>
                <w:highlight w:val="none"/>
                <w:lang w:val="en-US" w:eastAsia="zh-CN"/>
              </w:rPr>
              <w:t>8</w:t>
            </w:r>
            <w:r>
              <w:rPr>
                <w:rFonts w:hint="default" w:ascii="Times New Roman" w:hAnsi="Times New Roman" w:eastAsia="宋体" w:cs="Times New Roman"/>
                <w:color w:val="auto"/>
                <w:highlight w:val="none"/>
                <w:lang w:val="en-US" w:eastAsia="zh-CN"/>
              </w:rPr>
              <w:t>月取</w:t>
            </w:r>
            <w:r>
              <w:rPr>
                <w:rFonts w:hint="default" w:ascii="Times New Roman" w:hAnsi="Times New Roman" w:cs="Times New Roman"/>
                <w:color w:val="auto"/>
                <w:highlight w:val="none"/>
                <w:lang w:val="en-US" w:eastAsia="zh-CN"/>
              </w:rPr>
              <w:t>得惠州市生态环境局博罗分局审批的</w:t>
            </w:r>
            <w:r>
              <w:rPr>
                <w:rFonts w:hint="default" w:ascii="Times New Roman" w:hAnsi="Times New Roman" w:eastAsia="宋体" w:cs="Times New Roman"/>
                <w:color w:val="auto"/>
                <w:highlight w:val="none"/>
                <w:lang w:val="en-US" w:eastAsia="zh-CN"/>
              </w:rPr>
              <w:t>《关于惠州市冠宝新材料有限公司建设项目环境影响报告表的批复》（惠市环（博罗）建〔2019〕174号，见附件</w:t>
            </w:r>
            <w:r>
              <w:rPr>
                <w:rFonts w:hint="default" w:ascii="Times New Roman" w:hAnsi="Times New Roman"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default" w:ascii="Times New Roman" w:hAnsi="Times New Roman"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en-US" w:eastAsia="zh-CN"/>
              </w:rPr>
              <w:t>月取得固定污染源排污登记回执</w:t>
            </w:r>
            <w:r>
              <w:rPr>
                <w:rFonts w:hint="default" w:ascii="Times New Roman" w:hAnsi="Times New Roman" w:eastAsia="宋体" w:cs="Times New Roman"/>
                <w:color w:val="auto"/>
                <w:sz w:val="24"/>
                <w:szCs w:val="24"/>
                <w:highlight w:val="none"/>
              </w:rPr>
              <w:t>（编号：91441322MA52W3FW87001Z</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default" w:ascii="Times New Roman" w:hAnsi="Times New Roman" w:cs="Times New Roman"/>
                <w:color w:val="auto"/>
                <w:highlight w:val="none"/>
                <w:lang w:val="en-US" w:eastAsia="zh-CN"/>
              </w:rPr>
              <w:t>6</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于</w:t>
            </w:r>
            <w:r>
              <w:rPr>
                <w:rFonts w:hint="default" w:ascii="Times New Roman" w:hAnsi="Times New Roman" w:eastAsia="宋体" w:cs="Times New Roman"/>
                <w:color w:val="auto"/>
                <w:sz w:val="24"/>
                <w:szCs w:val="24"/>
                <w:highlight w:val="none"/>
              </w:rPr>
              <w:t>20</w:t>
            </w:r>
            <w:r>
              <w:rPr>
                <w:rFonts w:hint="default" w:ascii="Times New Roman" w:hAnsi="Times New Roman"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rPr>
              <w:t>年</w:t>
            </w:r>
            <w:r>
              <w:rPr>
                <w:rFonts w:hint="default"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月</w:t>
            </w:r>
            <w:r>
              <w:rPr>
                <w:rFonts w:hint="default" w:ascii="Times New Roman" w:hAnsi="Times New Roman" w:cs="Times New Roman"/>
                <w:color w:val="auto"/>
                <w:sz w:val="24"/>
                <w:szCs w:val="24"/>
                <w:highlight w:val="none"/>
                <w:lang w:val="en-US" w:eastAsia="zh-CN"/>
              </w:rPr>
              <w:t>通过自主验收</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验收工作组意见</w:t>
            </w:r>
            <w:r>
              <w:rPr>
                <w:rFonts w:hint="default" w:ascii="Times New Roman" w:hAnsi="Times New Roman" w:eastAsia="宋体" w:cs="Times New Roman"/>
                <w:color w:val="auto"/>
                <w:sz w:val="24"/>
                <w:szCs w:val="24"/>
                <w:highlight w:val="none"/>
                <w:lang w:val="en-US" w:eastAsia="zh-CN"/>
              </w:rPr>
              <w:t>详见附件</w:t>
            </w:r>
            <w:r>
              <w:rPr>
                <w:rFonts w:hint="default" w:ascii="Times New Roman" w:hAnsi="Times New Roman" w:cs="Times New Roman"/>
                <w:color w:val="auto"/>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现有项目</w:t>
            </w:r>
            <w:r>
              <w:rPr>
                <w:rFonts w:hint="default" w:ascii="Times New Roman" w:hAnsi="Times New Roman" w:cs="Times New Roman"/>
                <w:color w:val="auto"/>
                <w:sz w:val="24"/>
                <w:szCs w:val="24"/>
                <w:highlight w:val="none"/>
              </w:rPr>
              <w:t>年产</w:t>
            </w:r>
            <w:r>
              <w:rPr>
                <w:rFonts w:hint="default" w:ascii="Times New Roman" w:hAnsi="Times New Roman" w:cs="Times New Roman"/>
                <w:color w:val="auto"/>
                <w:kern w:val="0"/>
                <w:sz w:val="24"/>
                <w:szCs w:val="24"/>
                <w:highlight w:val="none"/>
              </w:rPr>
              <w:t>PET保护膜600万m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kern w:val="0"/>
                <w:sz w:val="24"/>
                <w:szCs w:val="24"/>
                <w:highlight w:val="none"/>
              </w:rPr>
              <w:t>BOPP保护膜300万m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纸类标签材料100万m</w:t>
            </w:r>
            <w:r>
              <w:rPr>
                <w:rFonts w:hint="default" w:ascii="Times New Roman" w:hAnsi="Times New Roman" w:cs="Times New Roman"/>
                <w:color w:val="auto"/>
                <w:kern w:val="0"/>
                <w:sz w:val="24"/>
                <w:szCs w:val="24"/>
                <w:highlight w:val="none"/>
                <w:vertAlign w:val="superscript"/>
              </w:rPr>
              <w:t>2</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highlight w:val="none"/>
                <w:lang w:val="en-US" w:eastAsia="zh-CN"/>
              </w:rPr>
              <w:t>员工共计150人，均在厂内食宿。年工作300天，每天1班制，每班8小时。</w:t>
            </w:r>
          </w:p>
          <w:p>
            <w:pPr>
              <w:adjustRightInd w:val="0"/>
              <w:snapToGrid w:val="0"/>
              <w:ind w:firstLine="48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2、现有项目生产工艺流程图</w:t>
            </w:r>
          </w:p>
          <w:p>
            <w:pPr>
              <w:pStyle w:val="27"/>
              <w:ind w:left="0" w:leftChars="0" w:firstLine="0" w:firstLineChars="0"/>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drawing>
                <wp:inline distT="0" distB="0" distL="114300" distR="114300">
                  <wp:extent cx="5400040" cy="2237105"/>
                  <wp:effectExtent l="0" t="0" r="10160" b="10795"/>
                  <wp:docPr id="1" name="图片 1" descr="1665479194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5479194977"/>
                          <pic:cNvPicPr>
                            <a:picLocks noChangeAspect="1"/>
                          </pic:cNvPicPr>
                        </pic:nvPicPr>
                        <pic:blipFill>
                          <a:blip r:embed="rId39"/>
                          <a:stretch>
                            <a:fillRect/>
                          </a:stretch>
                        </pic:blipFill>
                        <pic:spPr>
                          <a:xfrm>
                            <a:off x="0" y="0"/>
                            <a:ext cx="5400040" cy="2237105"/>
                          </a:xfrm>
                          <a:prstGeom prst="rect">
                            <a:avLst/>
                          </a:prstGeom>
                        </pic:spPr>
                      </pic:pic>
                    </a:graphicData>
                  </a:graphic>
                </wp:inline>
              </w:drawing>
            </w:r>
          </w:p>
          <w:p>
            <w:pPr>
              <w:pStyle w:val="45"/>
              <w:numPr>
                <w:ilvl w:val="0"/>
                <w:numId w:val="0"/>
              </w:numPr>
              <w:bidi w:val="0"/>
              <w:ind w:leftChars="0"/>
              <w:jc w:val="center"/>
              <w:rPr>
                <w:rFonts w:hint="default" w:ascii="Times New Roman" w:hAnsi="Times New Roman" w:cs="Times New Roman"/>
                <w:color w:val="auto"/>
              </w:rPr>
            </w:pPr>
            <w:r>
              <w:rPr>
                <w:rFonts w:hint="default" w:ascii="Times New Roman" w:hAnsi="Times New Roman" w:cs="Times New Roman"/>
                <w:color w:val="auto"/>
                <w:lang w:val="en-US" w:eastAsia="zh-CN"/>
              </w:rPr>
              <w:t>图4 现有项目产品生产</w:t>
            </w:r>
            <w:r>
              <w:rPr>
                <w:rFonts w:hint="default" w:ascii="Times New Roman" w:hAnsi="Times New Roman" w:cs="Times New Roman"/>
                <w:color w:val="auto"/>
              </w:rPr>
              <w:t>工艺流程图</w:t>
            </w:r>
          </w:p>
          <w:p>
            <w:pPr>
              <w:adjustRightInd w:val="0"/>
              <w:snapToGrid w:val="0"/>
              <w:ind w:firstLine="482" w:firstLineChars="200"/>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工艺说明：</w:t>
            </w:r>
          </w:p>
          <w:p>
            <w:pPr>
              <w:adjustRightInd w:val="0"/>
              <w:snapToGrid w:val="0"/>
              <w:ind w:firstLine="482" w:firstLineChars="200"/>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1）</w:t>
            </w:r>
            <w:r>
              <w:rPr>
                <w:rFonts w:hint="default" w:ascii="Times New Roman" w:hAnsi="Times New Roman" w:cs="Times New Roman"/>
                <w:b/>
                <w:bCs w:val="0"/>
                <w:color w:val="auto"/>
                <w:szCs w:val="21"/>
                <w:highlight w:val="none"/>
                <w:lang w:val="en-US" w:eastAsia="zh-CN"/>
              </w:rPr>
              <w:t>配胶</w:t>
            </w:r>
            <w:r>
              <w:rPr>
                <w:rFonts w:hint="default" w:ascii="Times New Roman" w:hAnsi="Times New Roman" w:eastAsia="宋体" w:cs="Times New Roman"/>
                <w:b/>
                <w:bCs w:val="0"/>
                <w:color w:val="auto"/>
                <w:szCs w:val="21"/>
                <w:highlight w:val="none"/>
                <w:lang w:val="en-US" w:eastAsia="zh-CN"/>
              </w:rPr>
              <w:t>：</w:t>
            </w:r>
            <w:r>
              <w:rPr>
                <w:rFonts w:hint="default" w:ascii="Times New Roman" w:hAnsi="Times New Roman" w:eastAsia="宋体" w:cs="Times New Roman"/>
                <w:b w:val="0"/>
                <w:bCs/>
                <w:color w:val="auto"/>
                <w:szCs w:val="21"/>
                <w:highlight w:val="none"/>
                <w:lang w:val="en-US" w:eastAsia="zh-CN"/>
              </w:rPr>
              <w:t>将外购回来的亚克力胶水和助剂根据比例搅拌配置。配胶位采用集气罩对挥发的废气进行收集。</w:t>
            </w:r>
          </w:p>
          <w:p>
            <w:pPr>
              <w:adjustRightInd w:val="0"/>
              <w:snapToGrid w:val="0"/>
              <w:ind w:firstLine="482" w:firstLineChars="200"/>
              <w:rPr>
                <w:rFonts w:hint="default" w:ascii="Times New Roman" w:hAnsi="Times New Roman" w:cs="Times New Roman"/>
                <w:b w:val="0"/>
                <w:bCs/>
                <w:color w:val="auto"/>
                <w:szCs w:val="21"/>
                <w:highlight w:val="none"/>
              </w:rPr>
            </w:pPr>
            <w:r>
              <w:rPr>
                <w:rFonts w:hint="default" w:ascii="Times New Roman" w:hAnsi="Times New Roman" w:eastAsia="宋体" w:cs="Times New Roman"/>
                <w:b/>
                <w:bCs w:val="0"/>
                <w:color w:val="auto"/>
                <w:szCs w:val="21"/>
                <w:highlight w:val="none"/>
                <w:lang w:val="en-US" w:eastAsia="zh-CN"/>
              </w:rPr>
              <w:t>2）</w:t>
            </w:r>
            <w:r>
              <w:rPr>
                <w:rFonts w:hint="default" w:ascii="Times New Roman" w:hAnsi="Times New Roman" w:cs="Times New Roman"/>
                <w:b/>
                <w:bCs w:val="0"/>
                <w:color w:val="auto"/>
                <w:szCs w:val="21"/>
                <w:highlight w:val="none"/>
                <w:lang w:val="en-US" w:eastAsia="zh-CN"/>
              </w:rPr>
              <w:t>涂布</w:t>
            </w:r>
            <w:r>
              <w:rPr>
                <w:rFonts w:hint="default" w:ascii="Times New Roman" w:hAnsi="Times New Roman" w:eastAsia="宋体" w:cs="Times New Roman"/>
                <w:b/>
                <w:bCs w:val="0"/>
                <w:color w:val="auto"/>
                <w:szCs w:val="21"/>
                <w:highlight w:val="none"/>
                <w:lang w:val="en-US" w:eastAsia="zh-CN"/>
              </w:rPr>
              <w:t>：</w:t>
            </w:r>
            <w:r>
              <w:rPr>
                <w:rFonts w:hint="default" w:ascii="Times New Roman" w:hAnsi="Times New Roman" w:eastAsia="宋体" w:cs="Times New Roman"/>
                <w:b w:val="0"/>
                <w:bCs/>
                <w:color w:val="auto"/>
                <w:szCs w:val="21"/>
                <w:highlight w:val="none"/>
                <w:lang w:val="en-US" w:eastAsia="zh-CN"/>
              </w:rPr>
              <w:t>利用涂布机自动将配制好的胶水均匀涂在薄膜（印刷用纸）表层</w:t>
            </w:r>
            <w:r>
              <w:rPr>
                <w:rFonts w:hint="default" w:ascii="Times New Roman" w:hAnsi="Times New Roman" w:cs="Times New Roman"/>
                <w:b w:val="0"/>
                <w:bCs/>
                <w:color w:val="auto"/>
                <w:szCs w:val="21"/>
                <w:highlight w:val="none"/>
              </w:rPr>
              <w:t>。</w:t>
            </w:r>
          </w:p>
          <w:p>
            <w:pPr>
              <w:adjustRightInd w:val="0"/>
              <w:snapToGrid w:val="0"/>
              <w:ind w:firstLine="482" w:firstLineChars="200"/>
              <w:rPr>
                <w:rFonts w:hint="default" w:ascii="Times New Roman" w:hAnsi="Times New Roman" w:cs="Times New Roman"/>
                <w:b w:val="0"/>
                <w:bCs/>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3）烤干：</w:t>
            </w:r>
            <w:r>
              <w:rPr>
                <w:rFonts w:hint="default" w:ascii="Times New Roman" w:hAnsi="Times New Roman" w:eastAsia="宋体" w:cs="Times New Roman"/>
                <w:b w:val="0"/>
                <w:bCs/>
                <w:color w:val="auto"/>
                <w:szCs w:val="21"/>
                <w:highlight w:val="none"/>
                <w:lang w:val="en-US" w:eastAsia="zh-CN"/>
              </w:rPr>
              <w:t>将涂好胶水的保护膜送入涂布机自带的烘干系统进行干燥。烘干系统的热源为三塔蓄热式氧化炉（RTO装置）及电加热提供</w:t>
            </w:r>
            <w:r>
              <w:rPr>
                <w:rFonts w:hint="default" w:ascii="Times New Roman" w:hAnsi="Times New Roman" w:cs="Times New Roman"/>
                <w:b w:val="0"/>
                <w:bCs/>
                <w:color w:val="auto"/>
                <w:szCs w:val="21"/>
                <w:highlight w:val="none"/>
                <w:lang w:val="en-US" w:eastAsia="zh-CN"/>
              </w:rPr>
              <w:t>。</w:t>
            </w:r>
          </w:p>
          <w:p>
            <w:pPr>
              <w:adjustRightInd w:val="0"/>
              <w:snapToGrid w:val="0"/>
              <w:ind w:firstLine="482" w:firstLineChars="200"/>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4）</w:t>
            </w:r>
            <w:r>
              <w:rPr>
                <w:rFonts w:hint="default" w:ascii="Times New Roman" w:hAnsi="Times New Roman" w:cs="Times New Roman"/>
                <w:b/>
                <w:bCs w:val="0"/>
                <w:color w:val="auto"/>
                <w:szCs w:val="21"/>
                <w:highlight w:val="none"/>
                <w:lang w:val="en-US" w:eastAsia="zh-CN"/>
              </w:rPr>
              <w:t>复卷：</w:t>
            </w:r>
            <w:r>
              <w:rPr>
                <w:rFonts w:hint="default" w:ascii="Times New Roman" w:hAnsi="Times New Roman" w:eastAsia="宋体" w:cs="Times New Roman"/>
                <w:b w:val="0"/>
                <w:bCs/>
                <w:color w:val="auto"/>
                <w:szCs w:val="21"/>
                <w:highlight w:val="none"/>
                <w:lang w:val="en-US" w:eastAsia="zh-CN"/>
              </w:rPr>
              <w:t>将购进的离型膜（离型纸）与涂有胶水的薄膜（印刷用纸）使用复卷机进行叠加，形成双层结构保护膜。</w:t>
            </w:r>
          </w:p>
          <w:p>
            <w:pPr>
              <w:keepNext w:val="0"/>
              <w:keepLines w:val="0"/>
              <w:widowControl/>
              <w:suppressLineNumbers w:val="0"/>
              <w:ind w:firstLine="482" w:firstLineChars="200"/>
              <w:jc w:val="left"/>
              <w:rPr>
                <w:rFonts w:hint="default" w:ascii="Times New Roman" w:hAnsi="Times New Roman" w:cs="Times New Roman"/>
                <w:color w:val="auto"/>
              </w:rPr>
            </w:pPr>
            <w:r>
              <w:rPr>
                <w:rFonts w:hint="default" w:ascii="Times New Roman" w:hAnsi="Times New Roman" w:eastAsia="宋体" w:cs="Times New Roman"/>
                <w:b/>
                <w:bCs w:val="0"/>
                <w:color w:val="auto"/>
                <w:szCs w:val="21"/>
                <w:highlight w:val="none"/>
                <w:lang w:val="en-US" w:eastAsia="zh-CN"/>
              </w:rPr>
              <w:t>5）</w:t>
            </w:r>
            <w:r>
              <w:rPr>
                <w:rFonts w:hint="default" w:ascii="Times New Roman" w:hAnsi="Times New Roman" w:cs="Times New Roman"/>
                <w:b/>
                <w:bCs w:val="0"/>
                <w:color w:val="auto"/>
                <w:szCs w:val="21"/>
                <w:highlight w:val="none"/>
                <w:lang w:val="en-US" w:eastAsia="zh-CN"/>
              </w:rPr>
              <w:t>裁切</w:t>
            </w:r>
            <w:r>
              <w:rPr>
                <w:rFonts w:hint="default" w:ascii="Times New Roman" w:hAnsi="Times New Roman" w:eastAsia="宋体" w:cs="Times New Roman"/>
                <w:b/>
                <w:bCs/>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根据客户需求，用裁切机分切成不同的尺寸规格，即为成品。</w:t>
            </w:r>
          </w:p>
          <w:p>
            <w:pPr>
              <w:adjustRightInd w:val="0"/>
              <w:snapToGrid w:val="0"/>
              <w:ind w:firstLine="482" w:firstLineChars="200"/>
              <w:rPr>
                <w:rFonts w:hint="default" w:ascii="Times New Roman" w:hAnsi="Times New Roman" w:eastAsia="宋体" w:cs="Times New Roman"/>
                <w:b w:val="0"/>
                <w:bCs/>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6）</w:t>
            </w:r>
            <w:r>
              <w:rPr>
                <w:rFonts w:hint="default" w:ascii="Times New Roman" w:hAnsi="Times New Roman" w:cs="Times New Roman"/>
                <w:b/>
                <w:bCs w:val="0"/>
                <w:color w:val="auto"/>
                <w:szCs w:val="21"/>
                <w:highlight w:val="none"/>
                <w:lang w:val="en-US" w:eastAsia="zh-CN"/>
              </w:rPr>
              <w:t>包装、出货：</w:t>
            </w:r>
            <w:r>
              <w:rPr>
                <w:rFonts w:hint="default" w:ascii="Times New Roman" w:hAnsi="Times New Roman" w:cs="Times New Roman"/>
                <w:b w:val="0"/>
                <w:bCs/>
                <w:color w:val="auto"/>
                <w:szCs w:val="21"/>
                <w:highlight w:val="none"/>
                <w:lang w:val="en-US" w:eastAsia="zh-CN"/>
              </w:rPr>
              <w:t>将成品使用包装材料包装好之后，按客户要求出货。</w:t>
            </w:r>
          </w:p>
          <w:p>
            <w:pPr>
              <w:adjustRightInd w:val="0"/>
              <w:snapToGrid w:val="0"/>
              <w:ind w:firstLine="482" w:firstLineChars="200"/>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3、现有项目污染物产排情况</w:t>
            </w:r>
          </w:p>
          <w:p>
            <w:pPr>
              <w:adjustRightInd w:val="0"/>
              <w:snapToGrid w:val="0"/>
              <w:ind w:firstLine="482" w:firstLineChars="200"/>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rPr>
              <w:t>（1）废水</w:t>
            </w:r>
          </w:p>
          <w:p>
            <w:pPr>
              <w:adjustRightInd w:val="0"/>
              <w:snapToGrid w:val="0"/>
              <w:ind w:firstLine="482" w:firstLineChars="200"/>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cs="Times New Roman"/>
                <w:b/>
                <w:bCs w:val="0"/>
                <w:color w:val="auto"/>
                <w:szCs w:val="21"/>
                <w:highlight w:val="none"/>
                <w:lang w:val="en-US" w:eastAsia="zh-CN"/>
              </w:rPr>
              <w:t>1）生产废水</w:t>
            </w:r>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现有</w:t>
            </w:r>
            <w:r>
              <w:rPr>
                <w:rFonts w:hint="default" w:ascii="Times New Roman" w:hAnsi="Times New Roman" w:eastAsia="宋体" w:cs="Times New Roman"/>
                <w:color w:val="auto"/>
                <w:sz w:val="24"/>
                <w:szCs w:val="24"/>
                <w:highlight w:val="none"/>
                <w:lang w:val="en-US" w:eastAsia="zh-CN"/>
              </w:rPr>
              <w:t>项目</w:t>
            </w:r>
            <w:r>
              <w:rPr>
                <w:rFonts w:hint="default" w:ascii="Times New Roman" w:hAnsi="Times New Roman" w:cs="Times New Roman"/>
                <w:color w:val="auto"/>
                <w:sz w:val="24"/>
                <w:szCs w:val="24"/>
                <w:highlight w:val="none"/>
                <w:lang w:val="en-US" w:eastAsia="zh-CN"/>
              </w:rPr>
              <w:t>无生产废水产生及排放。</w:t>
            </w:r>
          </w:p>
          <w:p>
            <w:pPr>
              <w:adjustRightInd w:val="0"/>
              <w:snapToGrid w:val="0"/>
              <w:ind w:firstLine="482" w:firstLineChars="200"/>
              <w:rPr>
                <w:rFonts w:hint="default" w:ascii="Times New Roman" w:hAnsi="Times New Roman" w:cs="Times New Roman"/>
                <w:b/>
                <w:bCs w:val="0"/>
                <w:color w:val="auto"/>
                <w:szCs w:val="21"/>
              </w:rPr>
            </w:pPr>
            <w:r>
              <w:rPr>
                <w:rFonts w:hint="default" w:ascii="Times New Roman" w:hAnsi="Times New Roman" w:cs="Times New Roman"/>
                <w:b/>
                <w:bCs w:val="0"/>
                <w:color w:val="auto"/>
                <w:szCs w:val="21"/>
                <w:lang w:val="en-US" w:eastAsia="zh-CN"/>
              </w:rPr>
              <w:t>2）</w:t>
            </w:r>
            <w:r>
              <w:rPr>
                <w:rFonts w:hint="default" w:ascii="Times New Roman" w:hAnsi="Times New Roman" w:cs="Times New Roman"/>
                <w:b/>
                <w:bCs w:val="0"/>
                <w:color w:val="auto"/>
                <w:szCs w:val="21"/>
              </w:rPr>
              <w:t>生活污水</w:t>
            </w:r>
          </w:p>
          <w:p>
            <w:pPr>
              <w:adjustRightInd w:val="0"/>
              <w:snapToGrid w:val="0"/>
              <w:spacing w:line="360" w:lineRule="auto"/>
              <w:ind w:firstLine="480" w:firstLineChars="200"/>
              <w:rPr>
                <w:rFonts w:hint="default" w:ascii="Times New Roman" w:hAnsi="Times New Roman" w:cs="Times New Roman"/>
                <w:b w:val="0"/>
                <w:bCs/>
                <w:color w:val="auto"/>
                <w:sz w:val="24"/>
                <w:highlight w:val="none"/>
                <w:lang w:val="en-US" w:eastAsia="zh-CN"/>
              </w:rPr>
            </w:pPr>
            <w:r>
              <w:rPr>
                <w:rFonts w:hint="default" w:ascii="Times New Roman" w:hAnsi="Times New Roman" w:cs="Times New Roman"/>
                <w:bCs/>
                <w:color w:val="auto"/>
                <w:szCs w:val="21"/>
                <w:highlight w:val="none"/>
              </w:rPr>
              <w:t>现有项目劳动定员</w:t>
            </w:r>
            <w:r>
              <w:rPr>
                <w:rFonts w:hint="default" w:ascii="Times New Roman" w:hAnsi="Times New Roman" w:cs="Times New Roman"/>
                <w:bCs/>
                <w:color w:val="auto"/>
                <w:szCs w:val="21"/>
                <w:highlight w:val="none"/>
                <w:lang w:val="en-US" w:eastAsia="zh-CN"/>
              </w:rPr>
              <w:t>150</w:t>
            </w:r>
            <w:r>
              <w:rPr>
                <w:rFonts w:hint="default" w:ascii="Times New Roman" w:hAnsi="Times New Roman" w:cs="Times New Roman"/>
                <w:bCs/>
                <w:color w:val="auto"/>
                <w:szCs w:val="21"/>
                <w:highlight w:val="none"/>
              </w:rPr>
              <w:t>人，</w:t>
            </w:r>
            <w:r>
              <w:rPr>
                <w:rFonts w:hint="default" w:ascii="Times New Roman" w:hAnsi="Times New Roman" w:cs="Times New Roman"/>
                <w:bCs/>
                <w:color w:val="auto"/>
                <w:szCs w:val="21"/>
                <w:highlight w:val="none"/>
                <w:lang w:val="en-US" w:eastAsia="zh-CN"/>
              </w:rPr>
              <w:t>均</w:t>
            </w:r>
            <w:r>
              <w:rPr>
                <w:rFonts w:hint="default" w:ascii="Times New Roman" w:hAnsi="Times New Roman" w:cs="Times New Roman" w:eastAsiaTheme="minorEastAsia"/>
                <w:color w:val="auto"/>
                <w:sz w:val="24"/>
                <w:highlight w:val="none"/>
              </w:rPr>
              <w:t>在</w:t>
            </w:r>
            <w:r>
              <w:rPr>
                <w:rFonts w:hint="default" w:ascii="Times New Roman" w:hAnsi="Times New Roman" w:cs="Times New Roman" w:eastAsiaTheme="minorEastAsia"/>
                <w:color w:val="auto"/>
                <w:sz w:val="24"/>
                <w:highlight w:val="none"/>
                <w:lang w:val="en-US" w:eastAsia="zh-CN"/>
              </w:rPr>
              <w:t>厂区</w:t>
            </w:r>
            <w:r>
              <w:rPr>
                <w:rFonts w:hint="default" w:ascii="Times New Roman" w:hAnsi="Times New Roman" w:cs="Times New Roman" w:eastAsiaTheme="minorEastAsia"/>
                <w:color w:val="auto"/>
                <w:sz w:val="24"/>
                <w:highlight w:val="none"/>
              </w:rPr>
              <w:t>内</w:t>
            </w:r>
            <w:r>
              <w:rPr>
                <w:rFonts w:hint="default" w:ascii="Times New Roman" w:hAnsi="Times New Roman" w:cs="Times New Roman" w:eastAsiaTheme="minorEastAsia"/>
                <w:color w:val="auto"/>
                <w:sz w:val="24"/>
                <w:highlight w:val="none"/>
                <w:lang w:eastAsia="zh-CN"/>
              </w:rPr>
              <w:t>食宿</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员工生活污水产生量为7290</w:t>
            </w:r>
            <w:r>
              <w:rPr>
                <w:rFonts w:hint="default" w:ascii="Times New Roman" w:hAnsi="Times New Roman" w:cs="Times New Roman"/>
                <w:color w:val="auto"/>
                <w:highlight w:val="none"/>
                <w:lang w:eastAsia="zh-CN"/>
              </w:rPr>
              <w:t>t</w:t>
            </w:r>
            <w:r>
              <w:rPr>
                <w:rFonts w:hint="default" w:ascii="Times New Roman" w:hAnsi="Times New Roman" w:cs="Times New Roman"/>
                <w:color w:val="auto"/>
                <w:highlight w:val="none"/>
                <w:lang w:val="en-US" w:eastAsia="zh-CN"/>
              </w:rPr>
              <w:t>/a</w:t>
            </w:r>
            <w:r>
              <w:rPr>
                <w:rFonts w:hint="default" w:ascii="Times New Roman" w:hAnsi="Times New Roman" w:cs="Times New Roman" w:eastAsiaTheme="minorEastAsia"/>
                <w:bCs/>
                <w:color w:val="auto"/>
                <w:szCs w:val="21"/>
                <w:highlight w:val="none"/>
                <w:lang w:eastAsia="zh-CN"/>
              </w:rPr>
              <w:t>。</w:t>
            </w:r>
            <w:r>
              <w:rPr>
                <w:rFonts w:hint="default" w:ascii="Times New Roman" w:hAnsi="Times New Roman" w:eastAsia="宋体" w:cs="Times New Roman"/>
                <w:bCs/>
                <w:color w:val="auto"/>
                <w:szCs w:val="21"/>
                <w:highlight w:val="none"/>
                <w:lang w:val="en-US" w:eastAsia="zh-CN"/>
              </w:rPr>
              <w:t>主要污染因子为COD</w:t>
            </w:r>
            <w:r>
              <w:rPr>
                <w:rFonts w:hint="default" w:ascii="Times New Roman" w:hAnsi="Times New Roman" w:eastAsia="宋体" w:cs="Times New Roman"/>
                <w:bCs/>
                <w:color w:val="auto"/>
                <w:szCs w:val="21"/>
                <w:highlight w:val="none"/>
                <w:vertAlign w:val="subscript"/>
                <w:lang w:val="en-US" w:eastAsia="zh-CN"/>
              </w:rPr>
              <w:t>Cr</w:t>
            </w:r>
            <w:r>
              <w:rPr>
                <w:rFonts w:hint="default" w:ascii="Times New Roman" w:hAnsi="Times New Roman" w:eastAsia="宋体" w:cs="Times New Roman"/>
                <w:bCs/>
                <w:color w:val="auto"/>
                <w:szCs w:val="21"/>
                <w:highlight w:val="none"/>
                <w:lang w:val="en-US" w:eastAsia="zh-CN"/>
              </w:rPr>
              <w:t>、BOD</w:t>
            </w:r>
            <w:r>
              <w:rPr>
                <w:rFonts w:hint="default" w:ascii="Times New Roman" w:hAnsi="Times New Roman" w:eastAsia="宋体" w:cs="Times New Roman"/>
                <w:bCs/>
                <w:color w:val="auto"/>
                <w:szCs w:val="21"/>
                <w:highlight w:val="none"/>
                <w:vertAlign w:val="subscript"/>
                <w:lang w:val="en-US" w:eastAsia="zh-CN"/>
              </w:rPr>
              <w:t>5</w:t>
            </w:r>
            <w:r>
              <w:rPr>
                <w:rFonts w:hint="default" w:ascii="Times New Roman" w:hAnsi="Times New Roman" w:eastAsia="宋体" w:cs="Times New Roman"/>
                <w:bCs/>
                <w:color w:val="auto"/>
                <w:szCs w:val="21"/>
                <w:highlight w:val="none"/>
                <w:lang w:val="en-US" w:eastAsia="zh-CN"/>
              </w:rPr>
              <w:t>、SS、氨氮等</w:t>
            </w:r>
            <w:r>
              <w:rPr>
                <w:rFonts w:hint="default" w:ascii="Times New Roman" w:hAnsi="Times New Roman" w:cs="Times New Roman"/>
                <w:bCs/>
                <w:color w:val="auto"/>
                <w:szCs w:val="21"/>
                <w:highlight w:val="none"/>
                <w:lang w:val="en-US" w:eastAsia="zh-CN"/>
              </w:rPr>
              <w:t>，</w:t>
            </w:r>
            <w:r>
              <w:rPr>
                <w:rFonts w:hint="default" w:ascii="Times New Roman" w:hAnsi="Times New Roman" w:cs="Times New Roman"/>
                <w:b w:val="0"/>
                <w:bCs/>
                <w:color w:val="auto"/>
                <w:sz w:val="24"/>
                <w:highlight w:val="none"/>
                <w:lang w:val="en-US" w:eastAsia="zh-CN"/>
              </w:rPr>
              <w:t>经三级化粪池预处理后，由厂区自建的一体化生活污水处理设施处理达到广东省《水污染物排放限值》（DB44/26-2001）第二时段一级标准后排入铁场排渠，最终汇入沙河。</w:t>
            </w:r>
          </w:p>
          <w:p>
            <w:pPr>
              <w:numPr>
                <w:ilvl w:val="0"/>
                <w:numId w:val="0"/>
              </w:numPr>
              <w:ind w:firstLine="480" w:firstLineChars="200"/>
              <w:jc w:val="both"/>
              <w:outlineLvl w:val="9"/>
              <w:rPr>
                <w:rFonts w:hint="default" w:ascii="Times New Roman" w:hAnsi="Times New Roman" w:eastAsia="宋体" w:cs="Times New Roman"/>
                <w:b w:val="0"/>
                <w:bCs/>
                <w:color w:val="auto"/>
                <w:kern w:val="2"/>
                <w:sz w:val="24"/>
                <w:szCs w:val="21"/>
                <w:highlight w:val="none"/>
                <w:lang w:val="en-US" w:eastAsia="zh-CN" w:bidi="ar-SA"/>
              </w:rPr>
            </w:pPr>
            <w:r>
              <w:rPr>
                <w:rFonts w:hint="default" w:ascii="Times New Roman" w:hAnsi="Times New Roman" w:eastAsia="宋体" w:cs="Times New Roman"/>
                <w:b w:val="0"/>
                <w:bCs/>
                <w:color w:val="auto"/>
                <w:kern w:val="2"/>
                <w:sz w:val="24"/>
                <w:szCs w:val="21"/>
                <w:highlight w:val="none"/>
                <w:lang w:val="en-US" w:eastAsia="zh-CN" w:bidi="ar-SA"/>
              </w:rPr>
              <w:t>根据企业委托东莞市启丰检测技术服务有限公司于2021年3月30日出具的检测报告（报告编号：201719121669，详见附件8），生活污水经自建的一体化生活污水处理设施处理前后浓度如下：</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现有项目生活污水</w:t>
            </w:r>
            <w:r>
              <w:rPr>
                <w:rFonts w:hint="default" w:ascii="Times New Roman" w:hAnsi="Times New Roman" w:cs="Times New Roman"/>
                <w:color w:val="auto"/>
                <w:sz w:val="22"/>
                <w:szCs w:val="22"/>
                <w:highlight w:val="none"/>
                <w:lang w:val="en-US" w:eastAsia="zh-CN"/>
              </w:rPr>
              <w:t>处理前后浓度监测数据</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1082"/>
              <w:gridCol w:w="1860"/>
              <w:gridCol w:w="1511"/>
              <w:gridCol w:w="890"/>
              <w:gridCol w:w="843"/>
              <w:gridCol w:w="897"/>
              <w:gridCol w:w="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监测点位</w:t>
                  </w:r>
                </w:p>
              </w:tc>
              <w:tc>
                <w:tcPr>
                  <w:tcW w:w="620"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监测时间</w:t>
                  </w:r>
                </w:p>
              </w:tc>
              <w:tc>
                <w:tcPr>
                  <w:tcW w:w="1066"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样品编号</w:t>
                  </w:r>
                </w:p>
              </w:tc>
              <w:tc>
                <w:tcPr>
                  <w:tcW w:w="2783" w:type="pct"/>
                  <w:gridSpan w:val="5"/>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监测项目及监测结果</w:t>
                  </w:r>
                  <w:r>
                    <w:rPr>
                      <w:rFonts w:hint="default" w:ascii="Times New Roman" w:hAnsi="Times New Roman" w:cs="Times New Roman"/>
                      <w:b/>
                      <w:bCs/>
                      <w:color w:val="auto"/>
                      <w:sz w:val="21"/>
                      <w:szCs w:val="21"/>
                      <w:highlight w:val="none"/>
                      <w:lang w:val="en-US" w:eastAsia="zh-CN"/>
                    </w:rPr>
                    <w:t>（单位：mg/L；pH为无量纲）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bCs/>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bCs/>
                      <w:color w:val="auto"/>
                      <w:sz w:val="21"/>
                      <w:szCs w:val="21"/>
                      <w:highlight w:val="none"/>
                      <w:lang w:val="en-US" w:eastAsia="zh-CN"/>
                    </w:rPr>
                  </w:pPr>
                </w:p>
              </w:tc>
              <w:tc>
                <w:tcPr>
                  <w:tcW w:w="1066"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pH</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SS</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CODcr</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529"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生活污水处理前</w:t>
                  </w:r>
                </w:p>
              </w:tc>
              <w:tc>
                <w:tcPr>
                  <w:tcW w:w="62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HJ210315440</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7.21</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81</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438</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154</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HJ210315441</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7.08</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72</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415</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147</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HJ210315442</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7.14</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77</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392</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127</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HJ210315443</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6.95</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85</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419</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137</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HJ210315440</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7.23</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67</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431</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149</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HJ210315441</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7.06</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81</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458</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142</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HJ210315442</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6.98</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73</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438</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130</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HJ210315443</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7.21</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77</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417</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135</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p>
              </w:tc>
              <w:tc>
                <w:tcPr>
                  <w:tcW w:w="62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 xml:space="preserve">7.11 </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 xml:space="preserve">76.63 </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 xml:space="preserve">426.00 </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 xml:space="preserve">140.13 </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 xml:space="preserve">14.13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restart"/>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生活污水排放口</w:t>
                  </w:r>
                </w:p>
              </w:tc>
              <w:tc>
                <w:tcPr>
                  <w:tcW w:w="62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HJ210315444</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6.83</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19</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78</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13.4</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HJ210315445</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6.95</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25</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84</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16.8</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HJ210315446</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7.02</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16</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80</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15.9</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HJ210315447-HJ210315448</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6.88</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21</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76</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12.9</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HJ210315444</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7.05</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21</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79</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14.1</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HJ210315445</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7.01</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19</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81</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15.2</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i w:val="0"/>
                      <w:iCs w:val="0"/>
                      <w:color w:val="auto"/>
                      <w:kern w:val="0"/>
                      <w:sz w:val="21"/>
                      <w:szCs w:val="21"/>
                      <w:u w:val="none"/>
                      <w:lang w:val="en-US" w:eastAsia="zh-CN" w:bidi="ar"/>
                    </w:rPr>
                    <w:t>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HJ210315446</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6.82</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14</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71</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13.6</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HJ210315447-HJ210315448</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7.08</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19</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82</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16.3</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9" w:type="pct"/>
                  <w:vMerge w:val="continue"/>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eastAsia="zh-CN"/>
                    </w:rPr>
                  </w:pPr>
                </w:p>
              </w:tc>
              <w:tc>
                <w:tcPr>
                  <w:tcW w:w="62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0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86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6.96 </w:t>
                  </w:r>
                </w:p>
              </w:tc>
              <w:tc>
                <w:tcPr>
                  <w:tcW w:w="51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19.25 </w:t>
                  </w:r>
                </w:p>
              </w:tc>
              <w:tc>
                <w:tcPr>
                  <w:tcW w:w="48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78.88 </w:t>
                  </w:r>
                </w:p>
              </w:tc>
              <w:tc>
                <w:tcPr>
                  <w:tcW w:w="51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14.78 </w:t>
                  </w:r>
                </w:p>
              </w:tc>
              <w:tc>
                <w:tcPr>
                  <w:tcW w:w="40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2.42 </w:t>
                  </w:r>
                </w:p>
              </w:tc>
            </w:tr>
          </w:tbl>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现有项目生活污水中各污染物产生及排放</w:t>
            </w:r>
            <w:r>
              <w:rPr>
                <w:rFonts w:hint="default" w:ascii="Times New Roman" w:hAnsi="Times New Roman" w:cs="Times New Roman"/>
                <w:color w:val="auto"/>
                <w:sz w:val="22"/>
                <w:szCs w:val="22"/>
                <w:highlight w:val="none"/>
                <w:lang w:val="en-US" w:eastAsia="zh-CN"/>
              </w:rPr>
              <w:t>量</w:t>
            </w:r>
            <w:r>
              <w:rPr>
                <w:rFonts w:hint="default" w:ascii="Times New Roman" w:hAnsi="Times New Roman" w:eastAsia="宋体" w:cs="Times New Roman"/>
                <w:color w:val="auto"/>
                <w:sz w:val="22"/>
                <w:szCs w:val="22"/>
                <w:highlight w:val="none"/>
                <w:lang w:val="en-US" w:eastAsia="zh-CN"/>
              </w:rPr>
              <w:t>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14"/>
              <w:gridCol w:w="806"/>
              <w:gridCol w:w="1064"/>
              <w:gridCol w:w="1104"/>
              <w:gridCol w:w="1118"/>
              <w:gridCol w:w="1228"/>
              <w:gridCol w:w="1145"/>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生活污水量</w:t>
                  </w:r>
                  <w:r>
                    <w:rPr>
                      <w:rFonts w:hint="default" w:ascii="Times New Roman" w:hAnsi="Times New Roman" w:cs="Times New Roman"/>
                      <w:b/>
                      <w:bCs/>
                      <w:i w:val="0"/>
                      <w:iCs w:val="0"/>
                      <w:color w:val="auto"/>
                      <w:kern w:val="0"/>
                      <w:sz w:val="21"/>
                      <w:szCs w:val="21"/>
                      <w:u w:val="none"/>
                      <w:lang w:val="en-US" w:eastAsia="zh-CN" w:bidi="ar"/>
                    </w:rPr>
                    <w:t>（t/a）</w:t>
                  </w:r>
                </w:p>
              </w:tc>
              <w:tc>
                <w:tcPr>
                  <w:tcW w:w="4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污染物</w:t>
                  </w:r>
                </w:p>
              </w:tc>
              <w:tc>
                <w:tcPr>
                  <w:tcW w:w="6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产生浓度</w:t>
                  </w:r>
                  <w:r>
                    <w:rPr>
                      <w:rFonts w:hint="default" w:ascii="Times New Roman" w:hAnsi="Times New Roman" w:cs="Times New Roman"/>
                      <w:b/>
                      <w:bCs/>
                      <w:i w:val="0"/>
                      <w:iCs w:val="0"/>
                      <w:color w:val="auto"/>
                      <w:kern w:val="0"/>
                      <w:sz w:val="21"/>
                      <w:szCs w:val="21"/>
                      <w:u w:val="none"/>
                      <w:lang w:val="en-US" w:eastAsia="zh-CN" w:bidi="ar"/>
                    </w:rPr>
                    <w:t>（mg/L）</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产生量</w:t>
                  </w:r>
                  <w:r>
                    <w:rPr>
                      <w:rFonts w:hint="default" w:ascii="Times New Roman" w:hAnsi="Times New Roman" w:cs="Times New Roman"/>
                      <w:b/>
                      <w:bCs/>
                      <w:i w:val="0"/>
                      <w:iCs w:val="0"/>
                      <w:color w:val="auto"/>
                      <w:kern w:val="0"/>
                      <w:sz w:val="21"/>
                      <w:szCs w:val="21"/>
                      <w:u w:val="none"/>
                      <w:lang w:val="en-US" w:eastAsia="zh-CN" w:bidi="ar"/>
                    </w:rPr>
                    <w:t>（t/a）</w:t>
                  </w:r>
                </w:p>
              </w:tc>
              <w:tc>
                <w:tcPr>
                  <w:tcW w:w="6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排放浓度</w:t>
                  </w:r>
                  <w:r>
                    <w:rPr>
                      <w:rFonts w:hint="default" w:ascii="Times New Roman" w:hAnsi="Times New Roman" w:cs="Times New Roman"/>
                      <w:b/>
                      <w:bCs/>
                      <w:i w:val="0"/>
                      <w:iCs w:val="0"/>
                      <w:color w:val="auto"/>
                      <w:kern w:val="0"/>
                      <w:sz w:val="21"/>
                      <w:szCs w:val="21"/>
                      <w:u w:val="none"/>
                      <w:lang w:val="en-US" w:eastAsia="zh-CN" w:bidi="ar"/>
                    </w:rPr>
                    <w:t>（mg/L）</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排放量</w:t>
                  </w:r>
                  <w:r>
                    <w:rPr>
                      <w:rFonts w:hint="default" w:ascii="Times New Roman" w:hAnsi="Times New Roman" w:cs="Times New Roman"/>
                      <w:b/>
                      <w:bCs/>
                      <w:i w:val="0"/>
                      <w:iCs w:val="0"/>
                      <w:color w:val="auto"/>
                      <w:kern w:val="0"/>
                      <w:sz w:val="21"/>
                      <w:szCs w:val="21"/>
                      <w:u w:val="none"/>
                      <w:lang w:val="en-US" w:eastAsia="zh-CN" w:bidi="ar"/>
                    </w:rPr>
                    <w:t>（t/a）</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排放限值</w:t>
                  </w:r>
                  <w:r>
                    <w:rPr>
                      <w:rFonts w:hint="default" w:ascii="Times New Roman" w:hAnsi="Times New Roman" w:cs="Times New Roman"/>
                      <w:b/>
                      <w:bCs/>
                      <w:i w:val="0"/>
                      <w:iCs w:val="0"/>
                      <w:color w:val="auto"/>
                      <w:kern w:val="0"/>
                      <w:sz w:val="21"/>
                      <w:szCs w:val="21"/>
                      <w:u w:val="none"/>
                      <w:lang w:val="en-US" w:eastAsia="zh-CN" w:bidi="ar"/>
                    </w:rPr>
                    <w:t>（mg/L）</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总量控制指标</w:t>
                  </w:r>
                  <w:r>
                    <w:rPr>
                      <w:rFonts w:hint="default" w:ascii="Times New Roman" w:hAnsi="Times New Roman" w:cs="Times New Roman"/>
                      <w:b/>
                      <w:bCs/>
                      <w:i w:val="0"/>
                      <w:iCs w:val="0"/>
                      <w:color w:val="auto"/>
                      <w:kern w:val="0"/>
                      <w:sz w:val="21"/>
                      <w:szCs w:val="21"/>
                      <w:u w:val="none"/>
                      <w:lang w:val="en-US" w:eastAsia="zh-CN" w:bidi="ar"/>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4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CODcr</w:t>
                  </w:r>
                </w:p>
              </w:tc>
              <w:tc>
                <w:tcPr>
                  <w:tcW w:w="6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426</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3.11 </w:t>
                  </w:r>
                </w:p>
              </w:tc>
              <w:tc>
                <w:tcPr>
                  <w:tcW w:w="6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78.88 </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0.57 </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90</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4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氨氮</w:t>
                  </w:r>
                </w:p>
              </w:tc>
              <w:tc>
                <w:tcPr>
                  <w:tcW w:w="6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14.13 </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0.1 </w:t>
                  </w:r>
                </w:p>
              </w:tc>
              <w:tc>
                <w:tcPr>
                  <w:tcW w:w="6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2.42 </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0.02 </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10</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4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6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140.13 </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1.02 </w:t>
                  </w:r>
                </w:p>
              </w:tc>
              <w:tc>
                <w:tcPr>
                  <w:tcW w:w="6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14.78 </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0.11 </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8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46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SS</w:t>
                  </w:r>
                </w:p>
              </w:tc>
              <w:tc>
                <w:tcPr>
                  <w:tcW w:w="6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76.63 </w:t>
                  </w:r>
                </w:p>
              </w:tc>
              <w:tc>
                <w:tcPr>
                  <w:tcW w:w="6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0.56 </w:t>
                  </w:r>
                </w:p>
              </w:tc>
              <w:tc>
                <w:tcPr>
                  <w:tcW w:w="64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19.25 </w:t>
                  </w:r>
                </w:p>
              </w:tc>
              <w:tc>
                <w:tcPr>
                  <w:tcW w:w="70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0.14 </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60</w:t>
                  </w:r>
                </w:p>
              </w:tc>
              <w:tc>
                <w:tcPr>
                  <w:tcW w:w="71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r>
          </w:tbl>
          <w:p>
            <w:pPr>
              <w:adjustRightInd w:val="0"/>
              <w:snapToGrid w:val="0"/>
              <w:ind w:firstLine="480" w:firstLineChars="200"/>
              <w:rPr>
                <w:rFonts w:hint="default" w:ascii="Times New Roman" w:hAnsi="Times New Roman" w:cs="Times New Roman"/>
                <w:b w:val="0"/>
                <w:bCs/>
                <w:color w:val="auto"/>
                <w:sz w:val="24"/>
                <w:szCs w:val="24"/>
                <w:lang w:val="en-US" w:eastAsia="zh-CN"/>
              </w:rPr>
            </w:pPr>
            <w:r>
              <w:rPr>
                <w:rFonts w:hint="default" w:ascii="Times New Roman" w:hAnsi="Times New Roman" w:cs="Times New Roman"/>
                <w:b w:val="0"/>
                <w:bCs/>
                <w:color w:val="auto"/>
                <w:sz w:val="24"/>
                <w:szCs w:val="24"/>
                <w:lang w:val="en-US" w:eastAsia="zh-CN"/>
              </w:rPr>
              <w:t>综上，经</w:t>
            </w:r>
            <w:r>
              <w:rPr>
                <w:rFonts w:hint="default" w:ascii="Times New Roman" w:hAnsi="Times New Roman" w:cs="Times New Roman"/>
                <w:b w:val="0"/>
                <w:bCs/>
                <w:color w:val="auto"/>
                <w:sz w:val="24"/>
                <w:highlight w:val="none"/>
                <w:lang w:val="en-US" w:eastAsia="zh-CN"/>
              </w:rPr>
              <w:t>自建的一体化生活污水处理设施处理后，现有项目</w:t>
            </w:r>
            <w:r>
              <w:rPr>
                <w:rFonts w:hint="default" w:ascii="Times New Roman" w:hAnsi="Times New Roman" w:eastAsia="宋体" w:cs="Times New Roman"/>
                <w:b w:val="0"/>
                <w:bCs/>
                <w:i w:val="0"/>
                <w:iCs w:val="0"/>
                <w:color w:val="auto"/>
                <w:kern w:val="0"/>
                <w:sz w:val="24"/>
                <w:szCs w:val="24"/>
                <w:u w:val="none"/>
                <w:lang w:val="en-US" w:eastAsia="zh-CN" w:bidi="ar"/>
              </w:rPr>
              <w:t>CODcr</w:t>
            </w:r>
            <w:r>
              <w:rPr>
                <w:rFonts w:hint="default" w:ascii="Times New Roman" w:hAnsi="Times New Roman" w:cs="Times New Roman"/>
                <w:b w:val="0"/>
                <w:bCs/>
                <w:i w:val="0"/>
                <w:iCs w:val="0"/>
                <w:color w:val="auto"/>
                <w:kern w:val="0"/>
                <w:sz w:val="24"/>
                <w:szCs w:val="24"/>
                <w:u w:val="none"/>
                <w:lang w:val="en-US" w:eastAsia="zh-CN" w:bidi="ar"/>
              </w:rPr>
              <w:t>、</w:t>
            </w:r>
            <w:r>
              <w:rPr>
                <w:rFonts w:hint="default" w:ascii="Times New Roman" w:hAnsi="Times New Roman" w:eastAsia="宋体" w:cs="Times New Roman"/>
                <w:b w:val="0"/>
                <w:bCs/>
                <w:i w:val="0"/>
                <w:iCs w:val="0"/>
                <w:color w:val="auto"/>
                <w:kern w:val="0"/>
                <w:sz w:val="24"/>
                <w:szCs w:val="24"/>
                <w:u w:val="none"/>
                <w:lang w:val="en-US" w:eastAsia="zh-CN" w:bidi="ar"/>
              </w:rPr>
              <w:t>氨氮</w:t>
            </w:r>
            <w:r>
              <w:rPr>
                <w:rFonts w:hint="default" w:ascii="Times New Roman" w:hAnsi="Times New Roman" w:cs="Times New Roman"/>
                <w:b w:val="0"/>
                <w:bCs/>
                <w:i w:val="0"/>
                <w:iCs w:val="0"/>
                <w:color w:val="auto"/>
                <w:kern w:val="0"/>
                <w:sz w:val="24"/>
                <w:szCs w:val="24"/>
                <w:u w:val="none"/>
                <w:lang w:val="en-US" w:eastAsia="zh-CN" w:bidi="ar"/>
              </w:rPr>
              <w:t>排放浓度满足</w:t>
            </w:r>
            <w:r>
              <w:rPr>
                <w:rFonts w:hint="default" w:ascii="Times New Roman" w:hAnsi="Times New Roman" w:cs="Times New Roman"/>
                <w:b w:val="0"/>
                <w:bCs/>
                <w:color w:val="auto"/>
                <w:sz w:val="24"/>
                <w:highlight w:val="none"/>
                <w:lang w:val="en-US" w:eastAsia="zh-CN"/>
              </w:rPr>
              <w:t>广东省《水污染物排放限值》（DB44/26-2001）第二时段一级标准</w:t>
            </w:r>
            <w:r>
              <w:rPr>
                <w:rFonts w:hint="default" w:ascii="Times New Roman" w:hAnsi="Times New Roman" w:cs="Times New Roman"/>
                <w:b w:val="0"/>
                <w:bCs/>
                <w:i w:val="0"/>
                <w:iCs w:val="0"/>
                <w:color w:val="auto"/>
                <w:kern w:val="0"/>
                <w:sz w:val="24"/>
                <w:szCs w:val="24"/>
                <w:u w:val="none"/>
                <w:lang w:val="en-US" w:eastAsia="zh-CN" w:bidi="ar"/>
              </w:rPr>
              <w:t>，排放量满足总量控制要求。</w:t>
            </w:r>
          </w:p>
          <w:p>
            <w:pPr>
              <w:adjustRightInd w:val="0"/>
              <w:snapToGrid w:val="0"/>
              <w:ind w:firstLine="482" w:firstLineChars="200"/>
              <w:rPr>
                <w:rFonts w:hint="default" w:ascii="Times New Roman" w:hAnsi="Times New Roman" w:cs="Times New Roman"/>
                <w:b/>
                <w:bCs w:val="0"/>
                <w:color w:val="auto"/>
                <w:szCs w:val="21"/>
              </w:rPr>
            </w:pPr>
            <w:r>
              <w:rPr>
                <w:rFonts w:hint="default" w:ascii="Times New Roman" w:hAnsi="Times New Roman" w:cs="Times New Roman"/>
                <w:b/>
                <w:bCs w:val="0"/>
                <w:color w:val="auto"/>
                <w:szCs w:val="21"/>
                <w:lang w:eastAsia="zh-CN"/>
              </w:rPr>
              <w:t>（</w:t>
            </w:r>
            <w:r>
              <w:rPr>
                <w:rFonts w:hint="default" w:ascii="Times New Roman" w:hAnsi="Times New Roman" w:cs="Times New Roman"/>
                <w:b/>
                <w:bCs w:val="0"/>
                <w:color w:val="auto"/>
                <w:szCs w:val="21"/>
              </w:rPr>
              <w:t>2）废气</w:t>
            </w:r>
          </w:p>
          <w:p>
            <w:pPr>
              <w:adjustRightInd w:val="0"/>
              <w:snapToGrid w:val="0"/>
              <w:ind w:firstLine="480" w:firstLineChars="200"/>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现有项目主要的废气为：①配胶工序产生的有机废气；②涂布和烤干工序产生的有机废气；③RTO废气处理装置燃烧尾气；④厨房油烟。</w:t>
            </w:r>
          </w:p>
          <w:p>
            <w:pPr>
              <w:adjustRightInd w:val="0"/>
              <w:snapToGrid w:val="0"/>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bCs/>
                <w:color w:val="auto"/>
                <w:sz w:val="24"/>
                <w:highlight w:val="none"/>
                <w:lang w:val="en-US" w:eastAsia="zh-CN"/>
              </w:rPr>
              <w:t>根据企业</w:t>
            </w:r>
            <w:r>
              <w:rPr>
                <w:rFonts w:hint="default" w:ascii="Times New Roman" w:hAnsi="Times New Roman" w:cs="Times New Roman"/>
                <w:bCs/>
                <w:color w:val="auto"/>
                <w:sz w:val="24"/>
                <w:highlight w:val="none"/>
              </w:rPr>
              <w:t>委托</w:t>
            </w:r>
            <w:r>
              <w:rPr>
                <w:rFonts w:hint="default" w:ascii="Times New Roman" w:hAnsi="Times New Roman" w:cs="Times New Roman"/>
                <w:bCs/>
                <w:color w:val="auto"/>
                <w:sz w:val="24"/>
                <w:highlight w:val="none"/>
                <w:lang w:val="en-US" w:eastAsia="zh-CN"/>
              </w:rPr>
              <w:t>东莞市启丰检测技术服务有限公司</w:t>
            </w:r>
            <w:r>
              <w:rPr>
                <w:rFonts w:hint="default" w:ascii="Times New Roman" w:hAnsi="Times New Roman" w:cs="Times New Roman"/>
                <w:color w:val="auto"/>
                <w:sz w:val="24"/>
                <w:highlight w:val="none"/>
              </w:rPr>
              <w:t>于202</w:t>
            </w:r>
            <w:r>
              <w:rPr>
                <w:rFonts w:hint="default"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年</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月</w:t>
            </w:r>
            <w:r>
              <w:rPr>
                <w:rFonts w:hint="default"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日</w:t>
            </w:r>
            <w:r>
              <w:rPr>
                <w:rFonts w:hint="default" w:ascii="Times New Roman" w:hAnsi="Times New Roman" w:cs="Times New Roman"/>
                <w:bCs/>
                <w:color w:val="auto"/>
                <w:sz w:val="24"/>
                <w:highlight w:val="none"/>
                <w:lang w:val="en-US" w:eastAsia="zh-CN"/>
              </w:rPr>
              <w:t>出具的检测报告</w:t>
            </w:r>
            <w:r>
              <w:rPr>
                <w:rFonts w:hint="default" w:ascii="Times New Roman" w:hAnsi="Times New Roman" w:cs="Times New Roman"/>
                <w:color w:val="auto"/>
                <w:sz w:val="24"/>
                <w:highlight w:val="none"/>
              </w:rPr>
              <w:t>（报告编号</w:t>
            </w:r>
            <w:r>
              <w:rPr>
                <w:rFonts w:hint="default" w:ascii="Times New Roman" w:hAnsi="Times New Roman" w:eastAsia="宋体" w:cs="Times New Roman"/>
                <w:color w:val="auto"/>
                <w:sz w:val="24"/>
                <w:highlight w:val="none"/>
              </w:rPr>
              <w:t>：</w:t>
            </w:r>
            <w:r>
              <w:rPr>
                <w:rFonts w:hint="default" w:ascii="Times New Roman" w:hAnsi="Times New Roman" w:cs="Times New Roman"/>
                <w:b w:val="0"/>
                <w:bCs/>
                <w:color w:val="auto"/>
                <w:kern w:val="2"/>
                <w:sz w:val="24"/>
                <w:szCs w:val="24"/>
                <w:highlight w:val="none"/>
                <w:lang w:val="en-US" w:eastAsia="zh-CN" w:bidi="ar-SA"/>
              </w:rPr>
              <w:t>201719121669</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本项目各项废气产排情况如下。监测工况为80%。</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w:t>
            </w:r>
            <w:r>
              <w:rPr>
                <w:rFonts w:hint="default" w:ascii="Times New Roman" w:hAnsi="Times New Roman" w:cs="Times New Roman"/>
                <w:color w:val="auto"/>
                <w:sz w:val="22"/>
                <w:szCs w:val="22"/>
                <w:highlight w:val="none"/>
                <w:lang w:val="en-US" w:eastAsia="zh-CN"/>
              </w:rPr>
              <w:t>配胶工序有机</w:t>
            </w:r>
            <w:r>
              <w:rPr>
                <w:rFonts w:hint="default" w:ascii="Times New Roman" w:hAnsi="Times New Roman" w:eastAsia="宋体" w:cs="Times New Roman"/>
                <w:color w:val="auto"/>
                <w:sz w:val="22"/>
                <w:szCs w:val="22"/>
                <w:highlight w:val="none"/>
                <w:lang w:val="en-US" w:eastAsia="zh-CN"/>
              </w:rPr>
              <w:t>废气产排情况一览表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65"/>
              <w:gridCol w:w="956"/>
              <w:gridCol w:w="1064"/>
              <w:gridCol w:w="1385"/>
              <w:gridCol w:w="705"/>
              <w:gridCol w:w="1360"/>
              <w:gridCol w:w="1145"/>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监测点位</w:t>
                  </w:r>
                </w:p>
              </w:tc>
              <w:tc>
                <w:tcPr>
                  <w:tcW w:w="956"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排气筒高度（m）</w:t>
                  </w: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监测时间</w:t>
                  </w:r>
                </w:p>
              </w:tc>
              <w:tc>
                <w:tcPr>
                  <w:tcW w:w="138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样品编号</w:t>
                  </w:r>
                </w:p>
              </w:tc>
              <w:tc>
                <w:tcPr>
                  <w:tcW w:w="70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监测项目</w:t>
                  </w:r>
                </w:p>
              </w:tc>
              <w:tc>
                <w:tcPr>
                  <w:tcW w:w="3744" w:type="dxa"/>
                  <w:gridSpan w:val="3"/>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38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浓度(mg/m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速率（kg/h）</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风量（m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配胶工序废气处理前</w:t>
                  </w:r>
                </w:p>
              </w:tc>
              <w:tc>
                <w:tcPr>
                  <w:tcW w:w="956"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w:t>
                  </w: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HJ210315461</w:t>
                  </w:r>
                </w:p>
              </w:tc>
              <w:tc>
                <w:tcPr>
                  <w:tcW w:w="70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非甲烷总烃</w:t>
                  </w: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48.5</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0.35</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HJ210315462</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46.4</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0.35</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HJ210315463</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54.4</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0.38</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HJ210315461</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54.5</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0.41</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HJ210315462</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47.6</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0.35</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HJ210315463</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52.2</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0.41</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50.60 </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0.38 </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7434.17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配胶工序废气排放口</w:t>
                  </w: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HJ210315464</w:t>
                  </w:r>
                </w:p>
              </w:tc>
              <w:tc>
                <w:tcPr>
                  <w:tcW w:w="70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非甲烷总烃</w:t>
                  </w: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0.19</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HJ210315465</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22.5</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0.18</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HJ210315466-HJ210315467</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25.3</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0.19</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HJ210315464</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26.4</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0.21</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HJ210315465</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21.9</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0.17</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HJ210315466-HJ210315467</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24.2</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0.21</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0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24.05 </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0.19 </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7960.17 </w:t>
                  </w:r>
                </w:p>
              </w:tc>
            </w:tr>
          </w:tbl>
          <w:p>
            <w:pPr>
              <w:pStyle w:val="6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jc w:val="both"/>
              <w:textAlignment w:val="baseline"/>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根据上述监测数据，本项目配胶工序产生的非甲烷总烃经一套活性炭吸附装置处理后经1根20m高的排气筒DA002排放，其排放可满足广东省《大气污染物排放限值》（DB44/27-2001）第二时段二级标准限值。</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w:t>
            </w:r>
            <w:r>
              <w:rPr>
                <w:rFonts w:hint="default" w:ascii="Times New Roman" w:hAnsi="Times New Roman" w:cs="Times New Roman"/>
                <w:color w:val="auto"/>
                <w:sz w:val="22"/>
                <w:szCs w:val="22"/>
                <w:highlight w:val="none"/>
                <w:lang w:val="en-US" w:eastAsia="zh-CN"/>
              </w:rPr>
              <w:t>涂胶、涂布、烤干工序有机</w:t>
            </w:r>
            <w:r>
              <w:rPr>
                <w:rFonts w:hint="default" w:ascii="Times New Roman" w:hAnsi="Times New Roman" w:eastAsia="宋体" w:cs="Times New Roman"/>
                <w:color w:val="auto"/>
                <w:sz w:val="22"/>
                <w:szCs w:val="22"/>
                <w:highlight w:val="none"/>
                <w:lang w:val="en-US" w:eastAsia="zh-CN"/>
              </w:rPr>
              <w:t>废气产排情况一览表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65"/>
              <w:gridCol w:w="956"/>
              <w:gridCol w:w="1064"/>
              <w:gridCol w:w="1385"/>
              <w:gridCol w:w="705"/>
              <w:gridCol w:w="1360"/>
              <w:gridCol w:w="1145"/>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监测点位</w:t>
                  </w:r>
                </w:p>
              </w:tc>
              <w:tc>
                <w:tcPr>
                  <w:tcW w:w="956"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排气筒高度（m）</w:t>
                  </w: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监测时间</w:t>
                  </w:r>
                </w:p>
              </w:tc>
              <w:tc>
                <w:tcPr>
                  <w:tcW w:w="138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样品编号</w:t>
                  </w:r>
                </w:p>
              </w:tc>
              <w:tc>
                <w:tcPr>
                  <w:tcW w:w="70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监测项目</w:t>
                  </w:r>
                </w:p>
              </w:tc>
              <w:tc>
                <w:tcPr>
                  <w:tcW w:w="3744" w:type="dxa"/>
                  <w:gridSpan w:val="3"/>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38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浓度(mg/m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速率（kg/h）</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风量（m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涂布、烤干工序、RTO燃烧废气处理前</w:t>
                  </w:r>
                </w:p>
              </w:tc>
              <w:tc>
                <w:tcPr>
                  <w:tcW w:w="956"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w:t>
                  </w: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HJ210315469</w:t>
                  </w:r>
                </w:p>
              </w:tc>
              <w:tc>
                <w:tcPr>
                  <w:tcW w:w="70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非甲烷总烃</w:t>
                  </w: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8.71</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0.33</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37742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HJ210315470</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6.39</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0.25</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38613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HJ210315471</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7.07</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0.27</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38016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HJ210315469</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9.06</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0.35</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38702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HJ210315470</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7.02</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0.27</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38248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HJ210315471</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8.2</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0.32</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39185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7.74 </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0.30 </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38417.67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涂布、烤干工序、RTO燃烧废气排放口</w:t>
                  </w: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HJ210315472</w:t>
                  </w:r>
                </w:p>
              </w:tc>
              <w:tc>
                <w:tcPr>
                  <w:tcW w:w="705"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非甲烷总烃</w:t>
                  </w: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4.14</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0.14</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34143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HJ210315473</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2.65</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0.088</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33030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HJ210315474</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3.13</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0.11</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33881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HJ210315472</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3.93</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0.13</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32801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HJ210315473</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3.19</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0.11</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33966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HJ210315474</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3.48</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0.12</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35376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86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95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06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138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70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3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3.42 </w:t>
                  </w:r>
                </w:p>
              </w:tc>
              <w:tc>
                <w:tcPr>
                  <w:tcW w:w="11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0.12 </w:t>
                  </w:r>
                </w:p>
              </w:tc>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33866.17 </w:t>
                  </w:r>
                </w:p>
              </w:tc>
            </w:tr>
          </w:tbl>
          <w:p>
            <w:pPr>
              <w:pStyle w:val="6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jc w:val="both"/>
              <w:textAlignment w:val="baseline"/>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根据上述监测数据，本项目涂胶、涂布、烤干工序产生的非甲烷总烃经一套RTO废气处理装置处理后经1根20m高的排气筒DA001排放，其排放可满足广东省《大气污染物排放限值》（DB44/27-2001）第二时段二级标准限值。</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w:t>
            </w:r>
            <w:r>
              <w:rPr>
                <w:rFonts w:hint="default" w:ascii="Times New Roman" w:hAnsi="Times New Roman" w:cs="Times New Roman"/>
                <w:color w:val="auto"/>
                <w:sz w:val="22"/>
                <w:szCs w:val="22"/>
                <w:highlight w:val="none"/>
                <w:lang w:val="en-US" w:eastAsia="zh-CN"/>
              </w:rPr>
              <w:t>RTO处理装置燃烧尾气</w:t>
            </w:r>
            <w:r>
              <w:rPr>
                <w:rFonts w:hint="default" w:ascii="Times New Roman" w:hAnsi="Times New Roman" w:eastAsia="宋体" w:cs="Times New Roman"/>
                <w:color w:val="auto"/>
                <w:sz w:val="22"/>
                <w:szCs w:val="22"/>
                <w:highlight w:val="none"/>
                <w:lang w:val="en-US" w:eastAsia="zh-CN"/>
              </w:rPr>
              <w:t>产排情况一览表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32"/>
              <w:gridCol w:w="923"/>
              <w:gridCol w:w="1139"/>
              <w:gridCol w:w="1533"/>
              <w:gridCol w:w="952"/>
              <w:gridCol w:w="1139"/>
              <w:gridCol w:w="1015"/>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监测点位</w:t>
                  </w:r>
                </w:p>
              </w:tc>
              <w:tc>
                <w:tcPr>
                  <w:tcW w:w="52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排气筒高度（m）</w:t>
                  </w:r>
                </w:p>
              </w:tc>
              <w:tc>
                <w:tcPr>
                  <w:tcW w:w="653"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监测时间</w:t>
                  </w:r>
                </w:p>
              </w:tc>
              <w:tc>
                <w:tcPr>
                  <w:tcW w:w="87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样品编号</w:t>
                  </w:r>
                </w:p>
              </w:tc>
              <w:tc>
                <w:tcPr>
                  <w:tcW w:w="2403" w:type="pct"/>
                  <w:gridSpan w:val="4"/>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bCs/>
                      <w:i w:val="0"/>
                      <w:iCs w:val="0"/>
                      <w:color w:val="auto"/>
                      <w:kern w:val="0"/>
                      <w:sz w:val="21"/>
                      <w:szCs w:val="21"/>
                      <w:u w:val="none"/>
                      <w:lang w:val="en-US" w:eastAsia="zh-CN" w:bidi="ar"/>
                    </w:rPr>
                  </w:pPr>
                  <w:r>
                    <w:rPr>
                      <w:rFonts w:hint="default" w:ascii="Times New Roman" w:hAnsi="Times New Roman" w:cs="Times New Roman"/>
                      <w:b/>
                      <w:bCs/>
                      <w:i w:val="0"/>
                      <w:iCs w:val="0"/>
                      <w:color w:val="auto"/>
                      <w:kern w:val="0"/>
                      <w:sz w:val="21"/>
                      <w:szCs w:val="21"/>
                      <w:u w:val="none"/>
                      <w:lang w:val="en-US" w:eastAsia="zh-CN" w:bidi="ar"/>
                    </w:rPr>
                    <w:t>监测项目及</w:t>
                  </w:r>
                  <w:r>
                    <w:rPr>
                      <w:rFonts w:hint="default" w:ascii="Times New Roman" w:hAnsi="Times New Roman" w:eastAsia="宋体" w:cs="Times New Roman"/>
                      <w:b/>
                      <w:bCs/>
                      <w:i w:val="0"/>
                      <w:iCs w:val="0"/>
                      <w:color w:val="auto"/>
                      <w:kern w:val="0"/>
                      <w:sz w:val="21"/>
                      <w:szCs w:val="21"/>
                      <w:u w:val="none"/>
                      <w:lang w:val="en-US" w:eastAsia="zh-CN" w:bidi="ar"/>
                    </w:rPr>
                    <w:t>监测结果(mg/m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6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87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颗粒物</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二氧化硫</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氮氧化物</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烟气黑度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涂布、烤干工序、RTO燃烧废气排放口</w:t>
                  </w:r>
                </w:p>
              </w:tc>
              <w:tc>
                <w:tcPr>
                  <w:tcW w:w="529"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w:t>
                  </w:r>
                </w:p>
              </w:tc>
              <w:tc>
                <w:tcPr>
                  <w:tcW w:w="653"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HJ210315450</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8.9</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39</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HJ210315451</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9.6</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35</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HJ210315452</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12</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37</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53"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HJ210315450</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10.2</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38</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HJ210315451</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36</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HJ210315452</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8.2</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42</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4"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29"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87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9.15 </w:t>
                  </w:r>
                </w:p>
              </w:tc>
              <w:tc>
                <w:tcPr>
                  <w:tcW w:w="6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37.83 </w:t>
                  </w:r>
                </w:p>
              </w:tc>
              <w:tc>
                <w:tcPr>
                  <w:tcW w:w="58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8.17 </w:t>
                  </w:r>
                </w:p>
              </w:tc>
              <w:tc>
                <w:tcPr>
                  <w:tcW w:w="62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0.5级</w:t>
                  </w:r>
                </w:p>
              </w:tc>
            </w:tr>
          </w:tbl>
          <w:p>
            <w:pPr>
              <w:pStyle w:val="63"/>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jc w:val="both"/>
              <w:textAlignment w:val="baseline"/>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b w:val="0"/>
                <w:bCs/>
                <w:color w:val="auto"/>
                <w:sz w:val="24"/>
                <w:szCs w:val="24"/>
                <w:highlight w:val="none"/>
                <w:lang w:val="en-US" w:eastAsia="zh-CN"/>
              </w:rPr>
              <w:t>根据上述监测数据，本项目RTO废气处理装置天然气燃烧产生的颗粒物、二氧化硫、氮氧化物经1根20m高的排气筒DA001排放，其排放可满足《锅炉大气污染物排放标准》（DB44/765-2019）。</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w:t>
            </w:r>
            <w:r>
              <w:rPr>
                <w:rFonts w:hint="default" w:ascii="Times New Roman" w:hAnsi="Times New Roman" w:cs="Times New Roman"/>
                <w:color w:val="auto"/>
                <w:sz w:val="22"/>
                <w:szCs w:val="22"/>
                <w:highlight w:val="none"/>
                <w:lang w:val="en-US" w:eastAsia="zh-CN"/>
              </w:rPr>
              <w:t>厨房油烟废气检测结果</w:t>
            </w:r>
            <w:r>
              <w:rPr>
                <w:rFonts w:hint="default" w:ascii="Times New Roman" w:hAnsi="Times New Roman" w:eastAsia="宋体" w:cs="Times New Roman"/>
                <w:color w:val="auto"/>
                <w:sz w:val="22"/>
                <w:szCs w:val="22"/>
                <w:highlight w:val="none"/>
                <w:lang w:val="en-US" w:eastAsia="zh-CN"/>
              </w:rPr>
              <w:t>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78"/>
              <w:gridCol w:w="776"/>
              <w:gridCol w:w="1026"/>
              <w:gridCol w:w="2560"/>
              <w:gridCol w:w="930"/>
              <w:gridCol w:w="987"/>
              <w:gridCol w:w="708"/>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监测点位</w:t>
                  </w:r>
                </w:p>
              </w:tc>
              <w:tc>
                <w:tcPr>
                  <w:tcW w:w="44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排气筒高度（m）</w:t>
                  </w:r>
                </w:p>
              </w:tc>
              <w:tc>
                <w:tcPr>
                  <w:tcW w:w="58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监测时间</w:t>
                  </w:r>
                </w:p>
              </w:tc>
              <w:tc>
                <w:tcPr>
                  <w:tcW w:w="146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样品编号</w:t>
                  </w:r>
                </w:p>
              </w:tc>
              <w:tc>
                <w:tcPr>
                  <w:tcW w:w="2052" w:type="pct"/>
                  <w:gridSpan w:val="4"/>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bCs/>
                      <w:i w:val="0"/>
                      <w:iCs w:val="0"/>
                      <w:color w:val="auto"/>
                      <w:kern w:val="0"/>
                      <w:sz w:val="21"/>
                      <w:szCs w:val="21"/>
                      <w:u w:val="none"/>
                      <w:lang w:val="en-US" w:eastAsia="zh-CN" w:bidi="ar"/>
                    </w:rPr>
                  </w:pPr>
                  <w:r>
                    <w:rPr>
                      <w:rFonts w:hint="default" w:ascii="Times New Roman" w:hAnsi="Times New Roman" w:cs="Times New Roman"/>
                      <w:b/>
                      <w:bCs/>
                      <w:i w:val="0"/>
                      <w:iCs w:val="0"/>
                      <w:color w:val="auto"/>
                      <w:kern w:val="0"/>
                      <w:sz w:val="21"/>
                      <w:szCs w:val="21"/>
                      <w:u w:val="none"/>
                      <w:lang w:val="en-US" w:eastAsia="zh-CN" w:bidi="ar"/>
                    </w:rPr>
                    <w:t>监测项目及</w:t>
                  </w:r>
                  <w:r>
                    <w:rPr>
                      <w:rFonts w:hint="default" w:ascii="Times New Roman" w:hAnsi="Times New Roman" w:eastAsia="宋体" w:cs="Times New Roman"/>
                      <w:b/>
                      <w:bCs/>
                      <w:i w:val="0"/>
                      <w:iCs w:val="0"/>
                      <w:color w:val="auto"/>
                      <w:kern w:val="0"/>
                      <w:sz w:val="21"/>
                      <w:szCs w:val="21"/>
                      <w:u w:val="none"/>
                      <w:lang w:val="en-US" w:eastAsia="zh-CN" w:bidi="ar"/>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4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58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146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实测油烟浓度(mg/m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基准油烟浓度(mg/m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w:t>
                  </w:r>
                </w:p>
              </w:tc>
              <w:tc>
                <w:tcPr>
                  <w:tcW w:w="40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去除效率</w:t>
                  </w:r>
                  <w:r>
                    <w:rPr>
                      <w:rFonts w:hint="default" w:ascii="Times New Roman" w:hAnsi="Times New Roman" w:cs="Times New Roman"/>
                      <w:b/>
                      <w:bCs/>
                      <w:i w:val="0"/>
                      <w:iCs w:val="0"/>
                      <w:color w:val="auto"/>
                      <w:kern w:val="0"/>
                      <w:sz w:val="21"/>
                      <w:szCs w:val="21"/>
                      <w:u w:val="none"/>
                      <w:lang w:val="en-US" w:eastAsia="zh-CN" w:bidi="ar"/>
                    </w:rPr>
                    <w:t>（%）</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u w:val="none"/>
                      <w:lang w:val="en-US" w:eastAsia="zh-CN" w:bidi="ar"/>
                    </w:rPr>
                    <w:t>风量</w:t>
                  </w:r>
                  <w:r>
                    <w:rPr>
                      <w:rFonts w:hint="default" w:ascii="Times New Roman" w:hAnsi="Times New Roman" w:cs="Times New Roman"/>
                      <w:b/>
                      <w:bCs/>
                      <w:i w:val="0"/>
                      <w:iCs w:val="0"/>
                      <w:color w:val="auto"/>
                      <w:kern w:val="0"/>
                      <w:sz w:val="21"/>
                      <w:szCs w:val="21"/>
                      <w:u w:val="none"/>
                      <w:lang w:val="en-US" w:eastAsia="zh-CN" w:bidi="ar"/>
                    </w:rPr>
                    <w:t>（</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r>
                    <w:rPr>
                      <w:rFonts w:hint="default" w:ascii="Times New Roman" w:hAnsi="Times New Roman" w:cs="Times New Roman"/>
                      <w:b/>
                      <w:bCs/>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厨房油烟废气处理前</w:t>
                  </w:r>
                </w:p>
              </w:tc>
              <w:tc>
                <w:tcPr>
                  <w:tcW w:w="445"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20</w:t>
                  </w:r>
                </w:p>
              </w:tc>
              <w:tc>
                <w:tcPr>
                  <w:tcW w:w="58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2021.3.15</w:t>
                  </w:r>
                </w:p>
              </w:tc>
              <w:tc>
                <w:tcPr>
                  <w:tcW w:w="14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HJ210315430-HJ210315434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5.45</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u w:val="none"/>
                      <w:lang w:val="en-US" w:eastAsia="zh-CN" w:bidi="ar"/>
                    </w:rPr>
                    <w:t>--</w:t>
                  </w:r>
                </w:p>
              </w:tc>
              <w:tc>
                <w:tcPr>
                  <w:tcW w:w="40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75.6</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1" w:hRule="atLeast"/>
              </w:trPr>
              <w:tc>
                <w:tcPr>
                  <w:tcW w:w="4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4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8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4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HJ210315435-HJ210315439</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1.15</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1.19</w:t>
                  </w:r>
                </w:p>
              </w:tc>
              <w:tc>
                <w:tcPr>
                  <w:tcW w:w="40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8" w:hRule="atLeast"/>
              </w:trPr>
              <w:tc>
                <w:tcPr>
                  <w:tcW w:w="4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4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8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4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3.30 </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u w:val="none"/>
                      <w:lang w:val="en-US" w:eastAsia="zh-CN" w:bidi="ar"/>
                    </w:rPr>
                    <w:t>/</w:t>
                  </w:r>
                </w:p>
              </w:tc>
              <w:tc>
                <w:tcPr>
                  <w:tcW w:w="40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5774.5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厨房油烟废气排放口</w:t>
                  </w:r>
                </w:p>
              </w:tc>
              <w:tc>
                <w:tcPr>
                  <w:tcW w:w="4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88"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2021.3.16</w:t>
                  </w:r>
                </w:p>
              </w:tc>
              <w:tc>
                <w:tcPr>
                  <w:tcW w:w="14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HJ210315430-HJ210315434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5.96</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u w:val="none"/>
                      <w:lang w:val="en-US" w:eastAsia="zh-CN" w:bidi="ar"/>
                    </w:rPr>
                    <w:t>--</w:t>
                  </w:r>
                </w:p>
              </w:tc>
              <w:tc>
                <w:tcPr>
                  <w:tcW w:w="406"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75.7</w:t>
                  </w: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4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8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4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HJ210315435-HJ210315439</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1.26</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1.33</w:t>
                  </w:r>
                </w:p>
              </w:tc>
              <w:tc>
                <w:tcPr>
                  <w:tcW w:w="40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6323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445"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88"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14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平均值</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3.61 </w:t>
                  </w:r>
                </w:p>
              </w:tc>
              <w:tc>
                <w:tcPr>
                  <w:tcW w:w="5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40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54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5910 </w:t>
                  </w:r>
                </w:p>
              </w:tc>
            </w:tr>
          </w:tbl>
          <w:p>
            <w:pPr>
              <w:numPr>
                <w:ilvl w:val="0"/>
                <w:numId w:val="0"/>
              </w:numPr>
              <w:adjustRightInd w:val="0"/>
              <w:snapToGrid w:val="0"/>
              <w:ind w:firstLine="480" w:firstLineChars="200"/>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color w:val="auto"/>
                <w:sz w:val="24"/>
                <w:szCs w:val="24"/>
                <w:highlight w:val="none"/>
                <w:lang w:val="en-US" w:eastAsia="zh-CN"/>
              </w:rPr>
              <w:t>根据上述监测数据，本项目厨房油烟经一套油烟净化器处理后经1根20m高的排气筒排放，其排放可满足《饮食业油烟排放标准（试行）》（GB18483-2001）中小型标准。</w:t>
            </w:r>
          </w:p>
          <w:p>
            <w:pPr>
              <w:numPr>
                <w:ilvl w:val="0"/>
                <w:numId w:val="0"/>
              </w:numPr>
              <w:adjustRightInd w:val="0"/>
              <w:snapToGrid w:val="0"/>
              <w:ind w:firstLine="480" w:firstLineChars="20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根据上述检测结果，现有项目各个工序污染物排放量见下表：</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现有项目</w:t>
            </w:r>
            <w:r>
              <w:rPr>
                <w:rFonts w:hint="default" w:ascii="Times New Roman" w:hAnsi="Times New Roman" w:cs="Times New Roman"/>
                <w:color w:val="auto"/>
                <w:sz w:val="22"/>
                <w:szCs w:val="22"/>
                <w:highlight w:val="none"/>
                <w:lang w:val="en-US" w:eastAsia="zh-CN"/>
              </w:rPr>
              <w:t>废气</w:t>
            </w:r>
            <w:r>
              <w:rPr>
                <w:rFonts w:hint="default" w:ascii="Times New Roman" w:hAnsi="Times New Roman" w:eastAsia="宋体" w:cs="Times New Roman"/>
                <w:color w:val="auto"/>
                <w:sz w:val="22"/>
                <w:szCs w:val="22"/>
                <w:highlight w:val="none"/>
                <w:lang w:val="en-US" w:eastAsia="zh-CN"/>
              </w:rPr>
              <w:t>产排情况一览表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760"/>
              <w:gridCol w:w="652"/>
              <w:gridCol w:w="1029"/>
              <w:gridCol w:w="706"/>
              <w:gridCol w:w="815"/>
              <w:gridCol w:w="616"/>
              <w:gridCol w:w="598"/>
              <w:gridCol w:w="818"/>
              <w:gridCol w:w="815"/>
              <w:gridCol w:w="598"/>
              <w:gridCol w:w="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 w:type="pct"/>
                  <w:vMerge w:val="restar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产污环节</w:t>
                  </w:r>
                </w:p>
              </w:tc>
              <w:tc>
                <w:tcPr>
                  <w:tcW w:w="435" w:type="pct"/>
                  <w:vMerge w:val="restar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污染物</w:t>
                  </w:r>
                </w:p>
              </w:tc>
              <w:tc>
                <w:tcPr>
                  <w:tcW w:w="373" w:type="pct"/>
                  <w:vMerge w:val="restar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工作时间h</w:t>
                  </w:r>
                </w:p>
              </w:tc>
              <w:tc>
                <w:tcPr>
                  <w:tcW w:w="2626" w:type="pct"/>
                  <w:gridSpan w:val="6"/>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80%工况</w:t>
                  </w:r>
                </w:p>
              </w:tc>
              <w:tc>
                <w:tcPr>
                  <w:tcW w:w="1280" w:type="pct"/>
                  <w:gridSpan w:val="3"/>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100%工况下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 w:type="pct"/>
                  <w:vMerge w:val="continue"/>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p>
              </w:tc>
              <w:tc>
                <w:tcPr>
                  <w:tcW w:w="435" w:type="pct"/>
                  <w:vMerge w:val="continue"/>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p>
              </w:tc>
              <w:tc>
                <w:tcPr>
                  <w:tcW w:w="373" w:type="pct"/>
                  <w:vMerge w:val="continue"/>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p>
              </w:tc>
              <w:tc>
                <w:tcPr>
                  <w:tcW w:w="589"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废气风量m</w:t>
                  </w:r>
                  <w:r>
                    <w:rPr>
                      <w:rFonts w:hint="default" w:ascii="Times New Roman" w:hAnsi="Times New Roman" w:cs="Times New Roman"/>
                      <w:b/>
                      <w:bCs/>
                      <w:color w:val="auto"/>
                      <w:sz w:val="21"/>
                      <w:szCs w:val="21"/>
                      <w:highlight w:val="none"/>
                      <w:vertAlign w:val="superscript"/>
                      <w:lang w:val="en-US" w:eastAsia="zh-CN"/>
                    </w:rPr>
                    <w:t>3</w:t>
                  </w:r>
                  <w:r>
                    <w:rPr>
                      <w:rFonts w:hint="default" w:ascii="Times New Roman" w:hAnsi="Times New Roman" w:cs="Times New Roman"/>
                      <w:b/>
                      <w:bCs/>
                      <w:color w:val="auto"/>
                      <w:sz w:val="21"/>
                      <w:szCs w:val="21"/>
                      <w:highlight w:val="none"/>
                      <w:vertAlign w:val="baseline"/>
                      <w:lang w:val="en-US" w:eastAsia="zh-CN"/>
                    </w:rPr>
                    <w:t>/h</w:t>
                  </w:r>
                </w:p>
              </w:tc>
              <w:tc>
                <w:tcPr>
                  <w:tcW w:w="404"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有组织排放速率kg/h</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有组织排放量t/a</w:t>
                  </w:r>
                </w:p>
              </w:tc>
              <w:tc>
                <w:tcPr>
                  <w:tcW w:w="35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有组织收集效率</w:t>
                  </w:r>
                  <w:r>
                    <w:rPr>
                      <w:rFonts w:hint="default" w:ascii="Times New Roman" w:hAnsi="Times New Roman" w:cs="Times New Roman"/>
                      <w:b w:val="0"/>
                      <w:bCs w:val="0"/>
                      <w:color w:val="auto"/>
                      <w:sz w:val="21"/>
                      <w:szCs w:val="21"/>
                      <w:highlight w:val="none"/>
                      <w:vertAlign w:val="baseline"/>
                      <w:lang w:val="en-US" w:eastAsia="zh-CN"/>
                    </w:rPr>
                    <w:t>*</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无组织排放量t/a</w:t>
                  </w:r>
                </w:p>
              </w:tc>
              <w:tc>
                <w:tcPr>
                  <w:tcW w:w="468"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总排放量t/a</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有组织排放量t/a</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无组织排放量t/a</w:t>
                  </w:r>
                </w:p>
              </w:tc>
              <w:tc>
                <w:tcPr>
                  <w:tcW w:w="470"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val="en-US" w:eastAsia="zh-CN"/>
                    </w:rPr>
                    <w:t>总排放量t/a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配胶</w:t>
                  </w:r>
                </w:p>
              </w:tc>
              <w:tc>
                <w:tcPr>
                  <w:tcW w:w="435"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VOCs</w:t>
                  </w:r>
                </w:p>
              </w:tc>
              <w:tc>
                <w:tcPr>
                  <w:tcW w:w="37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300</w:t>
                  </w:r>
                </w:p>
              </w:tc>
              <w:tc>
                <w:tcPr>
                  <w:tcW w:w="589"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7960.17</w:t>
                  </w:r>
                </w:p>
              </w:tc>
              <w:tc>
                <w:tcPr>
                  <w:tcW w:w="404"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0.19</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0.06</w:t>
                  </w:r>
                </w:p>
              </w:tc>
              <w:tc>
                <w:tcPr>
                  <w:tcW w:w="35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40%</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0.18</w:t>
                  </w:r>
                </w:p>
              </w:tc>
              <w:tc>
                <w:tcPr>
                  <w:tcW w:w="468"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0.23</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0.07</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0.22</w:t>
                  </w:r>
                </w:p>
              </w:tc>
              <w:tc>
                <w:tcPr>
                  <w:tcW w:w="470"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涂布</w:t>
                  </w:r>
                </w:p>
              </w:tc>
              <w:tc>
                <w:tcPr>
                  <w:tcW w:w="435"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VOCs</w:t>
                  </w:r>
                </w:p>
              </w:tc>
              <w:tc>
                <w:tcPr>
                  <w:tcW w:w="37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2400</w:t>
                  </w:r>
                </w:p>
              </w:tc>
              <w:tc>
                <w:tcPr>
                  <w:tcW w:w="589"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33866.17</w:t>
                  </w:r>
                </w:p>
              </w:tc>
              <w:tc>
                <w:tcPr>
                  <w:tcW w:w="404"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0.12</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0.28</w:t>
                  </w:r>
                </w:p>
              </w:tc>
              <w:tc>
                <w:tcPr>
                  <w:tcW w:w="35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95%</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0.02</w:t>
                  </w:r>
                </w:p>
              </w:tc>
              <w:tc>
                <w:tcPr>
                  <w:tcW w:w="468"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0.3</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0.35</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0.03</w:t>
                  </w:r>
                </w:p>
              </w:tc>
              <w:tc>
                <w:tcPr>
                  <w:tcW w:w="470"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87" w:type="pct"/>
                  <w:gridSpan w:val="5"/>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合计</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0.34</w:t>
                  </w:r>
                </w:p>
              </w:tc>
              <w:tc>
                <w:tcPr>
                  <w:tcW w:w="353"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0.2</w:t>
                  </w:r>
                </w:p>
              </w:tc>
              <w:tc>
                <w:tcPr>
                  <w:tcW w:w="468"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0.53</w:t>
                  </w:r>
                </w:p>
              </w:tc>
              <w:tc>
                <w:tcPr>
                  <w:tcW w:w="467"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0.42</w:t>
                  </w:r>
                </w:p>
              </w:tc>
              <w:tc>
                <w:tcPr>
                  <w:tcW w:w="342"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0.25</w:t>
                  </w:r>
                </w:p>
              </w:tc>
              <w:tc>
                <w:tcPr>
                  <w:tcW w:w="470" w:type="pct"/>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kern w:val="2"/>
                      <w:sz w:val="21"/>
                      <w:szCs w:val="21"/>
                      <w:highlight w:val="none"/>
                      <w:vertAlign w:val="baseline"/>
                      <w:lang w:val="en-US" w:eastAsia="zh-CN" w:bidi="ar-SA"/>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12"/>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0" w:leftChars="0" w:firstLine="0" w:firstLineChars="0"/>
                    <w:jc w:val="left"/>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注*：现有项目废气收集效率参照广东省工业源挥发性有机物减排量核算方法（试行）粤环办【2021】92号要求取值。</w:t>
                  </w:r>
                </w:p>
              </w:tc>
            </w:tr>
          </w:tbl>
          <w:p>
            <w:pPr>
              <w:numPr>
                <w:ilvl w:val="0"/>
                <w:numId w:val="0"/>
              </w:numPr>
              <w:adjustRightInd w:val="0"/>
              <w:snapToGrid w:val="0"/>
              <w:ind w:firstLine="480" w:firstLineChars="20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综上，现有项目VOCs总排放量为0.67t/a。</w:t>
            </w:r>
          </w:p>
          <w:p>
            <w:pPr>
              <w:pStyle w:val="17"/>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 xml:space="preserve">    本项目RTO天然气燃烧不是全天燃烧，只是在开机或污染物浓度较低时用天然气助燃，现状天然气年用量为6万m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，结合项目实际运行情况采用系数法来核算。</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参照《污染源源强核算技术指南 锅炉》（HJ991-2018），采用产污系数法核算，采用《排污许可证申请与核发技术规范 锅炉》（HJ953-2018）表5基准烟气量取值表和附录F-F.3 燃天然气室燃炉产排污系数，二氧化硫的产污系数为0.02S千克/万立方米-原料（气体燃料的二氧化硫的产污系数是以含硫量（S）的形式表示的，其中含硫量（S）是指气体燃料中硫含量，单位为毫克/立方米），氮氧化物的产污系数为9.36千克/万立方米-原料（低氮燃烧），颗粒物产生系数为2.86千克/万立方米-原料，详见下表。</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bookmarkStart w:id="3" w:name="_Ref24175"/>
            <w:r>
              <w:rPr>
                <w:rFonts w:hint="default" w:ascii="Times New Roman" w:hAnsi="Times New Roman" w:eastAsia="宋体" w:cs="Times New Roman"/>
                <w:color w:val="auto"/>
                <w:sz w:val="22"/>
                <w:szCs w:val="22"/>
                <w:highlight w:val="none"/>
                <w:lang w:val="en-US" w:eastAsia="zh-CN"/>
              </w:rPr>
              <w:t>燃气废气产污系数一览表</w:t>
            </w:r>
            <w:bookmarkEnd w:id="3"/>
          </w:p>
          <w:tbl>
            <w:tblPr>
              <w:tblStyle w:val="33"/>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57"/>
              <w:gridCol w:w="845"/>
              <w:gridCol w:w="845"/>
              <w:gridCol w:w="1340"/>
              <w:gridCol w:w="1725"/>
              <w:gridCol w:w="1679"/>
              <w:gridCol w:w="14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492"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蒸汽</w:t>
                  </w:r>
                </w:p>
              </w:tc>
              <w:tc>
                <w:tcPr>
                  <w:tcW w:w="485"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原料名称</w:t>
                  </w:r>
                </w:p>
              </w:tc>
              <w:tc>
                <w:tcPr>
                  <w:tcW w:w="485"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年用量</w:t>
                  </w:r>
                </w:p>
              </w:tc>
              <w:tc>
                <w:tcPr>
                  <w:tcW w:w="769"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污染物指标</w:t>
                  </w:r>
                </w:p>
              </w:tc>
              <w:tc>
                <w:tcPr>
                  <w:tcW w:w="990"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单位</w:t>
                  </w:r>
                </w:p>
              </w:tc>
              <w:tc>
                <w:tcPr>
                  <w:tcW w:w="96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产污系数</w:t>
                  </w:r>
                </w:p>
              </w:tc>
              <w:tc>
                <w:tcPr>
                  <w:tcW w:w="81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产生量（t/a）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47" w:hRule="atLeast"/>
                <w:jc w:val="center"/>
              </w:trPr>
              <w:tc>
                <w:tcPr>
                  <w:tcW w:w="492" w:type="pct"/>
                  <w:vMerge w:val="restar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蒸汽/热水/其它</w:t>
                  </w:r>
                </w:p>
              </w:tc>
              <w:tc>
                <w:tcPr>
                  <w:tcW w:w="485" w:type="pct"/>
                  <w:vMerge w:val="restar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天然气</w:t>
                  </w:r>
                </w:p>
              </w:tc>
              <w:tc>
                <w:tcPr>
                  <w:tcW w:w="485" w:type="pct"/>
                  <w:vMerge w:val="restar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lang w:val="en-US" w:eastAsia="zh-CN"/>
                    </w:rPr>
                    <w:t>6万m</w:t>
                  </w:r>
                  <w:r>
                    <w:rPr>
                      <w:rFonts w:hint="default" w:ascii="Times New Roman" w:hAnsi="Times New Roman" w:cs="Times New Roman"/>
                      <w:b w:val="0"/>
                      <w:bCs w:val="0"/>
                      <w:color w:val="auto"/>
                      <w:sz w:val="21"/>
                      <w:szCs w:val="21"/>
                      <w:highlight w:val="none"/>
                      <w:vertAlign w:val="superscript"/>
                      <w:lang w:val="en-US" w:eastAsia="zh-CN"/>
                    </w:rPr>
                    <w:t>3</w:t>
                  </w:r>
                </w:p>
              </w:tc>
              <w:tc>
                <w:tcPr>
                  <w:tcW w:w="769"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二氧化硫</w:t>
                  </w:r>
                </w:p>
              </w:tc>
              <w:tc>
                <w:tcPr>
                  <w:tcW w:w="990"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千克/万m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-燃料</w:t>
                  </w:r>
                </w:p>
              </w:tc>
              <w:tc>
                <w:tcPr>
                  <w:tcW w:w="96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0.02S</w:t>
                  </w:r>
                </w:p>
              </w:tc>
              <w:tc>
                <w:tcPr>
                  <w:tcW w:w="81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yellow"/>
                      <w:vertAlign w:val="baseline"/>
                      <w:lang w:val="en-US" w:eastAsia="zh-CN"/>
                    </w:rPr>
                  </w:pPr>
                  <w:r>
                    <w:rPr>
                      <w:rFonts w:hint="default" w:ascii="Times New Roman" w:hAnsi="Times New Roman" w:cs="Times New Roman"/>
                      <w:color w:val="auto"/>
                      <w:sz w:val="21"/>
                      <w:szCs w:val="21"/>
                      <w:highlight w:val="yellow"/>
                      <w:vertAlign w:val="baseline"/>
                      <w:lang w:val="en-US" w:eastAsia="zh-CN"/>
                    </w:rPr>
                    <w:t>0.012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492" w:type="pct"/>
                  <w:vMerge w:val="continue"/>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485" w:type="pct"/>
                  <w:vMerge w:val="continue"/>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485" w:type="pct"/>
                  <w:vMerge w:val="continue"/>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769"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氮氧化物</w:t>
                  </w:r>
                </w:p>
              </w:tc>
              <w:tc>
                <w:tcPr>
                  <w:tcW w:w="990"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千克/万m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-燃料</w:t>
                  </w:r>
                </w:p>
              </w:tc>
              <w:tc>
                <w:tcPr>
                  <w:tcW w:w="96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18.71（无低氮燃烧）</w:t>
                  </w:r>
                </w:p>
              </w:tc>
              <w:tc>
                <w:tcPr>
                  <w:tcW w:w="81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yellow"/>
                      <w:vertAlign w:val="baseline"/>
                      <w:lang w:val="en-US" w:eastAsia="zh-CN"/>
                    </w:rPr>
                  </w:pPr>
                  <w:r>
                    <w:rPr>
                      <w:rFonts w:hint="default" w:ascii="Times New Roman" w:hAnsi="Times New Roman" w:cs="Times New Roman"/>
                      <w:color w:val="auto"/>
                      <w:sz w:val="21"/>
                      <w:szCs w:val="21"/>
                      <w:highlight w:val="yellow"/>
                      <w:vertAlign w:val="baseline"/>
                      <w:lang w:val="en-US" w:eastAsia="zh-CN"/>
                    </w:rPr>
                    <w:t>0.11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492" w:type="pct"/>
                  <w:vMerge w:val="continue"/>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485" w:type="pct"/>
                  <w:vMerge w:val="continue"/>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485" w:type="pct"/>
                  <w:vMerge w:val="continue"/>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p>
              </w:tc>
              <w:tc>
                <w:tcPr>
                  <w:tcW w:w="769"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颗粒物</w:t>
                  </w:r>
                </w:p>
              </w:tc>
              <w:tc>
                <w:tcPr>
                  <w:tcW w:w="990"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千克/万m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-燃料</w:t>
                  </w:r>
                </w:p>
              </w:tc>
              <w:tc>
                <w:tcPr>
                  <w:tcW w:w="96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2.86</w:t>
                  </w:r>
                </w:p>
              </w:tc>
              <w:tc>
                <w:tcPr>
                  <w:tcW w:w="813" w:type="pct"/>
                  <w:tcBorders>
                    <w:tl2br w:val="nil"/>
                    <w:tr2bl w:val="nil"/>
                  </w:tcBorders>
                  <w:noWrap w:val="0"/>
                  <w:vAlign w:val="center"/>
                </w:tcPr>
                <w:p>
                  <w:pPr>
                    <w:pStyle w:val="7"/>
                    <w:spacing w:before="0" w:beforeAutospacing="0" w:after="0" w:afterAutospacing="0" w:line="240" w:lineRule="auto"/>
                    <w:ind w:left="0" w:leftChars="0" w:right="0" w:firstLine="0" w:firstLineChars="0"/>
                    <w:jc w:val="center"/>
                    <w:rPr>
                      <w:rFonts w:hint="default" w:ascii="Times New Roman" w:hAnsi="Times New Roman" w:cs="Times New Roman"/>
                      <w:color w:val="auto"/>
                      <w:sz w:val="21"/>
                      <w:szCs w:val="21"/>
                      <w:highlight w:val="yellow"/>
                      <w:vertAlign w:val="baseline"/>
                      <w:lang w:val="en-US" w:eastAsia="zh-CN"/>
                    </w:rPr>
                  </w:pPr>
                  <w:r>
                    <w:rPr>
                      <w:rFonts w:hint="default" w:ascii="Times New Roman" w:hAnsi="Times New Roman" w:cs="Times New Roman"/>
                      <w:color w:val="auto"/>
                      <w:sz w:val="21"/>
                      <w:szCs w:val="21"/>
                      <w:highlight w:val="yellow"/>
                      <w:vertAlign w:val="baseline"/>
                      <w:lang w:val="en-US" w:eastAsia="zh-CN"/>
                    </w:rPr>
                    <w:t>0.0172</w:t>
                  </w:r>
                </w:p>
              </w:tc>
            </w:tr>
          </w:tbl>
          <w:p>
            <w:pPr>
              <w:pStyle w:val="7"/>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outlineLvl w:val="9"/>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注：含硫量（S）是指燃气收到基硫分含量，单位为毫克/立方米，根据《天然气》（GB 17820-2018），S取100mg/m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p>
            <w:pPr>
              <w:numPr>
                <w:ilvl w:val="0"/>
                <w:numId w:val="0"/>
              </w:numPr>
              <w:adjustRightInd w:val="0"/>
              <w:snapToGrid w:val="0"/>
              <w:ind w:firstLine="480" w:firstLineChars="20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现有项目使用天然气量共6万m</w:t>
            </w:r>
            <w:r>
              <w:rPr>
                <w:rFonts w:hint="default" w:ascii="Times New Roman" w:hAnsi="Times New Roman" w:cs="Times New Roman"/>
                <w:b w:val="0"/>
                <w:bCs w:val="0"/>
                <w:color w:val="auto"/>
                <w:highlight w:val="none"/>
                <w:vertAlign w:val="superscript"/>
                <w:lang w:val="en-US" w:eastAsia="zh-CN"/>
              </w:rPr>
              <w:t>3</w:t>
            </w:r>
            <w:r>
              <w:rPr>
                <w:rFonts w:hint="default" w:ascii="Times New Roman" w:hAnsi="Times New Roman" w:cs="Times New Roman"/>
                <w:b w:val="0"/>
                <w:bCs w:val="0"/>
                <w:color w:val="auto"/>
                <w:highlight w:val="none"/>
                <w:lang w:val="en-US" w:eastAsia="zh-CN"/>
              </w:rPr>
              <w:t>/a，二氧化硫总排放量为0.012t/a≤0.024t/a，氮氧化物总排放量为0.11t/a≤0.11t/a，颗粒物总排放量为0.0172t/a。满足现有项目总量要求。</w:t>
            </w:r>
          </w:p>
          <w:p>
            <w:pPr>
              <w:numPr>
                <w:ilvl w:val="0"/>
                <w:numId w:val="0"/>
              </w:numPr>
              <w:adjustRightInd w:val="0"/>
              <w:snapToGrid w:val="0"/>
              <w:ind w:firstLine="482" w:firstLineChars="200"/>
              <w:rPr>
                <w:rFonts w:hint="default" w:ascii="Times New Roman" w:hAnsi="Times New Roman" w:cs="Times New Roman"/>
                <w:color w:val="auto"/>
                <w:highlight w:val="none"/>
              </w:rPr>
            </w:pP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lang w:val="en-US" w:eastAsia="zh-CN"/>
              </w:rPr>
              <w:t>3</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噪声</w:t>
            </w:r>
          </w:p>
          <w:p>
            <w:pPr>
              <w:numPr>
                <w:ilvl w:val="0"/>
                <w:numId w:val="0"/>
              </w:numPr>
              <w:adjustRightInd w:val="0"/>
              <w:snapToGrid w:val="0"/>
              <w:ind w:firstLine="48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根据建设单位委托</w:t>
            </w:r>
            <w:r>
              <w:rPr>
                <w:rFonts w:hint="default" w:ascii="Times New Roman" w:hAnsi="Times New Roman" w:cs="Times New Roman"/>
                <w:bCs/>
                <w:color w:val="auto"/>
                <w:sz w:val="24"/>
                <w:highlight w:val="none"/>
                <w:lang w:val="en-US" w:eastAsia="zh-CN"/>
              </w:rPr>
              <w:t>东莞市启丰检测技术服务有限公司</w:t>
            </w:r>
            <w:r>
              <w:rPr>
                <w:rFonts w:hint="default" w:ascii="Times New Roman" w:hAnsi="Times New Roman" w:cs="Times New Roman"/>
                <w:color w:val="auto"/>
                <w:highlight w:val="none"/>
              </w:rPr>
              <w:t>于20</w:t>
            </w:r>
            <w:r>
              <w:rPr>
                <w:rFonts w:hint="default" w:ascii="Times New Roman" w:hAnsi="Times New Roman" w:cs="Times New Roman"/>
                <w:color w:val="auto"/>
                <w:highlight w:val="none"/>
                <w:lang w:val="en-US" w:eastAsia="zh-CN"/>
              </w:rPr>
              <w:t>21</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15</w:t>
            </w:r>
            <w:r>
              <w:rPr>
                <w:rFonts w:hint="default" w:ascii="Times New Roman" w:hAnsi="Times New Roman" w:cs="Times New Roman"/>
                <w:color w:val="auto"/>
                <w:highlight w:val="none"/>
              </w:rPr>
              <w:t>日</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20</w:t>
            </w:r>
            <w:r>
              <w:rPr>
                <w:rFonts w:hint="default" w:ascii="Times New Roman" w:hAnsi="Times New Roman" w:cs="Times New Roman"/>
                <w:color w:val="auto"/>
                <w:highlight w:val="none"/>
                <w:lang w:val="en-US" w:eastAsia="zh-CN"/>
              </w:rPr>
              <w:t>21</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16</w:t>
            </w:r>
            <w:r>
              <w:rPr>
                <w:rFonts w:hint="default" w:ascii="Times New Roman" w:hAnsi="Times New Roman" w:cs="Times New Roman"/>
                <w:color w:val="auto"/>
                <w:highlight w:val="none"/>
              </w:rPr>
              <w:t>日对厂界噪声的监测结果表明</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报告编号：</w:t>
            </w:r>
            <w:r>
              <w:rPr>
                <w:rFonts w:hint="default" w:ascii="Times New Roman" w:hAnsi="Times New Roman" w:cs="Times New Roman"/>
                <w:b w:val="0"/>
                <w:bCs/>
                <w:color w:val="auto"/>
                <w:kern w:val="2"/>
                <w:sz w:val="24"/>
                <w:szCs w:val="24"/>
                <w:highlight w:val="none"/>
                <w:lang w:val="en-US" w:eastAsia="zh-CN" w:bidi="ar-SA"/>
              </w:rPr>
              <w:t>201719121669</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，项目厂界噪声达到《工业企业厂界环境噪声排放标准》（GB12348-2008）的</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rPr>
              <w:t>类标准，对周围环境的影响较小</w:t>
            </w:r>
            <w:r>
              <w:rPr>
                <w:rFonts w:hint="default" w:ascii="Times New Roman" w:hAnsi="Times New Roman" w:cs="Times New Roman"/>
                <w:color w:val="auto"/>
                <w:highlight w:val="none"/>
                <w:lang w:eastAsia="zh-CN"/>
              </w:rPr>
              <w:t>。</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厂界噪声监测结果  dB(A)</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7"/>
              <w:gridCol w:w="1494"/>
              <w:gridCol w:w="1740"/>
              <w:gridCol w:w="1738"/>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1328"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监测点位</w:t>
                  </w:r>
                </w:p>
              </w:tc>
              <w:tc>
                <w:tcPr>
                  <w:tcW w:w="1853" w:type="pct"/>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监测结果</w:t>
                  </w:r>
                </w:p>
              </w:tc>
              <w:tc>
                <w:tcPr>
                  <w:tcW w:w="996"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rPr>
                    <w:t>标准限值</w:t>
                  </w:r>
                </w:p>
              </w:tc>
              <w:tc>
                <w:tcPr>
                  <w:tcW w:w="821"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28"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p>
              </w:tc>
              <w:tc>
                <w:tcPr>
                  <w:tcW w:w="85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2021.3.15</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lang w:val="en-US"/>
                    </w:rPr>
                  </w:pPr>
                  <w:r>
                    <w:rPr>
                      <w:rFonts w:hint="default" w:ascii="Times New Roman" w:hAnsi="Times New Roman" w:cs="Times New Roman"/>
                      <w:b/>
                      <w:bCs/>
                      <w:color w:val="auto"/>
                      <w:sz w:val="21"/>
                      <w:szCs w:val="21"/>
                      <w:highlight w:val="none"/>
                      <w:lang w:val="en-US" w:eastAsia="zh-CN"/>
                    </w:rPr>
                    <w:t>2021.3.16</w:t>
                  </w:r>
                </w:p>
              </w:tc>
              <w:tc>
                <w:tcPr>
                  <w:tcW w:w="996"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p>
              </w:tc>
              <w:tc>
                <w:tcPr>
                  <w:tcW w:w="82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1328"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p>
              </w:tc>
              <w:tc>
                <w:tcPr>
                  <w:tcW w:w="85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昼间</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昼间</w:t>
                  </w:r>
                </w:p>
              </w:tc>
              <w:tc>
                <w:tcPr>
                  <w:tcW w:w="996"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p>
              </w:tc>
              <w:tc>
                <w:tcPr>
                  <w:tcW w:w="82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2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bCs/>
                      <w:color w:val="auto"/>
                      <w:sz w:val="21"/>
                      <w:szCs w:val="21"/>
                      <w:highlight w:val="none"/>
                    </w:rPr>
                    <w:t>厂界</w:t>
                  </w:r>
                  <w:r>
                    <w:rPr>
                      <w:rFonts w:hint="default" w:ascii="Times New Roman" w:hAnsi="Times New Roman" w:cs="Times New Roman"/>
                      <w:bCs/>
                      <w:color w:val="auto"/>
                      <w:sz w:val="21"/>
                      <w:szCs w:val="21"/>
                      <w:highlight w:val="none"/>
                      <w:lang w:val="en-US" w:eastAsia="zh-CN"/>
                    </w:rPr>
                    <w:t>东面</w:t>
                  </w:r>
                  <w:r>
                    <w:rPr>
                      <w:rFonts w:hint="default" w:ascii="Times New Roman" w:hAnsi="Times New Roman" w:cs="Times New Roman"/>
                      <w:bCs/>
                      <w:color w:val="auto"/>
                      <w:sz w:val="21"/>
                      <w:szCs w:val="21"/>
                      <w:highlight w:val="none"/>
                    </w:rPr>
                    <w:t>1米处</w:t>
                  </w:r>
                </w:p>
              </w:tc>
              <w:tc>
                <w:tcPr>
                  <w:tcW w:w="85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60</w:t>
                  </w:r>
                </w:p>
              </w:tc>
              <w:tc>
                <w:tcPr>
                  <w:tcW w:w="82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32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厂界</w:t>
                  </w:r>
                  <w:r>
                    <w:rPr>
                      <w:rFonts w:hint="default" w:ascii="Times New Roman" w:hAnsi="Times New Roman" w:cs="Times New Roman"/>
                      <w:bCs/>
                      <w:color w:val="auto"/>
                      <w:sz w:val="21"/>
                      <w:szCs w:val="21"/>
                      <w:highlight w:val="none"/>
                      <w:lang w:val="en-US" w:eastAsia="zh-CN"/>
                    </w:rPr>
                    <w:t>南面</w:t>
                  </w:r>
                  <w:r>
                    <w:rPr>
                      <w:rFonts w:hint="default" w:ascii="Times New Roman" w:hAnsi="Times New Roman" w:cs="Times New Roman"/>
                      <w:bCs/>
                      <w:color w:val="auto"/>
                      <w:sz w:val="21"/>
                      <w:szCs w:val="21"/>
                      <w:highlight w:val="none"/>
                    </w:rPr>
                    <w:t>1米处</w:t>
                  </w:r>
                </w:p>
              </w:tc>
              <w:tc>
                <w:tcPr>
                  <w:tcW w:w="85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57</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57</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60</w:t>
                  </w:r>
                </w:p>
              </w:tc>
              <w:tc>
                <w:tcPr>
                  <w:tcW w:w="82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32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厂界</w:t>
                  </w:r>
                  <w:r>
                    <w:rPr>
                      <w:rFonts w:hint="default" w:ascii="Times New Roman" w:hAnsi="Times New Roman" w:cs="Times New Roman"/>
                      <w:bCs/>
                      <w:color w:val="auto"/>
                      <w:sz w:val="21"/>
                      <w:szCs w:val="21"/>
                      <w:highlight w:val="none"/>
                      <w:lang w:val="en-US" w:eastAsia="zh-CN"/>
                    </w:rPr>
                    <w:t>西面</w:t>
                  </w:r>
                  <w:r>
                    <w:rPr>
                      <w:rFonts w:hint="default" w:ascii="Times New Roman" w:hAnsi="Times New Roman" w:cs="Times New Roman"/>
                      <w:bCs/>
                      <w:color w:val="auto"/>
                      <w:sz w:val="21"/>
                      <w:szCs w:val="21"/>
                      <w:highlight w:val="none"/>
                    </w:rPr>
                    <w:t>1米处</w:t>
                  </w:r>
                </w:p>
              </w:tc>
              <w:tc>
                <w:tcPr>
                  <w:tcW w:w="85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57</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60</w:t>
                  </w:r>
                </w:p>
              </w:tc>
              <w:tc>
                <w:tcPr>
                  <w:tcW w:w="82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32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厂界</w:t>
                  </w:r>
                  <w:r>
                    <w:rPr>
                      <w:rFonts w:hint="default" w:ascii="Times New Roman" w:hAnsi="Times New Roman" w:cs="Times New Roman"/>
                      <w:bCs/>
                      <w:color w:val="auto"/>
                      <w:sz w:val="21"/>
                      <w:szCs w:val="21"/>
                      <w:highlight w:val="none"/>
                      <w:lang w:val="en-US" w:eastAsia="zh-CN"/>
                    </w:rPr>
                    <w:t>北面</w:t>
                  </w:r>
                  <w:r>
                    <w:rPr>
                      <w:rFonts w:hint="default" w:ascii="Times New Roman" w:hAnsi="Times New Roman" w:cs="Times New Roman"/>
                      <w:bCs/>
                      <w:color w:val="auto"/>
                      <w:sz w:val="21"/>
                      <w:szCs w:val="21"/>
                      <w:highlight w:val="none"/>
                    </w:rPr>
                    <w:t>1米处</w:t>
                  </w:r>
                </w:p>
              </w:tc>
              <w:tc>
                <w:tcPr>
                  <w:tcW w:w="85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w:t>
                  </w:r>
                </w:p>
              </w:tc>
              <w:tc>
                <w:tcPr>
                  <w:tcW w:w="99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60</w:t>
                  </w:r>
                </w:p>
              </w:tc>
              <w:tc>
                <w:tcPr>
                  <w:tcW w:w="82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达标</w:t>
                  </w:r>
                </w:p>
              </w:tc>
            </w:tr>
          </w:tbl>
          <w:p>
            <w:pPr>
              <w:numPr>
                <w:ilvl w:val="0"/>
                <w:numId w:val="0"/>
              </w:num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lang w:eastAsia="zh-CN"/>
              </w:rPr>
              <w:t>（</w:t>
            </w:r>
            <w:r>
              <w:rPr>
                <w:rFonts w:hint="default" w:ascii="Times New Roman" w:hAnsi="Times New Roman" w:cs="Times New Roman"/>
                <w:b/>
                <w:bCs/>
                <w:color w:val="auto"/>
                <w:lang w:val="en-US" w:eastAsia="zh-CN"/>
              </w:rPr>
              <w:t>4</w:t>
            </w:r>
            <w:r>
              <w:rPr>
                <w:rFonts w:hint="default" w:ascii="Times New Roman" w:hAnsi="Times New Roman" w:cs="Times New Roman"/>
                <w:b/>
                <w:bCs/>
                <w:color w:val="auto"/>
                <w:lang w:eastAsia="zh-CN"/>
              </w:rPr>
              <w:t>）</w:t>
            </w:r>
            <w:r>
              <w:rPr>
                <w:rFonts w:hint="default" w:ascii="Times New Roman" w:hAnsi="Times New Roman" w:cs="Times New Roman"/>
                <w:b/>
                <w:bCs/>
                <w:color w:val="auto"/>
              </w:rPr>
              <w:t>固体废物</w:t>
            </w:r>
          </w:p>
          <w:p>
            <w:pPr>
              <w:numPr>
                <w:ilvl w:val="0"/>
                <w:numId w:val="0"/>
              </w:num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rPr>
              <w:t>生活垃圾：</w:t>
            </w:r>
            <w:r>
              <w:rPr>
                <w:rFonts w:hint="default" w:ascii="Times New Roman" w:hAnsi="Times New Roman" w:cs="Times New Roman"/>
                <w:color w:val="auto"/>
                <w:highlight w:val="none"/>
                <w:lang w:val="en-US" w:eastAsia="zh-CN"/>
              </w:rPr>
              <w:t>现有</w:t>
            </w:r>
            <w:r>
              <w:rPr>
                <w:rFonts w:hint="default" w:ascii="Times New Roman" w:hAnsi="Times New Roman" w:cs="Times New Roman"/>
                <w:color w:val="auto"/>
                <w:highlight w:val="none"/>
              </w:rPr>
              <w:t>项目产生的生活垃圾约</w:t>
            </w:r>
            <w:r>
              <w:rPr>
                <w:rFonts w:hint="default" w:ascii="Times New Roman" w:hAnsi="Times New Roman" w:cs="Times New Roman"/>
                <w:color w:val="auto"/>
                <w:highlight w:val="none"/>
                <w:lang w:val="en-US" w:eastAsia="zh-CN"/>
              </w:rPr>
              <w:t>45</w:t>
            </w:r>
            <w:r>
              <w:rPr>
                <w:rFonts w:hint="default" w:ascii="Times New Roman" w:hAnsi="Times New Roman" w:cs="Times New Roman"/>
                <w:color w:val="auto"/>
                <w:highlight w:val="none"/>
              </w:rPr>
              <w:t>t/a，经分类收集后，定期交由环卫部门</w:t>
            </w:r>
            <w:r>
              <w:rPr>
                <w:rFonts w:hint="default" w:ascii="Times New Roman" w:hAnsi="Times New Roman" w:cs="Times New Roman"/>
                <w:color w:val="auto"/>
                <w:highlight w:val="none"/>
                <w:lang w:val="en-US" w:eastAsia="zh-CN"/>
              </w:rPr>
              <w:t>清运</w:t>
            </w:r>
            <w:r>
              <w:rPr>
                <w:rFonts w:hint="default" w:ascii="Times New Roman" w:hAnsi="Times New Roman" w:cs="Times New Roman"/>
                <w:color w:val="auto"/>
                <w:highlight w:val="none"/>
              </w:rPr>
              <w:t>。</w:t>
            </w:r>
          </w:p>
          <w:p>
            <w:pPr>
              <w:numPr>
                <w:ilvl w:val="0"/>
                <w:numId w:val="0"/>
              </w:numPr>
              <w:adjustRightInd w:val="0"/>
              <w:snapToGrid w:val="0"/>
              <w:ind w:firstLine="482" w:firstLineChars="200"/>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val="en-US" w:eastAsia="zh-CN"/>
              </w:rPr>
              <w:t>2）</w:t>
            </w:r>
            <w:r>
              <w:rPr>
                <w:rFonts w:hint="default" w:ascii="Times New Roman" w:hAnsi="Times New Roman" w:eastAsia="宋体" w:cs="Times New Roman"/>
                <w:b/>
                <w:bCs/>
                <w:color w:val="auto"/>
                <w:highlight w:val="none"/>
              </w:rPr>
              <w:t>一般工业废物：</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①</w:t>
            </w:r>
            <w:r>
              <w:rPr>
                <w:rFonts w:hint="default" w:ascii="Times New Roman" w:hAnsi="Times New Roman" w:cs="Times New Roman"/>
                <w:color w:val="auto"/>
                <w:highlight w:val="none"/>
                <w:lang w:val="en-US" w:eastAsia="zh-CN"/>
              </w:rPr>
              <w:t>边角料</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产生量约为0.2t/a，</w:t>
            </w:r>
            <w:r>
              <w:rPr>
                <w:rFonts w:hint="default"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交专业回收公司回收处理；</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②废包装材料：产生量约为0.1t/a，</w:t>
            </w:r>
            <w:r>
              <w:rPr>
                <w:rFonts w:hint="default"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交专业回收单位回收处理。</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b w:val="0"/>
                <w:bCs w:val="0"/>
                <w:color w:val="auto"/>
                <w:highlight w:val="none"/>
                <w:lang w:val="en-US" w:eastAsia="zh-CN"/>
              </w:rPr>
              <w:t>③污泥：产生量约为1.2t/a，</w:t>
            </w:r>
            <w:r>
              <w:rPr>
                <w:rFonts w:hint="default"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交有处理能力的单位处理。</w:t>
            </w:r>
          </w:p>
          <w:p>
            <w:pPr>
              <w:numPr>
                <w:ilvl w:val="0"/>
                <w:numId w:val="0"/>
              </w:numPr>
              <w:adjustRightInd w:val="0"/>
              <w:snapToGrid w:val="0"/>
              <w:ind w:firstLine="482" w:firstLineChars="200"/>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3）危险废物：</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现有项目危险废物主要有废润滑油、废抹布及手套、废空桶、废活性炭、废胶水。</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废润滑油产生量为0.005t/a，废抹布及手套产生量为0.005t/a，废空桶产生量为0.01t/a，废活性炭产生量为0.2t/a，废胶水产生量为0.34t/a。</w:t>
            </w:r>
          </w:p>
          <w:p>
            <w:pPr>
              <w:numPr>
                <w:ilvl w:val="0"/>
                <w:numId w:val="0"/>
              </w:numPr>
              <w:adjustRightInd w:val="0"/>
              <w:snapToGrid w:val="0"/>
              <w:ind w:firstLine="480" w:firstLineChars="20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经收集后暂存于危废暂存间，定期交由东莞中普环境科技有限公司处置处理。</w:t>
            </w:r>
          </w:p>
          <w:p>
            <w:pPr>
              <w:numPr>
                <w:ilvl w:val="0"/>
                <w:numId w:val="0"/>
              </w:num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经上述措施处理后，该项目固体废物对周围环境不产生直接影响。</w:t>
            </w:r>
          </w:p>
          <w:p>
            <w:pPr>
              <w:pStyle w:val="54"/>
              <w:numPr>
                <w:ilvl w:val="0"/>
                <w:numId w:val="16"/>
              </w:numPr>
              <w:tabs>
                <w:tab w:val="clear" w:pos="420"/>
              </w:tabs>
              <w:ind w:left="0" w:leftChars="0" w:firstLine="403" w:firstLineChars="0"/>
              <w:jc w:val="center"/>
              <w:rPr>
                <w:rFonts w:hint="default" w:ascii="Times New Roman" w:hAnsi="Times New Roman" w:cs="Times New Roman"/>
                <w:color w:val="auto"/>
                <w:szCs w:val="32"/>
                <w:highlight w:val="none"/>
              </w:rPr>
            </w:pPr>
            <w:r>
              <w:rPr>
                <w:rFonts w:hint="default" w:ascii="Times New Roman" w:hAnsi="Times New Roman" w:eastAsia="宋体" w:cs="Times New Roman"/>
                <w:b/>
                <w:bCs w:val="0"/>
                <w:color w:val="auto"/>
                <w:kern w:val="0"/>
                <w:sz w:val="22"/>
                <w:szCs w:val="22"/>
                <w:highlight w:val="none"/>
                <w:lang w:val="en-US" w:eastAsia="zh-CN" w:bidi="ar-SA"/>
              </w:rPr>
              <w:t>现有项目污染物排放量汇总表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1780"/>
              <w:gridCol w:w="1727"/>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Align w:val="center"/>
                </w:tcPr>
                <w:p>
                  <w:pPr>
                    <w:adjustRightInd w:val="0"/>
                    <w:snapToGrid w:val="0"/>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bCs/>
                      <w:color w:val="auto"/>
                      <w:sz w:val="21"/>
                      <w:szCs w:val="21"/>
                      <w:highlight w:val="none"/>
                      <w:lang w:bidi="ar"/>
                    </w:rPr>
                    <w:t>类型</w:t>
                  </w:r>
                </w:p>
              </w:tc>
              <w:tc>
                <w:tcPr>
                  <w:tcW w:w="2010" w:type="pct"/>
                  <w:gridSpan w:val="2"/>
                  <w:vAlign w:val="center"/>
                </w:tcPr>
                <w:p>
                  <w:pPr>
                    <w:adjustRightInd w:val="0"/>
                    <w:snapToGrid w:val="0"/>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bCs/>
                      <w:color w:val="auto"/>
                      <w:sz w:val="21"/>
                      <w:szCs w:val="21"/>
                      <w:highlight w:val="none"/>
                      <w:lang w:bidi="ar"/>
                    </w:rPr>
                    <w:t>污染物</w:t>
                  </w:r>
                </w:p>
              </w:tc>
              <w:tc>
                <w:tcPr>
                  <w:tcW w:w="1625" w:type="pct"/>
                  <w:vAlign w:val="center"/>
                </w:tcPr>
                <w:p>
                  <w:pPr>
                    <w:adjustRightInd w:val="0"/>
                    <w:snapToGrid w:val="0"/>
                    <w:spacing w:line="240" w:lineRule="auto"/>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bCs/>
                      <w:color w:val="auto"/>
                      <w:sz w:val="21"/>
                      <w:szCs w:val="21"/>
                      <w:highlight w:val="none"/>
                      <w:lang w:bidi="ar"/>
                    </w:rPr>
                    <w:t>排放量</w:t>
                  </w:r>
                  <w:r>
                    <w:rPr>
                      <w:rFonts w:hint="default" w:ascii="Times New Roman" w:hAnsi="Times New Roman" w:cs="Times New Roman"/>
                      <w:b/>
                      <w:bCs/>
                      <w:color w:val="auto"/>
                      <w:sz w:val="21"/>
                      <w:szCs w:val="21"/>
                      <w:highlight w:val="none"/>
                      <w:lang w:eastAsia="zh-CN" w:bidi="ar"/>
                    </w:rPr>
                    <w:t>（</w:t>
                  </w:r>
                  <w:r>
                    <w:rPr>
                      <w:rFonts w:hint="default" w:ascii="Times New Roman" w:hAnsi="Times New Roman" w:cs="Times New Roman"/>
                      <w:color w:val="auto"/>
                      <w:sz w:val="21"/>
                      <w:szCs w:val="21"/>
                      <w:highlight w:val="none"/>
                      <w:lang w:bidi="ar"/>
                    </w:rPr>
                    <w:t>t/a</w:t>
                  </w:r>
                  <w:r>
                    <w:rPr>
                      <w:rFonts w:hint="default" w:ascii="Times New Roman" w:hAnsi="Times New Roman" w:cs="Times New Roman"/>
                      <w:b/>
                      <w:bCs/>
                      <w:color w:val="auto"/>
                      <w:sz w:val="21"/>
                      <w:szCs w:val="21"/>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rFonts w:hint="default" w:ascii="Times New Roman" w:hAnsi="Times New Roman" w:cs="Times New Roman"/>
                      <w:b/>
                      <w:color w:val="auto"/>
                      <w:sz w:val="21"/>
                      <w:szCs w:val="21"/>
                      <w:highlight w:val="none"/>
                      <w:lang w:bidi="ar"/>
                    </w:rPr>
                  </w:pPr>
                  <w:r>
                    <w:rPr>
                      <w:rFonts w:hint="default" w:ascii="Times New Roman" w:hAnsi="Times New Roman" w:cs="Times New Roman"/>
                      <w:color w:val="auto"/>
                      <w:sz w:val="21"/>
                      <w:szCs w:val="21"/>
                      <w:highlight w:val="none"/>
                      <w:lang w:bidi="ar"/>
                    </w:rPr>
                    <w:t>生活污水</w:t>
                  </w:r>
                </w:p>
              </w:tc>
              <w:tc>
                <w:tcPr>
                  <w:tcW w:w="2010" w:type="pct"/>
                  <w:gridSpan w:val="2"/>
                  <w:vAlign w:val="center"/>
                </w:tcPr>
                <w:p>
                  <w:pPr>
                    <w:adjustRightInd w:val="0"/>
                    <w:snapToGrid w:val="0"/>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lang w:bidi="ar"/>
                    </w:rPr>
                    <w:t>污水量</w:t>
                  </w:r>
                </w:p>
              </w:tc>
              <w:tc>
                <w:tcPr>
                  <w:tcW w:w="1625" w:type="pct"/>
                  <w:vAlign w:val="center"/>
                </w:tcPr>
                <w:p>
                  <w:pPr>
                    <w:adjustRightInd w:val="0"/>
                    <w:snapToGrid w:val="0"/>
                    <w:spacing w:line="240" w:lineRule="auto"/>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7290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rFonts w:hint="default" w:ascii="Times New Roman" w:hAnsi="Times New Roman" w:cs="Times New Roman"/>
                      <w:color w:val="auto"/>
                      <w:sz w:val="21"/>
                      <w:szCs w:val="21"/>
                      <w:highlight w:val="none"/>
                    </w:rPr>
                  </w:pPr>
                </w:p>
              </w:tc>
              <w:tc>
                <w:tcPr>
                  <w:tcW w:w="2010" w:type="pct"/>
                  <w:gridSpan w:val="2"/>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bidi="ar"/>
                    </w:rPr>
                    <w:t>COD</w:t>
                  </w:r>
                  <w:r>
                    <w:rPr>
                      <w:rFonts w:hint="default" w:ascii="Times New Roman" w:hAnsi="Times New Roman" w:cs="Times New Roman"/>
                      <w:color w:val="auto"/>
                      <w:sz w:val="21"/>
                      <w:szCs w:val="21"/>
                      <w:highlight w:val="none"/>
                      <w:vertAlign w:val="subscript"/>
                      <w:lang w:bidi="ar"/>
                    </w:rPr>
                    <w:t>Cr</w:t>
                  </w:r>
                </w:p>
              </w:tc>
              <w:tc>
                <w:tcPr>
                  <w:tcW w:w="1625" w:type="pct"/>
                  <w:vAlign w:val="center"/>
                </w:tcPr>
                <w:p>
                  <w:pPr>
                    <w:adjustRightInd w:val="0"/>
                    <w:snapToGrid w:val="0"/>
                    <w:spacing w:line="240" w:lineRule="auto"/>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rFonts w:hint="default" w:ascii="Times New Roman" w:hAnsi="Times New Roman" w:cs="Times New Roman"/>
                      <w:color w:val="auto"/>
                      <w:sz w:val="21"/>
                      <w:szCs w:val="21"/>
                      <w:highlight w:val="none"/>
                    </w:rPr>
                  </w:pPr>
                </w:p>
              </w:tc>
              <w:tc>
                <w:tcPr>
                  <w:tcW w:w="2010" w:type="pct"/>
                  <w:gridSpan w:val="2"/>
                  <w:vAlign w:val="center"/>
                </w:tcPr>
                <w:p>
                  <w:pPr>
                    <w:adjustRightInd w:val="0"/>
                    <w:snapToGrid w:val="0"/>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lang w:bidi="ar"/>
                    </w:rPr>
                    <w:t>NH</w:t>
                  </w:r>
                  <w:r>
                    <w:rPr>
                      <w:rFonts w:hint="default" w:ascii="Times New Roman" w:hAnsi="Times New Roman" w:cs="Times New Roman"/>
                      <w:color w:val="auto"/>
                      <w:sz w:val="21"/>
                      <w:szCs w:val="21"/>
                      <w:highlight w:val="none"/>
                      <w:vertAlign w:val="subscript"/>
                      <w:lang w:bidi="ar"/>
                    </w:rPr>
                    <w:t>3</w:t>
                  </w:r>
                  <w:r>
                    <w:rPr>
                      <w:rFonts w:hint="default" w:ascii="Times New Roman" w:hAnsi="Times New Roman" w:cs="Times New Roman"/>
                      <w:color w:val="auto"/>
                      <w:sz w:val="21"/>
                      <w:szCs w:val="21"/>
                      <w:highlight w:val="none"/>
                      <w:lang w:bidi="ar"/>
                    </w:rPr>
                    <w:t>-N</w:t>
                  </w:r>
                </w:p>
              </w:tc>
              <w:tc>
                <w:tcPr>
                  <w:tcW w:w="1625" w:type="pct"/>
                  <w:vAlign w:val="center"/>
                </w:tcPr>
                <w:p>
                  <w:pPr>
                    <w:adjustRightInd w:val="0"/>
                    <w:snapToGrid w:val="0"/>
                    <w:spacing w:line="240" w:lineRule="auto"/>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w:t>
                  </w:r>
                </w:p>
              </w:tc>
              <w:tc>
                <w:tcPr>
                  <w:tcW w:w="1020" w:type="pct"/>
                  <w:vMerge w:val="restart"/>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VOCs</w:t>
                  </w:r>
                </w:p>
              </w:tc>
              <w:tc>
                <w:tcPr>
                  <w:tcW w:w="99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p>
              </w:tc>
              <w:tc>
                <w:tcPr>
                  <w:tcW w:w="1020"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p>
              </w:tc>
              <w:tc>
                <w:tcPr>
                  <w:tcW w:w="99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p>
              </w:tc>
              <w:tc>
                <w:tcPr>
                  <w:tcW w:w="1020"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p>
              </w:tc>
              <w:tc>
                <w:tcPr>
                  <w:tcW w:w="99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合计</w:t>
                  </w:r>
                </w:p>
              </w:tc>
              <w:tc>
                <w:tcPr>
                  <w:tcW w:w="1625"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363"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p>
              </w:tc>
              <w:tc>
                <w:tcPr>
                  <w:tcW w:w="1780" w:type="dxa"/>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val="en-US" w:eastAsia="zh-CN" w:bidi="ar"/>
                    </w:rPr>
                    <w:t>颗粒物</w:t>
                  </w:r>
                </w:p>
              </w:tc>
              <w:tc>
                <w:tcPr>
                  <w:tcW w:w="99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有组织</w:t>
                  </w:r>
                </w:p>
              </w:tc>
              <w:tc>
                <w:tcPr>
                  <w:tcW w:w="2836" w:type="dxa"/>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0.0172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p>
              </w:tc>
              <w:tc>
                <w:tcPr>
                  <w:tcW w:w="1780" w:type="dxa"/>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val="en-US" w:eastAsia="zh-CN" w:bidi="ar"/>
                    </w:rPr>
                    <w:t>二氧化硫</w:t>
                  </w:r>
                </w:p>
              </w:tc>
              <w:tc>
                <w:tcPr>
                  <w:tcW w:w="99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有组织</w:t>
                  </w:r>
                </w:p>
              </w:tc>
              <w:tc>
                <w:tcPr>
                  <w:tcW w:w="2836" w:type="dxa"/>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rFonts w:hint="default" w:ascii="Times New Roman" w:hAnsi="Times New Roman" w:cs="Times New Roman"/>
                      <w:color w:val="auto"/>
                      <w:sz w:val="21"/>
                      <w:szCs w:val="21"/>
                      <w:highlight w:val="none"/>
                    </w:rPr>
                  </w:pPr>
                </w:p>
              </w:tc>
              <w:tc>
                <w:tcPr>
                  <w:tcW w:w="1780" w:type="dxa"/>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val="en-US" w:eastAsia="zh-CN" w:bidi="ar"/>
                    </w:rPr>
                    <w:t>氮氧化物</w:t>
                  </w:r>
                </w:p>
              </w:tc>
              <w:tc>
                <w:tcPr>
                  <w:tcW w:w="99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有组织</w:t>
                  </w:r>
                </w:p>
              </w:tc>
              <w:tc>
                <w:tcPr>
                  <w:tcW w:w="2836" w:type="dxa"/>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auto"/>
                      <w:sz w:val="21"/>
                      <w:szCs w:val="21"/>
                      <w:highlight w:val="none"/>
                      <w:lang w:bidi="ar"/>
                    </w:rPr>
                    <w:t>固体废物</w:t>
                  </w:r>
                </w:p>
              </w:tc>
              <w:tc>
                <w:tcPr>
                  <w:tcW w:w="2010" w:type="pct"/>
                  <w:gridSpan w:val="2"/>
                  <w:vAlign w:val="center"/>
                </w:tcPr>
                <w:p>
                  <w:pPr>
                    <w:adjustRightInd w:val="0"/>
                    <w:snapToGrid w:val="0"/>
                    <w:spacing w:line="240" w:lineRule="auto"/>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auto"/>
                      <w:sz w:val="21"/>
                      <w:szCs w:val="21"/>
                      <w:highlight w:val="none"/>
                      <w:lang w:bidi="ar"/>
                    </w:rPr>
                    <w:t>一般固废</w:t>
                  </w:r>
                </w:p>
              </w:tc>
              <w:tc>
                <w:tcPr>
                  <w:tcW w:w="1625" w:type="pct"/>
                  <w:vAlign w:val="center"/>
                </w:tcPr>
                <w:p>
                  <w:pPr>
                    <w:adjustRightInd w:val="0"/>
                    <w:snapToGrid w:val="0"/>
                    <w:spacing w:line="240" w:lineRule="auto"/>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rFonts w:hint="default" w:ascii="Times New Roman" w:hAnsi="Times New Roman" w:cs="Times New Roman"/>
                      <w:bCs/>
                      <w:color w:val="auto"/>
                      <w:kern w:val="0"/>
                      <w:sz w:val="21"/>
                      <w:szCs w:val="21"/>
                      <w:highlight w:val="none"/>
                    </w:rPr>
                  </w:pPr>
                </w:p>
              </w:tc>
              <w:tc>
                <w:tcPr>
                  <w:tcW w:w="2010" w:type="pct"/>
                  <w:gridSpan w:val="2"/>
                  <w:vAlign w:val="center"/>
                </w:tcPr>
                <w:p>
                  <w:pPr>
                    <w:adjustRightInd w:val="0"/>
                    <w:snapToGrid w:val="0"/>
                    <w:spacing w:line="240" w:lineRule="auto"/>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auto"/>
                      <w:sz w:val="21"/>
                      <w:szCs w:val="21"/>
                      <w:highlight w:val="none"/>
                      <w:lang w:bidi="ar"/>
                    </w:rPr>
                    <w:t>危险废物</w:t>
                  </w:r>
                </w:p>
              </w:tc>
              <w:tc>
                <w:tcPr>
                  <w:tcW w:w="1625" w:type="pct"/>
                  <w:vAlign w:val="center"/>
                </w:tcPr>
                <w:p>
                  <w:pPr>
                    <w:adjustRightInd w:val="0"/>
                    <w:snapToGrid w:val="0"/>
                    <w:spacing w:line="240" w:lineRule="auto"/>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rFonts w:hint="default" w:ascii="Times New Roman" w:hAnsi="Times New Roman" w:cs="Times New Roman"/>
                      <w:bCs/>
                      <w:color w:val="auto"/>
                      <w:kern w:val="0"/>
                      <w:sz w:val="21"/>
                      <w:szCs w:val="21"/>
                      <w:highlight w:val="none"/>
                    </w:rPr>
                  </w:pPr>
                </w:p>
              </w:tc>
              <w:tc>
                <w:tcPr>
                  <w:tcW w:w="2010" w:type="pct"/>
                  <w:gridSpan w:val="2"/>
                  <w:vAlign w:val="center"/>
                </w:tcPr>
                <w:p>
                  <w:pPr>
                    <w:adjustRightInd w:val="0"/>
                    <w:snapToGrid w:val="0"/>
                    <w:spacing w:line="240" w:lineRule="auto"/>
                    <w:jc w:val="center"/>
                    <w:rPr>
                      <w:rFonts w:hint="default" w:ascii="Times New Roman" w:hAnsi="Times New Roman" w:cs="Times New Roman"/>
                      <w:bCs/>
                      <w:color w:val="auto"/>
                      <w:kern w:val="0"/>
                      <w:sz w:val="21"/>
                      <w:szCs w:val="21"/>
                      <w:highlight w:val="none"/>
                    </w:rPr>
                  </w:pPr>
                  <w:r>
                    <w:rPr>
                      <w:rFonts w:hint="default" w:ascii="Times New Roman" w:hAnsi="Times New Roman" w:cs="Times New Roman"/>
                      <w:color w:val="auto"/>
                      <w:sz w:val="21"/>
                      <w:szCs w:val="21"/>
                      <w:highlight w:val="none"/>
                      <w:lang w:bidi="ar"/>
                    </w:rPr>
                    <w:t>生活垃圾</w:t>
                  </w:r>
                </w:p>
              </w:tc>
              <w:tc>
                <w:tcPr>
                  <w:tcW w:w="1625" w:type="pct"/>
                  <w:vAlign w:val="center"/>
                </w:tcPr>
                <w:p>
                  <w:pPr>
                    <w:adjustRightInd w:val="0"/>
                    <w:snapToGrid w:val="0"/>
                    <w:spacing w:line="240" w:lineRule="auto"/>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cs="Times New Roman"/>
                      <w:bCs/>
                      <w:color w:val="auto"/>
                      <w:kern w:val="0"/>
                      <w:sz w:val="21"/>
                      <w:szCs w:val="21"/>
                      <w:highlight w:val="none"/>
                      <w:lang w:val="en-US" w:eastAsia="zh-CN"/>
                    </w:rPr>
                    <w:t>0</w:t>
                  </w:r>
                </w:p>
              </w:tc>
            </w:tr>
          </w:tbl>
          <w:p>
            <w:pPr>
              <w:bidi w:val="0"/>
              <w:ind w:firstLine="482" w:firstLineChars="20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（5）现有存在的主要环境问题及整改措施</w:t>
            </w:r>
          </w:p>
          <w:p>
            <w:pPr>
              <w:pStyle w:val="17"/>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color w:val="auto"/>
                <w:sz w:val="24"/>
                <w:szCs w:val="24"/>
                <w:highlight w:val="none"/>
                <w:lang w:val="en-US" w:eastAsia="zh-CN"/>
              </w:rPr>
              <w:t>结合上述分析可知，现有项目针对废水、废气、噪声、固体废物和环境风险等环节均采取了相应的污染防治措施，</w:t>
            </w:r>
            <w:r>
              <w:rPr>
                <w:rFonts w:hint="default" w:ascii="Times New Roman" w:hAnsi="Times New Roman" w:cs="Times New Roman"/>
                <w:color w:val="auto"/>
                <w:lang w:val="en-US" w:eastAsia="zh-CN"/>
              </w:rPr>
              <w:t>污染因子均可达标排放，</w:t>
            </w:r>
            <w:r>
              <w:rPr>
                <w:rFonts w:hint="default" w:ascii="Times New Roman" w:hAnsi="Times New Roman" w:cs="Times New Roman"/>
                <w:b w:val="0"/>
                <w:bCs/>
                <w:color w:val="auto"/>
                <w:lang w:val="en-US" w:eastAsia="zh-CN"/>
              </w:rPr>
              <w:t>运营过程中未受到投诉或处罚</w:t>
            </w:r>
            <w:r>
              <w:rPr>
                <w:rFonts w:hint="default" w:ascii="Times New Roman" w:hAnsi="Times New Roman" w:eastAsia="宋体" w:cs="Times New Roman"/>
                <w:color w:val="auto"/>
                <w:sz w:val="24"/>
                <w:szCs w:val="24"/>
                <w:highlight w:val="none"/>
                <w:lang w:val="en-US" w:eastAsia="zh-CN"/>
              </w:rPr>
              <w:t>。</w:t>
            </w:r>
          </w:p>
        </w:tc>
      </w:tr>
    </w:tbl>
    <w:p>
      <w:pPr>
        <w:pStyle w:val="41"/>
        <w:rPr>
          <w:rFonts w:hint="default" w:ascii="Times New Roman" w:hAnsi="Times New Roman" w:cs="Times New Roman"/>
          <w:color w:val="auto"/>
        </w:rPr>
        <w:sectPr>
          <w:footerReference r:id="rId9"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4"/>
        <w:numPr>
          <w:ilvl w:val="2"/>
          <w:numId w:val="0"/>
        </w:numPr>
        <w:bidi w:val="0"/>
        <w:ind w:left="397" w:leftChars="0"/>
        <w:jc w:val="center"/>
        <w:rPr>
          <w:rFonts w:hint="default" w:ascii="Times New Roman" w:hAnsi="Times New Roman" w:cs="Times New Roman"/>
          <w:color w:val="auto"/>
        </w:rPr>
      </w:pPr>
      <w:bookmarkStart w:id="4" w:name="_Toc8758"/>
      <w:r>
        <w:rPr>
          <w:rFonts w:hint="default" w:ascii="Times New Roman" w:hAnsi="Times New Roman" w:cs="Times New Roman"/>
          <w:color w:val="auto"/>
        </w:rPr>
        <w:t>三、区域环境质量现状、环境保护目标及评价标准</w:t>
      </w:r>
      <w:bookmarkEnd w:id="4"/>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77" w:hRule="atLeast"/>
        </w:trPr>
        <w:tc>
          <w:tcPr>
            <w:tcW w:w="540" w:type="dxa"/>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环境</w:t>
            </w:r>
          </w:p>
          <w:p>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kern w:val="0"/>
                <w:szCs w:val="21"/>
              </w:rPr>
              <w:t>质量现状</w:t>
            </w:r>
          </w:p>
        </w:tc>
        <w:tc>
          <w:tcPr>
            <w:tcW w:w="9314" w:type="dxa"/>
          </w:tcPr>
          <w:p>
            <w:pPr>
              <w:adjustRightInd w:val="0"/>
              <w:snapToGrid w:val="0"/>
              <w:ind w:firstLine="482" w:firstLineChars="200"/>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1、大气环境</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根据《惠州市环境空气质量功能区划分方案》（2021 年修订）（惠市环[2021]1号），本项目所在地属环境空气质量功能区的二类区，环境空气质量应执行《环境空气质量标准》（GB3095-2012）中规定的二级标准。</w:t>
            </w:r>
          </w:p>
          <w:p>
            <w:pPr>
              <w:adjustRightInd w:val="0"/>
              <w:snapToGrid w:val="0"/>
              <w:spacing w:line="360" w:lineRule="auto"/>
              <w:ind w:firstLine="482" w:firstLineChars="200"/>
              <w:jc w:val="left"/>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（1）常规污染物监测数据</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根据惠州市生态环境局网站中公示的《</w:t>
            </w:r>
            <w:r>
              <w:rPr>
                <w:rFonts w:hint="default" w:ascii="Times New Roman" w:hAnsi="Times New Roman" w:cs="Times New Roman"/>
                <w:color w:val="auto"/>
                <w:highlight w:val="none"/>
                <w:lang w:eastAsia="zh-CN"/>
              </w:rPr>
              <w:t>2021年惠州市环境质量状况公报</w:t>
            </w:r>
            <w:r>
              <w:rPr>
                <w:rFonts w:hint="default" w:ascii="Times New Roman" w:hAnsi="Times New Roman" w:cs="Times New Roman"/>
                <w:color w:val="auto"/>
                <w:highlight w:val="none"/>
              </w:rPr>
              <w:t>》：</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惠州市城市空气质量总体保持良好。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市区空气质量：2021年，市区（惠城区、惠阳区和大亚湾区）空气质量良好，六项污染物年评价浓度均达到国家二级标准。其中，二氧化硫（SO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）、二氧化氮（NO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）和一氧化碳（CO）达国家一级标准，可吸入颗粒物（PM10）、细颗粒物（PM2.5）和臭氧（O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）达到国家二级标准；综合指数为2.83，空气质量指数（AQI）范围为20～161，达标天数比例（AQI达标率）为94.5%，其中，优180天，良165天，轻度污染19天，中度污染1天，超标污染物为臭氧。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与2020年相比，环境空气质量综合指数上升2.2%，AQI达标率下降3.3个百分点；六项污染物年评价浓度中，二氧化硫（SO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）持平，一氧化碳（CO）和细颗粒物（PM2.5）浓度分别下降22.2%和5.0%，二氧化氮（NO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）、可吸入颗粒物（PM10）、臭氧（O</w:t>
            </w:r>
            <w:r>
              <w:rPr>
                <w:rFonts w:hint="default" w:ascii="Times New Roman" w:hAnsi="Times New Roman" w:eastAsia="宋体" w:cs="Times New Roman"/>
                <w:color w:val="auto"/>
                <w:sz w:val="24"/>
                <w:szCs w:val="24"/>
                <w:highlight w:val="none"/>
                <w:vertAlign w:val="subscript"/>
                <w:lang w:val="en-US" w:eastAsia="zh-CN"/>
              </w:rPr>
              <w:t>3</w:t>
            </w:r>
            <w:r>
              <w:rPr>
                <w:rFonts w:hint="default" w:ascii="Times New Roman" w:hAnsi="Times New Roman" w:eastAsia="宋体" w:cs="Times New Roman"/>
                <w:color w:val="auto"/>
                <w:sz w:val="24"/>
                <w:szCs w:val="24"/>
                <w:highlight w:val="none"/>
                <w:lang w:val="en-US" w:eastAsia="zh-CN"/>
              </w:rPr>
              <w:t>）浓度分别上升11.1%、5.3%和5.1%。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各县（区）空气质量：2021年，各县（区）二氧化硫（SO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）、二氧化氮（NO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一氧化碳（CO）达国家一级标准，臭氧（O3）达国家二级标准；龙门县、大亚湾区和惠东县可吸入颗粒物（PM10）达国家一级标准，其余县（区）达国家二级标准；龙门县细颗粒物（PM2.5）达国家一级标准，其余县（区）达国家二级标准。各县（区）环境空气优良率（达标率）范围在92.6%～99.1%之间；综合指数范围在2.33～3.31之间，主要污染物均为臭氧，次要污染物以可吸入颗粒物PM10为主。</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lang w:val="en-US" w:eastAsia="zh-CN"/>
              </w:rPr>
              <w:t>与2020年相比，环境空气质量综合指数除龙门县下降5.7%外，其余各县（区）上升幅度为2.0%～12.2%；优良率龙门县上升0.3%，博罗县持平，其余县（区）略有下降，下降幅度为0.5%～4.3%</w:t>
            </w:r>
            <w:r>
              <w:rPr>
                <w:rFonts w:hint="default" w:ascii="Times New Roman" w:hAnsi="Times New Roman" w:cs="Times New Roman"/>
                <w:color w:val="auto"/>
                <w:highlight w:val="none"/>
              </w:rPr>
              <w:t>。</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综上，项目所在区域环境空气质量良好，满足《环境空气质量标准》（GB3095-2012）及2018年修改单中的二级标准。项目所在区域属于大气环境达标区。</w:t>
            </w:r>
          </w:p>
          <w:p>
            <w:pPr>
              <w:pStyle w:val="41"/>
              <w:jc w:val="center"/>
              <w:rPr>
                <w:rFonts w:hint="default" w:ascii="Times New Roman" w:hAnsi="Times New Roman" w:cs="Times New Roman"/>
                <w:color w:val="auto"/>
                <w:highlight w:val="yellow"/>
                <w:lang w:eastAsia="zh-CN"/>
              </w:rPr>
            </w:pPr>
            <w:r>
              <w:rPr>
                <w:rFonts w:hint="default" w:ascii="Times New Roman" w:hAnsi="Times New Roman" w:cs="Times New Roman"/>
                <w:color w:val="auto"/>
                <w:highlight w:val="yellow"/>
              </w:rPr>
              <w:drawing>
                <wp:inline distT="0" distB="0" distL="114300" distR="114300">
                  <wp:extent cx="5768340" cy="3958590"/>
                  <wp:effectExtent l="0" t="0" r="3810" b="3810"/>
                  <wp:docPr id="3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5"/>
                          <pic:cNvPicPr>
                            <a:picLocks noChangeAspect="1"/>
                          </pic:cNvPicPr>
                        </pic:nvPicPr>
                        <pic:blipFill>
                          <a:blip r:embed="rId40"/>
                          <a:stretch>
                            <a:fillRect/>
                          </a:stretch>
                        </pic:blipFill>
                        <pic:spPr>
                          <a:xfrm>
                            <a:off x="0" y="0"/>
                            <a:ext cx="5768340" cy="3958590"/>
                          </a:xfrm>
                          <a:prstGeom prst="rect">
                            <a:avLst/>
                          </a:prstGeom>
                          <a:noFill/>
                          <a:ln>
                            <a:noFill/>
                          </a:ln>
                        </pic:spPr>
                      </pic:pic>
                    </a:graphicData>
                  </a:graphic>
                </wp:inline>
              </w:drawing>
            </w:r>
          </w:p>
          <w:p>
            <w:pPr>
              <w:pStyle w:val="46"/>
              <w:bidi w:val="0"/>
              <w:ind w:left="0" w:leftChars="0" w:firstLine="0"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2021年惠州市生态环境状况公报</w:t>
            </w:r>
          </w:p>
          <w:p>
            <w:pPr>
              <w:numPr>
                <w:ilvl w:val="0"/>
                <w:numId w:val="19"/>
              </w:num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特征污染物监测数据</w:t>
            </w:r>
          </w:p>
          <w:p>
            <w:pPr>
              <w:pStyle w:val="17"/>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lang w:val="en-US" w:eastAsia="zh-CN"/>
              </w:rPr>
              <w:t xml:space="preserve">    </w:t>
            </w:r>
            <w:r>
              <w:rPr>
                <w:rFonts w:hint="default" w:ascii="Times New Roman" w:hAnsi="Times New Roman" w:eastAsia="宋体" w:cs="Times New Roman"/>
                <w:color w:val="auto"/>
                <w:sz w:val="24"/>
                <w:szCs w:val="24"/>
                <w:lang w:val="en-US" w:eastAsia="zh-CN"/>
              </w:rPr>
              <w:t>本项目特征污染物主要为非甲烷总烃、VOCs，</w:t>
            </w:r>
            <w:r>
              <w:rPr>
                <w:rFonts w:hint="default" w:ascii="Times New Roman" w:hAnsi="Times New Roman" w:eastAsia="宋体" w:cs="Times New Roman"/>
                <w:color w:val="auto"/>
                <w:kern w:val="2"/>
                <w:sz w:val="24"/>
                <w:szCs w:val="24"/>
                <w:highlight w:val="none"/>
                <w:lang w:val="en-US" w:eastAsia="zh-CN" w:bidi="ar-SA"/>
              </w:rPr>
              <w:t>为了解项目所在区域环境空气质量情况，本报告引用《博罗县智能装备产业园起步区控制性详细规划环境影响报告书》中委托东莞中鼎检测技术有限公司于2020年7月20日～2020年7月27日监测的大气环境质量现状监测数据，引用的监测点位为G2铁场村（位于本项目西南面2430m处</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详见附图</w:t>
            </w:r>
            <w:r>
              <w:rPr>
                <w:rFonts w:hint="eastAsia" w:cs="Times New Roman"/>
                <w:color w:val="auto"/>
                <w:lang w:val="en-US" w:eastAsia="zh-CN"/>
              </w:rPr>
              <w:t>9</w:t>
            </w:r>
            <w:r>
              <w:rPr>
                <w:rFonts w:hint="default" w:ascii="Times New Roman" w:hAnsi="Times New Roman" w:eastAsia="宋体" w:cs="Times New Roman"/>
                <w:color w:val="auto"/>
                <w:kern w:val="2"/>
                <w:sz w:val="24"/>
                <w:szCs w:val="24"/>
                <w:highlight w:val="none"/>
                <w:lang w:val="en-US" w:eastAsia="zh-CN" w:bidi="ar-SA"/>
              </w:rPr>
              <w:t>），引用数据在三年有效期内，与本项目之间距离小于5km，因此具有有效性。具体监测结果见下表。</w:t>
            </w:r>
          </w:p>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 xml:space="preserve"> 特征污染物监测点位基本信息</w:t>
            </w:r>
          </w:p>
          <w:tbl>
            <w:tblPr>
              <w:tblStyle w:val="3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9"/>
              <w:gridCol w:w="1405"/>
              <w:gridCol w:w="1817"/>
              <w:gridCol w:w="1959"/>
              <w:gridCol w:w="2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93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监测点名称</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监测因子</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监测时段</w:t>
                  </w:r>
                </w:p>
              </w:tc>
              <w:tc>
                <w:tcPr>
                  <w:tcW w:w="10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相对厂址方向</w:t>
                  </w:r>
                </w:p>
              </w:tc>
              <w:tc>
                <w:tcPr>
                  <w:tcW w:w="12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铁场村</w:t>
                  </w: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TSP</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日均值</w:t>
                  </w:r>
                </w:p>
              </w:tc>
              <w:tc>
                <w:tcPr>
                  <w:tcW w:w="107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西南</w:t>
                  </w:r>
                </w:p>
              </w:tc>
              <w:tc>
                <w:tcPr>
                  <w:tcW w:w="12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3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小时均值</w:t>
                  </w:r>
                </w:p>
              </w:tc>
              <w:tc>
                <w:tcPr>
                  <w:tcW w:w="10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12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93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7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lang w:val="en-US" w:eastAsia="zh-CN"/>
                    </w:rPr>
                    <w:t>TVOC</w:t>
                  </w:r>
                </w:p>
              </w:tc>
              <w:tc>
                <w:tcPr>
                  <w:tcW w:w="10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小时均值</w:t>
                  </w:r>
                </w:p>
              </w:tc>
              <w:tc>
                <w:tcPr>
                  <w:tcW w:w="107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12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r>
          </w:tbl>
          <w:p>
            <w:pPr>
              <w:pStyle w:val="63"/>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right="0" w:rightChars="0" w:firstLine="403"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 xml:space="preserve"> 特征污染物环境质量现状（监测结果表）</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0"/>
              <w:gridCol w:w="1648"/>
              <w:gridCol w:w="2184"/>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监测点位</w:t>
                  </w:r>
                </w:p>
              </w:tc>
              <w:tc>
                <w:tcPr>
                  <w:tcW w:w="3160" w:type="pct"/>
                  <w:gridSpan w:val="3"/>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G2铁场村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污染物</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TSP</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TVOC</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平均时间</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日均值</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小时均值</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小时均值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评价标准（μg/m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300</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600</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监测浓度范围（μg/m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196-208</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18.7</w:t>
                  </w:r>
                  <w:r>
                    <w:rPr>
                      <w:rFonts w:hint="default" w:ascii="Times New Roman" w:hAnsi="Times New Roman" w:eastAsia="宋体" w:cs="Times New Roman"/>
                      <w:color w:val="auto"/>
                      <w:kern w:val="2"/>
                      <w:sz w:val="21"/>
                      <w:szCs w:val="21"/>
                      <w:highlight w:val="none"/>
                      <w:lang w:val="en-US" w:eastAsia="zh-CN" w:bidi="ar-SA"/>
                    </w:rPr>
                    <w:t>-</w:t>
                  </w:r>
                  <w:r>
                    <w:rPr>
                      <w:rFonts w:hint="default" w:ascii="Times New Roman" w:hAnsi="Times New Roman" w:cs="Times New Roman"/>
                      <w:color w:val="auto"/>
                      <w:kern w:val="2"/>
                      <w:sz w:val="21"/>
                      <w:szCs w:val="21"/>
                      <w:highlight w:val="none"/>
                      <w:lang w:val="en-US" w:eastAsia="zh-CN" w:bidi="ar-SA"/>
                    </w:rPr>
                    <w:t>42</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510-800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8" w:hRule="atLeast"/>
              </w:trPr>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最大浓度占标率（%）</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69.33</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超标率（%）</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183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达标情况</w:t>
                  </w:r>
                </w:p>
              </w:tc>
              <w:tc>
                <w:tcPr>
                  <w:tcW w:w="9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达标</w:t>
                  </w:r>
                </w:p>
              </w:tc>
              <w:tc>
                <w:tcPr>
                  <w:tcW w:w="120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达标</w:t>
                  </w:r>
                </w:p>
              </w:tc>
              <w:tc>
                <w:tcPr>
                  <w:tcW w:w="10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达标</w:t>
                  </w:r>
                </w:p>
              </w:tc>
            </w:tr>
          </w:tbl>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项目属于大气环境功能区</w:t>
            </w:r>
            <w:r>
              <w:rPr>
                <w:rFonts w:hint="default" w:ascii="Times New Roman" w:hAnsi="Times New Roman" w:cs="Times New Roman"/>
                <w:color w:val="auto"/>
                <w:sz w:val="24"/>
                <w:highlight w:val="none"/>
              </w:rPr>
              <w:t>的二类区，</w:t>
            </w:r>
            <w:r>
              <w:rPr>
                <w:rFonts w:hint="default" w:ascii="Times New Roman" w:hAnsi="Times New Roman" w:cs="Times New Roman"/>
                <w:color w:val="auto"/>
                <w:sz w:val="24"/>
                <w:highlight w:val="none"/>
                <w:lang w:val="en-US" w:eastAsia="zh-CN"/>
              </w:rPr>
              <w:t>TSP满足</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环境空气质量标准</w:t>
            </w:r>
            <w:r>
              <w:rPr>
                <w:rFonts w:hint="default" w:ascii="Times New Roman" w:hAnsi="Times New Roman" w:eastAsia="宋体" w:cs="Times New Roman"/>
                <w:color w:val="auto"/>
                <w:kern w:val="2"/>
                <w:sz w:val="24"/>
                <w:szCs w:val="24"/>
                <w:highlight w:val="none"/>
                <w:lang w:val="en-US" w:eastAsia="zh-CN" w:bidi="ar-SA"/>
              </w:rPr>
              <w:t>》（GB3095—2012)中二级标准的要求，TVOC浓度满足《环境影响评价技术导则 大气环境》（HJ2.2-2018）附录D表D.1其他污染物空气质量浓度参考限值的要求</w:t>
            </w:r>
            <w:r>
              <w:rPr>
                <w:rFonts w:hint="default" w:ascii="Times New Roman" w:hAnsi="Times New Roman" w:cs="Times New Roman"/>
                <w:color w:val="auto"/>
                <w:kern w:val="2"/>
                <w:sz w:val="24"/>
                <w:szCs w:val="24"/>
                <w:highlight w:val="none"/>
                <w:lang w:val="en-US" w:eastAsia="zh-CN" w:bidi="ar-SA"/>
              </w:rPr>
              <w:t>，非甲烷总烃满足《大气污染物综合排放标准详解》中的推荐值要求</w:t>
            </w:r>
            <w:r>
              <w:rPr>
                <w:rFonts w:hint="default" w:ascii="Times New Roman" w:hAnsi="Times New Roman" w:eastAsia="宋体" w:cs="Times New Roman"/>
                <w:color w:val="auto"/>
                <w:kern w:val="2"/>
                <w:sz w:val="24"/>
                <w:szCs w:val="24"/>
                <w:highlight w:val="none"/>
                <w:lang w:val="en-US" w:eastAsia="zh-CN" w:bidi="ar-SA"/>
              </w:rPr>
              <w:t>。</w:t>
            </w:r>
          </w:p>
          <w:p>
            <w:p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2、地表水环境</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本项目生活污水经</w:t>
            </w:r>
            <w:r>
              <w:rPr>
                <w:rFonts w:hint="default" w:ascii="Times New Roman" w:hAnsi="Times New Roman" w:cs="Times New Roman"/>
                <w:color w:val="auto"/>
                <w:kern w:val="2"/>
                <w:sz w:val="24"/>
                <w:szCs w:val="24"/>
                <w:highlight w:val="none"/>
                <w:lang w:val="en-US" w:eastAsia="zh-CN" w:bidi="ar-SA"/>
              </w:rPr>
              <w:t>自建的一体化生活污水处理设施处理达到广东省</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val="en-US" w:eastAsia="zh-CN" w:bidi="ar-SA"/>
              </w:rPr>
              <w:t>水污染物排放限值</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val="en-US" w:eastAsia="zh-CN" w:bidi="ar-SA"/>
              </w:rPr>
              <w:t>（DB44/26-2001）中第二时段一级标准后排入铁场排渠，最终汇入沙河。</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kern w:val="2"/>
                <w:sz w:val="24"/>
                <w:szCs w:val="24"/>
                <w:highlight w:val="none"/>
                <w:lang w:val="en-US" w:eastAsia="zh-CN" w:bidi="ar-SA"/>
              </w:rPr>
              <w:t>铁场排渠</w:t>
            </w:r>
            <w:r>
              <w:rPr>
                <w:rFonts w:hint="default" w:ascii="Times New Roman" w:hAnsi="Times New Roman" w:eastAsia="宋体" w:cs="Times New Roman"/>
                <w:color w:val="auto"/>
                <w:kern w:val="2"/>
                <w:sz w:val="24"/>
                <w:szCs w:val="24"/>
                <w:highlight w:val="none"/>
                <w:lang w:val="en-US" w:eastAsia="zh-CN" w:bidi="ar-SA"/>
              </w:rPr>
              <w:t>水质现状监测数据引用《博罗县智能装备产业园起步区控制性详细规划环境影响报告书》中委托东莞中鼎检测技术有限公司于2020年7月21日～2020年7月23日对</w:t>
            </w:r>
            <w:r>
              <w:rPr>
                <w:rFonts w:hint="default" w:ascii="Times New Roman" w:hAnsi="Times New Roman" w:cs="Times New Roman"/>
                <w:color w:val="auto"/>
                <w:kern w:val="2"/>
                <w:sz w:val="24"/>
                <w:szCs w:val="24"/>
                <w:highlight w:val="none"/>
                <w:lang w:val="en-US" w:eastAsia="zh-CN" w:bidi="ar-SA"/>
              </w:rPr>
              <w:t>铁场排渠</w:t>
            </w:r>
            <w:r>
              <w:rPr>
                <w:rFonts w:hint="default" w:ascii="Times New Roman" w:hAnsi="Times New Roman" w:eastAsia="宋体" w:cs="Times New Roman"/>
                <w:color w:val="auto"/>
                <w:kern w:val="2"/>
                <w:sz w:val="24"/>
                <w:szCs w:val="24"/>
                <w:highlight w:val="none"/>
                <w:lang w:val="en-US" w:eastAsia="zh-CN" w:bidi="ar-SA"/>
              </w:rPr>
              <w:t>的监测数据（引用W</w:t>
            </w:r>
            <w:r>
              <w:rPr>
                <w:rFonts w:hint="default" w:ascii="Times New Roman" w:hAnsi="Times New Roman" w:cs="Times New Roman"/>
                <w:color w:val="auto"/>
                <w:kern w:val="2"/>
                <w:sz w:val="24"/>
                <w:szCs w:val="24"/>
                <w:highlight w:val="none"/>
                <w:lang w:val="en-US" w:eastAsia="zh-CN" w:bidi="ar-SA"/>
              </w:rPr>
              <w:t>8</w:t>
            </w:r>
            <w:r>
              <w:rPr>
                <w:rFonts w:hint="default" w:ascii="Times New Roman" w:hAnsi="Times New Roman" w:eastAsia="宋体" w:cs="Times New Roman"/>
                <w:color w:val="auto"/>
                <w:kern w:val="2"/>
                <w:sz w:val="24"/>
                <w:szCs w:val="24"/>
                <w:highlight w:val="none"/>
                <w:lang w:val="en-US" w:eastAsia="zh-CN" w:bidi="ar-SA"/>
              </w:rPr>
              <w:t>、W</w:t>
            </w:r>
            <w:r>
              <w:rPr>
                <w:rFonts w:hint="default" w:ascii="Times New Roman" w:hAnsi="Times New Roman" w:cs="Times New Roman"/>
                <w:color w:val="auto"/>
                <w:kern w:val="2"/>
                <w:sz w:val="24"/>
                <w:szCs w:val="24"/>
                <w:highlight w:val="none"/>
                <w:lang w:val="en-US" w:eastAsia="zh-CN" w:bidi="ar-SA"/>
              </w:rPr>
              <w:t>9</w:t>
            </w:r>
            <w:r>
              <w:rPr>
                <w:rFonts w:hint="default" w:ascii="Times New Roman" w:hAnsi="Times New Roman" w:eastAsia="宋体" w:cs="Times New Roman"/>
                <w:color w:val="auto"/>
                <w:kern w:val="2"/>
                <w:sz w:val="24"/>
                <w:szCs w:val="24"/>
                <w:highlight w:val="none"/>
                <w:lang w:val="en-US" w:eastAsia="zh-CN" w:bidi="ar-SA"/>
              </w:rPr>
              <w:t>的数据）。</w:t>
            </w:r>
          </w:p>
          <w:p>
            <w:pPr>
              <w:pStyle w:val="63"/>
              <w:numPr>
                <w:ilvl w:val="0"/>
                <w:numId w:val="16"/>
              </w:numPr>
              <w:bidi w:val="0"/>
              <w:ind w:left="0" w:leftChars="0" w:right="0" w:rightChars="0" w:firstLine="403" w:firstLineChars="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引用的地表水监测断面信息</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1"/>
              <w:gridCol w:w="3316"/>
              <w:gridCol w:w="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监测点编号</w:t>
                  </w:r>
                </w:p>
              </w:tc>
              <w:tc>
                <w:tcPr>
                  <w:tcW w:w="182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点位名称</w:t>
                  </w:r>
                </w:p>
              </w:tc>
              <w:tc>
                <w:tcPr>
                  <w:tcW w:w="2297"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引用的监测项目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w:t>
                  </w:r>
                  <w:r>
                    <w:rPr>
                      <w:rFonts w:hint="default" w:ascii="Times New Roman" w:hAnsi="Times New Roman" w:cs="Times New Roman"/>
                      <w:color w:val="auto"/>
                      <w:sz w:val="21"/>
                      <w:szCs w:val="21"/>
                      <w:highlight w:val="none"/>
                      <w:lang w:val="en-US" w:eastAsia="zh-CN"/>
                    </w:rPr>
                    <w:t>8</w:t>
                  </w:r>
                </w:p>
              </w:tc>
              <w:tc>
                <w:tcPr>
                  <w:tcW w:w="182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铁场排渠在规划区上游500米处</w:t>
                  </w:r>
                </w:p>
              </w:tc>
              <w:tc>
                <w:tcPr>
                  <w:tcW w:w="2297"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水温、pH、悬浮物、溶解氧、CODcr、BOD</w:t>
                  </w:r>
                  <w:r>
                    <w:rPr>
                      <w:rFonts w:hint="default" w:ascii="Times New Roman" w:hAnsi="Times New Roman" w:eastAsia="宋体" w:cs="Times New Roman"/>
                      <w:color w:val="auto"/>
                      <w:kern w:val="2"/>
                      <w:sz w:val="21"/>
                      <w:szCs w:val="21"/>
                      <w:highlight w:val="none"/>
                      <w:vertAlign w:val="subscript"/>
                      <w:lang w:val="en-US" w:eastAsia="zh-CN" w:bidi="ar-SA"/>
                    </w:rPr>
                    <w:t>5</w:t>
                  </w:r>
                  <w:r>
                    <w:rPr>
                      <w:rFonts w:hint="default" w:ascii="Times New Roman" w:hAnsi="Times New Roman" w:eastAsia="宋体" w:cs="Times New Roman"/>
                      <w:color w:val="auto"/>
                      <w:kern w:val="2"/>
                      <w:sz w:val="21"/>
                      <w:szCs w:val="21"/>
                      <w:highlight w:val="none"/>
                      <w:lang w:val="en-US" w:eastAsia="zh-CN" w:bidi="ar-SA"/>
                    </w:rPr>
                    <w:t>、氨氮、总氮、总磷、粪大肠菌群数、石油类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 w:hRule="atLeast"/>
              </w:trPr>
              <w:tc>
                <w:tcPr>
                  <w:tcW w:w="876"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w:t>
                  </w:r>
                  <w:r>
                    <w:rPr>
                      <w:rFonts w:hint="default" w:ascii="Times New Roman" w:hAnsi="Times New Roman" w:cs="Times New Roman"/>
                      <w:color w:val="auto"/>
                      <w:sz w:val="21"/>
                      <w:szCs w:val="21"/>
                      <w:highlight w:val="none"/>
                      <w:lang w:val="en-US" w:eastAsia="zh-CN"/>
                    </w:rPr>
                    <w:t>9</w:t>
                  </w:r>
                </w:p>
              </w:tc>
              <w:tc>
                <w:tcPr>
                  <w:tcW w:w="182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铁场排渠排出规划区处</w:t>
                  </w:r>
                </w:p>
              </w:tc>
              <w:tc>
                <w:tcPr>
                  <w:tcW w:w="2297"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p>
              </w:tc>
            </w:tr>
          </w:tbl>
          <w:p>
            <w:pPr>
              <w:pStyle w:val="63"/>
              <w:numPr>
                <w:ilvl w:val="0"/>
                <w:numId w:val="16"/>
              </w:numPr>
              <w:ind w:left="0" w:leftChars="0" w:right="0" w:rightChars="0" w:firstLine="403" w:firstLineChars="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铁场</w:t>
            </w:r>
            <w:r>
              <w:rPr>
                <w:rFonts w:hint="default" w:ascii="Times New Roman" w:hAnsi="Times New Roman" w:eastAsia="宋体" w:cs="Times New Roman"/>
                <w:b/>
                <w:bCs/>
                <w:color w:val="auto"/>
                <w:sz w:val="24"/>
                <w:szCs w:val="24"/>
                <w:highlight w:val="none"/>
                <w:lang w:val="en-US" w:eastAsia="zh-CN"/>
              </w:rPr>
              <w:t>排渠水质现状监测结果</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993"/>
              <w:gridCol w:w="658"/>
              <w:gridCol w:w="660"/>
              <w:gridCol w:w="660"/>
              <w:gridCol w:w="769"/>
              <w:gridCol w:w="680"/>
              <w:gridCol w:w="649"/>
              <w:gridCol w:w="667"/>
              <w:gridCol w:w="684"/>
              <w:gridCol w:w="650"/>
              <w:gridCol w:w="610"/>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监测断面</w:t>
                  </w: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监测时间</w:t>
                  </w:r>
                </w:p>
              </w:tc>
              <w:tc>
                <w:tcPr>
                  <w:tcW w:w="362"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8"/>
                      <w:rFonts w:hint="default" w:ascii="Times New Roman" w:hAnsi="Times New Roman" w:eastAsia="宋体" w:cs="Times New Roman"/>
                      <w:b/>
                      <w:bCs/>
                      <w:color w:val="auto"/>
                      <w:sz w:val="18"/>
                      <w:szCs w:val="18"/>
                      <w:highlight w:val="none"/>
                      <w:lang w:val="zh-CN" w:eastAsia="zh-CN" w:bidi="zh-CN"/>
                    </w:rPr>
                    <w:t>水温</w:t>
                  </w:r>
                </w:p>
              </w:tc>
              <w:tc>
                <w:tcPr>
                  <w:tcW w:w="363"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9"/>
                      <w:rFonts w:hint="default" w:ascii="Times New Roman" w:hAnsi="Times New Roman" w:eastAsia="宋体" w:cs="Times New Roman"/>
                      <w:b/>
                      <w:bCs/>
                      <w:color w:val="auto"/>
                      <w:sz w:val="18"/>
                      <w:szCs w:val="18"/>
                      <w:highlight w:val="none"/>
                    </w:rPr>
                    <w:t>pH</w:t>
                  </w:r>
                  <w:r>
                    <w:rPr>
                      <w:rStyle w:val="108"/>
                      <w:rFonts w:hint="default" w:ascii="Times New Roman" w:hAnsi="Times New Roman" w:eastAsia="宋体" w:cs="Times New Roman"/>
                      <w:b/>
                      <w:bCs/>
                      <w:color w:val="auto"/>
                      <w:sz w:val="18"/>
                      <w:szCs w:val="18"/>
                      <w:highlight w:val="none"/>
                      <w:lang w:val="zh-CN" w:eastAsia="zh-CN" w:bidi="zh-CN"/>
                    </w:rPr>
                    <w:t>值</w:t>
                  </w:r>
                </w:p>
              </w:tc>
              <w:tc>
                <w:tcPr>
                  <w:tcW w:w="363"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8"/>
                      <w:rFonts w:hint="default" w:ascii="Times New Roman" w:hAnsi="Times New Roman" w:eastAsia="宋体" w:cs="Times New Roman"/>
                      <w:b/>
                      <w:bCs/>
                      <w:color w:val="auto"/>
                      <w:sz w:val="18"/>
                      <w:szCs w:val="18"/>
                      <w:highlight w:val="none"/>
                      <w:lang w:val="zh-CN" w:eastAsia="zh-CN" w:bidi="zh-CN"/>
                    </w:rPr>
                    <w:t>溶解氧</w:t>
                  </w:r>
                </w:p>
              </w:tc>
              <w:tc>
                <w:tcPr>
                  <w:tcW w:w="423"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8"/>
                      <w:rFonts w:hint="default" w:ascii="Times New Roman" w:hAnsi="Times New Roman" w:eastAsia="宋体" w:cs="Times New Roman"/>
                      <w:b/>
                      <w:bCs/>
                      <w:color w:val="auto"/>
                      <w:sz w:val="18"/>
                      <w:szCs w:val="18"/>
                      <w:highlight w:val="none"/>
                      <w:lang w:val="en-US" w:eastAsia="zh-CN" w:bidi="zh-CN"/>
                    </w:rPr>
                    <w:t>CODcr</w:t>
                  </w:r>
                </w:p>
              </w:tc>
              <w:tc>
                <w:tcPr>
                  <w:tcW w:w="374"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BOD</w:t>
                  </w:r>
                  <w:r>
                    <w:rPr>
                      <w:rFonts w:hint="default" w:ascii="Times New Roman" w:hAnsi="Times New Roman" w:eastAsia="宋体" w:cs="Times New Roman"/>
                      <w:b/>
                      <w:bCs/>
                      <w:color w:val="auto"/>
                      <w:sz w:val="18"/>
                      <w:szCs w:val="18"/>
                      <w:highlight w:val="none"/>
                      <w:vertAlign w:val="subscript"/>
                      <w:lang w:val="en-US" w:eastAsia="zh-CN"/>
                    </w:rPr>
                    <w:t>5</w:t>
                  </w:r>
                </w:p>
              </w:tc>
              <w:tc>
                <w:tcPr>
                  <w:tcW w:w="357"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8"/>
                      <w:rFonts w:hint="default" w:ascii="Times New Roman" w:hAnsi="Times New Roman" w:eastAsia="宋体" w:cs="Times New Roman"/>
                      <w:b/>
                      <w:bCs/>
                      <w:color w:val="auto"/>
                      <w:sz w:val="18"/>
                      <w:szCs w:val="18"/>
                      <w:highlight w:val="none"/>
                      <w:lang w:val="zh-CN" w:eastAsia="zh-CN" w:bidi="zh-CN"/>
                    </w:rPr>
                    <w:t>悬浮物</w:t>
                  </w:r>
                </w:p>
              </w:tc>
              <w:tc>
                <w:tcPr>
                  <w:tcW w:w="367"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Style w:val="108"/>
                      <w:rFonts w:hint="default" w:ascii="Times New Roman" w:hAnsi="Times New Roman" w:eastAsia="宋体" w:cs="Times New Roman"/>
                      <w:b/>
                      <w:bCs/>
                      <w:color w:val="auto"/>
                      <w:sz w:val="18"/>
                      <w:szCs w:val="18"/>
                      <w:highlight w:val="none"/>
                      <w:lang w:val="zh-CN" w:eastAsia="zh-CN" w:bidi="zh-CN"/>
                    </w:rPr>
                    <w:t>氨氮</w:t>
                  </w:r>
                </w:p>
              </w:tc>
              <w:tc>
                <w:tcPr>
                  <w:tcW w:w="37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总磷</w:t>
                  </w:r>
                </w:p>
              </w:tc>
              <w:tc>
                <w:tcPr>
                  <w:tcW w:w="357"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总氮</w:t>
                  </w:r>
                </w:p>
              </w:tc>
              <w:tc>
                <w:tcPr>
                  <w:tcW w:w="335"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石油类</w:t>
                  </w:r>
                </w:p>
              </w:tc>
              <w:tc>
                <w:tcPr>
                  <w:tcW w:w="447"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粪大肠菌群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6" w:hRule="atLeast"/>
              </w:trPr>
              <w:tc>
                <w:tcPr>
                  <w:tcW w:w="323" w:type="pct"/>
                  <w:vMerge w:val="restar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W</w:t>
                  </w:r>
                  <w:r>
                    <w:rPr>
                      <w:rFonts w:hint="default" w:ascii="Times New Roman" w:hAnsi="Times New Roman" w:cs="Times New Roman"/>
                      <w:b/>
                      <w:bCs/>
                      <w:color w:val="auto"/>
                      <w:sz w:val="18"/>
                      <w:szCs w:val="18"/>
                      <w:highlight w:val="none"/>
                      <w:vertAlign w:val="baseline"/>
                      <w:lang w:val="en-US" w:eastAsia="zh-CN"/>
                    </w:rPr>
                    <w:t>8</w:t>
                  </w: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Style w:val="108"/>
                      <w:rFonts w:hint="default" w:ascii="Times New Roman" w:hAnsi="Times New Roman" w:eastAsia="宋体" w:cs="Times New Roman"/>
                      <w:color w:val="auto"/>
                      <w:sz w:val="18"/>
                      <w:szCs w:val="18"/>
                      <w:highlight w:val="none"/>
                      <w:lang w:val="zh-CN" w:eastAsia="zh-CN" w:bidi="zh-CN"/>
                    </w:rPr>
                  </w:pPr>
                  <w:r>
                    <w:rPr>
                      <w:rFonts w:hint="default" w:ascii="Times New Roman" w:hAnsi="Times New Roman" w:cs="Times New Roman"/>
                      <w:b/>
                      <w:bCs/>
                      <w:color w:val="auto"/>
                      <w:sz w:val="18"/>
                      <w:szCs w:val="18"/>
                      <w:highlight w:val="none"/>
                      <w:lang w:val="en-US" w:eastAsia="zh-CN"/>
                    </w:rPr>
                    <w:t>2020.7.21</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26.7</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7.48</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6.85</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13</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2.9</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23</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1.07</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0.24</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1.83</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0.01</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Style w:val="108"/>
                      <w:rFonts w:hint="default" w:ascii="Times New Roman" w:hAnsi="Times New Roman" w:eastAsia="宋体" w:cs="Times New Roman"/>
                      <w:color w:val="auto"/>
                      <w:sz w:val="18"/>
                      <w:szCs w:val="18"/>
                      <w:highlight w:val="none"/>
                      <w:lang w:val="zh-CN" w:eastAsia="zh-CN" w:bidi="zh-CN"/>
                    </w:rPr>
                  </w:pPr>
                  <w:r>
                    <w:rPr>
                      <w:rFonts w:hint="default" w:ascii="Times New Roman" w:hAnsi="Times New Roman" w:cs="Times New Roman"/>
                      <w:b/>
                      <w:bCs/>
                      <w:color w:val="auto"/>
                      <w:sz w:val="18"/>
                      <w:szCs w:val="18"/>
                      <w:highlight w:val="none"/>
                      <w:lang w:val="en-US" w:eastAsia="zh-CN"/>
                    </w:rPr>
                    <w:t>2020.7.22</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26.2</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7.52</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6.37</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13</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2.5</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24</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0.589</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0.28</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2.15</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0.01</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Style w:val="108"/>
                      <w:rFonts w:hint="default" w:ascii="Times New Roman" w:hAnsi="Times New Roman" w:eastAsia="宋体" w:cs="Times New Roman"/>
                      <w:color w:val="auto"/>
                      <w:sz w:val="18"/>
                      <w:szCs w:val="18"/>
                      <w:highlight w:val="none"/>
                      <w:lang w:val="zh-CN" w:eastAsia="zh-CN" w:bidi="zh-CN"/>
                    </w:rPr>
                  </w:pPr>
                  <w:r>
                    <w:rPr>
                      <w:rFonts w:hint="default" w:ascii="Times New Roman" w:hAnsi="Times New Roman" w:cs="Times New Roman"/>
                      <w:b/>
                      <w:bCs/>
                      <w:color w:val="auto"/>
                      <w:sz w:val="18"/>
                      <w:szCs w:val="18"/>
                      <w:highlight w:val="none"/>
                      <w:lang w:val="en-US" w:eastAsia="zh-CN"/>
                    </w:rPr>
                    <w:t>2020.7.23</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26.5</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7.46</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5.72</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18</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3.6</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33</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0.97</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0.36</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3.34</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0.02</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cs="Times New Roman"/>
                      <w:b/>
                      <w:bCs/>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平均值</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26.47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9"/>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7.49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6.31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14.67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3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26.67 </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0.88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0.29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2.44 </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0.01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3600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cs="Times New Roman"/>
                      <w:b/>
                      <w:bCs/>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标准限值</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9"/>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6~9</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3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30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6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1.5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0.3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0.5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cs="Times New Roman"/>
                      <w:b/>
                      <w:bCs/>
                      <w:color w:val="auto"/>
                      <w:sz w:val="18"/>
                      <w:szCs w:val="18"/>
                      <w:highlight w:val="none"/>
                      <w:lang w:val="en-US" w:eastAsia="zh-CN"/>
                    </w:rPr>
                    <w:t>平均</w:t>
                  </w:r>
                  <w:r>
                    <w:rPr>
                      <w:rFonts w:hint="default" w:ascii="Times New Roman" w:hAnsi="Times New Roman" w:eastAsia="宋体" w:cs="Times New Roman"/>
                      <w:b/>
                      <w:bCs/>
                      <w:color w:val="auto"/>
                      <w:sz w:val="18"/>
                      <w:szCs w:val="18"/>
                      <w:highlight w:val="none"/>
                      <w:lang w:val="en-US" w:eastAsia="zh-CN"/>
                    </w:rPr>
                    <w:t>标准指数</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0.24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0.29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0.49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0.5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0.58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0.98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0.03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最大超标倍数</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Style w:val="108"/>
                      <w:rFonts w:hint="default" w:ascii="Times New Roman" w:hAnsi="Times New Roman" w:eastAsia="宋体" w:cs="Times New Roman"/>
                      <w:b w:val="0"/>
                      <w:bCs w:val="0"/>
                      <w:color w:val="auto"/>
                      <w:sz w:val="18"/>
                      <w:szCs w:val="18"/>
                      <w:highlight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cs="Times New Roman"/>
                      <w:b/>
                      <w:bCs/>
                      <w:color w:val="auto"/>
                      <w:kern w:val="2"/>
                      <w:sz w:val="18"/>
                      <w:szCs w:val="18"/>
                      <w:highlight w:val="none"/>
                      <w:lang w:val="en-US" w:eastAsia="zh-CN" w:bidi="ar"/>
                    </w:rPr>
                  </w:pPr>
                  <w:r>
                    <w:rPr>
                      <w:rFonts w:hint="default" w:ascii="Times New Roman" w:hAnsi="Times New Roman" w:cs="Times New Roman"/>
                      <w:b/>
                      <w:bCs/>
                      <w:color w:val="auto"/>
                      <w:sz w:val="18"/>
                      <w:szCs w:val="18"/>
                      <w:highlight w:val="none"/>
                      <w:lang w:val="en-US" w:eastAsia="zh-CN"/>
                    </w:rPr>
                    <w:t>单位</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highlight w:val="none"/>
                      <w:u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°C</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highlight w:val="none"/>
                      <w:u w:val="none"/>
                      <w:lang w:val="en-US" w:eastAsia="zh-CN" w:bidi="en-US"/>
                    </w:rPr>
                  </w:pPr>
                  <w:r>
                    <w:rPr>
                      <w:rFonts w:hint="default" w:ascii="Times New Roman" w:hAnsi="Times New Roman" w:eastAsia="宋体" w:cs="Times New Roman"/>
                      <w:i w:val="0"/>
                      <w:iCs w:val="0"/>
                      <w:color w:val="auto"/>
                      <w:kern w:val="0"/>
                      <w:sz w:val="18"/>
                      <w:szCs w:val="18"/>
                      <w:highlight w:val="none"/>
                      <w:u w:val="none"/>
                      <w:lang w:val="en-US" w:eastAsia="zh-CN" w:bidi="ar"/>
                    </w:rPr>
                    <w:t>无量纲</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highlight w:val="none"/>
                      <w:u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18"/>
                      <w:szCs w:val="18"/>
                      <w:highlight w:val="none"/>
                      <w:vertAlign w:val="baseline"/>
                      <w:lang w:val="en-US" w:eastAsia="zh-CN" w:bidi="ar-SA"/>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highlight w:val="none"/>
                      <w:u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pacing w:val="0"/>
                      <w:w w:val="100"/>
                      <w:kern w:val="2"/>
                      <w:position w:val="0"/>
                      <w:sz w:val="18"/>
                      <w:szCs w:val="18"/>
                      <w:highlight w:val="none"/>
                      <w:u w:val="none"/>
                      <w:lang w:val="en-US" w:eastAsia="zh-CN" w:bidi="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MPN/L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restar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W</w:t>
                  </w:r>
                  <w:r>
                    <w:rPr>
                      <w:rFonts w:hint="default" w:ascii="Times New Roman" w:hAnsi="Times New Roman" w:cs="Times New Roman"/>
                      <w:b/>
                      <w:bCs/>
                      <w:color w:val="auto"/>
                      <w:sz w:val="18"/>
                      <w:szCs w:val="18"/>
                      <w:highlight w:val="none"/>
                      <w:vertAlign w:val="baseline"/>
                      <w:lang w:val="en-US" w:eastAsia="zh-CN"/>
                    </w:rPr>
                    <w:t>9</w:t>
                  </w: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0"/>
                      <w:w w:val="100"/>
                      <w:kern w:val="2"/>
                      <w:position w:val="0"/>
                      <w:sz w:val="18"/>
                      <w:szCs w:val="18"/>
                      <w:highlight w:val="none"/>
                      <w:u w:val="none"/>
                      <w:lang w:val="zh-CN" w:eastAsia="zh-CN" w:bidi="zh-CN"/>
                    </w:rPr>
                  </w:pPr>
                  <w:r>
                    <w:rPr>
                      <w:rFonts w:hint="default" w:ascii="Times New Roman" w:hAnsi="Times New Roman" w:cs="Times New Roman"/>
                      <w:b/>
                      <w:bCs/>
                      <w:color w:val="auto"/>
                      <w:sz w:val="18"/>
                      <w:szCs w:val="18"/>
                      <w:highlight w:val="none"/>
                      <w:lang w:val="en-US" w:eastAsia="zh-CN"/>
                    </w:rPr>
                    <w:t>2020.7.21</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26.7</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7.72</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6.18</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12</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13</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1.05</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0.22</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1.29</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0.01</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0"/>
                      <w:w w:val="100"/>
                      <w:kern w:val="2"/>
                      <w:position w:val="0"/>
                      <w:sz w:val="18"/>
                      <w:szCs w:val="18"/>
                      <w:highlight w:val="none"/>
                      <w:u w:val="none"/>
                      <w:lang w:val="zh-CN" w:eastAsia="zh-CN" w:bidi="zh-CN"/>
                    </w:rPr>
                  </w:pPr>
                  <w:r>
                    <w:rPr>
                      <w:rFonts w:hint="default" w:ascii="Times New Roman" w:hAnsi="Times New Roman" w:cs="Times New Roman"/>
                      <w:b/>
                      <w:bCs/>
                      <w:color w:val="auto"/>
                      <w:sz w:val="18"/>
                      <w:szCs w:val="18"/>
                      <w:highlight w:val="none"/>
                      <w:lang w:val="en-US" w:eastAsia="zh-CN"/>
                    </w:rPr>
                    <w:t>2020.7.22</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26.1</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7.74</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6.41</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8</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1.3</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68</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0.405</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0.16</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0.44</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0.01</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color w:val="auto"/>
                      <w:spacing w:val="0"/>
                      <w:w w:val="100"/>
                      <w:kern w:val="2"/>
                      <w:position w:val="0"/>
                      <w:sz w:val="18"/>
                      <w:szCs w:val="18"/>
                      <w:highlight w:val="none"/>
                      <w:u w:val="none"/>
                      <w:lang w:val="zh-CN" w:eastAsia="zh-CN" w:bidi="zh-CN"/>
                    </w:rPr>
                  </w:pPr>
                  <w:r>
                    <w:rPr>
                      <w:rFonts w:hint="default" w:ascii="Times New Roman" w:hAnsi="Times New Roman" w:cs="Times New Roman"/>
                      <w:b/>
                      <w:bCs/>
                      <w:color w:val="auto"/>
                      <w:sz w:val="18"/>
                      <w:szCs w:val="18"/>
                      <w:highlight w:val="none"/>
                      <w:lang w:val="en-US" w:eastAsia="zh-CN"/>
                    </w:rPr>
                    <w:t>2020.7.23</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26.6</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7.64</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6.11</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14</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2.4</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121</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1.71</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0.42</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2.15</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0.01</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cs="Times New Roman"/>
                      <w:b/>
                      <w:bCs/>
                      <w:color w:val="auto"/>
                      <w:kern w:val="2"/>
                      <w:sz w:val="18"/>
                      <w:szCs w:val="18"/>
                      <w:highlight w:val="none"/>
                      <w:lang w:val="zh-CN" w:eastAsia="zh-CN" w:bidi="ar"/>
                    </w:rPr>
                  </w:pPr>
                  <w:r>
                    <w:rPr>
                      <w:rFonts w:hint="default" w:ascii="Times New Roman" w:hAnsi="Times New Roman" w:cs="Times New Roman"/>
                      <w:b/>
                      <w:bCs/>
                      <w:color w:val="auto"/>
                      <w:sz w:val="18"/>
                      <w:szCs w:val="18"/>
                      <w:highlight w:val="none"/>
                      <w:lang w:val="en-US" w:eastAsia="zh-CN"/>
                    </w:rPr>
                    <w:t>平均值</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26.47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7.70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6.23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11.33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2.10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67.33 </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1.06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0.27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1.29 </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0.01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1943.33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cs="Times New Roman"/>
                      <w:b/>
                      <w:bCs/>
                      <w:color w:val="auto"/>
                      <w:kern w:val="2"/>
                      <w:sz w:val="18"/>
                      <w:szCs w:val="18"/>
                      <w:highlight w:val="none"/>
                      <w:lang w:val="zh-CN" w:eastAsia="zh-CN" w:bidi="ar"/>
                    </w:rPr>
                  </w:pPr>
                  <w:r>
                    <w:rPr>
                      <w:rFonts w:hint="default" w:ascii="Times New Roman" w:hAnsi="Times New Roman" w:cs="Times New Roman"/>
                      <w:b/>
                      <w:bCs/>
                      <w:color w:val="auto"/>
                      <w:sz w:val="18"/>
                      <w:szCs w:val="18"/>
                      <w:highlight w:val="none"/>
                      <w:lang w:val="en-US" w:eastAsia="zh-CN"/>
                    </w:rPr>
                    <w:t>标准限值</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val="0"/>
                      <w:bCs w:val="0"/>
                      <w:color w:val="auto"/>
                      <w:kern w:val="2"/>
                      <w:sz w:val="18"/>
                      <w:szCs w:val="18"/>
                      <w:highlight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6~9</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3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30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6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1.5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0.3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0.5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20000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
                      <w:bCs/>
                      <w:color w:val="auto"/>
                      <w:kern w:val="2"/>
                      <w:sz w:val="18"/>
                      <w:szCs w:val="18"/>
                      <w:highlight w:val="none"/>
                      <w:lang w:val="zh-CN" w:eastAsia="zh-CN" w:bidi="ar"/>
                    </w:rPr>
                  </w:pPr>
                  <w:r>
                    <w:rPr>
                      <w:rFonts w:hint="default" w:ascii="Times New Roman" w:hAnsi="Times New Roman" w:eastAsia="宋体" w:cs="Times New Roman"/>
                      <w:b/>
                      <w:bCs/>
                      <w:color w:val="auto"/>
                      <w:sz w:val="18"/>
                      <w:szCs w:val="18"/>
                      <w:highlight w:val="none"/>
                      <w:lang w:val="en-US" w:eastAsia="zh-CN"/>
                    </w:rPr>
                    <w:t>标准指数</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val="0"/>
                      <w:bCs w:val="0"/>
                      <w:color w:val="auto"/>
                      <w:kern w:val="2"/>
                      <w:sz w:val="18"/>
                      <w:szCs w:val="18"/>
                      <w:highlight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0.35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0.3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0.38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0.35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0.7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0.89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0.02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
                      <w:bCs/>
                      <w:color w:val="auto"/>
                      <w:kern w:val="2"/>
                      <w:sz w:val="18"/>
                      <w:szCs w:val="18"/>
                      <w:highlight w:val="none"/>
                      <w:lang w:val="zh-CN" w:eastAsia="zh-CN" w:bidi="ar"/>
                    </w:rPr>
                  </w:pPr>
                  <w:r>
                    <w:rPr>
                      <w:rFonts w:hint="default" w:ascii="Times New Roman" w:hAnsi="Times New Roman" w:eastAsia="宋体" w:cs="Times New Roman"/>
                      <w:b/>
                      <w:bCs/>
                      <w:color w:val="auto"/>
                      <w:sz w:val="18"/>
                      <w:szCs w:val="18"/>
                      <w:highlight w:val="none"/>
                      <w:lang w:val="en-US" w:eastAsia="zh-CN"/>
                    </w:rPr>
                    <w:t>最大超标倍数</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18"/>
                      <w:szCs w:val="18"/>
                      <w:highlight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trPr>
              <w:tc>
                <w:tcPr>
                  <w:tcW w:w="323" w:type="pct"/>
                  <w:vMerge w:val="continue"/>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
                      <w:bCs/>
                      <w:color w:val="auto"/>
                      <w:sz w:val="18"/>
                      <w:szCs w:val="18"/>
                      <w:highlight w:val="none"/>
                      <w:vertAlign w:val="baseline"/>
                      <w:lang w:val="en-US" w:eastAsia="zh-CN"/>
                    </w:rPr>
                  </w:pPr>
                </w:p>
              </w:tc>
              <w:tc>
                <w:tcPr>
                  <w:tcW w:w="546" w:type="pct"/>
                  <w:noWrap w:val="0"/>
                  <w:vAlign w:val="center"/>
                </w:tcPr>
                <w:p>
                  <w:pPr>
                    <w:pStyle w:val="6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
                      <w:bCs/>
                      <w:color w:val="auto"/>
                      <w:kern w:val="2"/>
                      <w:sz w:val="18"/>
                      <w:szCs w:val="18"/>
                      <w:highlight w:val="none"/>
                      <w:lang w:val="zh-CN" w:eastAsia="zh-CN" w:bidi="ar"/>
                    </w:rPr>
                  </w:pPr>
                  <w:r>
                    <w:rPr>
                      <w:rFonts w:hint="default" w:ascii="Times New Roman" w:hAnsi="Times New Roman" w:cs="Times New Roman"/>
                      <w:b/>
                      <w:bCs/>
                      <w:color w:val="auto"/>
                      <w:sz w:val="18"/>
                      <w:szCs w:val="18"/>
                      <w:highlight w:val="none"/>
                      <w:lang w:val="en-US" w:eastAsia="zh-CN"/>
                    </w:rPr>
                    <w:t>单位</w:t>
                  </w:r>
                </w:p>
              </w:tc>
              <w:tc>
                <w:tcPr>
                  <w:tcW w:w="6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°C</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18"/>
                      <w:szCs w:val="18"/>
                      <w:highlight w:val="none"/>
                      <w:lang w:val="en-US" w:eastAsia="zh-CN" w:bidi="ar"/>
                    </w:rPr>
                  </w:pPr>
                  <w:r>
                    <w:rPr>
                      <w:rFonts w:hint="default" w:ascii="Times New Roman" w:hAnsi="Times New Roman" w:eastAsia="宋体" w:cs="Times New Roman"/>
                      <w:i w:val="0"/>
                      <w:iCs w:val="0"/>
                      <w:color w:val="auto"/>
                      <w:kern w:val="0"/>
                      <w:sz w:val="18"/>
                      <w:szCs w:val="18"/>
                      <w:highlight w:val="none"/>
                      <w:u w:val="none"/>
                      <w:lang w:val="en-US" w:eastAsia="zh-CN" w:bidi="ar"/>
                    </w:rPr>
                    <w:t>无量纲</w:t>
                  </w:r>
                </w:p>
              </w:tc>
              <w:tc>
                <w:tcPr>
                  <w:tcW w:w="66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76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61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mg/L</w:t>
                  </w:r>
                </w:p>
              </w:tc>
              <w:tc>
                <w:tcPr>
                  <w:tcW w:w="81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sz w:val="18"/>
                      <w:szCs w:val="18"/>
                      <w:highlight w:val="none"/>
                      <w:vertAlign w:val="baseli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MPN/L</w:t>
                  </w:r>
                </w:p>
              </w:tc>
            </w:tr>
          </w:tbl>
          <w:p>
            <w:pPr>
              <w:pStyle w:val="63"/>
              <w:keepNext w:val="0"/>
              <w:keepLines w:val="0"/>
              <w:pageBreakBefore w:val="0"/>
              <w:widowControl w:val="0"/>
              <w:numPr>
                <w:ilvl w:val="0"/>
                <w:numId w:val="0"/>
              </w:numPr>
              <w:kinsoku/>
              <w:wordWrap/>
              <w:overflowPunct/>
              <w:topLinePunct w:val="0"/>
              <w:autoSpaceDE/>
              <w:autoSpaceDN/>
              <w:bidi w:val="0"/>
              <w:spacing w:line="360" w:lineRule="auto"/>
              <w:ind w:right="0" w:rightChars="0"/>
              <w:jc w:val="both"/>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注：《地表水环境质量标准》（GB3838-2002）中无河流总氮的质量标准，不做评价。</w:t>
            </w:r>
          </w:p>
          <w:p>
            <w:pPr>
              <w:pStyle w:val="63"/>
              <w:keepNext w:val="0"/>
              <w:keepLines w:val="0"/>
              <w:pageBreakBefore w:val="0"/>
              <w:widowControl w:val="0"/>
              <w:numPr>
                <w:ilvl w:val="0"/>
                <w:numId w:val="0"/>
              </w:numPr>
              <w:kinsoku/>
              <w:wordWrap/>
              <w:overflowPunct/>
              <w:topLinePunct w:val="0"/>
              <w:autoSpaceDE/>
              <w:autoSpaceDN/>
              <w:bidi w:val="0"/>
              <w:spacing w:line="360" w:lineRule="auto"/>
              <w:ind w:right="0" w:rightChars="0" w:firstLine="480" w:firstLineChars="200"/>
              <w:jc w:val="both"/>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监测结果表明：</w:t>
            </w:r>
            <w:r>
              <w:rPr>
                <w:rFonts w:hint="default" w:ascii="Times New Roman" w:hAnsi="Times New Roman" w:cs="Times New Roman"/>
                <w:b w:val="0"/>
                <w:bCs w:val="0"/>
                <w:color w:val="auto"/>
                <w:sz w:val="24"/>
                <w:szCs w:val="24"/>
                <w:highlight w:val="none"/>
                <w:lang w:val="en-US" w:eastAsia="zh-CN"/>
              </w:rPr>
              <w:t>铁场排渠（W8、W9监测断面）pH、悬浮物、溶解氧、CODcr、BOD</w:t>
            </w:r>
            <w:r>
              <w:rPr>
                <w:rFonts w:hint="default" w:ascii="Times New Roman" w:hAnsi="Times New Roman" w:cs="Times New Roman"/>
                <w:b w:val="0"/>
                <w:bCs w:val="0"/>
                <w:color w:val="auto"/>
                <w:sz w:val="24"/>
                <w:szCs w:val="24"/>
                <w:highlight w:val="none"/>
                <w:vertAlign w:val="subscript"/>
                <w:lang w:val="en-US" w:eastAsia="zh-CN"/>
              </w:rPr>
              <w:t>5</w:t>
            </w:r>
            <w:r>
              <w:rPr>
                <w:rFonts w:hint="default" w:ascii="Times New Roman" w:hAnsi="Times New Roman" w:cs="Times New Roman"/>
                <w:b w:val="0"/>
                <w:bCs w:val="0"/>
                <w:color w:val="auto"/>
                <w:sz w:val="24"/>
                <w:szCs w:val="24"/>
                <w:highlight w:val="none"/>
                <w:lang w:val="en-US" w:eastAsia="zh-CN"/>
              </w:rPr>
              <w:t>、氨氮、总氮、总磷、粪大肠菌群数、石油类等因子均</w:t>
            </w:r>
            <w:r>
              <w:rPr>
                <w:rFonts w:hint="default" w:ascii="Times New Roman" w:hAnsi="Times New Roman" w:eastAsia="宋体" w:cs="Times New Roman"/>
                <w:b w:val="0"/>
                <w:bCs w:val="0"/>
                <w:color w:val="auto"/>
                <w:sz w:val="24"/>
                <w:szCs w:val="24"/>
                <w:highlight w:val="none"/>
                <w:lang w:val="en-US" w:eastAsia="zh-CN"/>
              </w:rPr>
              <w:t>满足《地表水环境质量标准》（GB3838-2002）Ⅳ类水标准。</w:t>
            </w:r>
          </w:p>
          <w:p>
            <w:pPr>
              <w:adjustRightInd w:val="0"/>
              <w:snapToGrid w:val="0"/>
              <w:ind w:firstLine="482" w:firstLineChars="200"/>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3、声环境</w:t>
            </w:r>
          </w:p>
          <w:p>
            <w:pPr>
              <w:autoSpaceDE w:val="0"/>
              <w:autoSpaceDN w:val="0"/>
              <w:adjustRightInd w:val="0"/>
              <w:spacing w:line="360" w:lineRule="auto"/>
              <w:ind w:firstLine="480" w:firstLineChars="200"/>
              <w:jc w:val="left"/>
              <w:rPr>
                <w:rFonts w:hint="default" w:ascii="Times New Roman" w:hAnsi="Times New Roman" w:eastAsia="宋体" w:cs="Times New Roman"/>
                <w:snapToGrid w:val="0"/>
                <w:color w:val="auto"/>
                <w:kern w:val="0"/>
                <w:sz w:val="24"/>
                <w:highlight w:val="none"/>
              </w:rPr>
            </w:pPr>
            <w:r>
              <w:rPr>
                <w:rFonts w:hint="default" w:ascii="Times New Roman" w:hAnsi="Times New Roman" w:eastAsia="宋体" w:cs="Times New Roman"/>
                <w:snapToGrid w:val="0"/>
                <w:color w:val="auto"/>
                <w:kern w:val="0"/>
                <w:sz w:val="24"/>
                <w:highlight w:val="none"/>
              </w:rPr>
              <w:t>项目厂界外周边50米范围内不存在声环境保护目标，故无需对项目周边环境进行声环境质量现状监测。</w:t>
            </w:r>
          </w:p>
          <w:p>
            <w:pPr>
              <w:adjustRightInd w:val="0"/>
              <w:snapToGrid w:val="0"/>
              <w:ind w:firstLine="482" w:firstLineChars="200"/>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4、生态环境</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本项目租赁厂房，无新增用地。</w:t>
            </w:r>
          </w:p>
          <w:p>
            <w:pPr>
              <w:adjustRightInd w:val="0"/>
              <w:snapToGrid w:val="0"/>
              <w:ind w:firstLine="482" w:firstLineChars="200"/>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5、地下水、土壤环境</w:t>
            </w:r>
          </w:p>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用地范围内均进行硬底化，不存在土壤、地下水污染途径，因此，不进行土壤、地下水环境质量现状监测。</w:t>
            </w:r>
          </w:p>
          <w:p>
            <w:pPr>
              <w:adjustRightInd w:val="0"/>
              <w:snapToGrid w:val="0"/>
              <w:ind w:firstLine="480" w:firstLineChars="200"/>
              <w:rPr>
                <w:rFonts w:hint="default" w:ascii="Times New Roman" w:hAnsi="Times New Roman" w:cs="Times New Roman"/>
                <w:color w:val="auto"/>
                <w:highlight w:val="none"/>
              </w:rPr>
            </w:pPr>
          </w:p>
          <w:p>
            <w:pPr>
              <w:adjustRightInd w:val="0"/>
              <w:snapToGrid w:val="0"/>
              <w:ind w:firstLine="480" w:firstLineChars="200"/>
              <w:rPr>
                <w:rFonts w:hint="default" w:ascii="Times New Roman" w:hAnsi="Times New Roman" w:cs="Times New Roman"/>
                <w:color w:val="auto"/>
                <w:highlight w:val="none"/>
              </w:rPr>
            </w:pPr>
          </w:p>
          <w:p>
            <w:pPr>
              <w:adjustRightInd w:val="0"/>
              <w:snapToGrid w:val="0"/>
              <w:ind w:firstLine="480" w:firstLineChars="200"/>
              <w:rPr>
                <w:rFonts w:hint="default" w:ascii="Times New Roman" w:hAnsi="Times New Roman" w:cs="Times New Roman"/>
                <w:color w:val="auto"/>
                <w:highlight w:val="none"/>
              </w:rPr>
            </w:pPr>
          </w:p>
          <w:p>
            <w:pPr>
              <w:adjustRightInd w:val="0"/>
              <w:snapToGrid w:val="0"/>
              <w:ind w:firstLine="480" w:firstLineChars="200"/>
              <w:rPr>
                <w:rFonts w:hint="default" w:ascii="Times New Roman" w:hAnsi="Times New Roman" w:cs="Times New Roman"/>
                <w:color w:val="auto"/>
                <w:highlight w:val="none"/>
              </w:rPr>
            </w:pPr>
          </w:p>
          <w:p>
            <w:pPr>
              <w:adjustRightInd w:val="0"/>
              <w:snapToGrid w:val="0"/>
              <w:ind w:firstLine="480" w:firstLineChars="200"/>
              <w:rPr>
                <w:rFonts w:hint="default" w:ascii="Times New Roman" w:hAnsi="Times New Roman" w:cs="Times New Roman"/>
                <w:color w:val="auto"/>
                <w:highlight w:val="none"/>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p>
            <w:pPr>
              <w:adjustRightInd w:val="0"/>
              <w:snapToGrid w:val="0"/>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6" w:hRule="atLeast"/>
        </w:trPr>
        <w:tc>
          <w:tcPr>
            <w:tcW w:w="540" w:type="dxa"/>
            <w:vAlign w:val="center"/>
          </w:tcPr>
          <w:p>
            <w:pPr>
              <w:adjustRightInd w:val="0"/>
              <w:snapToGrid w:val="0"/>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环境</w:t>
            </w:r>
          </w:p>
          <w:p>
            <w:pPr>
              <w:adjustRightInd w:val="0"/>
              <w:snapToGrid w:val="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b/>
                <w:bCs/>
                <w:color w:val="auto"/>
                <w:kern w:val="0"/>
                <w:szCs w:val="21"/>
              </w:rPr>
              <w:t>保护目标</w:t>
            </w:r>
          </w:p>
        </w:tc>
        <w:tc>
          <w:tcPr>
            <w:tcW w:w="9314" w:type="dxa"/>
            <w:vAlign w:val="top"/>
          </w:tcPr>
          <w:p>
            <w:pPr>
              <w:keepNext w:val="0"/>
              <w:keepLines w:val="0"/>
              <w:pageBreakBefore w:val="0"/>
              <w:widowControl w:val="0"/>
              <w:kinsoku/>
              <w:wordWrap/>
              <w:overflowPunct/>
              <w:topLinePunct w:val="0"/>
              <w:autoSpaceDE/>
              <w:autoSpaceDN/>
              <w:bidi w:val="0"/>
              <w:adjustRightInd w:val="0"/>
              <w:snapToGrid w:val="0"/>
              <w:ind w:firstLine="482" w:firstLineChars="200"/>
              <w:textAlignment w:val="auto"/>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1、大气环境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kern w:val="0"/>
                <w:szCs w:val="21"/>
                <w:lang w:val="en-US"/>
              </w:rPr>
            </w:pPr>
            <w:r>
              <w:rPr>
                <w:rFonts w:hint="default" w:ascii="Times New Roman" w:hAnsi="Times New Roman" w:eastAsia="宋体" w:cs="Times New Roman"/>
                <w:color w:val="auto"/>
                <w:lang w:val="zh-CN" w:eastAsia="zh-CN"/>
              </w:rPr>
              <w:t>根据现场踏勘，扩建项目厂界外500米范围内的环境保护目标主要</w:t>
            </w:r>
            <w:r>
              <w:rPr>
                <w:rFonts w:hint="default" w:ascii="Times New Roman" w:hAnsi="Times New Roman" w:cs="Times New Roman"/>
                <w:color w:val="auto"/>
                <w:lang w:val="en-US" w:eastAsia="zh-CN"/>
              </w:rPr>
              <w:t>如下表：</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rPr>
              <w:t>项目大气环境敏感保护目标一览表</w:t>
            </w:r>
          </w:p>
          <w:tbl>
            <w:tblPr>
              <w:tblStyle w:val="32"/>
              <w:tblW w:w="9098" w:type="dxa"/>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121"/>
              <w:gridCol w:w="1541"/>
              <w:gridCol w:w="1448"/>
              <w:gridCol w:w="736"/>
              <w:gridCol w:w="738"/>
              <w:gridCol w:w="803"/>
              <w:gridCol w:w="832"/>
              <w:gridCol w:w="912"/>
              <w:gridCol w:w="967"/>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616" w:type="pct"/>
                  <w:vMerge w:val="restart"/>
                  <w:tcBorders>
                    <w:left w:val="single" w:color="auto" w:sz="0"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敏感点</w:t>
                  </w:r>
                </w:p>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名称</w:t>
                  </w:r>
                </w:p>
              </w:tc>
              <w:tc>
                <w:tcPr>
                  <w:tcW w:w="1641" w:type="pct"/>
                  <w:gridSpan w:val="2"/>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坐标</w:t>
                  </w:r>
                </w:p>
              </w:tc>
              <w:tc>
                <w:tcPr>
                  <w:tcW w:w="404"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保护对象</w:t>
                  </w:r>
                </w:p>
              </w:tc>
              <w:tc>
                <w:tcPr>
                  <w:tcW w:w="405"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保护内容/人</w:t>
                  </w:r>
                </w:p>
              </w:tc>
              <w:tc>
                <w:tcPr>
                  <w:tcW w:w="441"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环境功能区</w:t>
                  </w:r>
                </w:p>
              </w:tc>
              <w:tc>
                <w:tcPr>
                  <w:tcW w:w="457"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相对厂址方位</w:t>
                  </w:r>
                </w:p>
              </w:tc>
              <w:tc>
                <w:tcPr>
                  <w:tcW w:w="501"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相对厂界距离/m</w:t>
                  </w:r>
                </w:p>
              </w:tc>
              <w:tc>
                <w:tcPr>
                  <w:tcW w:w="531" w:type="pct"/>
                  <w:vMerge w:val="restart"/>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w:t>
                  </w:r>
                  <w:r>
                    <w:rPr>
                      <w:rFonts w:hint="default" w:ascii="Times New Roman" w:hAnsi="Times New Roman" w:cs="Times New Roman"/>
                      <w:b/>
                      <w:bCs w:val="0"/>
                      <w:color w:val="auto"/>
                      <w:sz w:val="21"/>
                      <w:szCs w:val="21"/>
                      <w:lang w:val="en-US" w:eastAsia="zh-CN"/>
                    </w:rPr>
                    <w:t>车间</w:t>
                  </w:r>
                  <w:r>
                    <w:rPr>
                      <w:rFonts w:hint="default" w:ascii="Times New Roman" w:hAnsi="Times New Roman" w:eastAsia="宋体" w:cs="Times New Roman"/>
                      <w:b/>
                      <w:bCs w:val="0"/>
                      <w:color w:val="auto"/>
                      <w:sz w:val="21"/>
                      <w:szCs w:val="21"/>
                      <w:lang w:val="en-US" w:eastAsia="zh-CN"/>
                    </w:rPr>
                    <w:t>距离/m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616"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p>
              </w:tc>
              <w:tc>
                <w:tcPr>
                  <w:tcW w:w="84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E</w:t>
                  </w:r>
                </w:p>
              </w:tc>
              <w:tc>
                <w:tcPr>
                  <w:tcW w:w="79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N</w:t>
                  </w:r>
                </w:p>
              </w:tc>
              <w:tc>
                <w:tcPr>
                  <w:tcW w:w="404"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405"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441"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457"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01"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31" w:type="pct"/>
                  <w:vMerge w:val="continue"/>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52" w:hRule="atLeast"/>
                <w:jc w:val="center"/>
              </w:trPr>
              <w:tc>
                <w:tcPr>
                  <w:tcW w:w="61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福乐公寓</w:t>
                  </w:r>
                </w:p>
              </w:tc>
              <w:tc>
                <w:tcPr>
                  <w:tcW w:w="84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113°55′57.128″</w:t>
                  </w:r>
                </w:p>
              </w:tc>
              <w:tc>
                <w:tcPr>
                  <w:tcW w:w="79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23°10′51.909″</w:t>
                  </w:r>
                </w:p>
              </w:tc>
              <w:tc>
                <w:tcPr>
                  <w:tcW w:w="4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w:t>
                  </w:r>
                </w:p>
              </w:tc>
              <w:tc>
                <w:tcPr>
                  <w:tcW w:w="405"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default" w:ascii="Times New Roman" w:hAnsi="Times New Roman" w:cs="Times New Roman"/>
                      <w:bCs/>
                      <w:color w:val="auto"/>
                      <w:sz w:val="21"/>
                      <w:szCs w:val="21"/>
                      <w:lang w:val="en-US" w:eastAsia="zh-CN"/>
                    </w:rPr>
                    <w:t>50</w:t>
                  </w:r>
                </w:p>
              </w:tc>
              <w:tc>
                <w:tcPr>
                  <w:tcW w:w="441" w:type="pct"/>
                  <w:vMerge w:val="restart"/>
                  <w:tcBorders>
                    <w:top w:val="single" w:color="auto" w:sz="4" w:space="0"/>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大气环境二类区</w:t>
                  </w:r>
                </w:p>
              </w:tc>
              <w:tc>
                <w:tcPr>
                  <w:tcW w:w="45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西</w:t>
                  </w:r>
                </w:p>
              </w:tc>
              <w:tc>
                <w:tcPr>
                  <w:tcW w:w="50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90</w:t>
                  </w:r>
                </w:p>
              </w:tc>
              <w:tc>
                <w:tcPr>
                  <w:tcW w:w="53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140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61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零散居民楼1</w:t>
                  </w:r>
                </w:p>
              </w:tc>
              <w:tc>
                <w:tcPr>
                  <w:tcW w:w="84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113°55′53.002″</w:t>
                  </w:r>
                </w:p>
              </w:tc>
              <w:tc>
                <w:tcPr>
                  <w:tcW w:w="79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23°10′37.987″</w:t>
                  </w:r>
                </w:p>
              </w:tc>
              <w:tc>
                <w:tcPr>
                  <w:tcW w:w="4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w:t>
                  </w:r>
                </w:p>
              </w:tc>
              <w:tc>
                <w:tcPr>
                  <w:tcW w:w="405"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default" w:ascii="Times New Roman" w:hAnsi="Times New Roman" w:cs="Times New Roman"/>
                      <w:bCs/>
                      <w:color w:val="auto"/>
                      <w:sz w:val="21"/>
                      <w:szCs w:val="21"/>
                      <w:lang w:val="en-US" w:eastAsia="zh-CN"/>
                    </w:rPr>
                    <w:t>50</w:t>
                  </w:r>
                </w:p>
              </w:tc>
              <w:tc>
                <w:tcPr>
                  <w:tcW w:w="441" w:type="pct"/>
                  <w:vMerge w:val="continue"/>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45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西南</w:t>
                  </w:r>
                </w:p>
              </w:tc>
              <w:tc>
                <w:tcPr>
                  <w:tcW w:w="50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480</w:t>
                  </w:r>
                </w:p>
              </w:tc>
              <w:tc>
                <w:tcPr>
                  <w:tcW w:w="53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450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61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零散居民楼2</w:t>
                  </w:r>
                </w:p>
              </w:tc>
              <w:tc>
                <w:tcPr>
                  <w:tcW w:w="84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113°55′55.725″</w:t>
                  </w:r>
                </w:p>
              </w:tc>
              <w:tc>
                <w:tcPr>
                  <w:tcW w:w="79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23°10′38.735″</w:t>
                  </w:r>
                </w:p>
              </w:tc>
              <w:tc>
                <w:tcPr>
                  <w:tcW w:w="4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w:t>
                  </w:r>
                </w:p>
              </w:tc>
              <w:tc>
                <w:tcPr>
                  <w:tcW w:w="405"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default" w:ascii="Times New Roman" w:hAnsi="Times New Roman" w:cs="Times New Roman"/>
                      <w:bCs/>
                      <w:color w:val="auto"/>
                      <w:sz w:val="21"/>
                      <w:szCs w:val="21"/>
                      <w:lang w:val="en-US" w:eastAsia="zh-CN"/>
                    </w:rPr>
                    <w:t>50</w:t>
                  </w:r>
                </w:p>
              </w:tc>
              <w:tc>
                <w:tcPr>
                  <w:tcW w:w="441" w:type="pct"/>
                  <w:vMerge w:val="continue"/>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45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西南</w:t>
                  </w:r>
                </w:p>
              </w:tc>
              <w:tc>
                <w:tcPr>
                  <w:tcW w:w="50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410</w:t>
                  </w:r>
                </w:p>
              </w:tc>
              <w:tc>
                <w:tcPr>
                  <w:tcW w:w="53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510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61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零散居民楼3</w:t>
                  </w:r>
                </w:p>
              </w:tc>
              <w:tc>
                <w:tcPr>
                  <w:tcW w:w="84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113°55′56.910″</w:t>
                  </w:r>
                </w:p>
              </w:tc>
              <w:tc>
                <w:tcPr>
                  <w:tcW w:w="79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23°10′47.781″</w:t>
                  </w:r>
                </w:p>
              </w:tc>
              <w:tc>
                <w:tcPr>
                  <w:tcW w:w="4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w:t>
                  </w:r>
                </w:p>
              </w:tc>
              <w:tc>
                <w:tcPr>
                  <w:tcW w:w="405"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default" w:ascii="Times New Roman" w:hAnsi="Times New Roman" w:cs="Times New Roman"/>
                      <w:bCs/>
                      <w:color w:val="auto"/>
                      <w:sz w:val="21"/>
                      <w:szCs w:val="21"/>
                      <w:lang w:val="en-US" w:eastAsia="zh-CN"/>
                    </w:rPr>
                    <w:t>50</w:t>
                  </w:r>
                </w:p>
              </w:tc>
              <w:tc>
                <w:tcPr>
                  <w:tcW w:w="441" w:type="pct"/>
                  <w:vMerge w:val="continue"/>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45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西南</w:t>
                  </w:r>
                </w:p>
              </w:tc>
              <w:tc>
                <w:tcPr>
                  <w:tcW w:w="50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160</w:t>
                  </w:r>
                </w:p>
              </w:tc>
              <w:tc>
                <w:tcPr>
                  <w:tcW w:w="531"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190</w:t>
                  </w:r>
                </w:p>
              </w:tc>
            </w:tr>
          </w:tbl>
          <w:p>
            <w:pPr>
              <w:numPr>
                <w:ilvl w:val="0"/>
                <w:numId w:val="0"/>
              </w:numPr>
              <w:adjustRightInd w:val="0"/>
              <w:snapToGrid w:val="0"/>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lang w:val="en-US" w:eastAsia="zh-CN"/>
              </w:rPr>
              <w:t xml:space="preserve">    2、</w:t>
            </w:r>
            <w:r>
              <w:rPr>
                <w:rFonts w:hint="default" w:ascii="Times New Roman" w:hAnsi="Times New Roman" w:cs="Times New Roman"/>
                <w:b/>
                <w:bCs/>
                <w:color w:val="auto"/>
                <w:kern w:val="0"/>
                <w:szCs w:val="21"/>
              </w:rPr>
              <w:t>声环境</w:t>
            </w:r>
          </w:p>
          <w:p>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kern w:val="0"/>
                <w:lang w:bidi="ar"/>
              </w:rPr>
              <w:t>厂界外50m范围内没有声环境保护目标。</w:t>
            </w:r>
          </w:p>
          <w:p>
            <w:pPr>
              <w:adjustRightInd w:val="0"/>
              <w:snapToGrid w:val="0"/>
              <w:ind w:firstLine="482" w:firstLineChars="200"/>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3、地下水环境</w:t>
            </w:r>
          </w:p>
          <w:p>
            <w:pPr>
              <w:adjustRightInd w:val="0"/>
              <w:snapToGrid w:val="0"/>
              <w:ind w:firstLine="480" w:firstLineChars="20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厂界外500m范围内无地下水集中式使用水水源和热水、矿泉水、温泉等特殊地下水资源。</w:t>
            </w:r>
          </w:p>
          <w:p>
            <w:pPr>
              <w:adjustRightInd w:val="0"/>
              <w:snapToGrid w:val="0"/>
              <w:ind w:firstLine="482" w:firstLineChars="200"/>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4、生态环境</w:t>
            </w:r>
          </w:p>
          <w:p>
            <w:pPr>
              <w:adjustRightInd w:val="0"/>
              <w:snapToGrid w:val="0"/>
              <w:ind w:firstLine="480" w:firstLineChars="200"/>
              <w:rPr>
                <w:rFonts w:hint="default" w:ascii="Times New Roman" w:hAnsi="Times New Roman" w:eastAsia="宋体" w:cs="Times New Roman"/>
                <w:color w:val="auto"/>
                <w:kern w:val="0"/>
                <w:sz w:val="24"/>
                <w:szCs w:val="21"/>
                <w:lang w:val="en-US" w:eastAsia="zh-CN" w:bidi="ar-SA"/>
              </w:rPr>
            </w:pPr>
            <w:r>
              <w:rPr>
                <w:rFonts w:hint="default" w:ascii="Times New Roman" w:hAnsi="Times New Roman" w:cs="Times New Roman"/>
                <w:color w:val="auto"/>
                <w:lang w:val="en-US" w:eastAsia="zh-CN"/>
              </w:rPr>
              <w:t>本项目租赁厂房，无新增用地</w:t>
            </w:r>
            <w:r>
              <w:rPr>
                <w:rFonts w:hint="default" w:ascii="Times New Roman" w:hAnsi="Times New Roman" w:cs="Times New Roman"/>
                <w:color w:val="auto"/>
              </w:rPr>
              <w:t>，无生态环境保护目标</w:t>
            </w:r>
            <w:r>
              <w:rPr>
                <w:rFonts w:hint="default" w:ascii="Times New Roman" w:hAnsi="Times New Roman" w:cs="Times New Roman"/>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hint="default" w:ascii="Times New Roman" w:hAnsi="Times New Roman" w:cs="Times New Roman"/>
                <w:color w:val="auto"/>
                <w:kern w:val="0"/>
                <w:sz w:val="24"/>
                <w:szCs w:val="24"/>
                <w:vertAlign w:val="superscript"/>
              </w:rPr>
            </w:pPr>
            <w:r>
              <w:rPr>
                <w:rFonts w:hint="default" w:ascii="Times New Roman" w:hAnsi="Times New Roman" w:cs="Times New Roman"/>
                <w:color w:val="auto"/>
                <w:kern w:val="0"/>
                <w:sz w:val="24"/>
                <w:szCs w:val="24"/>
                <w:vertAlign w:val="superscript"/>
              </w:rPr>
              <w:t>污染</w:t>
            </w:r>
          </w:p>
          <w:p>
            <w:pPr>
              <w:adjustRightInd w:val="0"/>
              <w:snapToGrid w:val="0"/>
              <w:jc w:val="center"/>
              <w:rPr>
                <w:rFonts w:hint="default" w:ascii="Times New Roman" w:hAnsi="Times New Roman" w:cs="Times New Roman"/>
                <w:color w:val="auto"/>
                <w:kern w:val="0"/>
                <w:sz w:val="24"/>
                <w:szCs w:val="24"/>
                <w:vertAlign w:val="superscript"/>
              </w:rPr>
            </w:pPr>
            <w:r>
              <w:rPr>
                <w:rFonts w:hint="default" w:ascii="Times New Roman" w:hAnsi="Times New Roman" w:cs="Times New Roman"/>
                <w:color w:val="auto"/>
                <w:kern w:val="0"/>
                <w:sz w:val="24"/>
                <w:szCs w:val="24"/>
                <w:vertAlign w:val="superscript"/>
              </w:rPr>
              <w:t>物排</w:t>
            </w:r>
          </w:p>
          <w:p>
            <w:pPr>
              <w:adjustRightInd w:val="0"/>
              <w:snapToGrid w:val="0"/>
              <w:jc w:val="center"/>
              <w:rPr>
                <w:rFonts w:hint="default" w:ascii="Times New Roman" w:hAnsi="Times New Roman" w:cs="Times New Roman"/>
                <w:color w:val="auto"/>
                <w:kern w:val="0"/>
                <w:sz w:val="24"/>
                <w:szCs w:val="24"/>
                <w:vertAlign w:val="superscript"/>
              </w:rPr>
            </w:pPr>
            <w:r>
              <w:rPr>
                <w:rFonts w:hint="default" w:ascii="Times New Roman" w:hAnsi="Times New Roman" w:cs="Times New Roman"/>
                <w:color w:val="auto"/>
                <w:kern w:val="0"/>
                <w:sz w:val="24"/>
                <w:szCs w:val="24"/>
                <w:vertAlign w:val="superscript"/>
              </w:rPr>
              <w:t>放控</w:t>
            </w:r>
          </w:p>
          <w:p>
            <w:pPr>
              <w:adjustRightInd w:val="0"/>
              <w:snapToGrid w:val="0"/>
              <w:jc w:val="center"/>
              <w:rPr>
                <w:rFonts w:hint="default" w:ascii="Times New Roman" w:hAnsi="Times New Roman" w:cs="Times New Roman"/>
                <w:color w:val="auto"/>
                <w:sz w:val="24"/>
                <w:szCs w:val="24"/>
                <w:vertAlign w:val="superscript"/>
              </w:rPr>
            </w:pPr>
            <w:r>
              <w:rPr>
                <w:rFonts w:hint="default" w:ascii="Times New Roman" w:hAnsi="Times New Roman" w:cs="Times New Roman"/>
                <w:color w:val="auto"/>
                <w:kern w:val="0"/>
                <w:sz w:val="24"/>
                <w:szCs w:val="24"/>
                <w:vertAlign w:val="superscript"/>
              </w:rPr>
              <w:t>制标准</w:t>
            </w:r>
          </w:p>
        </w:tc>
        <w:tc>
          <w:tcPr>
            <w:tcW w:w="931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bCs/>
                <w:color w:val="auto"/>
                <w:kern w:val="0"/>
                <w:sz w:val="24"/>
                <w:szCs w:val="24"/>
                <w:highlight w:val="none"/>
                <w:vertAlign w:val="baseline"/>
                <w:lang w:val="en-US" w:eastAsia="zh-CN"/>
              </w:rPr>
            </w:pPr>
            <w:r>
              <w:rPr>
                <w:rFonts w:hint="default" w:ascii="Times New Roman" w:hAnsi="Times New Roman" w:cs="Times New Roman"/>
                <w:b/>
                <w:bCs/>
                <w:color w:val="auto"/>
                <w:kern w:val="0"/>
                <w:sz w:val="24"/>
                <w:szCs w:val="24"/>
                <w:highlight w:val="none"/>
                <w:vertAlign w:val="baseline"/>
                <w:lang w:val="en-US" w:eastAsia="zh-CN"/>
              </w:rPr>
              <w:t>1、</w:t>
            </w:r>
            <w:r>
              <w:rPr>
                <w:rFonts w:hint="default" w:ascii="Times New Roman" w:hAnsi="Times New Roman" w:eastAsia="宋体" w:cs="Times New Roman"/>
                <w:b/>
                <w:bCs/>
                <w:color w:val="auto"/>
                <w:kern w:val="0"/>
                <w:sz w:val="24"/>
                <w:szCs w:val="24"/>
                <w:highlight w:val="none"/>
                <w:vertAlign w:val="baseline"/>
                <w:lang w:val="en-US" w:eastAsia="zh-CN"/>
              </w:rPr>
              <w:t>水污染物排放标准</w:t>
            </w:r>
          </w:p>
          <w:p>
            <w:pPr>
              <w:pStyle w:val="19"/>
              <w:keepNext w:val="0"/>
              <w:keepLines w:val="0"/>
              <w:pageBreakBefore w:val="0"/>
              <w:widowControl w:val="0"/>
              <w:numPr>
                <w:ilvl w:val="0"/>
                <w:numId w:val="0"/>
              </w:numPr>
              <w:kinsoku/>
              <w:wordWrap/>
              <w:overflowPunct/>
              <w:topLinePunct w:val="0"/>
              <w:bidi w:val="0"/>
              <w:ind w:firstLine="480" w:firstLineChars="200"/>
              <w:textAlignment w:val="auto"/>
              <w:rPr>
                <w:rFonts w:hint="default" w:ascii="Times New Roman" w:hAnsi="Times New Roman" w:eastAsia="宋体" w:cs="Times New Roman"/>
                <w:b w:val="0"/>
                <w:bCs w:val="0"/>
                <w:color w:val="auto"/>
                <w:kern w:val="2"/>
                <w:sz w:val="24"/>
                <w:szCs w:val="24"/>
                <w:highlight w:val="none"/>
                <w:vertAlign w:val="baseline"/>
                <w:lang w:val="en-US" w:eastAsia="zh-CN" w:bidi="ar-SA"/>
              </w:rPr>
            </w:pPr>
            <w:r>
              <w:rPr>
                <w:rFonts w:hint="default" w:ascii="Times New Roman" w:hAnsi="Times New Roman" w:eastAsia="宋体" w:cs="Times New Roman"/>
                <w:b w:val="0"/>
                <w:bCs w:val="0"/>
                <w:color w:val="auto"/>
                <w:kern w:val="2"/>
                <w:sz w:val="24"/>
                <w:szCs w:val="24"/>
                <w:highlight w:val="none"/>
                <w:vertAlign w:val="baseline"/>
                <w:lang w:val="en-US" w:eastAsia="zh-CN" w:bidi="ar-SA"/>
              </w:rPr>
              <w:t>本项目无新增员工，故无新增生活污水的产生和排放。</w:t>
            </w:r>
          </w:p>
          <w:p>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rFonts w:hint="default" w:ascii="Times New Roman" w:hAnsi="Times New Roman" w:cs="Times New Roman"/>
                <w:b/>
                <w:bCs/>
                <w:color w:val="auto"/>
                <w:sz w:val="24"/>
                <w:szCs w:val="24"/>
                <w:highlight w:val="none"/>
                <w:vertAlign w:val="baseline"/>
              </w:rPr>
            </w:pPr>
            <w:r>
              <w:rPr>
                <w:rFonts w:hint="default" w:ascii="Times New Roman" w:hAnsi="Times New Roman" w:cs="Times New Roman"/>
                <w:b/>
                <w:bCs/>
                <w:color w:val="auto"/>
                <w:kern w:val="0"/>
                <w:sz w:val="24"/>
                <w:szCs w:val="24"/>
                <w:highlight w:val="none"/>
                <w:vertAlign w:val="baseline"/>
                <w:lang w:val="en-US" w:eastAsia="zh-CN"/>
              </w:rPr>
              <w:t>2、</w:t>
            </w:r>
            <w:r>
              <w:rPr>
                <w:rFonts w:hint="default" w:ascii="Times New Roman" w:hAnsi="Times New Roman" w:cs="Times New Roman"/>
                <w:b/>
                <w:bCs/>
                <w:color w:val="auto"/>
                <w:kern w:val="0"/>
                <w:sz w:val="24"/>
                <w:szCs w:val="24"/>
                <w:highlight w:val="none"/>
                <w:vertAlign w:val="baseline"/>
              </w:rPr>
              <w:t>大气污染物排放标准</w:t>
            </w:r>
          </w:p>
          <w:p>
            <w:pPr>
              <w:adjustRightInd w:val="0"/>
              <w:snapToGrid w:val="0"/>
              <w:spacing w:line="360" w:lineRule="auto"/>
              <w:ind w:firstLine="480"/>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1</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保护膜</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预搅拌、涂布、烤干；（聚氨酯高密度棉）涂布</w:t>
            </w:r>
            <w:r>
              <w:rPr>
                <w:rFonts w:hint="default" w:ascii="Times New Roman" w:hAnsi="Times New Roman" w:eastAsia="宋体" w:cs="Times New Roman"/>
                <w:color w:val="auto"/>
                <w:sz w:val="24"/>
                <w:szCs w:val="24"/>
                <w:vertAlign w:val="baseline"/>
                <w:lang w:val="en-US" w:eastAsia="zh-CN"/>
              </w:rPr>
              <w:t>、UV固化</w:t>
            </w:r>
            <w:r>
              <w:rPr>
                <w:rFonts w:hint="default" w:ascii="Times New Roman" w:hAnsi="Times New Roman" w:cs="Times New Roman"/>
                <w:color w:val="auto"/>
                <w:sz w:val="24"/>
                <w:szCs w:val="24"/>
                <w:vertAlign w:val="baseline"/>
                <w:lang w:val="en-US" w:eastAsia="zh-CN"/>
              </w:rPr>
              <w:t>工序</w:t>
            </w:r>
          </w:p>
          <w:p>
            <w:pPr>
              <w:adjustRightInd w:val="0"/>
              <w:snapToGrid w:val="0"/>
              <w:spacing w:line="360" w:lineRule="auto"/>
              <w:ind w:firstLine="480"/>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保护膜</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预搅拌、涂布、烤干、（聚氨酯高密度棉）涂布</w:t>
            </w:r>
            <w:r>
              <w:rPr>
                <w:rFonts w:hint="default" w:ascii="Times New Roman" w:hAnsi="Times New Roman" w:eastAsia="宋体" w:cs="Times New Roman"/>
                <w:color w:val="auto"/>
                <w:sz w:val="24"/>
                <w:szCs w:val="24"/>
                <w:vertAlign w:val="baseline"/>
                <w:lang w:val="en-US" w:eastAsia="zh-CN"/>
              </w:rPr>
              <w:t>、UV固化</w:t>
            </w:r>
            <w:r>
              <w:rPr>
                <w:rFonts w:hint="default" w:ascii="Times New Roman" w:hAnsi="Times New Roman" w:cs="Times New Roman"/>
                <w:color w:val="auto"/>
                <w:sz w:val="24"/>
                <w:szCs w:val="24"/>
                <w:vertAlign w:val="baseline"/>
                <w:lang w:val="en-US" w:eastAsia="zh-CN"/>
              </w:rPr>
              <w:t>工序产生的总VOCs有组织排放执行广东省地方标准《固定污染源挥发性有机物综合排放标准》（DB44/2367—2022）表1挥发性有机物排放限值排放限值，</w:t>
            </w:r>
            <w:r>
              <w:rPr>
                <w:rFonts w:hint="default" w:ascii="Times New Roman" w:hAnsi="Times New Roman" w:cs="Times New Roman"/>
                <w:color w:val="auto"/>
                <w:sz w:val="24"/>
                <w:szCs w:val="24"/>
                <w:highlight w:val="none"/>
                <w:vertAlign w:val="baseline"/>
                <w:lang w:val="en-US" w:eastAsia="zh-CN"/>
              </w:rPr>
              <w:t>无组织排放执行广东省地方标准《家具制造行业挥发性有机化合物排放标准》（DB44/814-2010）中的表2无组织排放监控点浓度限值。</w:t>
            </w:r>
          </w:p>
          <w:p>
            <w:pPr>
              <w:adjustRightInd w:val="0"/>
              <w:snapToGrid w:val="0"/>
              <w:spacing w:line="360" w:lineRule="auto"/>
              <w:ind w:firstLine="480"/>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2</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预搅拌、混合</w:t>
            </w:r>
            <w:r>
              <w:rPr>
                <w:rFonts w:hint="default" w:ascii="Times New Roman" w:hAnsi="Times New Roman" w:cs="Times New Roman"/>
                <w:color w:val="auto"/>
                <w:sz w:val="24"/>
                <w:szCs w:val="24"/>
                <w:vertAlign w:val="baseline"/>
              </w:rPr>
              <w:t>发泡</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流平、烘烤</w:t>
            </w:r>
            <w:r>
              <w:rPr>
                <w:rFonts w:hint="default" w:ascii="Times New Roman" w:hAnsi="Times New Roman" w:cs="Times New Roman"/>
                <w:color w:val="auto"/>
                <w:sz w:val="24"/>
                <w:szCs w:val="24"/>
                <w:vertAlign w:val="baseline"/>
              </w:rPr>
              <w:t>工序</w:t>
            </w:r>
          </w:p>
          <w:p>
            <w:pPr>
              <w:adjustRightInd w:val="0"/>
              <w:snapToGrid w:val="0"/>
              <w:spacing w:line="360" w:lineRule="auto"/>
              <w:ind w:firstLine="480"/>
              <w:rPr>
                <w:rFonts w:hint="default" w:ascii="Times New Roman" w:hAnsi="Times New Roman" w:eastAsia="宋体" w:cs="Times New Roman"/>
                <w:color w:val="auto"/>
                <w:sz w:val="24"/>
                <w:szCs w:val="24"/>
                <w:vertAlign w:val="baseline"/>
                <w:lang w:eastAsia="zh-CN"/>
              </w:rPr>
            </w:pPr>
            <w:bookmarkStart w:id="5" w:name="_Hlk105322687"/>
            <w:r>
              <w:rPr>
                <w:rFonts w:hint="default" w:ascii="Times New Roman" w:hAnsi="Times New Roman" w:cs="Times New Roman"/>
                <w:color w:val="auto"/>
                <w:sz w:val="24"/>
                <w:szCs w:val="24"/>
                <w:vertAlign w:val="baseline"/>
                <w:lang w:val="en-US" w:eastAsia="zh-CN"/>
              </w:rPr>
              <w:t>预搅拌、混合</w:t>
            </w:r>
            <w:r>
              <w:rPr>
                <w:rFonts w:hint="default" w:ascii="Times New Roman" w:hAnsi="Times New Roman" w:cs="Times New Roman"/>
                <w:color w:val="auto"/>
                <w:sz w:val="24"/>
                <w:szCs w:val="24"/>
                <w:vertAlign w:val="baseline"/>
              </w:rPr>
              <w:t>发泡</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vertAlign w:val="baseline"/>
                <w:lang w:val="en-US" w:eastAsia="zh-CN"/>
              </w:rPr>
              <w:t>流平、烘烤</w:t>
            </w:r>
            <w:r>
              <w:rPr>
                <w:rFonts w:hint="default" w:ascii="Times New Roman" w:hAnsi="Times New Roman" w:cs="Times New Roman"/>
                <w:color w:val="auto"/>
                <w:sz w:val="24"/>
                <w:szCs w:val="24"/>
                <w:vertAlign w:val="baseline"/>
              </w:rPr>
              <w:t>工序产生的非甲烷总烃、MDI</w:t>
            </w:r>
            <w:r>
              <w:rPr>
                <w:rFonts w:hint="default" w:ascii="Times New Roman" w:hAnsi="Times New Roman" w:cs="Times New Roman"/>
                <w:color w:val="auto"/>
                <w:sz w:val="24"/>
                <w:szCs w:val="24"/>
                <w:vertAlign w:val="baseline"/>
                <w:lang w:val="en-US" w:eastAsia="zh-CN"/>
              </w:rPr>
              <w:t>有组织排放</w:t>
            </w:r>
            <w:r>
              <w:rPr>
                <w:rFonts w:hint="default" w:ascii="Times New Roman" w:hAnsi="Times New Roman" w:cs="Times New Roman"/>
                <w:color w:val="auto"/>
                <w:sz w:val="24"/>
                <w:szCs w:val="24"/>
                <w:vertAlign w:val="baseline"/>
              </w:rPr>
              <w:t>执行《合成树脂工业污染物排放标准》（GB31572-2015）中表5特别排放限值</w:t>
            </w:r>
            <w:r>
              <w:rPr>
                <w:rFonts w:hint="default" w:ascii="Times New Roman" w:hAnsi="Times New Roman" w:cs="Times New Roman"/>
                <w:color w:val="auto"/>
                <w:sz w:val="24"/>
                <w:szCs w:val="24"/>
                <w:vertAlign w:val="baseline"/>
                <w:lang w:eastAsia="zh-CN"/>
              </w:rPr>
              <w:t>，</w:t>
            </w:r>
            <w:r>
              <w:rPr>
                <w:rFonts w:hint="default" w:ascii="Times New Roman" w:hAnsi="Times New Roman" w:cs="Times New Roman"/>
                <w:color w:val="auto"/>
                <w:sz w:val="24"/>
                <w:szCs w:val="24"/>
                <w:highlight w:val="none"/>
                <w:vertAlign w:val="baseline"/>
                <w:lang w:val="en-US" w:eastAsia="zh-CN"/>
              </w:rPr>
              <w:t>无组织排放执行</w:t>
            </w:r>
            <w:r>
              <w:rPr>
                <w:rFonts w:hint="default" w:ascii="Times New Roman" w:hAnsi="Times New Roman" w:cs="Times New Roman"/>
                <w:color w:val="auto"/>
                <w:sz w:val="24"/>
                <w:szCs w:val="24"/>
                <w:vertAlign w:val="baseline"/>
              </w:rPr>
              <w:t>《合成树脂工业污染物排放标准》（GB31572-2015）表9企业边界大气污染物浓度限值</w:t>
            </w:r>
            <w:r>
              <w:rPr>
                <w:rFonts w:hint="default" w:ascii="Times New Roman" w:hAnsi="Times New Roman" w:cs="Times New Roman"/>
                <w:color w:val="auto"/>
                <w:sz w:val="24"/>
                <w:szCs w:val="24"/>
                <w:vertAlign w:val="baseline"/>
                <w:lang w:eastAsia="zh-CN"/>
              </w:rPr>
              <w:t>；</w:t>
            </w:r>
            <w:r>
              <w:rPr>
                <w:rFonts w:hint="default" w:ascii="Times New Roman" w:hAnsi="Times New Roman" w:eastAsia="宋体" w:cs="Times New Roman"/>
                <w:color w:val="auto"/>
                <w:sz w:val="24"/>
                <w:szCs w:val="24"/>
                <w:vertAlign w:val="baseline"/>
                <w:lang w:eastAsia="zh-CN"/>
              </w:rPr>
              <w:t>臭气浓度执行《恶臭污染物排放标准》（GB14554-93）表2恶臭污染物排放限值和《恶臭污染物排放标准》（GB14554-93）中的二级标准。</w:t>
            </w:r>
          </w:p>
          <w:p>
            <w:pPr>
              <w:adjustRightInd w:val="0"/>
              <w:snapToGrid w:val="0"/>
              <w:spacing w:line="360" w:lineRule="auto"/>
              <w:ind w:firstLine="480"/>
              <w:rPr>
                <w:rFonts w:hint="default" w:ascii="Times New Roman" w:hAnsi="Times New Roman" w:cs="Times New Roman"/>
                <w:color w:val="auto"/>
                <w:sz w:val="24"/>
                <w:szCs w:val="24"/>
                <w:vertAlign w:val="baseline"/>
                <w:lang w:eastAsia="zh-CN"/>
              </w:rPr>
            </w:pPr>
            <w:r>
              <w:rPr>
                <w:rFonts w:hint="default" w:ascii="Times New Roman" w:hAnsi="Times New Roman" w:cs="Times New Roman"/>
                <w:color w:val="auto"/>
                <w:sz w:val="24"/>
                <w:szCs w:val="24"/>
                <w:vertAlign w:val="baseline"/>
                <w:lang w:val="en-US" w:eastAsia="zh-CN"/>
              </w:rPr>
              <w:t>厂区</w:t>
            </w:r>
            <w:r>
              <w:rPr>
                <w:rFonts w:hint="default" w:ascii="Times New Roman" w:hAnsi="Times New Roman" w:cs="Times New Roman"/>
                <w:color w:val="auto"/>
                <w:sz w:val="24"/>
                <w:szCs w:val="24"/>
                <w:vertAlign w:val="baseline"/>
              </w:rPr>
              <w:t>内</w:t>
            </w:r>
            <w:r>
              <w:rPr>
                <w:rFonts w:hint="default" w:ascii="Times New Roman" w:hAnsi="Times New Roman" w:cs="Times New Roman"/>
                <w:bCs/>
                <w:color w:val="auto"/>
                <w:sz w:val="24"/>
                <w:szCs w:val="24"/>
                <w:vertAlign w:val="baseline"/>
              </w:rPr>
              <w:t>有机废气</w:t>
            </w:r>
            <w:r>
              <w:rPr>
                <w:rFonts w:hint="default" w:ascii="Times New Roman" w:hAnsi="Times New Roman" w:cs="Times New Roman"/>
                <w:color w:val="auto"/>
                <w:sz w:val="24"/>
                <w:szCs w:val="24"/>
                <w:vertAlign w:val="baseline"/>
              </w:rPr>
              <w:t>无组织排放满足广东省地方标准《固定污染源挥发性有机物综合排放标准》（DB44/2367-2022）表3排放限值</w:t>
            </w:r>
            <w:r>
              <w:rPr>
                <w:rFonts w:hint="default" w:ascii="Times New Roman" w:hAnsi="Times New Roman" w:cs="Times New Roman"/>
                <w:color w:val="auto"/>
                <w:sz w:val="24"/>
                <w:szCs w:val="24"/>
                <w:vertAlign w:val="baseline"/>
                <w:lang w:eastAsia="zh-CN"/>
              </w:rPr>
              <w:t>。</w:t>
            </w:r>
          </w:p>
          <w:p>
            <w:pPr>
              <w:adjustRightInd w:val="0"/>
              <w:snapToGrid w:val="0"/>
              <w:spacing w:line="360" w:lineRule="auto"/>
              <w:ind w:firstLine="480"/>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eastAsia="zh-CN"/>
              </w:rPr>
              <w:t>（</w:t>
            </w:r>
            <w:r>
              <w:rPr>
                <w:rFonts w:hint="default" w:ascii="Times New Roman" w:hAnsi="Times New Roman" w:eastAsia="宋体" w:cs="Times New Roman"/>
                <w:color w:val="auto"/>
                <w:sz w:val="24"/>
                <w:szCs w:val="24"/>
                <w:vertAlign w:val="baseline"/>
                <w:lang w:val="en-US" w:eastAsia="zh-CN"/>
              </w:rPr>
              <w:t>3</w:t>
            </w:r>
            <w:r>
              <w:rPr>
                <w:rFonts w:hint="default" w:ascii="Times New Roman" w:hAnsi="Times New Roman" w:eastAsia="宋体" w:cs="Times New Roman"/>
                <w:color w:val="auto"/>
                <w:sz w:val="24"/>
                <w:szCs w:val="24"/>
                <w:vertAlign w:val="baseline"/>
                <w:lang w:eastAsia="zh-CN"/>
              </w:rPr>
              <w:t>）</w:t>
            </w:r>
            <w:r>
              <w:rPr>
                <w:rFonts w:hint="default" w:ascii="Times New Roman" w:hAnsi="Times New Roman" w:eastAsia="宋体" w:cs="Times New Roman"/>
                <w:color w:val="auto"/>
                <w:sz w:val="24"/>
                <w:szCs w:val="24"/>
                <w:vertAlign w:val="baseline"/>
                <w:lang w:val="en-US" w:eastAsia="zh-CN"/>
              </w:rPr>
              <w:t>天然气燃烧</w:t>
            </w:r>
          </w:p>
          <w:p>
            <w:pPr>
              <w:adjustRightInd w:val="0"/>
              <w:snapToGrid w:val="0"/>
              <w:spacing w:line="360" w:lineRule="auto"/>
              <w:ind w:firstLine="480" w:firstLineChars="200"/>
              <w:rPr>
                <w:rFonts w:hint="default" w:ascii="Times New Roman" w:hAnsi="Times New Roman" w:eastAsia="宋体" w:cs="Times New Roman"/>
                <w:color w:val="auto"/>
                <w:kern w:val="0"/>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bidi="ar"/>
              </w:rPr>
              <w:t>项目</w:t>
            </w:r>
            <w:r>
              <w:rPr>
                <w:rFonts w:hint="default" w:ascii="Times New Roman" w:hAnsi="Times New Roman" w:cs="Times New Roman"/>
                <w:color w:val="auto"/>
                <w:sz w:val="24"/>
                <w:szCs w:val="24"/>
                <w:highlight w:val="none"/>
                <w:vertAlign w:val="baseline"/>
                <w:lang w:val="en-US" w:eastAsia="zh-CN" w:bidi="ar"/>
              </w:rPr>
              <w:t>燃烧机</w:t>
            </w:r>
            <w:r>
              <w:rPr>
                <w:rFonts w:hint="default" w:ascii="Times New Roman" w:hAnsi="Times New Roman" w:eastAsia="宋体" w:cs="Times New Roman"/>
                <w:color w:val="auto"/>
                <w:sz w:val="24"/>
                <w:szCs w:val="24"/>
                <w:highlight w:val="none"/>
                <w:vertAlign w:val="baseline"/>
                <w:lang w:bidi="ar"/>
              </w:rPr>
              <w:t>使用天然气燃烧提供热能，天然气燃烧时采用低氮燃烧</w:t>
            </w:r>
            <w:r>
              <w:rPr>
                <w:rFonts w:hint="default" w:ascii="Times New Roman" w:hAnsi="Times New Roman" w:cs="Times New Roman"/>
                <w:color w:val="auto"/>
                <w:sz w:val="24"/>
                <w:szCs w:val="24"/>
                <w:highlight w:val="none"/>
                <w:vertAlign w:val="baseline"/>
                <w:lang w:val="en-US" w:eastAsia="zh-CN" w:bidi="ar"/>
              </w:rPr>
              <w:t>装置</w:t>
            </w:r>
            <w:r>
              <w:rPr>
                <w:rFonts w:hint="default" w:ascii="Times New Roman" w:hAnsi="Times New Roman" w:eastAsia="宋体" w:cs="Times New Roman"/>
                <w:color w:val="auto"/>
                <w:sz w:val="24"/>
                <w:szCs w:val="24"/>
                <w:highlight w:val="none"/>
                <w:vertAlign w:val="baseline"/>
                <w:lang w:bidi="ar"/>
              </w:rPr>
              <w:t>，产生的</w:t>
            </w:r>
            <w:r>
              <w:rPr>
                <w:rFonts w:hint="default" w:ascii="Times New Roman" w:hAnsi="Times New Roman" w:eastAsia="宋体" w:cs="Times New Roman"/>
                <w:color w:val="auto"/>
                <w:kern w:val="0"/>
                <w:sz w:val="24"/>
                <w:szCs w:val="24"/>
                <w:highlight w:val="none"/>
                <w:vertAlign w:val="baseline"/>
              </w:rPr>
              <w:t>废气执行广东省地方标准《锅炉大气污染物排放标准》（DB44/765-2019）表2燃气锅炉排放标准，</w:t>
            </w:r>
            <w:r>
              <w:rPr>
                <w:rFonts w:hint="default" w:ascii="Times New Roman" w:hAnsi="Times New Roman" w:eastAsia="宋体" w:cs="Times New Roman"/>
                <w:color w:val="auto"/>
                <w:kern w:val="0"/>
                <w:sz w:val="24"/>
                <w:szCs w:val="24"/>
                <w:highlight w:val="none"/>
                <w:vertAlign w:val="baseline"/>
                <w:lang w:val="en-US" w:eastAsia="zh-CN"/>
              </w:rPr>
              <w:t>根据《广东省生态环境厅关于2021年工业炉窑、锅炉综合整治重点工作的通知》（粤环函〔2021〕461号），氮氧化物执行《锅炉大气污染物排放标准》（DB44/765-2019）的表3特别排放限值的要求。</w:t>
            </w:r>
          </w:p>
          <w:bookmarkEnd w:id="5"/>
          <w:p>
            <w:pPr>
              <w:pStyle w:val="27"/>
              <w:numPr>
                <w:ilvl w:val="0"/>
                <w:numId w:val="16"/>
              </w:numPr>
              <w:ind w:left="0" w:leftChars="0" w:firstLine="403" w:firstLineChars="0"/>
              <w:jc w:val="center"/>
              <w:rPr>
                <w:rFonts w:hint="default" w:ascii="Times New Roman" w:hAnsi="Times New Roman" w:eastAsia="宋体" w:cs="Times New Roman"/>
                <w:b/>
                <w:bCs/>
                <w:color w:val="auto"/>
                <w:sz w:val="24"/>
                <w:szCs w:val="24"/>
                <w:vertAlign w:val="superscript"/>
                <w:lang w:val="en-US" w:eastAsia="zh-CN"/>
              </w:rPr>
            </w:pPr>
            <w:r>
              <w:rPr>
                <w:rFonts w:hint="default" w:ascii="Times New Roman" w:hAnsi="Times New Roman" w:cs="Times New Roman"/>
                <w:b/>
                <w:bCs/>
                <w:color w:val="auto"/>
                <w:sz w:val="24"/>
                <w:szCs w:val="24"/>
                <w:vertAlign w:val="baseline"/>
                <w:lang w:val="en-US" w:eastAsia="zh-CN"/>
              </w:rPr>
              <w:t>本项目</w:t>
            </w:r>
            <w:r>
              <w:rPr>
                <w:rFonts w:hint="default" w:ascii="Times New Roman" w:hAnsi="Times New Roman" w:eastAsia="宋体" w:cs="Times New Roman"/>
                <w:b/>
                <w:bCs/>
                <w:color w:val="auto"/>
                <w:sz w:val="24"/>
                <w:szCs w:val="24"/>
                <w:vertAlign w:val="baseline"/>
                <w:lang w:val="en-US" w:eastAsia="zh-CN"/>
              </w:rPr>
              <w:t>废气排放标准</w:t>
            </w:r>
          </w:p>
          <w:tbl>
            <w:tblPr>
              <w:tblStyle w:val="3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700"/>
              <w:gridCol w:w="617"/>
              <w:gridCol w:w="1970"/>
              <w:gridCol w:w="1163"/>
              <w:gridCol w:w="994"/>
              <w:gridCol w:w="966"/>
              <w:gridCol w:w="1057"/>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bCs/>
                      <w:color w:val="auto"/>
                      <w:sz w:val="18"/>
                      <w:szCs w:val="18"/>
                      <w:highlight w:val="none"/>
                      <w:vertAlign w:val="baseline"/>
                      <w:lang w:val="en-US" w:eastAsia="zh-CN"/>
                    </w:rPr>
                    <w:t>排气筒编号</w:t>
                  </w:r>
                </w:p>
              </w:tc>
              <w:tc>
                <w:tcPr>
                  <w:tcW w:w="3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vertAlign w:val="baseline"/>
                      <w:lang w:val="en-US" w:eastAsia="zh-CN" w:bidi="ar-SA"/>
                    </w:rPr>
                  </w:pPr>
                  <w:r>
                    <w:rPr>
                      <w:rFonts w:hint="default" w:ascii="Times New Roman" w:hAnsi="Times New Roman" w:cs="Times New Roman"/>
                      <w:b/>
                      <w:bCs/>
                      <w:color w:val="auto"/>
                      <w:sz w:val="18"/>
                      <w:szCs w:val="18"/>
                      <w:highlight w:val="none"/>
                      <w:vertAlign w:val="baseline"/>
                      <w:lang w:val="en-US" w:eastAsia="zh-CN"/>
                    </w:rPr>
                    <w:t>工序</w:t>
                  </w:r>
                </w:p>
              </w:tc>
              <w:tc>
                <w:tcPr>
                  <w:tcW w:w="3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bCs/>
                      <w:color w:val="auto"/>
                      <w:sz w:val="18"/>
                      <w:szCs w:val="18"/>
                      <w:highlight w:val="none"/>
                      <w:vertAlign w:val="baseline"/>
                      <w:lang w:val="en-US" w:eastAsia="zh-CN"/>
                    </w:rPr>
                    <w:t>排放形式</w:t>
                  </w: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bCs/>
                      <w:color w:val="auto"/>
                      <w:sz w:val="18"/>
                      <w:szCs w:val="18"/>
                      <w:highlight w:val="none"/>
                      <w:vertAlign w:val="baseline"/>
                      <w:lang w:val="en-US" w:eastAsia="zh-CN"/>
                    </w:rPr>
                    <w:t>执行标准</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bCs/>
                      <w:color w:val="auto"/>
                      <w:sz w:val="18"/>
                      <w:szCs w:val="18"/>
                      <w:highlight w:val="none"/>
                      <w:vertAlign w:val="baseline"/>
                      <w:lang w:val="en-US" w:eastAsia="zh-CN"/>
                    </w:rPr>
                    <w:t>污染物</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18"/>
                      <w:szCs w:val="18"/>
                      <w:highlight w:val="none"/>
                      <w:vertAlign w:val="baseline"/>
                      <w:lang w:val="en-US" w:eastAsia="zh-CN" w:bidi="ar-SA"/>
                    </w:rPr>
                  </w:pPr>
                  <w:r>
                    <w:rPr>
                      <w:rFonts w:hint="default" w:ascii="Times New Roman" w:hAnsi="Times New Roman" w:cs="Times New Roman"/>
                      <w:b/>
                      <w:bCs/>
                      <w:color w:val="auto"/>
                      <w:sz w:val="18"/>
                      <w:szCs w:val="18"/>
                      <w:highlight w:val="none"/>
                      <w:vertAlign w:val="baseline"/>
                      <w:lang w:val="en-US" w:eastAsia="zh-CN"/>
                    </w:rPr>
                    <w:t>最高允许排放浓度</w:t>
                  </w:r>
                  <w:r>
                    <w:rPr>
                      <w:rFonts w:hint="default" w:ascii="Times New Roman" w:hAnsi="Times New Roman" w:eastAsia="宋体" w:cs="Times New Roman"/>
                      <w:b/>
                      <w:bCs/>
                      <w:color w:val="auto"/>
                      <w:sz w:val="18"/>
                      <w:szCs w:val="18"/>
                      <w:highlight w:val="none"/>
                      <w:vertAlign w:val="baseline"/>
                    </w:rPr>
                    <w:t>mg/m</w:t>
                  </w:r>
                  <w:r>
                    <w:rPr>
                      <w:rFonts w:hint="default" w:ascii="Times New Roman" w:hAnsi="Times New Roman" w:eastAsia="宋体" w:cs="Times New Roman"/>
                      <w:b/>
                      <w:bCs/>
                      <w:color w:val="auto"/>
                      <w:sz w:val="18"/>
                      <w:szCs w:val="18"/>
                      <w:highlight w:val="none"/>
                      <w:vertAlign w:val="superscript"/>
                    </w:rPr>
                    <w:t>3</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cs="Times New Roman"/>
                      <w:b/>
                      <w:bCs/>
                      <w:color w:val="auto"/>
                      <w:sz w:val="18"/>
                      <w:szCs w:val="18"/>
                      <w:highlight w:val="none"/>
                      <w:vertAlign w:val="baseline"/>
                      <w:lang w:val="en-US" w:eastAsia="zh-CN"/>
                    </w:rPr>
                    <w:t>最高允许排放速率kg/h</w:t>
                  </w:r>
                </w:p>
              </w:tc>
              <w:tc>
                <w:tcPr>
                  <w:tcW w:w="4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18"/>
                      <w:szCs w:val="18"/>
                      <w:highlight w:val="none"/>
                      <w:vertAlign w:val="baseline"/>
                      <w:lang w:val="en-US" w:eastAsia="zh-CN"/>
                    </w:rPr>
                  </w:pPr>
                  <w:r>
                    <w:rPr>
                      <w:rFonts w:hint="default" w:ascii="Times New Roman" w:hAnsi="Times New Roman" w:eastAsia="宋体" w:cs="Times New Roman"/>
                      <w:b/>
                      <w:bCs/>
                      <w:color w:val="auto"/>
                      <w:sz w:val="18"/>
                      <w:szCs w:val="18"/>
                      <w:highlight w:val="none"/>
                      <w:vertAlign w:val="baseli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DA003</w:t>
                  </w:r>
                </w:p>
              </w:tc>
              <w:tc>
                <w:tcPr>
                  <w:tcW w:w="38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（保护膜）预搅拌、涂布、烤干</w:t>
                  </w:r>
                </w:p>
              </w:tc>
              <w:tc>
                <w:tcPr>
                  <w:tcW w:w="3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有组织</w:t>
                  </w:r>
                </w:p>
              </w:tc>
              <w:tc>
                <w:tcPr>
                  <w:tcW w:w="172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vertAlign w:val="baseline"/>
                      <w:lang w:val="en-US" w:eastAsia="zh-CN"/>
                    </w:rPr>
                    <w:t>广东省地方标准《固定污染源挥发性有机物综合排放标准》（DB44/2367—2022）表1挥发性有机物排放限值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TVOC</w:t>
                  </w:r>
                  <w:r>
                    <w:rPr>
                      <w:rFonts w:hint="default" w:ascii="Times New Roman" w:hAnsi="Times New Roman" w:cs="Times New Roman"/>
                      <w:b/>
                      <w:bCs/>
                      <w:color w:val="auto"/>
                      <w:sz w:val="18"/>
                      <w:szCs w:val="18"/>
                      <w:highlight w:val="none"/>
                      <w:vertAlign w:val="baseline"/>
                      <w:lang w:val="en-US" w:eastAsia="zh-CN"/>
                    </w:rPr>
                    <w:t>*</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100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3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172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非甲烷总烃</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80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33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无组织</w:t>
                  </w: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广东省地方标准《家具制造行业挥发性有机化合物排放标准》（DB44/814-2010）中的表2无组织排放监控点浓度限值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kern w:val="2"/>
                      <w:sz w:val="18"/>
                      <w:szCs w:val="18"/>
                      <w:highlight w:val="none"/>
                      <w:vertAlign w:val="baseline"/>
                      <w:lang w:val="en-US" w:eastAsia="zh-CN" w:bidi="ar-SA"/>
                    </w:rPr>
                    <w:t>总VOCs</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kern w:val="2"/>
                      <w:sz w:val="18"/>
                      <w:szCs w:val="18"/>
                      <w:highlight w:val="none"/>
                      <w:vertAlign w:val="baseline"/>
                      <w:lang w:val="en-US" w:eastAsia="zh-CN" w:bidi="ar-SA"/>
                    </w:rPr>
                    <w:t>2</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DA004</w:t>
                  </w:r>
                </w:p>
              </w:tc>
              <w:tc>
                <w:tcPr>
                  <w:tcW w:w="38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eastAsia="宋体" w:cs="Times New Roman"/>
                      <w:color w:val="auto"/>
                      <w:kern w:val="2"/>
                      <w:sz w:val="18"/>
                      <w:szCs w:val="18"/>
                      <w:highlight w:val="none"/>
                      <w:vertAlign w:val="baseline"/>
                      <w:lang w:val="en-US" w:eastAsia="zh-CN" w:bidi="ar-SA"/>
                    </w:rPr>
                    <w:t>预搅拌、混合发泡、流平、烘烤</w:t>
                  </w:r>
                  <w:r>
                    <w:rPr>
                      <w:rFonts w:hint="default" w:ascii="Times New Roman" w:hAnsi="Times New Roman" w:cs="Times New Roman"/>
                      <w:color w:val="auto"/>
                      <w:kern w:val="2"/>
                      <w:sz w:val="18"/>
                      <w:szCs w:val="18"/>
                      <w:highlight w:val="none"/>
                      <w:vertAlign w:val="baseline"/>
                      <w:lang w:val="en-US" w:eastAsia="zh-CN" w:bidi="ar-SA"/>
                    </w:rPr>
                    <w:t>、</w:t>
                  </w:r>
                  <w:r>
                    <w:rPr>
                      <w:rFonts w:hint="default" w:ascii="Times New Roman" w:hAnsi="Times New Roman" w:cs="Times New Roman"/>
                      <w:color w:val="auto"/>
                      <w:sz w:val="18"/>
                      <w:szCs w:val="18"/>
                      <w:highlight w:val="none"/>
                      <w:vertAlign w:val="baseline"/>
                      <w:lang w:val="en-US" w:eastAsia="zh-CN"/>
                    </w:rPr>
                    <w:t>（聚氨酯高密度棉）涂布、UV固化</w:t>
                  </w:r>
                </w:p>
              </w:tc>
              <w:tc>
                <w:tcPr>
                  <w:tcW w:w="3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有组织</w:t>
                  </w: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《合成树脂工业污染物排放标准》（GB31572-2015）中表5污染物特别排放限值与</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vertAlign w:val="baseline"/>
                      <w:lang w:val="en-US" w:eastAsia="zh-CN"/>
                    </w:rPr>
                    <w:t>广东省地方标准《固定污染源挥发性有机物综合排放标准》（DB44/2367—2022）表1挥发性有机物排放限值两者较严值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非甲烷总烃</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20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vertAlign w:val="baseline"/>
                      <w:lang w:val="en-US" w:eastAsia="zh-CN"/>
                    </w:rPr>
                    <w:t>广东省地方标准《固定污染源挥发性有机物综合排放标准》（DB44/2367—2022）表1挥发性有机物排放限值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TVOC</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100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《合成树脂工业污染物排放标准》（GB31572-2015）中表5污染物特别排放限值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MDI</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1</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eastAsia="宋体" w:cs="Times New Roman"/>
                      <w:color w:val="auto"/>
                      <w:sz w:val="18"/>
                      <w:szCs w:val="18"/>
                      <w:vertAlign w:val="baseline"/>
                      <w:lang w:eastAsia="zh-CN"/>
                    </w:rPr>
                    <w:t>《恶臭污染物排放标准》（GB14554-1993 ）</w:t>
                  </w:r>
                  <w:r>
                    <w:rPr>
                      <w:rFonts w:hint="default" w:ascii="Times New Roman" w:hAnsi="Times New Roman" w:cs="Times New Roman"/>
                      <w:color w:val="auto"/>
                      <w:sz w:val="18"/>
                      <w:szCs w:val="18"/>
                      <w:vertAlign w:val="baseline"/>
                      <w:lang w:val="en-US" w:eastAsia="zh-CN"/>
                    </w:rPr>
                    <w:t>表2中二级标准</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臭气浓度</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2000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w:t>
                  </w: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3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r>
                    <w:rPr>
                      <w:rFonts w:hint="default" w:ascii="Times New Roman" w:hAnsi="Times New Roman" w:cs="Times New Roman"/>
                      <w:color w:val="auto"/>
                      <w:sz w:val="18"/>
                      <w:szCs w:val="18"/>
                      <w:highlight w:val="none"/>
                      <w:vertAlign w:val="baseline"/>
                      <w:lang w:val="en-US" w:eastAsia="zh-CN"/>
                    </w:rPr>
                    <w:t>无组织</w:t>
                  </w: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vertAlign w:val="baseline"/>
                    </w:rPr>
                    <w:t>《合成树脂工业污染物排放标准》（GB31572-2015）表9企业边界大气污染物浓度限值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非甲烷总烃</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4</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r>
                    <w:rPr>
                      <w:rFonts w:hint="default" w:ascii="Times New Roman" w:hAnsi="Times New Roman" w:cs="Times New Roman"/>
                      <w:color w:val="auto"/>
                      <w:sz w:val="18"/>
                      <w:szCs w:val="18"/>
                      <w:highlight w:val="none"/>
                      <w:vertAlign w:val="baseline"/>
                      <w:lang w:val="en-US" w:eastAsia="zh-CN"/>
                    </w:rPr>
                    <w:t>广东省地方标准《家具制造行业挥发性有机化合物排放标准》（DB44/814-2010）中的表2无组织排放监控点浓度限值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kern w:val="2"/>
                      <w:sz w:val="18"/>
                      <w:szCs w:val="18"/>
                      <w:highlight w:val="none"/>
                      <w:vertAlign w:val="baseline"/>
                      <w:lang w:val="en-US" w:eastAsia="zh-CN" w:bidi="ar-SA"/>
                    </w:rPr>
                    <w:t>总VOCs</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kern w:val="2"/>
                      <w:sz w:val="18"/>
                      <w:szCs w:val="18"/>
                      <w:highlight w:val="none"/>
                      <w:vertAlign w:val="baseline"/>
                      <w:lang w:val="en-US" w:eastAsia="zh-CN" w:bidi="ar-SA"/>
                    </w:rPr>
                    <w:t>2</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3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r>
                    <w:rPr>
                      <w:rFonts w:hint="default" w:ascii="Times New Roman" w:hAnsi="Times New Roman" w:eastAsia="宋体" w:cs="Times New Roman"/>
                      <w:color w:val="auto"/>
                      <w:sz w:val="18"/>
                      <w:szCs w:val="18"/>
                      <w:vertAlign w:val="baseline"/>
                      <w:lang w:eastAsia="zh-CN"/>
                    </w:rPr>
                    <w:t>《恶臭污染物排放标准》（GB14554-1993 ）</w:t>
                  </w:r>
                  <w:r>
                    <w:rPr>
                      <w:rFonts w:hint="default" w:ascii="Times New Roman" w:hAnsi="Times New Roman" w:cs="Times New Roman"/>
                      <w:color w:val="auto"/>
                      <w:sz w:val="18"/>
                      <w:szCs w:val="18"/>
                      <w:vertAlign w:val="baseline"/>
                      <w:lang w:val="en-US" w:eastAsia="zh-CN"/>
                    </w:rPr>
                    <w:t>表1厂界标准值</w:t>
                  </w:r>
                </w:p>
              </w:tc>
              <w:tc>
                <w:tcPr>
                  <w:tcW w:w="54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臭气浓度</w:t>
                  </w:r>
                </w:p>
              </w:tc>
              <w:tc>
                <w:tcPr>
                  <w:tcW w:w="53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20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18"/>
                      <w:szCs w:val="1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w:t>
                  </w: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14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cs="Times New Roman"/>
                      <w:color w:val="auto"/>
                      <w:sz w:val="18"/>
                      <w:szCs w:val="18"/>
                      <w:highlight w:val="none"/>
                      <w:vertAlign w:val="baseline"/>
                      <w:lang w:val="en-US" w:eastAsia="zh-CN"/>
                    </w:rPr>
                    <w:t>《合成树脂工业污染物排放标准》（GB31572-2015）</w:t>
                  </w:r>
                </w:p>
              </w:tc>
              <w:tc>
                <w:tcPr>
                  <w:tcW w:w="64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单位产品非甲烷总烃</w:t>
                  </w:r>
                </w:p>
              </w:tc>
              <w:tc>
                <w:tcPr>
                  <w:tcW w:w="1660"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eastAsia="宋体" w:cs="Times New Roman"/>
                      <w:color w:val="auto"/>
                      <w:sz w:val="18"/>
                      <w:szCs w:val="18"/>
                      <w:vertAlign w:val="baseline"/>
                      <w:lang w:val="en-US" w:eastAsia="zh-CN"/>
                    </w:rPr>
                    <w:t>0.3kg/t</w:t>
                  </w:r>
                </w:p>
              </w:tc>
              <w:tc>
                <w:tcPr>
                  <w:tcW w:w="4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highlight w:val="none"/>
                      <w:vertAlign w:val="baseline"/>
                      <w:lang w:val="en-US" w:eastAsia="zh-CN"/>
                    </w:rPr>
                    <w:t>DA005</w:t>
                  </w:r>
                </w:p>
              </w:tc>
              <w:tc>
                <w:tcPr>
                  <w:tcW w:w="38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天然气燃烧</w:t>
                  </w:r>
                </w:p>
              </w:tc>
              <w:tc>
                <w:tcPr>
                  <w:tcW w:w="339" w:type="pct"/>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zh-CN" w:bidi="ar-SA"/>
                    </w:rPr>
                    <w:t>有组织</w:t>
                  </w:r>
                </w:p>
              </w:tc>
              <w:tc>
                <w:tcPr>
                  <w:tcW w:w="172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eastAsia="zh-CN"/>
                    </w:rPr>
                  </w:pPr>
                  <w:r>
                    <w:rPr>
                      <w:rFonts w:hint="default" w:ascii="Times New Roman" w:hAnsi="Times New Roman" w:eastAsia="宋体" w:cs="Times New Roman"/>
                      <w:color w:val="auto"/>
                      <w:kern w:val="0"/>
                      <w:sz w:val="18"/>
                      <w:szCs w:val="18"/>
                      <w:highlight w:val="none"/>
                      <w:vertAlign w:val="baseline"/>
                    </w:rPr>
                    <w:t>广东省地方标准《锅炉大气污染物排放标准》（DB44/765-2019）表2燃气锅炉排放标准</w:t>
                  </w:r>
                </w:p>
              </w:tc>
              <w:tc>
                <w:tcPr>
                  <w:tcW w:w="547" w:type="pct"/>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position w:val="2"/>
                      <w:sz w:val="18"/>
                      <w:szCs w:val="18"/>
                      <w:highlight w:val="none"/>
                      <w:vertAlign w:val="baseline"/>
                      <w:lang w:val="en-US" w:eastAsia="en-US" w:bidi="ar-SA"/>
                    </w:rPr>
                    <w:t>SO</w:t>
                  </w:r>
                  <w:r>
                    <w:rPr>
                      <w:rFonts w:hint="default" w:ascii="Times New Roman" w:hAnsi="Times New Roman" w:eastAsia="宋体" w:cs="Times New Roman"/>
                      <w:color w:val="auto"/>
                      <w:kern w:val="0"/>
                      <w:position w:val="2"/>
                      <w:sz w:val="18"/>
                      <w:szCs w:val="18"/>
                      <w:highlight w:val="none"/>
                      <w:vertAlign w:val="subscript"/>
                      <w:lang w:val="en-US" w:eastAsia="en-US" w:bidi="ar-SA"/>
                    </w:rPr>
                    <w:t>2</w:t>
                  </w:r>
                </w:p>
              </w:tc>
              <w:tc>
                <w:tcPr>
                  <w:tcW w:w="531" w:type="pct"/>
                  <w:noWrap w:val="0"/>
                  <w:vAlign w:val="center"/>
                </w:tcPr>
                <w:p>
                  <w:pPr>
                    <w:widowControl w:val="0"/>
                    <w:autoSpaceDE w:val="0"/>
                    <w:autoSpaceDN w:val="0"/>
                    <w:spacing w:before="0"/>
                    <w:ind w:left="0" w:leftChars="0"/>
                    <w:jc w:val="center"/>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en-US" w:bidi="ar-SA"/>
                    </w:rPr>
                    <w:t>50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39"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p>
              </w:tc>
              <w:tc>
                <w:tcPr>
                  <w:tcW w:w="172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eastAsia="zh-CN"/>
                    </w:rPr>
                  </w:pPr>
                </w:p>
              </w:tc>
              <w:tc>
                <w:tcPr>
                  <w:tcW w:w="547" w:type="pct"/>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en-US" w:bidi="ar-SA"/>
                    </w:rPr>
                    <w:t>颗粒物</w:t>
                  </w:r>
                </w:p>
              </w:tc>
              <w:tc>
                <w:tcPr>
                  <w:tcW w:w="531" w:type="pct"/>
                  <w:noWrap w:val="0"/>
                  <w:vAlign w:val="center"/>
                </w:tcPr>
                <w:p>
                  <w:pPr>
                    <w:widowControl w:val="0"/>
                    <w:autoSpaceDE w:val="0"/>
                    <w:autoSpaceDN w:val="0"/>
                    <w:spacing w:before="0"/>
                    <w:ind w:left="0" w:leftChars="0"/>
                    <w:jc w:val="center"/>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en-US" w:bidi="ar-SA"/>
                    </w:rPr>
                    <w:t>20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39"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p>
              </w:tc>
              <w:tc>
                <w:tcPr>
                  <w:tcW w:w="172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eastAsia="zh-CN"/>
                    </w:rPr>
                  </w:pPr>
                </w:p>
              </w:tc>
              <w:tc>
                <w:tcPr>
                  <w:tcW w:w="547" w:type="pct"/>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en-US" w:bidi="ar-SA"/>
                    </w:rPr>
                    <w:t>烟气黑度（林格曼黑度，级）</w:t>
                  </w:r>
                </w:p>
              </w:tc>
              <w:tc>
                <w:tcPr>
                  <w:tcW w:w="531" w:type="pct"/>
                  <w:noWrap w:val="0"/>
                  <w:vAlign w:val="center"/>
                </w:tcPr>
                <w:p>
                  <w:pPr>
                    <w:widowControl w:val="0"/>
                    <w:autoSpaceDE w:val="0"/>
                    <w:autoSpaceDN w:val="0"/>
                    <w:spacing w:before="0"/>
                    <w:ind w:left="0" w:leftChars="0"/>
                    <w:jc w:val="center"/>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en-US" w:bidi="ar-SA"/>
                    </w:rPr>
                    <w:t>≤1</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8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vertAlign w:val="baseline"/>
                    </w:rPr>
                  </w:pPr>
                </w:p>
              </w:tc>
              <w:tc>
                <w:tcPr>
                  <w:tcW w:w="339"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p>
              </w:tc>
              <w:tc>
                <w:tcPr>
                  <w:tcW w:w="1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eastAsia="zh-CN"/>
                    </w:rPr>
                  </w:pPr>
                  <w:r>
                    <w:rPr>
                      <w:rFonts w:hint="default" w:ascii="Times New Roman" w:hAnsi="Times New Roman" w:eastAsia="宋体" w:cs="Times New Roman"/>
                      <w:color w:val="auto"/>
                      <w:kern w:val="0"/>
                      <w:sz w:val="18"/>
                      <w:szCs w:val="18"/>
                      <w:highlight w:val="none"/>
                      <w:vertAlign w:val="baseline"/>
                      <w:lang w:val="en-US" w:eastAsia="zh-CN"/>
                    </w:rPr>
                    <w:t>《锅炉大气污染物排放标准》（DB44/765-2019）的表3特别排放限值的要求</w:t>
                  </w:r>
                </w:p>
              </w:tc>
              <w:tc>
                <w:tcPr>
                  <w:tcW w:w="547" w:type="pct"/>
                  <w:noWrap w:val="0"/>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en-US" w:bidi="ar-SA"/>
                    </w:rPr>
                    <w:t>NOx</w:t>
                  </w:r>
                </w:p>
              </w:tc>
              <w:tc>
                <w:tcPr>
                  <w:tcW w:w="531" w:type="pct"/>
                  <w:noWrap w:val="0"/>
                  <w:vAlign w:val="center"/>
                </w:tcPr>
                <w:p>
                  <w:pPr>
                    <w:widowControl w:val="0"/>
                    <w:autoSpaceDE w:val="0"/>
                    <w:autoSpaceDN w:val="0"/>
                    <w:spacing w:before="0"/>
                    <w:ind w:left="0" w:leftChars="0"/>
                    <w:jc w:val="center"/>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zh-CN" w:bidi="ar-SA"/>
                    </w:rPr>
                    <w:t>50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zh-CN" w:bidi="ar-SA"/>
                    </w:rPr>
                    <w:t>厂区内</w:t>
                  </w:r>
                </w:p>
              </w:tc>
              <w:tc>
                <w:tcPr>
                  <w:tcW w:w="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vertAlign w:val="baseline"/>
                      <w:lang w:val="en-US" w:eastAsia="zh-CN" w:bidi="ar-SA"/>
                    </w:rPr>
                    <w:t>监控点处1h平均浓度值</w:t>
                  </w:r>
                </w:p>
              </w:tc>
              <w:tc>
                <w:tcPr>
                  <w:tcW w:w="172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eastAsia="zh-CN"/>
                    </w:rPr>
                  </w:pPr>
                  <w:r>
                    <w:rPr>
                      <w:rFonts w:hint="default" w:ascii="Times New Roman" w:hAnsi="Times New Roman" w:eastAsia="宋体" w:cs="Times New Roman"/>
                      <w:color w:val="auto"/>
                      <w:kern w:val="0"/>
                      <w:sz w:val="18"/>
                      <w:szCs w:val="18"/>
                      <w:highlight w:val="none"/>
                      <w:vertAlign w:val="baseline"/>
                      <w:lang w:val="en-US" w:eastAsia="zh-CN" w:bidi="ar-SA"/>
                    </w:rPr>
                    <w:t>广东省地方标准《固定污染源挥发性有机物综合排放标准》（DB44/2367-2022）中的表3厂区内无组织排放限值</w:t>
                  </w:r>
                </w:p>
              </w:tc>
              <w:tc>
                <w:tcPr>
                  <w:tcW w:w="54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eastAsia="宋体" w:cs="Times New Roman"/>
                      <w:color w:val="auto"/>
                      <w:kern w:val="0"/>
                      <w:sz w:val="18"/>
                      <w:szCs w:val="18"/>
                      <w:highlight w:val="none"/>
                      <w:vertAlign w:val="baseline"/>
                      <w:lang w:val="en-US" w:eastAsia="zh-CN" w:bidi="ar-SA"/>
                    </w:rPr>
                    <w:t>NMHC</w:t>
                  </w:r>
                </w:p>
              </w:tc>
              <w:tc>
                <w:tcPr>
                  <w:tcW w:w="531"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zh-CN" w:bidi="ar-SA"/>
                    </w:rPr>
                    <w:t>6</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1"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p>
              </w:tc>
              <w:tc>
                <w:tcPr>
                  <w:tcW w:w="72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zh-CN" w:bidi="ar-SA"/>
                    </w:rPr>
                    <w:t>监控点处任意一次浓度值</w:t>
                  </w:r>
                </w:p>
              </w:tc>
              <w:tc>
                <w:tcPr>
                  <w:tcW w:w="172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vertAlign w:val="baseline"/>
                      <w:lang w:eastAsia="zh-CN"/>
                    </w:rPr>
                  </w:pPr>
                </w:p>
              </w:tc>
              <w:tc>
                <w:tcPr>
                  <w:tcW w:w="54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p>
              </w:tc>
              <w:tc>
                <w:tcPr>
                  <w:tcW w:w="531"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0"/>
                      <w:sz w:val="18"/>
                      <w:szCs w:val="18"/>
                      <w:highlight w:val="none"/>
                      <w:vertAlign w:val="baseline"/>
                      <w:lang w:val="en-US" w:eastAsia="zh-CN" w:bidi="ar-SA"/>
                    </w:rPr>
                  </w:pPr>
                  <w:r>
                    <w:rPr>
                      <w:rFonts w:hint="default" w:ascii="Times New Roman" w:hAnsi="Times New Roman" w:eastAsia="宋体" w:cs="Times New Roman"/>
                      <w:color w:val="auto"/>
                      <w:kern w:val="0"/>
                      <w:sz w:val="18"/>
                      <w:szCs w:val="18"/>
                      <w:highlight w:val="none"/>
                      <w:vertAlign w:val="baseline"/>
                      <w:lang w:val="en-US" w:eastAsia="zh-CN" w:bidi="ar-SA"/>
                    </w:rPr>
                    <w:t>20</w:t>
                  </w:r>
                </w:p>
              </w:tc>
              <w:tc>
                <w:tcPr>
                  <w:tcW w:w="58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c>
                <w:tcPr>
                  <w:tcW w:w="43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highlight w:val="none"/>
                      <w:vertAlign w:val="baseline"/>
                      <w:lang w:val="en-US" w:eastAsia="zh-CN"/>
                    </w:rPr>
                  </w:pPr>
                  <w:r>
                    <w:rPr>
                      <w:rFonts w:hint="default" w:ascii="Times New Roman" w:hAnsi="Times New Roman" w:cs="Times New Roman"/>
                      <w:color w:val="auto"/>
                      <w:sz w:val="18"/>
                      <w:szCs w:val="1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51" w:type="pct"/>
                  <w:noWrap w:val="0"/>
                  <w:vAlign w:val="center"/>
                </w:tcPr>
                <w:p>
                  <w:pPr>
                    <w:adjustRightInd w:val="0"/>
                    <w:snapToGrid w:val="0"/>
                    <w:spacing w:line="264" w:lineRule="auto"/>
                    <w:jc w:val="left"/>
                    <w:rPr>
                      <w:rFonts w:hint="default" w:ascii="Times New Roman" w:hAnsi="Times New Roman" w:cs="Times New Roman"/>
                      <w:color w:val="auto"/>
                      <w:sz w:val="18"/>
                      <w:szCs w:val="18"/>
                      <w:vertAlign w:val="baseline"/>
                      <w:lang w:val="en-US" w:eastAsia="zh-CN"/>
                    </w:rPr>
                  </w:pPr>
                </w:p>
              </w:tc>
              <w:tc>
                <w:tcPr>
                  <w:tcW w:w="4548" w:type="pct"/>
                  <w:gridSpan w:val="8"/>
                  <w:noWrap w:val="0"/>
                  <w:vAlign w:val="center"/>
                </w:tcPr>
                <w:p>
                  <w:pPr>
                    <w:keepNext w:val="0"/>
                    <w:keepLines w:val="0"/>
                    <w:pageBreakBefore w:val="0"/>
                    <w:widowControl w:val="0"/>
                    <w:kinsoku/>
                    <w:wordWrap/>
                    <w:overflowPunct/>
                    <w:topLinePunct w:val="0"/>
                    <w:bidi w:val="0"/>
                    <w:adjustRightInd w:val="0"/>
                    <w:snapToGrid w:val="0"/>
                    <w:spacing w:line="240" w:lineRule="auto"/>
                    <w:jc w:val="left"/>
                    <w:textAlignment w:val="auto"/>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*：①TVOC待国家污染物监测技术规定发布后实施；</w:t>
                  </w:r>
                </w:p>
                <w:p>
                  <w:pPr>
                    <w:adjustRightInd w:val="0"/>
                    <w:snapToGrid w:val="0"/>
                    <w:spacing w:line="264" w:lineRule="auto"/>
                    <w:jc w:val="left"/>
                    <w:rPr>
                      <w:rFonts w:hint="default" w:ascii="Times New Roman" w:hAnsi="Times New Roman" w:cs="Times New Roman"/>
                      <w:color w:val="auto"/>
                      <w:sz w:val="18"/>
                      <w:szCs w:val="18"/>
                      <w:vertAlign w:val="baseline"/>
                      <w:lang w:val="en-US" w:eastAsia="zh-CN"/>
                    </w:rPr>
                  </w:pPr>
                  <w:r>
                    <w:rPr>
                      <w:rFonts w:hint="default" w:ascii="Times New Roman" w:hAnsi="Times New Roman" w:cs="Times New Roman"/>
                      <w:color w:val="auto"/>
                      <w:sz w:val="18"/>
                      <w:szCs w:val="18"/>
                      <w:vertAlign w:val="baseline"/>
                      <w:lang w:val="en-US" w:eastAsia="zh-CN"/>
                    </w:rPr>
                    <w:t>②</w:t>
                  </w:r>
                  <w:r>
                    <w:rPr>
                      <w:rFonts w:hint="default" w:ascii="Times New Roman" w:hAnsi="Times New Roman" w:eastAsia="宋体" w:cs="Times New Roman"/>
                      <w:color w:val="auto"/>
                      <w:sz w:val="18"/>
                      <w:szCs w:val="18"/>
                      <w:highlight w:val="none"/>
                      <w:vertAlign w:val="baseline"/>
                      <w:lang w:val="en-US" w:eastAsia="zh-CN"/>
                    </w:rPr>
                    <w:t>《锅炉大气污染物排放标准》（DB44/765-2019）中4.5规定，燃油、燃气锅炉烟囱不低于8m，新建锅炉房的烟囱周围半径200m距离内有建筑物时，其烟囱应高出最高建筑物3m以上。本项目周围半径200m距离内最高建筑物为本项目宿舍，高度为19米，因此本项目燃烧机排气筒拟设置为2</w:t>
                  </w:r>
                  <w:r>
                    <w:rPr>
                      <w:rFonts w:hint="default" w:ascii="Times New Roman" w:hAnsi="Times New Roman" w:cs="Times New Roman"/>
                      <w:color w:val="auto"/>
                      <w:sz w:val="18"/>
                      <w:szCs w:val="18"/>
                      <w:highlight w:val="none"/>
                      <w:vertAlign w:val="baseline"/>
                      <w:lang w:val="en-US" w:eastAsia="zh-CN"/>
                    </w:rPr>
                    <w:t>2</w:t>
                  </w:r>
                  <w:r>
                    <w:rPr>
                      <w:rFonts w:hint="default" w:ascii="Times New Roman" w:hAnsi="Times New Roman" w:eastAsia="宋体" w:cs="Times New Roman"/>
                      <w:color w:val="auto"/>
                      <w:sz w:val="18"/>
                      <w:szCs w:val="18"/>
                      <w:highlight w:val="none"/>
                      <w:vertAlign w:val="baseline"/>
                      <w:lang w:val="en-US" w:eastAsia="zh-CN"/>
                    </w:rPr>
                    <w:t>米，比最高建筑物高出3米。</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textAlignment w:val="auto"/>
              <w:rPr>
                <w:rFonts w:hint="default" w:ascii="Times New Roman" w:hAnsi="Times New Roman" w:cs="Times New Roman"/>
                <w:b/>
                <w:bCs/>
                <w:color w:val="auto"/>
                <w:kern w:val="0"/>
                <w:sz w:val="24"/>
                <w:szCs w:val="24"/>
                <w:vertAlign w:val="baseline"/>
              </w:rPr>
            </w:pPr>
            <w:r>
              <w:rPr>
                <w:rFonts w:hint="default" w:ascii="Times New Roman" w:hAnsi="Times New Roman" w:cs="Times New Roman"/>
                <w:b/>
                <w:bCs/>
                <w:color w:val="auto"/>
                <w:kern w:val="0"/>
                <w:sz w:val="24"/>
                <w:szCs w:val="24"/>
                <w:vertAlign w:val="baseline"/>
                <w:lang w:val="en-US" w:eastAsia="zh-CN"/>
              </w:rPr>
              <w:t>3、</w:t>
            </w:r>
            <w:r>
              <w:rPr>
                <w:rFonts w:hint="default" w:ascii="Times New Roman" w:hAnsi="Times New Roman" w:cs="Times New Roman"/>
                <w:b/>
                <w:bCs/>
                <w:color w:val="auto"/>
                <w:kern w:val="0"/>
                <w:sz w:val="24"/>
                <w:szCs w:val="24"/>
                <w:vertAlign w:val="baseline"/>
              </w:rPr>
              <w:t>噪声排放标准</w:t>
            </w:r>
          </w:p>
          <w:p>
            <w:pPr>
              <w:pStyle w:val="101"/>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 w:val="24"/>
                <w:szCs w:val="24"/>
                <w:highlight w:val="none"/>
                <w:vertAlign w:val="baseline"/>
              </w:rPr>
            </w:pPr>
            <w:r>
              <w:rPr>
                <w:rFonts w:hint="default" w:ascii="Times New Roman" w:hAnsi="Times New Roman" w:cs="Times New Roman"/>
                <w:color w:val="auto"/>
                <w:sz w:val="24"/>
                <w:szCs w:val="24"/>
                <w:highlight w:val="none"/>
                <w:vertAlign w:val="baseline"/>
              </w:rPr>
              <w:t>项目营运期厂界噪声执行《工业企业厂界环境噪声排放标准》（GB12348-2008）中2类标准。工业企业厂界环境噪声排放标准限值详见下表。</w:t>
            </w:r>
          </w:p>
          <w:p>
            <w:pPr>
              <w:pStyle w:val="63"/>
              <w:numPr>
                <w:ilvl w:val="0"/>
                <w:numId w:val="16"/>
              </w:numPr>
              <w:ind w:left="0" w:leftChars="0" w:right="0" w:rightChars="0" w:firstLine="403" w:firstLineChars="0"/>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工业企业厂界环境噪声排放标准 </w:t>
            </w:r>
          </w:p>
          <w:tbl>
            <w:tblPr>
              <w:tblStyle w:val="32"/>
              <w:tblW w:w="499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34"/>
              <w:gridCol w:w="2302"/>
              <w:gridCol w:w="294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16" w:hRule="atLeast"/>
              </w:trPr>
              <w:tc>
                <w:tcPr>
                  <w:tcW w:w="2111" w:type="pct"/>
                  <w:noWrap w:val="0"/>
                  <w:vAlign w:val="center"/>
                </w:tcPr>
                <w:p>
                  <w:pPr>
                    <w:pStyle w:val="100"/>
                    <w:spacing w:line="240" w:lineRule="auto"/>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vertAlign w:val="baseline"/>
                    </w:rPr>
                    <w:t>声环境功能区类别</w:t>
                  </w:r>
                </w:p>
              </w:tc>
              <w:tc>
                <w:tcPr>
                  <w:tcW w:w="1267" w:type="pct"/>
                  <w:noWrap w:val="0"/>
                  <w:vAlign w:val="center"/>
                </w:tcPr>
                <w:p>
                  <w:pPr>
                    <w:pStyle w:val="100"/>
                    <w:spacing w:line="240" w:lineRule="auto"/>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vertAlign w:val="baseline"/>
                    </w:rPr>
                    <w:t>昼间dB(A)</w:t>
                  </w:r>
                </w:p>
              </w:tc>
              <w:tc>
                <w:tcPr>
                  <w:tcW w:w="1620" w:type="pct"/>
                  <w:noWrap w:val="0"/>
                  <w:vAlign w:val="center"/>
                </w:tcPr>
                <w:p>
                  <w:pPr>
                    <w:pStyle w:val="100"/>
                    <w:spacing w:line="240" w:lineRule="auto"/>
                    <w:rPr>
                      <w:rFonts w:hint="default" w:ascii="Times New Roman" w:hAnsi="Times New Roman" w:cs="Times New Roman"/>
                      <w:b/>
                      <w:bCs/>
                      <w:color w:val="auto"/>
                      <w:sz w:val="21"/>
                      <w:szCs w:val="21"/>
                      <w:highlight w:val="none"/>
                      <w:vertAlign w:val="baseline"/>
                    </w:rPr>
                  </w:pPr>
                  <w:r>
                    <w:rPr>
                      <w:rFonts w:hint="default" w:ascii="Times New Roman" w:hAnsi="Times New Roman" w:cs="Times New Roman"/>
                      <w:b/>
                      <w:bCs/>
                      <w:color w:val="auto"/>
                      <w:sz w:val="21"/>
                      <w:szCs w:val="21"/>
                      <w:highlight w:val="none"/>
                      <w:vertAlign w:val="baseline"/>
                    </w:rPr>
                    <w:t>夜间dB(A)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2111" w:type="pct"/>
                  <w:noWrap w:val="0"/>
                  <w:vAlign w:val="center"/>
                </w:tcPr>
                <w:p>
                  <w:pPr>
                    <w:pStyle w:val="100"/>
                    <w:spacing w:line="240" w:lineRule="auto"/>
                    <w:rPr>
                      <w:rFonts w:hint="default" w:ascii="Times New Roman" w:hAnsi="Times New Roman" w:cs="Times New Roman"/>
                      <w:color w:val="auto"/>
                      <w:sz w:val="21"/>
                      <w:szCs w:val="21"/>
                      <w:highlight w:val="none"/>
                      <w:vertAlign w:val="baseline"/>
                    </w:rPr>
                  </w:pPr>
                  <w:r>
                    <w:rPr>
                      <w:rFonts w:hint="default" w:ascii="Times New Roman" w:hAnsi="Times New Roman" w:cs="Times New Roman"/>
                      <w:color w:val="auto"/>
                      <w:sz w:val="21"/>
                      <w:szCs w:val="21"/>
                      <w:highlight w:val="none"/>
                      <w:vertAlign w:val="baseline"/>
                    </w:rPr>
                    <w:t>2类</w:t>
                  </w:r>
                </w:p>
              </w:tc>
              <w:tc>
                <w:tcPr>
                  <w:tcW w:w="1267" w:type="pct"/>
                  <w:noWrap w:val="0"/>
                  <w:vAlign w:val="center"/>
                </w:tcPr>
                <w:p>
                  <w:pPr>
                    <w:pStyle w:val="100"/>
                    <w:spacing w:line="240" w:lineRule="auto"/>
                    <w:rPr>
                      <w:rFonts w:hint="default" w:ascii="Times New Roman" w:hAnsi="Times New Roman" w:cs="Times New Roman"/>
                      <w:color w:val="auto"/>
                      <w:sz w:val="21"/>
                      <w:szCs w:val="21"/>
                      <w:highlight w:val="none"/>
                      <w:vertAlign w:val="baseline"/>
                    </w:rPr>
                  </w:pPr>
                  <w:r>
                    <w:rPr>
                      <w:rFonts w:hint="default" w:ascii="Times New Roman" w:hAnsi="Times New Roman" w:cs="Times New Roman"/>
                      <w:color w:val="auto"/>
                      <w:sz w:val="21"/>
                      <w:szCs w:val="21"/>
                      <w:highlight w:val="none"/>
                      <w:vertAlign w:val="baseline"/>
                    </w:rPr>
                    <w:t>60</w:t>
                  </w:r>
                </w:p>
              </w:tc>
              <w:tc>
                <w:tcPr>
                  <w:tcW w:w="1620" w:type="pct"/>
                  <w:noWrap w:val="0"/>
                  <w:vAlign w:val="center"/>
                </w:tcPr>
                <w:p>
                  <w:pPr>
                    <w:pStyle w:val="100"/>
                    <w:spacing w:line="240" w:lineRule="auto"/>
                    <w:rPr>
                      <w:rFonts w:hint="default" w:ascii="Times New Roman" w:hAnsi="Times New Roman" w:cs="Times New Roman"/>
                      <w:color w:val="auto"/>
                      <w:sz w:val="21"/>
                      <w:szCs w:val="21"/>
                      <w:highlight w:val="none"/>
                      <w:vertAlign w:val="baseline"/>
                    </w:rPr>
                  </w:pPr>
                  <w:r>
                    <w:rPr>
                      <w:rFonts w:hint="default" w:ascii="Times New Roman" w:hAnsi="Times New Roman" w:cs="Times New Roman"/>
                      <w:color w:val="auto"/>
                      <w:sz w:val="21"/>
                      <w:szCs w:val="21"/>
                      <w:highlight w:val="none"/>
                      <w:vertAlign w:val="baseline"/>
                    </w:rPr>
                    <w:t>50</w:t>
                  </w:r>
                </w:p>
              </w:tc>
            </w:tr>
          </w:tbl>
          <w:p>
            <w:pPr>
              <w:adjustRightInd w:val="0"/>
              <w:snapToGrid w:val="0"/>
              <w:ind w:firstLine="482" w:firstLineChars="200"/>
              <w:rPr>
                <w:rFonts w:hint="default" w:ascii="Times New Roman" w:hAnsi="Times New Roman" w:cs="Times New Roman"/>
                <w:b/>
                <w:bCs/>
                <w:color w:val="auto"/>
                <w:kern w:val="0"/>
                <w:sz w:val="24"/>
                <w:szCs w:val="24"/>
                <w:vertAlign w:val="baseline"/>
              </w:rPr>
            </w:pPr>
            <w:r>
              <w:rPr>
                <w:rFonts w:hint="default" w:ascii="Times New Roman" w:hAnsi="Times New Roman" w:cs="Times New Roman"/>
                <w:b/>
                <w:bCs/>
                <w:color w:val="auto"/>
                <w:kern w:val="0"/>
                <w:sz w:val="24"/>
                <w:szCs w:val="24"/>
                <w:vertAlign w:val="baseline"/>
                <w:lang w:val="en-US" w:eastAsia="zh-CN"/>
              </w:rPr>
              <w:t>4</w:t>
            </w:r>
            <w:r>
              <w:rPr>
                <w:rFonts w:hint="default" w:ascii="Times New Roman" w:hAnsi="Times New Roman" w:cs="Times New Roman"/>
                <w:b/>
                <w:bCs/>
                <w:color w:val="auto"/>
                <w:kern w:val="0"/>
                <w:sz w:val="24"/>
                <w:szCs w:val="24"/>
                <w:vertAlign w:val="baseline"/>
              </w:rPr>
              <w:t>、固废</w:t>
            </w:r>
          </w:p>
          <w:p>
            <w:pPr>
              <w:adjustRightInd w:val="0"/>
              <w:snapToGrid w:val="0"/>
              <w:ind w:firstLine="480" w:firstLineChars="200"/>
              <w:rPr>
                <w:rFonts w:hint="default" w:ascii="Times New Roman" w:hAnsi="Times New Roman" w:cs="Times New Roman"/>
                <w:color w:val="auto"/>
                <w:kern w:val="0"/>
                <w:sz w:val="24"/>
                <w:szCs w:val="24"/>
                <w:vertAlign w:val="baseline"/>
              </w:rPr>
            </w:pPr>
            <w:r>
              <w:rPr>
                <w:rFonts w:hint="default" w:ascii="Times New Roman" w:hAnsi="Times New Roman" w:cs="Times New Roman"/>
                <w:color w:val="auto"/>
                <w:kern w:val="0"/>
                <w:sz w:val="24"/>
                <w:szCs w:val="24"/>
                <w:vertAlign w:val="baseline"/>
              </w:rPr>
              <w:t>一般工业固体废物执行《一般工业固体废物贮存和填埋污染控制标准》（GB18599-2020）；危险废物执行《危险废物贮存污染控制标准》（GB18597-2001）及2013年修改单</w:t>
            </w:r>
            <w:r>
              <w:rPr>
                <w:rFonts w:hint="default" w:ascii="Times New Roman" w:hAnsi="Times New Roman" w:cs="Times New Roman"/>
                <w:color w:val="auto"/>
                <w:sz w:val="24"/>
                <w:szCs w:val="24"/>
                <w:highlight w:val="none"/>
                <w:vertAlign w:val="baseline"/>
              </w:rPr>
              <w:t>，以及《中华人民共和国固体废物污染环境防治法》（2004年4月12日修订）中的有关规定，同时其收集、运输、包装等应符合《危险废物污染防治技术政策》</w:t>
            </w:r>
            <w:r>
              <w:rPr>
                <w:rFonts w:hint="default" w:ascii="Times New Roman" w:hAnsi="Times New Roman" w:cs="Times New Roman"/>
                <w:color w:val="auto"/>
                <w:kern w:val="0"/>
                <w:sz w:val="24"/>
                <w:szCs w:val="24"/>
                <w:vertAlign w:val="baseline"/>
              </w:rPr>
              <w:t>。</w:t>
            </w:r>
          </w:p>
          <w:p>
            <w:pPr>
              <w:adjustRightInd w:val="0"/>
              <w:snapToGrid w:val="0"/>
              <w:rPr>
                <w:rFonts w:hint="default" w:ascii="Times New Roman" w:hAnsi="Times New Roman" w:cs="Times New Roman"/>
                <w:color w:val="auto"/>
                <w:kern w:val="0"/>
                <w:sz w:val="24"/>
                <w:szCs w:val="24"/>
                <w:vertAlign w:val="superscript"/>
              </w:rPr>
            </w:pPr>
          </w:p>
        </w:tc>
      </w:tr>
    </w:tbl>
    <w:p>
      <w:pPr>
        <w:adjustRightInd w:val="0"/>
        <w:snapToGrid w:val="0"/>
        <w:jc w:val="center"/>
        <w:rPr>
          <w:rFonts w:hint="default" w:ascii="Times New Roman" w:hAnsi="Times New Roman" w:cs="Times New Roman"/>
          <w:color w:val="auto"/>
          <w:kern w:val="0"/>
          <w:szCs w:val="21"/>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3"/>
        <w:tblW w:w="15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4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1" w:hRule="atLeast"/>
        </w:trPr>
        <w:tc>
          <w:tcPr>
            <w:tcW w:w="540" w:type="dxa"/>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总量</w:t>
            </w:r>
          </w:p>
          <w:p>
            <w:pPr>
              <w:adjustRightInd w:val="0"/>
              <w:snapToGrid w:val="0"/>
              <w:jc w:val="center"/>
              <w:rPr>
                <w:rFonts w:hint="default" w:ascii="Times New Roman" w:hAnsi="Times New Roman" w:cs="Times New Roman"/>
                <w:color w:val="auto"/>
              </w:rPr>
            </w:pPr>
            <w:r>
              <w:rPr>
                <w:rFonts w:hint="default" w:ascii="Times New Roman" w:hAnsi="Times New Roman" w:cs="Times New Roman"/>
                <w:color w:val="auto"/>
                <w:kern w:val="0"/>
                <w:szCs w:val="21"/>
              </w:rPr>
              <w:t>控制指标</w:t>
            </w:r>
          </w:p>
        </w:tc>
        <w:tc>
          <w:tcPr>
            <w:tcW w:w="14631" w:type="dxa"/>
          </w:tcPr>
          <w:p>
            <w:pPr>
              <w:pStyle w:val="45"/>
              <w:numPr>
                <w:ilvl w:val="0"/>
                <w:numId w:val="16"/>
              </w:numPr>
              <w:tabs>
                <w:tab w:val="clear" w:pos="0"/>
              </w:tabs>
              <w:bidi w:val="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本项目总量控制建议指标</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036"/>
              <w:gridCol w:w="872"/>
              <w:gridCol w:w="1285"/>
              <w:gridCol w:w="1334"/>
              <w:gridCol w:w="1334"/>
              <w:gridCol w:w="1259"/>
              <w:gridCol w:w="1524"/>
              <w:gridCol w:w="1429"/>
              <w:gridCol w:w="1216"/>
              <w:gridCol w:w="2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z w:val="21"/>
                      <w:szCs w:val="21"/>
                    </w:rPr>
                    <w:t>类别</w:t>
                  </w:r>
                </w:p>
              </w:tc>
              <w:tc>
                <w:tcPr>
                  <w:tcW w:w="71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控制指标</w:t>
                  </w:r>
                </w:p>
              </w:tc>
              <w:tc>
                <w:tcPr>
                  <w:tcW w:w="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现有项目排放量（t/a）</w:t>
                  </w:r>
                </w:p>
              </w:tc>
              <w:tc>
                <w:tcPr>
                  <w:tcW w:w="488" w:type="pct"/>
                  <w:tcBorders>
                    <w:top w:val="single" w:color="auto" w:sz="4" w:space="0"/>
                    <w:left w:val="single" w:color="auto" w:sz="4" w:space="0"/>
                    <w:bottom w:val="single" w:color="auto" w:sz="4" w:space="0"/>
                    <w:right w:val="single" w:color="auto" w:sz="4" w:space="0"/>
                  </w:tcBorders>
                  <w:noWrap w:val="0"/>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snapToGrid w:val="0"/>
                      <w:color w:val="auto"/>
                      <w:kern w:val="21"/>
                      <w:sz w:val="21"/>
                      <w:szCs w:val="21"/>
                    </w:rPr>
                    <w:t>许可排放量</w:t>
                  </w:r>
                  <w:r>
                    <w:rPr>
                      <w:rFonts w:hint="default" w:ascii="Times New Roman" w:hAnsi="Times New Roman" w:eastAsia="宋体" w:cs="Times New Roman"/>
                      <w:b/>
                      <w:bCs/>
                      <w:color w:val="auto"/>
                      <w:sz w:val="21"/>
                      <w:szCs w:val="21"/>
                    </w:rPr>
                    <w:t>（t/a）</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扩建项目排放量（t/a）</w:t>
                  </w:r>
                </w:p>
              </w:tc>
              <w:tc>
                <w:tcPr>
                  <w:tcW w:w="46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以新带老削减量（t/a）</w:t>
                  </w:r>
                </w:p>
              </w:tc>
              <w:tc>
                <w:tcPr>
                  <w:tcW w:w="554"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扩建后全厂排放量（t/a）</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cs="Times New Roman"/>
                      <w:b/>
                      <w:bCs/>
                      <w:color w:val="auto"/>
                      <w:sz w:val="21"/>
                      <w:szCs w:val="21"/>
                      <w:lang w:val="en-US" w:eastAsia="zh-CN"/>
                    </w:rPr>
                    <w:t>本次扩建</w:t>
                  </w:r>
                  <w:r>
                    <w:rPr>
                      <w:rFonts w:hint="default" w:ascii="Times New Roman" w:hAnsi="Times New Roman" w:eastAsia="宋体" w:cs="Times New Roman"/>
                      <w:b/>
                      <w:bCs/>
                      <w:color w:val="auto"/>
                      <w:sz w:val="21"/>
                      <w:szCs w:val="21"/>
                    </w:rPr>
                    <w:t>总量控制指标（t/a）</w:t>
                  </w:r>
                </w:p>
              </w:tc>
              <w:tc>
                <w:tcPr>
                  <w:tcW w:w="447"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sz w:val="21"/>
                      <w:szCs w:val="21"/>
                      <w:lang w:val="en-US" w:eastAsia="zh-CN"/>
                    </w:rPr>
                    <w:t>增减量</w:t>
                  </w:r>
                  <w:r>
                    <w:rPr>
                      <w:rFonts w:hint="default" w:ascii="Times New Roman" w:hAnsi="Times New Roman" w:eastAsia="宋体" w:cs="Times New Roman"/>
                      <w:b/>
                      <w:bCs/>
                      <w:color w:val="auto"/>
                      <w:sz w:val="21"/>
                      <w:szCs w:val="21"/>
                    </w:rPr>
                    <w:t>（t/a）</w:t>
                  </w:r>
                </w:p>
              </w:tc>
              <w:tc>
                <w:tcPr>
                  <w:tcW w:w="616"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8"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sz w:val="21"/>
                      <w:szCs w:val="21"/>
                      <w:highlight w:val="none"/>
                    </w:rPr>
                    <w:t>生活污水</w:t>
                  </w:r>
                </w:p>
              </w:tc>
              <w:tc>
                <w:tcPr>
                  <w:tcW w:w="71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生活污水量</w:t>
                  </w:r>
                </w:p>
              </w:tc>
              <w:tc>
                <w:tcPr>
                  <w:tcW w:w="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7290</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7290</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6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554"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7290</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447"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61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szCs w:val="21"/>
                      <w:highlight w:val="none"/>
                    </w:rPr>
                  </w:pPr>
                </w:p>
              </w:tc>
              <w:tc>
                <w:tcPr>
                  <w:tcW w:w="71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COD</w:t>
                  </w:r>
                  <w:r>
                    <w:rPr>
                      <w:rFonts w:hint="default" w:ascii="Times New Roman" w:hAnsi="Times New Roman" w:eastAsia="宋体" w:cs="Times New Roman"/>
                      <w:color w:val="auto"/>
                      <w:kern w:val="0"/>
                      <w:sz w:val="21"/>
                      <w:szCs w:val="21"/>
                      <w:highlight w:val="none"/>
                      <w:vertAlign w:val="subscript"/>
                    </w:rPr>
                    <w:t>Cr</w:t>
                  </w:r>
                </w:p>
              </w:tc>
              <w:tc>
                <w:tcPr>
                  <w:tcW w:w="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0.57</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0.66</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6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554"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0.57</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447"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61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szCs w:val="21"/>
                      <w:highlight w:val="none"/>
                    </w:rPr>
                  </w:pPr>
                </w:p>
              </w:tc>
              <w:tc>
                <w:tcPr>
                  <w:tcW w:w="713"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rPr>
                    <w:t>NH</w:t>
                  </w:r>
                  <w:r>
                    <w:rPr>
                      <w:rFonts w:hint="default" w:ascii="Times New Roman" w:hAnsi="Times New Roman" w:eastAsia="宋体" w:cs="Times New Roman"/>
                      <w:color w:val="auto"/>
                      <w:kern w:val="0"/>
                      <w:sz w:val="21"/>
                      <w:szCs w:val="21"/>
                      <w:highlight w:val="none"/>
                      <w:vertAlign w:val="subscript"/>
                    </w:rPr>
                    <w:t>3</w:t>
                  </w:r>
                  <w:r>
                    <w:rPr>
                      <w:rFonts w:hint="default" w:ascii="Times New Roman" w:hAnsi="Times New Roman" w:eastAsia="宋体" w:cs="Times New Roman"/>
                      <w:color w:val="auto"/>
                      <w:kern w:val="0"/>
                      <w:sz w:val="21"/>
                      <w:szCs w:val="21"/>
                      <w:highlight w:val="none"/>
                    </w:rPr>
                    <w:t>-N</w:t>
                  </w:r>
                </w:p>
              </w:tc>
              <w:tc>
                <w:tcPr>
                  <w:tcW w:w="47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0.02</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0.073</w:t>
                  </w:r>
                </w:p>
              </w:tc>
              <w:tc>
                <w:tcPr>
                  <w:tcW w:w="48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46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554"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0.02</w:t>
                  </w:r>
                </w:p>
              </w:tc>
              <w:tc>
                <w:tcPr>
                  <w:tcW w:w="52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w:t>
                  </w:r>
                </w:p>
              </w:tc>
              <w:tc>
                <w:tcPr>
                  <w:tcW w:w="447"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616"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38" w:type="pct"/>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废气</w:t>
                  </w:r>
                </w:p>
              </w:tc>
              <w:tc>
                <w:tcPr>
                  <w:tcW w:w="38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总</w:t>
                  </w:r>
                  <w:r>
                    <w:rPr>
                      <w:rFonts w:hint="default" w:ascii="Times New Roman" w:hAnsi="Times New Roman" w:eastAsia="宋体" w:cs="Times New Roman"/>
                      <w:color w:val="auto"/>
                      <w:kern w:val="0"/>
                      <w:sz w:val="21"/>
                      <w:szCs w:val="21"/>
                      <w:highlight w:val="none"/>
                      <w:lang w:bidi="ar"/>
                    </w:rPr>
                    <w:t>VOCs</w:t>
                  </w:r>
                </w:p>
              </w:tc>
              <w:tc>
                <w:tcPr>
                  <w:tcW w:w="32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eastAsia="zh-CN" w:bidi="ar"/>
                    </w:rPr>
                    <w:t>有组织</w:t>
                  </w:r>
                </w:p>
              </w:tc>
              <w:tc>
                <w:tcPr>
                  <w:tcW w:w="471"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0.42</w:t>
                  </w:r>
                </w:p>
              </w:tc>
              <w:tc>
                <w:tcPr>
                  <w:tcW w:w="488"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488" w:type="pc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0.0573 </w:t>
                  </w:r>
                </w:p>
              </w:tc>
              <w:tc>
                <w:tcPr>
                  <w:tcW w:w="462"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554"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0.4773</w:t>
                  </w:r>
                </w:p>
              </w:tc>
              <w:tc>
                <w:tcPr>
                  <w:tcW w:w="52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0.4773</w:t>
                  </w:r>
                </w:p>
              </w:tc>
              <w:tc>
                <w:tcPr>
                  <w:tcW w:w="447"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0.0573</w:t>
                  </w:r>
                </w:p>
              </w:tc>
              <w:tc>
                <w:tcPr>
                  <w:tcW w:w="61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DA003TVOC100mg/m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非甲烷总烃80mg/m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DA004TVOC100mg/m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非甲烷总烃20mg/m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lang w:val="en-US" w:eastAsia="zh-CN"/>
                    </w:rPr>
                  </w:pPr>
                  <w:r>
                    <w:rPr>
                      <w:rFonts w:hint="default" w:ascii="Times New Roman" w:hAnsi="Times New Roman" w:cs="Times New Roman"/>
                      <w:color w:val="auto"/>
                      <w:sz w:val="21"/>
                      <w:szCs w:val="21"/>
                      <w:highlight w:val="none"/>
                      <w:lang w:val="en-US" w:eastAsia="zh-CN"/>
                    </w:rPr>
                    <w:t>MDI1mg/m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highlight w:val="none"/>
                      <w:lang w:val="en-US" w:eastAsia="zh-CN"/>
                    </w:rPr>
                  </w:pPr>
                </w:p>
              </w:tc>
              <w:tc>
                <w:tcPr>
                  <w:tcW w:w="385"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0"/>
                      <w:sz w:val="21"/>
                      <w:szCs w:val="21"/>
                      <w:highlight w:val="none"/>
                      <w:lang w:val="en-US" w:eastAsia="zh-CN" w:bidi="ar"/>
                    </w:rPr>
                  </w:pPr>
                </w:p>
              </w:tc>
              <w:tc>
                <w:tcPr>
                  <w:tcW w:w="32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无组织</w:t>
                  </w:r>
                </w:p>
              </w:tc>
              <w:tc>
                <w:tcPr>
                  <w:tcW w:w="471"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0.25</w:t>
                  </w:r>
                </w:p>
              </w:tc>
              <w:tc>
                <w:tcPr>
                  <w:tcW w:w="488"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488" w:type="pc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0.0318 </w:t>
                  </w:r>
                </w:p>
              </w:tc>
              <w:tc>
                <w:tcPr>
                  <w:tcW w:w="462"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554"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0.2818</w:t>
                  </w:r>
                </w:p>
              </w:tc>
              <w:tc>
                <w:tcPr>
                  <w:tcW w:w="52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0.2818</w:t>
                  </w:r>
                </w:p>
              </w:tc>
              <w:tc>
                <w:tcPr>
                  <w:tcW w:w="447"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0.0318</w:t>
                  </w:r>
                </w:p>
              </w:tc>
              <w:tc>
                <w:tcPr>
                  <w:tcW w:w="61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总VOCs2mg/m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lang w:val="en-US" w:eastAsia="zh-CN"/>
                    </w:rPr>
                    <w:t>，</w:t>
                  </w:r>
                </w:p>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非甲烷总烃4mg/m</w:t>
                  </w:r>
                  <w:r>
                    <w:rPr>
                      <w:rFonts w:hint="default" w:ascii="Times New Roman" w:hAnsi="Times New Roman" w:cs="Times New Roman"/>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highlight w:val="none"/>
                      <w:lang w:val="en-US" w:eastAsia="zh-CN"/>
                    </w:rPr>
                  </w:pPr>
                </w:p>
              </w:tc>
              <w:tc>
                <w:tcPr>
                  <w:tcW w:w="385"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0"/>
                      <w:sz w:val="21"/>
                      <w:szCs w:val="21"/>
                      <w:highlight w:val="none"/>
                      <w:lang w:val="en-US" w:eastAsia="zh-CN" w:bidi="ar"/>
                    </w:rPr>
                  </w:pPr>
                </w:p>
              </w:tc>
              <w:tc>
                <w:tcPr>
                  <w:tcW w:w="32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eastAsia="zh-CN" w:bidi="ar"/>
                    </w:rPr>
                    <w:t>合计</w:t>
                  </w:r>
                </w:p>
              </w:tc>
              <w:tc>
                <w:tcPr>
                  <w:tcW w:w="471"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0.67</w:t>
                  </w:r>
                </w:p>
              </w:tc>
              <w:tc>
                <w:tcPr>
                  <w:tcW w:w="488"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488" w:type="pc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0.0892 </w:t>
                  </w:r>
                </w:p>
              </w:tc>
              <w:tc>
                <w:tcPr>
                  <w:tcW w:w="462" w:type="pc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w:t>
                  </w:r>
                </w:p>
              </w:tc>
              <w:tc>
                <w:tcPr>
                  <w:tcW w:w="554"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0.7591</w:t>
                  </w:r>
                </w:p>
              </w:tc>
              <w:tc>
                <w:tcPr>
                  <w:tcW w:w="52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0.7591</w:t>
                  </w:r>
                </w:p>
              </w:tc>
              <w:tc>
                <w:tcPr>
                  <w:tcW w:w="447"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0.0891</w:t>
                  </w:r>
                </w:p>
              </w:tc>
              <w:tc>
                <w:tcPr>
                  <w:tcW w:w="616"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b/>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p>
              </w:tc>
              <w:tc>
                <w:tcPr>
                  <w:tcW w:w="385"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颗粒物</w:t>
                  </w:r>
                </w:p>
              </w:tc>
              <w:tc>
                <w:tcPr>
                  <w:tcW w:w="32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eastAsia="zh-CN" w:bidi="ar"/>
                    </w:rPr>
                    <w:t>有组织</w:t>
                  </w:r>
                </w:p>
              </w:tc>
              <w:tc>
                <w:tcPr>
                  <w:tcW w:w="471" w:type="pct"/>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0.0172</w:t>
                  </w:r>
                </w:p>
              </w:tc>
              <w:tc>
                <w:tcPr>
                  <w:tcW w:w="1405"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1405"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0.0439 </w:t>
                  </w:r>
                </w:p>
              </w:tc>
              <w:tc>
                <w:tcPr>
                  <w:tcW w:w="1330"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95"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0.0611 </w:t>
                  </w:r>
                </w:p>
              </w:tc>
              <w:tc>
                <w:tcPr>
                  <w:tcW w:w="1500"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0.0439 </w:t>
                  </w:r>
                </w:p>
              </w:tc>
              <w:tc>
                <w:tcPr>
                  <w:tcW w:w="1287"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0.0439 </w:t>
                  </w:r>
                </w:p>
              </w:tc>
              <w:tc>
                <w:tcPr>
                  <w:tcW w:w="616" w:type="pct"/>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kern w:val="2"/>
                      <w:sz w:val="20"/>
                      <w:szCs w:val="20"/>
                      <w:highlight w:val="none"/>
                      <w:lang w:val="en-US" w:eastAsia="zh-CN" w:bidi="ar-SA"/>
                    </w:rPr>
                    <w:t>20mg/m</w:t>
                  </w:r>
                  <w:r>
                    <w:rPr>
                      <w:rFonts w:hint="default" w:ascii="Times New Roman" w:hAnsi="Times New Roman" w:cs="Times New Roman"/>
                      <w:color w:val="auto"/>
                      <w:kern w:val="2"/>
                      <w:sz w:val="20"/>
                      <w:szCs w:val="20"/>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p>
              </w:tc>
              <w:tc>
                <w:tcPr>
                  <w:tcW w:w="385"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二氧化硫</w:t>
                  </w:r>
                </w:p>
              </w:tc>
              <w:tc>
                <w:tcPr>
                  <w:tcW w:w="327"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p>
              </w:tc>
              <w:tc>
                <w:tcPr>
                  <w:tcW w:w="471" w:type="pct"/>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0.012</w:t>
                  </w:r>
                </w:p>
              </w:tc>
              <w:tc>
                <w:tcPr>
                  <w:tcW w:w="1405"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w:t>
                  </w:r>
                  <w:r>
                    <w:rPr>
                      <w:rFonts w:hint="default" w:ascii="Times New Roman" w:hAnsi="Times New Roman" w:cs="Times New Roman"/>
                      <w:i w:val="0"/>
                      <w:iCs w:val="0"/>
                      <w:color w:val="auto"/>
                      <w:kern w:val="0"/>
                      <w:sz w:val="21"/>
                      <w:szCs w:val="21"/>
                      <w:highlight w:val="none"/>
                      <w:u w:val="none"/>
                      <w:lang w:val="en-US" w:eastAsia="zh-CN" w:bidi="ar"/>
                    </w:rPr>
                    <w:t>24</w:t>
                  </w:r>
                </w:p>
              </w:tc>
              <w:tc>
                <w:tcPr>
                  <w:tcW w:w="1405"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0.1254 </w:t>
                  </w:r>
                </w:p>
              </w:tc>
              <w:tc>
                <w:tcPr>
                  <w:tcW w:w="1330"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95"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0.1494 </w:t>
                  </w:r>
                </w:p>
              </w:tc>
              <w:tc>
                <w:tcPr>
                  <w:tcW w:w="1500"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0.1254 </w:t>
                  </w:r>
                </w:p>
              </w:tc>
              <w:tc>
                <w:tcPr>
                  <w:tcW w:w="1287"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0.1254 </w:t>
                  </w:r>
                </w:p>
              </w:tc>
              <w:tc>
                <w:tcPr>
                  <w:tcW w:w="616"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50</w:t>
                  </w:r>
                  <w:r>
                    <w:rPr>
                      <w:rFonts w:hint="default" w:ascii="Times New Roman" w:hAnsi="Times New Roman" w:cs="Times New Roman"/>
                      <w:color w:val="auto"/>
                      <w:kern w:val="2"/>
                      <w:sz w:val="20"/>
                      <w:szCs w:val="20"/>
                      <w:highlight w:val="none"/>
                      <w:lang w:val="en-US" w:eastAsia="zh-CN" w:bidi="ar-SA"/>
                    </w:rPr>
                    <w:t>mg/m</w:t>
                  </w:r>
                  <w:r>
                    <w:rPr>
                      <w:rFonts w:hint="default" w:ascii="Times New Roman" w:hAnsi="Times New Roman" w:cs="Times New Roman"/>
                      <w:color w:val="auto"/>
                      <w:kern w:val="2"/>
                      <w:sz w:val="20"/>
                      <w:szCs w:val="20"/>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238"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p>
              </w:tc>
              <w:tc>
                <w:tcPr>
                  <w:tcW w:w="385"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i w:val="0"/>
                      <w:iCs w:val="0"/>
                      <w:color w:val="auto"/>
                      <w:kern w:val="0"/>
                      <w:sz w:val="21"/>
                      <w:szCs w:val="21"/>
                      <w:highlight w:val="none"/>
                      <w:u w:val="none"/>
                      <w:lang w:val="en-US" w:eastAsia="zh-CN" w:bidi="ar"/>
                    </w:rPr>
                    <w:t>氮氧化物</w:t>
                  </w:r>
                </w:p>
              </w:tc>
              <w:tc>
                <w:tcPr>
                  <w:tcW w:w="327"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p>
              </w:tc>
              <w:tc>
                <w:tcPr>
                  <w:tcW w:w="471"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0.11</w:t>
                  </w:r>
                </w:p>
              </w:tc>
              <w:tc>
                <w:tcPr>
                  <w:tcW w:w="1405" w:type="dxa"/>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0.11</w:t>
                  </w:r>
                </w:p>
              </w:tc>
              <w:tc>
                <w:tcPr>
                  <w:tcW w:w="1405" w:type="dxa"/>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 xml:space="preserve">0.0950 </w:t>
                  </w:r>
                </w:p>
              </w:tc>
              <w:tc>
                <w:tcPr>
                  <w:tcW w:w="1330" w:type="dxa"/>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1595"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0.205 </w:t>
                  </w:r>
                </w:p>
              </w:tc>
              <w:tc>
                <w:tcPr>
                  <w:tcW w:w="1500"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0.095</w:t>
                  </w:r>
                </w:p>
              </w:tc>
              <w:tc>
                <w:tcPr>
                  <w:tcW w:w="1287"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0.095 </w:t>
                  </w:r>
                </w:p>
              </w:tc>
              <w:tc>
                <w:tcPr>
                  <w:tcW w:w="616"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50</w:t>
                  </w:r>
                  <w:r>
                    <w:rPr>
                      <w:rFonts w:hint="default" w:ascii="Times New Roman" w:hAnsi="Times New Roman" w:cs="Times New Roman"/>
                      <w:color w:val="auto"/>
                      <w:kern w:val="2"/>
                      <w:sz w:val="20"/>
                      <w:szCs w:val="20"/>
                      <w:highlight w:val="none"/>
                      <w:lang w:val="en-US" w:eastAsia="zh-CN" w:bidi="ar-SA"/>
                    </w:rPr>
                    <w:t>mg/m</w:t>
                  </w:r>
                  <w:r>
                    <w:rPr>
                      <w:rFonts w:hint="default" w:ascii="Times New Roman" w:hAnsi="Times New Roman" w:cs="Times New Roman"/>
                      <w:color w:val="auto"/>
                      <w:kern w:val="2"/>
                      <w:sz w:val="20"/>
                      <w:szCs w:val="20"/>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5000" w:type="pct"/>
                  <w:gridSpan w:val="11"/>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both"/>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rPr>
                    <w:t>注：</w:t>
                  </w:r>
                  <w:r>
                    <w:rPr>
                      <w:rFonts w:hint="default" w:ascii="Times New Roman" w:hAnsi="Times New Roman" w:cs="Times New Roman"/>
                      <w:color w:val="auto"/>
                      <w:sz w:val="21"/>
                      <w:szCs w:val="21"/>
                      <w:lang w:val="en-US" w:eastAsia="zh-CN"/>
                    </w:rPr>
                    <w:t>本次扩建项目不新增生活污水排放量，无需申请总量指标；</w:t>
                  </w:r>
                </w:p>
                <w:p>
                  <w:pPr>
                    <w:keepLines w:val="0"/>
                    <w:pageBreakBefore w:val="0"/>
                    <w:kinsoku/>
                    <w:overflowPunct/>
                    <w:topLinePunct w:val="0"/>
                    <w:autoSpaceDE/>
                    <w:autoSpaceDN/>
                    <w:bidi w:val="0"/>
                    <w:spacing w:line="240" w:lineRule="auto"/>
                    <w:jc w:val="both"/>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非甲烷总烃、MDI归于总VOCs，现有项目未许可总VOCs总量控制量，本项目一并申请，需申请总量为0.7591t/a</w:t>
                  </w:r>
                  <w:r>
                    <w:rPr>
                      <w:rFonts w:hint="default" w:ascii="Times New Roman" w:hAnsi="Times New Roman" w:cs="Times New Roman"/>
                      <w:color w:val="auto"/>
                      <w:sz w:val="21"/>
                      <w:szCs w:val="21"/>
                      <w:lang w:eastAsia="zh-CN"/>
                    </w:rPr>
                    <w:t>。</w:t>
                  </w:r>
                </w:p>
                <w:p>
                  <w:pPr>
                    <w:keepLines w:val="0"/>
                    <w:pageBreakBefore w:val="0"/>
                    <w:kinsoku/>
                    <w:overflowPunct/>
                    <w:topLinePunct w:val="0"/>
                    <w:autoSpaceDE/>
                    <w:autoSpaceDN/>
                    <w:bidi w:val="0"/>
                    <w:spacing w:line="240" w:lineRule="auto"/>
                    <w:jc w:val="both"/>
                    <w:rPr>
                      <w:rFonts w:hint="default" w:ascii="Times New Roman" w:hAnsi="Times New Roman" w:cs="Times New Roman"/>
                      <w:color w:val="auto"/>
                      <w:lang w:val="en-US"/>
                    </w:rPr>
                  </w:pPr>
                  <w:r>
                    <w:rPr>
                      <w:rFonts w:hint="default" w:ascii="Times New Roman" w:hAnsi="Times New Roman" w:cs="Times New Roman"/>
                      <w:b/>
                      <w:bCs/>
                      <w:color w:val="auto"/>
                      <w:spacing w:val="-6"/>
                      <w:sz w:val="21"/>
                      <w:szCs w:val="21"/>
                      <w:lang w:val="en-US" w:eastAsia="zh-CN"/>
                    </w:rPr>
                    <w:t>本次需申请总量指标为：</w:t>
                  </w:r>
                  <w:r>
                    <w:rPr>
                      <w:rFonts w:hint="default" w:ascii="Times New Roman" w:hAnsi="Times New Roman" w:cs="Times New Roman"/>
                      <w:color w:val="auto"/>
                      <w:sz w:val="21"/>
                      <w:szCs w:val="21"/>
                      <w:lang w:val="en-US" w:eastAsia="zh-CN"/>
                    </w:rPr>
                    <w:t>总VOCs0.7591t/a、</w:t>
                  </w:r>
                  <w:r>
                    <w:rPr>
                      <w:rFonts w:hint="default" w:ascii="Times New Roman" w:hAnsi="Times New Roman" w:eastAsia="宋体" w:cs="Times New Roman"/>
                      <w:i w:val="0"/>
                      <w:iCs w:val="0"/>
                      <w:color w:val="auto"/>
                      <w:kern w:val="0"/>
                      <w:sz w:val="21"/>
                      <w:szCs w:val="21"/>
                      <w:highlight w:val="none"/>
                      <w:u w:val="none"/>
                      <w:lang w:val="en-US" w:eastAsia="zh-CN" w:bidi="ar"/>
                    </w:rPr>
                    <w:t>二氧化硫</w:t>
                  </w:r>
                  <w:r>
                    <w:rPr>
                      <w:rFonts w:hint="default" w:ascii="Times New Roman" w:hAnsi="Times New Roman" w:cs="Times New Roman"/>
                      <w:i w:val="0"/>
                      <w:iCs w:val="0"/>
                      <w:color w:val="auto"/>
                      <w:kern w:val="0"/>
                      <w:sz w:val="21"/>
                      <w:szCs w:val="21"/>
                      <w:highlight w:val="none"/>
                      <w:u w:val="none"/>
                      <w:lang w:val="en-US" w:eastAsia="zh-CN" w:bidi="ar"/>
                    </w:rPr>
                    <w:t>0.1254</w:t>
                  </w:r>
                  <w:r>
                    <w:rPr>
                      <w:rFonts w:hint="default" w:ascii="Times New Roman" w:hAnsi="Times New Roman" w:cs="Times New Roman"/>
                      <w:color w:val="auto"/>
                      <w:sz w:val="21"/>
                      <w:szCs w:val="21"/>
                      <w:lang w:val="en-US" w:eastAsia="zh-CN"/>
                    </w:rPr>
                    <w:t>t/a、</w:t>
                  </w:r>
                  <w:r>
                    <w:rPr>
                      <w:rFonts w:hint="default" w:ascii="Times New Roman" w:hAnsi="Times New Roman" w:eastAsia="宋体" w:cs="Times New Roman"/>
                      <w:i w:val="0"/>
                      <w:iCs w:val="0"/>
                      <w:color w:val="auto"/>
                      <w:kern w:val="0"/>
                      <w:sz w:val="21"/>
                      <w:szCs w:val="21"/>
                      <w:highlight w:val="none"/>
                      <w:u w:val="none"/>
                      <w:lang w:val="en-US" w:eastAsia="zh-CN" w:bidi="ar"/>
                    </w:rPr>
                    <w:t>氮氧化物</w:t>
                  </w:r>
                  <w:r>
                    <w:rPr>
                      <w:rFonts w:hint="default" w:ascii="Times New Roman" w:hAnsi="Times New Roman" w:cs="Times New Roman"/>
                      <w:i w:val="0"/>
                      <w:iCs w:val="0"/>
                      <w:color w:val="auto"/>
                      <w:kern w:val="0"/>
                      <w:sz w:val="21"/>
                      <w:szCs w:val="21"/>
                      <w:highlight w:val="none"/>
                      <w:u w:val="none"/>
                      <w:lang w:val="en-US" w:eastAsia="zh-CN" w:bidi="ar"/>
                    </w:rPr>
                    <w:t>0.095</w:t>
                  </w:r>
                  <w:r>
                    <w:rPr>
                      <w:rFonts w:hint="default" w:ascii="Times New Roman" w:hAnsi="Times New Roman" w:cs="Times New Roman"/>
                      <w:color w:val="auto"/>
                      <w:sz w:val="21"/>
                      <w:szCs w:val="21"/>
                      <w:lang w:val="en-US" w:eastAsia="zh-CN"/>
                    </w:rPr>
                    <w:t>t/a，由惠州市生态环境局博罗分局分配。</w:t>
                  </w:r>
                </w:p>
              </w:tc>
            </w:tr>
          </w:tbl>
          <w:p>
            <w:pPr>
              <w:adjustRightInd w:val="0"/>
              <w:snapToGrid w:val="0"/>
              <w:rPr>
                <w:rFonts w:hint="default" w:ascii="Times New Roman" w:hAnsi="Times New Roman" w:cs="Times New Roman"/>
                <w:color w:val="auto"/>
                <w:kern w:val="0"/>
                <w:szCs w:val="21"/>
              </w:rPr>
            </w:pPr>
          </w:p>
        </w:tc>
      </w:tr>
    </w:tbl>
    <w:p>
      <w:pPr>
        <w:rPr>
          <w:rFonts w:hint="default" w:ascii="Times New Roman" w:hAnsi="Times New Roman" w:cs="Times New Roman"/>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4"/>
        <w:numPr>
          <w:ilvl w:val="2"/>
          <w:numId w:val="0"/>
        </w:numPr>
        <w:bidi w:val="0"/>
        <w:ind w:left="397" w:leftChars="0"/>
        <w:jc w:val="center"/>
        <w:rPr>
          <w:rFonts w:hint="default" w:ascii="Times New Roman" w:hAnsi="Times New Roman" w:cs="Times New Roman"/>
          <w:color w:val="auto"/>
        </w:rPr>
      </w:pPr>
      <w:bookmarkStart w:id="6" w:name="_Toc11575"/>
      <w:r>
        <w:rPr>
          <w:rFonts w:hint="default" w:ascii="Times New Roman" w:hAnsi="Times New Roman" w:cs="Times New Roman"/>
          <w:color w:val="auto"/>
        </w:rPr>
        <w:t>四、主要环境影响和保护措施</w:t>
      </w:r>
      <w:bookmarkEnd w:id="6"/>
    </w:p>
    <w:tbl>
      <w:tblPr>
        <w:tblStyle w:val="33"/>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9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1" w:hRule="atLeast"/>
        </w:trPr>
        <w:tc>
          <w:tcPr>
            <w:tcW w:w="625" w:type="dxa"/>
            <w:vAlign w:val="center"/>
          </w:tcPr>
          <w:p>
            <w:pPr>
              <w:pStyle w:val="28"/>
              <w:adjustRightInd w:val="0"/>
              <w:snapToGrid w:val="0"/>
              <w:spacing w:before="0" w:beforeAutospacing="0" w:after="0" w:afterAutospacing="0"/>
              <w:jc w:val="center"/>
              <w:rPr>
                <w:rFonts w:hint="default" w:ascii="Times New Roman" w:hAnsi="Times New Roman" w:cs="Times New Roman"/>
                <w:color w:val="auto"/>
                <w:kern w:val="2"/>
                <w:szCs w:val="24"/>
              </w:rPr>
            </w:pPr>
            <w:r>
              <w:rPr>
                <w:rFonts w:hint="default" w:ascii="Times New Roman" w:hAnsi="Times New Roman" w:cs="Times New Roman"/>
                <w:color w:val="auto"/>
                <w:kern w:val="2"/>
                <w:szCs w:val="24"/>
              </w:rPr>
              <w:t>施工</w:t>
            </w:r>
          </w:p>
          <w:p>
            <w:pPr>
              <w:pStyle w:val="28"/>
              <w:adjustRightInd w:val="0"/>
              <w:snapToGrid w:val="0"/>
              <w:spacing w:before="0" w:beforeAutospacing="0" w:after="0" w:afterAutospacing="0"/>
              <w:jc w:val="center"/>
              <w:rPr>
                <w:rFonts w:hint="default" w:ascii="Times New Roman" w:hAnsi="Times New Roman" w:cs="Times New Roman"/>
                <w:color w:val="auto"/>
                <w:kern w:val="2"/>
                <w:szCs w:val="24"/>
              </w:rPr>
            </w:pPr>
            <w:r>
              <w:rPr>
                <w:rFonts w:hint="default" w:ascii="Times New Roman" w:hAnsi="Times New Roman" w:cs="Times New Roman"/>
                <w:color w:val="auto"/>
                <w:kern w:val="2"/>
                <w:szCs w:val="24"/>
              </w:rPr>
              <w:t>期环</w:t>
            </w:r>
          </w:p>
          <w:p>
            <w:pPr>
              <w:pStyle w:val="28"/>
              <w:adjustRightInd w:val="0"/>
              <w:snapToGrid w:val="0"/>
              <w:spacing w:before="0" w:beforeAutospacing="0" w:after="0" w:afterAutospacing="0"/>
              <w:jc w:val="center"/>
              <w:rPr>
                <w:rFonts w:hint="default" w:ascii="Times New Roman" w:hAnsi="Times New Roman" w:cs="Times New Roman"/>
                <w:color w:val="auto"/>
                <w:kern w:val="2"/>
                <w:szCs w:val="24"/>
              </w:rPr>
            </w:pPr>
            <w:r>
              <w:rPr>
                <w:rFonts w:hint="default" w:ascii="Times New Roman" w:hAnsi="Times New Roman" w:cs="Times New Roman"/>
                <w:color w:val="auto"/>
                <w:kern w:val="2"/>
                <w:szCs w:val="24"/>
              </w:rPr>
              <w:t>境保</w:t>
            </w:r>
          </w:p>
          <w:p>
            <w:pPr>
              <w:pStyle w:val="28"/>
              <w:adjustRightInd w:val="0"/>
              <w:snapToGrid w:val="0"/>
              <w:spacing w:before="0" w:beforeAutospacing="0" w:after="0" w:afterAutospacing="0"/>
              <w:jc w:val="center"/>
              <w:rPr>
                <w:rFonts w:hint="default" w:ascii="Times New Roman" w:hAnsi="Times New Roman" w:cs="Times New Roman"/>
                <w:color w:val="auto"/>
                <w:kern w:val="2"/>
                <w:szCs w:val="24"/>
              </w:rPr>
            </w:pPr>
            <w:r>
              <w:rPr>
                <w:rFonts w:hint="default" w:ascii="Times New Roman" w:hAnsi="Times New Roman" w:cs="Times New Roman"/>
                <w:color w:val="auto"/>
                <w:kern w:val="2"/>
                <w:szCs w:val="24"/>
              </w:rPr>
              <w:t>护措</w:t>
            </w:r>
          </w:p>
          <w:p>
            <w:pPr>
              <w:pStyle w:val="28"/>
              <w:adjustRightInd w:val="0"/>
              <w:snapToGrid w:val="0"/>
              <w:spacing w:before="0" w:beforeAutospacing="0" w:after="0" w:afterAutospacing="0"/>
              <w:jc w:val="center"/>
              <w:rPr>
                <w:rFonts w:hint="default" w:ascii="Times New Roman" w:hAnsi="Times New Roman" w:cs="Times New Roman"/>
                <w:color w:val="auto"/>
              </w:rPr>
            </w:pPr>
            <w:r>
              <w:rPr>
                <w:rFonts w:hint="default" w:ascii="Times New Roman" w:hAnsi="Times New Roman" w:cs="Times New Roman"/>
                <w:color w:val="auto"/>
                <w:kern w:val="2"/>
                <w:szCs w:val="24"/>
              </w:rPr>
              <w:t>施</w:t>
            </w:r>
          </w:p>
        </w:tc>
        <w:tc>
          <w:tcPr>
            <w:tcW w:w="9232" w:type="dxa"/>
            <w:vAlign w:val="center"/>
          </w:tcPr>
          <w:p>
            <w:pPr>
              <w:pStyle w:val="28"/>
              <w:adjustRightInd w:val="0"/>
              <w:snapToGrid w:val="0"/>
              <w:spacing w:before="0" w:beforeAutospacing="0" w:after="0" w:afterAutospacing="0"/>
              <w:ind w:firstLine="480" w:firstLineChars="200"/>
              <w:jc w:val="left"/>
              <w:rPr>
                <w:rFonts w:hint="default" w:ascii="Times New Roman" w:hAnsi="Times New Roman" w:cs="Times New Roman"/>
                <w:color w:val="auto"/>
                <w:kern w:val="2"/>
                <w:szCs w:val="24"/>
              </w:rPr>
            </w:pPr>
            <w:r>
              <w:rPr>
                <w:rFonts w:hint="default" w:ascii="Times New Roman" w:hAnsi="Times New Roman" w:cs="Times New Roman"/>
                <w:color w:val="auto"/>
                <w:sz w:val="24"/>
              </w:rPr>
              <w:t>项目建筑物均已建成</w:t>
            </w:r>
            <w:r>
              <w:rPr>
                <w:rFonts w:hint="default" w:ascii="Times New Roman" w:hAnsi="Times New Roman" w:cs="Times New Roman"/>
                <w:bCs/>
                <w:color w:val="auto"/>
                <w:spacing w:val="-10"/>
                <w:sz w:val="24"/>
              </w:rPr>
              <w:t>，因此无需分析施工期废水、废气、噪声和固废对周边环境的影响及其保护措施。</w:t>
            </w:r>
          </w:p>
        </w:tc>
      </w:tr>
    </w:tbl>
    <w:p>
      <w:pPr>
        <w:rPr>
          <w:rFonts w:hint="default" w:ascii="Times New Roman" w:hAnsi="Times New Roman" w:cs="Times New Roman"/>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3"/>
        <w:tblW w:w="14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4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456" w:type="dxa"/>
          </w:tcPr>
          <w:p>
            <w:pPr>
              <w:adjustRightInd w:val="0"/>
              <w:snapToGrid w:val="0"/>
              <w:jc w:val="center"/>
              <w:rPr>
                <w:rFonts w:hint="default" w:ascii="Times New Roman" w:hAnsi="Times New Roman" w:cs="Times New Roman"/>
                <w:bCs/>
                <w:color w:val="auto"/>
                <w:szCs w:val="21"/>
              </w:rPr>
            </w:pPr>
          </w:p>
          <w:p>
            <w:pPr>
              <w:adjustRightInd w:val="0"/>
              <w:snapToGrid w:val="0"/>
              <w:jc w:val="center"/>
              <w:rPr>
                <w:rFonts w:hint="default" w:ascii="Times New Roman" w:hAnsi="Times New Roman" w:cs="Times New Roman"/>
                <w:bCs/>
                <w:color w:val="auto"/>
                <w:szCs w:val="21"/>
              </w:rPr>
            </w:pPr>
          </w:p>
          <w:p>
            <w:pPr>
              <w:adjustRightInd w:val="0"/>
              <w:snapToGrid w:val="0"/>
              <w:jc w:val="center"/>
              <w:rPr>
                <w:rFonts w:hint="default" w:ascii="Times New Roman" w:hAnsi="Times New Roman" w:cs="Times New Roman"/>
                <w:bCs/>
                <w:color w:val="auto"/>
                <w:szCs w:val="21"/>
              </w:rPr>
            </w:pPr>
          </w:p>
          <w:p>
            <w:pPr>
              <w:adjustRightInd w:val="0"/>
              <w:snapToGrid w:val="0"/>
              <w:jc w:val="center"/>
              <w:rPr>
                <w:rFonts w:hint="default" w:ascii="Times New Roman" w:hAnsi="Times New Roman" w:cs="Times New Roman"/>
                <w:bCs/>
                <w:color w:val="auto"/>
                <w:szCs w:val="21"/>
              </w:rPr>
            </w:pPr>
          </w:p>
          <w:p>
            <w:pPr>
              <w:adjustRightInd w:val="0"/>
              <w:snapToGrid w:val="0"/>
              <w:rPr>
                <w:rFonts w:hint="default" w:ascii="Times New Roman" w:hAnsi="Times New Roman" w:cs="Times New Roman"/>
                <w:bCs/>
                <w:color w:val="auto"/>
                <w:szCs w:val="21"/>
              </w:rPr>
            </w:pPr>
            <w:r>
              <w:rPr>
                <w:rFonts w:hint="default" w:ascii="Times New Roman" w:hAnsi="Times New Roman" w:cs="Times New Roman"/>
                <w:bCs/>
                <w:color w:val="auto"/>
                <w:szCs w:val="21"/>
              </w:rPr>
              <w:t>运营</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期环</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境影</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响和</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保护</w:t>
            </w:r>
          </w:p>
          <w:p>
            <w:pPr>
              <w:adjustRightInd w:val="0"/>
              <w:snapToGrid w:val="0"/>
              <w:spacing w:line="240" w:lineRule="auto"/>
              <w:jc w:val="center"/>
              <w:rPr>
                <w:rFonts w:hint="default" w:ascii="Times New Roman" w:hAnsi="Times New Roman" w:cs="Times New Roman"/>
                <w:bCs/>
                <w:color w:val="auto"/>
              </w:rPr>
            </w:pPr>
            <w:r>
              <w:rPr>
                <w:rFonts w:hint="default" w:ascii="Times New Roman" w:hAnsi="Times New Roman" w:cs="Times New Roman"/>
                <w:bCs/>
                <w:color w:val="auto"/>
                <w:szCs w:val="21"/>
              </w:rPr>
              <w:t>措施</w:t>
            </w:r>
          </w:p>
        </w:tc>
        <w:tc>
          <w:tcPr>
            <w:tcW w:w="14272" w:type="dxa"/>
          </w:tcPr>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一、</w:t>
            </w:r>
            <w:r>
              <w:rPr>
                <w:rFonts w:hint="default" w:ascii="Times New Roman" w:hAnsi="Times New Roman" w:cs="Times New Roman"/>
                <w:b/>
                <w:color w:val="auto"/>
                <w:szCs w:val="21"/>
              </w:rPr>
              <w:t>废气</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rPr>
              <w:t>根据工程分析和企业提供的资料，本项目不设备用发</w:t>
            </w:r>
            <w:r>
              <w:rPr>
                <w:rFonts w:hint="default" w:ascii="Times New Roman" w:hAnsi="Times New Roman" w:cs="Times New Roman"/>
                <w:color w:val="auto"/>
                <w:sz w:val="24"/>
                <w:szCs w:val="24"/>
                <w:highlight w:val="none"/>
                <w:lang w:val="en-US" w:eastAsia="zh-CN"/>
              </w:rPr>
              <w:t>电</w:t>
            </w:r>
            <w:r>
              <w:rPr>
                <w:rFonts w:hint="default" w:ascii="Times New Roman" w:hAnsi="Times New Roman" w:cs="Times New Roman"/>
                <w:color w:val="auto"/>
                <w:sz w:val="24"/>
                <w:szCs w:val="24"/>
                <w:highlight w:val="none"/>
              </w:rPr>
              <w:t>机、锅炉等设备。本项目的大气污染物主要为</w:t>
            </w:r>
            <w:r>
              <w:rPr>
                <w:rFonts w:hint="default" w:ascii="Times New Roman" w:hAnsi="Times New Roman" w:cs="Times New Roman"/>
                <w:color w:val="auto"/>
                <w:sz w:val="24"/>
                <w:szCs w:val="24"/>
                <w:highlight w:val="none"/>
                <w:lang w:eastAsia="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cs="Times New Roman"/>
                <w:bCs/>
                <w:color w:val="auto"/>
                <w:kern w:val="10"/>
                <w:sz w:val="24"/>
                <w:szCs w:val="24"/>
                <w:highlight w:val="none"/>
                <w:lang w:val="en-US" w:eastAsia="zh-CN"/>
              </w:rPr>
            </w:pPr>
            <w:r>
              <w:rPr>
                <w:rFonts w:hint="default" w:ascii="Times New Roman" w:hAnsi="Times New Roman" w:cs="Times New Roman"/>
                <w:color w:val="auto"/>
                <w:sz w:val="24"/>
                <w:szCs w:val="24"/>
                <w:highlight w:val="none"/>
                <w:lang w:val="en-US" w:eastAsia="zh-CN"/>
              </w:rPr>
              <w:t>①预搅拌、涂布及烤干产生的VOCs；②发泡、流平及烘烤产生的</w:t>
            </w:r>
            <w:r>
              <w:rPr>
                <w:rFonts w:hint="default" w:ascii="Times New Roman" w:hAnsi="Times New Roman" w:cs="Times New Roman"/>
                <w:color w:val="auto"/>
                <w:sz w:val="24"/>
                <w:szCs w:val="24"/>
                <w:lang w:val="zh-CN"/>
              </w:rPr>
              <w:t>非甲烷总烃、</w:t>
            </w:r>
            <w:r>
              <w:rPr>
                <w:rFonts w:hint="default" w:ascii="Times New Roman" w:hAnsi="Times New Roman" w:eastAsia="Calibri" w:cs="Times New Roman"/>
                <w:color w:val="auto"/>
                <w:sz w:val="24"/>
                <w:szCs w:val="24"/>
                <w:lang w:val="zh-CN"/>
              </w:rPr>
              <w:t>MDI</w:t>
            </w:r>
            <w:r>
              <w:rPr>
                <w:rFonts w:hint="default" w:ascii="Times New Roman" w:hAnsi="Times New Roman" w:cs="Times New Roman"/>
                <w:color w:val="auto"/>
                <w:sz w:val="24"/>
                <w:szCs w:val="24"/>
                <w:lang w:val="zh-CN"/>
              </w:rPr>
              <w:t>、臭气浓度</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bCs/>
                <w:color w:val="auto"/>
                <w:kern w:val="10"/>
                <w:sz w:val="24"/>
                <w:szCs w:val="24"/>
                <w:highlight w:val="none"/>
                <w:lang w:eastAsia="zh-CN"/>
              </w:rPr>
              <w:t>③</w:t>
            </w:r>
            <w:r>
              <w:rPr>
                <w:rFonts w:hint="default" w:ascii="Times New Roman" w:hAnsi="Times New Roman" w:cs="Times New Roman"/>
                <w:bCs/>
                <w:color w:val="auto"/>
                <w:kern w:val="10"/>
                <w:sz w:val="24"/>
                <w:szCs w:val="24"/>
                <w:highlight w:val="none"/>
                <w:lang w:val="en-US" w:eastAsia="zh-CN"/>
              </w:rPr>
              <w:t>覆合、UV固化产生的</w:t>
            </w:r>
            <w:r>
              <w:rPr>
                <w:rFonts w:hint="default" w:ascii="Times New Roman" w:hAnsi="Times New Roman" w:cs="Times New Roman"/>
                <w:color w:val="auto"/>
                <w:sz w:val="24"/>
                <w:szCs w:val="24"/>
                <w:highlight w:val="none"/>
                <w:lang w:val="en-US" w:eastAsia="zh-CN"/>
              </w:rPr>
              <w:t>VOCs。</w:t>
            </w:r>
          </w:p>
          <w:p>
            <w:pPr>
              <w:pStyle w:val="41"/>
              <w:keepNext w:val="0"/>
              <w:keepLines w:val="0"/>
              <w:pageBreakBefore w:val="0"/>
              <w:widowControl w:val="0"/>
              <w:kinsoku/>
              <w:wordWrap/>
              <w:overflowPunct/>
              <w:topLinePunct w:val="0"/>
              <w:bidi w:val="0"/>
              <w:adjustRightInd w:val="0"/>
              <w:spacing w:line="360" w:lineRule="auto"/>
              <w:ind w:firstLine="482"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废气源强</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扩建</w:t>
            </w:r>
            <w:r>
              <w:rPr>
                <w:rFonts w:hint="default" w:ascii="Times New Roman" w:hAnsi="Times New Roman" w:cs="Times New Roman"/>
                <w:color w:val="auto"/>
                <w:sz w:val="24"/>
                <w:szCs w:val="24"/>
                <w:highlight w:val="none"/>
              </w:rPr>
              <w:t>项目废气源强核算详见下表：</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lang w:val="en-US" w:eastAsia="zh-CN"/>
              </w:rPr>
              <w:t>扩建项目</w:t>
            </w:r>
            <w:r>
              <w:rPr>
                <w:rFonts w:hint="default" w:ascii="Times New Roman" w:hAnsi="Times New Roman" w:cs="Times New Roman"/>
                <w:color w:val="auto"/>
              </w:rPr>
              <w:t>废气污染源源强核算结果及相关参数一览表</w:t>
            </w:r>
          </w:p>
          <w:tbl>
            <w:tblPr>
              <w:tblStyle w:val="32"/>
              <w:tblW w:w="49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760"/>
              <w:gridCol w:w="769"/>
              <w:gridCol w:w="821"/>
              <w:gridCol w:w="717"/>
              <w:gridCol w:w="710"/>
              <w:gridCol w:w="1065"/>
              <w:gridCol w:w="943"/>
              <w:gridCol w:w="917"/>
              <w:gridCol w:w="885"/>
              <w:gridCol w:w="885"/>
              <w:gridCol w:w="690"/>
              <w:gridCol w:w="660"/>
              <w:gridCol w:w="1185"/>
              <w:gridCol w:w="1126"/>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blHeader/>
              </w:trPr>
              <w:tc>
                <w:tcPr>
                  <w:tcW w:w="285"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产污环节</w:t>
                  </w:r>
                </w:p>
              </w:tc>
              <w:tc>
                <w:tcPr>
                  <w:tcW w:w="271"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275"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293"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排放形式</w:t>
                  </w:r>
                </w:p>
              </w:tc>
              <w:tc>
                <w:tcPr>
                  <w:tcW w:w="256"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排气筒名称及编号</w:t>
                  </w:r>
                </w:p>
              </w:tc>
              <w:tc>
                <w:tcPr>
                  <w:tcW w:w="254"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收集效率</w:t>
                  </w:r>
                  <w:r>
                    <w:rPr>
                      <w:rFonts w:hint="default" w:ascii="Times New Roman" w:hAnsi="Times New Roman" w:eastAsia="宋体" w:cs="Times New Roman"/>
                      <w:b/>
                      <w:bCs/>
                      <w:color w:val="auto"/>
                      <w:sz w:val="21"/>
                      <w:szCs w:val="21"/>
                      <w:highlight w:val="none"/>
                      <w:lang w:val="en-US" w:eastAsia="zh-CN"/>
                    </w:rPr>
                    <w:t>%</w:t>
                  </w:r>
                </w:p>
              </w:tc>
              <w:tc>
                <w:tcPr>
                  <w:tcW w:w="1363" w:type="pct"/>
                  <w:gridSpan w:val="4"/>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污染物产生情况</w:t>
                  </w:r>
                </w:p>
              </w:tc>
              <w:tc>
                <w:tcPr>
                  <w:tcW w:w="799" w:type="pct"/>
                  <w:gridSpan w:val="3"/>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治理措施</w:t>
                  </w:r>
                </w:p>
              </w:tc>
              <w:tc>
                <w:tcPr>
                  <w:tcW w:w="1200" w:type="pct"/>
                  <w:gridSpan w:val="3"/>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blHeader/>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71"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7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93"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256"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p>
              </w:tc>
              <w:tc>
                <w:tcPr>
                  <w:tcW w:w="254"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21"/>
                      <w:szCs w:val="21"/>
                      <w:highlight w:val="none"/>
                    </w:rPr>
                  </w:pPr>
                </w:p>
              </w:tc>
              <w:tc>
                <w:tcPr>
                  <w:tcW w:w="381"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废气量（m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 xml:space="preserve"> /h）</w:t>
                  </w:r>
                </w:p>
              </w:tc>
              <w:tc>
                <w:tcPr>
                  <w:tcW w:w="337"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产生量t/a</w:t>
                  </w:r>
                </w:p>
              </w:tc>
              <w:tc>
                <w:tcPr>
                  <w:tcW w:w="328"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产生速率kg/h</w:t>
                  </w:r>
                </w:p>
              </w:tc>
              <w:tc>
                <w:tcPr>
                  <w:tcW w:w="316"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产生浓度mg/m</w:t>
                  </w:r>
                  <w:r>
                    <w:rPr>
                      <w:rFonts w:hint="default" w:ascii="Times New Roman" w:hAnsi="Times New Roman" w:eastAsia="宋体" w:cs="Times New Roman"/>
                      <w:b/>
                      <w:bCs/>
                      <w:color w:val="auto"/>
                      <w:sz w:val="21"/>
                      <w:szCs w:val="21"/>
                      <w:highlight w:val="none"/>
                      <w:vertAlign w:val="superscript"/>
                    </w:rPr>
                    <w:t>3</w:t>
                  </w:r>
                </w:p>
              </w:tc>
              <w:tc>
                <w:tcPr>
                  <w:tcW w:w="316"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sz w:val="21"/>
                      <w:szCs w:val="21"/>
                      <w:highlight w:val="none"/>
                      <w:lang w:val="en-US" w:eastAsia="zh-CN"/>
                    </w:rPr>
                    <w:t>处理措施</w:t>
                  </w:r>
                </w:p>
              </w:tc>
              <w:tc>
                <w:tcPr>
                  <w:tcW w:w="246"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去除效率</w:t>
                  </w:r>
                  <w:r>
                    <w:rPr>
                      <w:rFonts w:hint="default" w:ascii="Times New Roman" w:hAnsi="Times New Roman" w:eastAsia="宋体" w:cs="Times New Roman"/>
                      <w:b/>
                      <w:bCs/>
                      <w:color w:val="auto"/>
                      <w:sz w:val="21"/>
                      <w:szCs w:val="21"/>
                      <w:highlight w:val="none"/>
                      <w:lang w:val="en-US" w:eastAsia="zh-CN"/>
                    </w:rPr>
                    <w:t>%</w:t>
                  </w:r>
                </w:p>
              </w:tc>
              <w:tc>
                <w:tcPr>
                  <w:tcW w:w="236"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是否可行技术</w:t>
                  </w:r>
                </w:p>
              </w:tc>
              <w:tc>
                <w:tcPr>
                  <w:tcW w:w="423"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排放量t/a</w:t>
                  </w:r>
                </w:p>
              </w:tc>
              <w:tc>
                <w:tcPr>
                  <w:tcW w:w="402"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排放速率kg/h</w:t>
                  </w:r>
                </w:p>
              </w:tc>
              <w:tc>
                <w:tcPr>
                  <w:tcW w:w="374" w:type="pc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排放浓度mg/m</w:t>
                  </w:r>
                  <w:r>
                    <w:rPr>
                      <w:rFonts w:hint="default" w:ascii="Times New Roman" w:hAnsi="Times New Roman" w:eastAsia="宋体" w:cs="Times New Roman"/>
                      <w:b/>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85" w:type="pct"/>
                  <w:vMerge w:val="restar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混合发泡、流平及烘烤</w:t>
                  </w:r>
                </w:p>
              </w:tc>
              <w:tc>
                <w:tcPr>
                  <w:tcW w:w="27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非甲烷总烃</w:t>
                  </w:r>
                </w:p>
              </w:tc>
              <w:tc>
                <w:tcPr>
                  <w:tcW w:w="275"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cs="Times New Roman"/>
                      <w:b w:val="0"/>
                      <w:bCs w:val="0"/>
                      <w:color w:val="auto"/>
                      <w:kern w:val="0"/>
                      <w:sz w:val="21"/>
                      <w:szCs w:val="21"/>
                      <w:highlight w:val="none"/>
                      <w:lang w:val="en-US" w:eastAsia="zh-CN" w:bidi="ar"/>
                    </w:rPr>
                    <w:t>0.1068</w:t>
                  </w: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有组织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DA004</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90</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cs="Times New Roman"/>
                      <w:bCs/>
                      <w:color w:val="auto"/>
                      <w:kern w:val="2"/>
                      <w:sz w:val="21"/>
                      <w:szCs w:val="21"/>
                      <w:highlight w:val="none"/>
                      <w:lang w:val="en-US" w:eastAsia="zh-CN" w:bidi="ar"/>
                    </w:rPr>
                    <w:t>40000</w:t>
                  </w:r>
                </w:p>
              </w:tc>
              <w:tc>
                <w:tcPr>
                  <w:tcW w:w="337"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0.0961 </w:t>
                  </w:r>
                </w:p>
              </w:tc>
              <w:tc>
                <w:tcPr>
                  <w:tcW w:w="3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0.0401 </w:t>
                  </w:r>
                </w:p>
              </w:tc>
              <w:tc>
                <w:tcPr>
                  <w:tcW w:w="31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1.0013 </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水喷淋+干式过滤器+二级活性炭</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80</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0.0192 </w:t>
                  </w:r>
                </w:p>
              </w:tc>
              <w:tc>
                <w:tcPr>
                  <w:tcW w:w="4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0.008</w:t>
                  </w:r>
                </w:p>
              </w:tc>
              <w:tc>
                <w:tcPr>
                  <w:tcW w:w="374"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0.2003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27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7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
                    </w:rPr>
                    <w:t>--</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337"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0.0107 </w:t>
                  </w:r>
                </w:p>
              </w:tc>
              <w:tc>
                <w:tcPr>
                  <w:tcW w:w="3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0.0045 </w:t>
                  </w:r>
                </w:p>
              </w:tc>
              <w:tc>
                <w:tcPr>
                  <w:tcW w:w="31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0.0107 </w:t>
                  </w:r>
                </w:p>
              </w:tc>
              <w:tc>
                <w:tcPr>
                  <w:tcW w:w="4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0.0045 </w:t>
                  </w:r>
                </w:p>
              </w:tc>
              <w:tc>
                <w:tcPr>
                  <w:tcW w:w="37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27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MDI</w:t>
                  </w:r>
                </w:p>
              </w:tc>
              <w:tc>
                <w:tcPr>
                  <w:tcW w:w="275" w:type="pct"/>
                  <w:vMerge w:val="restart"/>
                  <w:noWrap w:val="0"/>
                  <w:vAlign w:val="center"/>
                </w:tcPr>
                <w:p>
                  <w:pPr>
                    <w:pStyle w:val="41"/>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0.0003</w:t>
                  </w: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有组织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DA004</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90</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cs="Times New Roman"/>
                      <w:bCs/>
                      <w:color w:val="auto"/>
                      <w:kern w:val="2"/>
                      <w:sz w:val="21"/>
                      <w:szCs w:val="21"/>
                      <w:highlight w:val="none"/>
                      <w:lang w:val="en-US" w:eastAsia="zh-CN" w:bidi="ar"/>
                    </w:rPr>
                    <w:t>40000</w:t>
                  </w:r>
                </w:p>
              </w:tc>
              <w:tc>
                <w:tcPr>
                  <w:tcW w:w="337"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0.00029 </w:t>
                  </w:r>
                </w:p>
              </w:tc>
              <w:tc>
                <w:tcPr>
                  <w:tcW w:w="3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0.0001 </w:t>
                  </w:r>
                </w:p>
              </w:tc>
              <w:tc>
                <w:tcPr>
                  <w:tcW w:w="31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0.003 </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水喷淋+干式过滤器+二级活性炭</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80</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0.00006 </w:t>
                  </w:r>
                </w:p>
              </w:tc>
              <w:tc>
                <w:tcPr>
                  <w:tcW w:w="4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0.00002 </w:t>
                  </w:r>
                </w:p>
              </w:tc>
              <w:tc>
                <w:tcPr>
                  <w:tcW w:w="37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27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7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
                    </w:rPr>
                    <w:t>--</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337"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0.00003 </w:t>
                  </w:r>
                </w:p>
              </w:tc>
              <w:tc>
                <w:tcPr>
                  <w:tcW w:w="328"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0.00001 </w:t>
                  </w:r>
                </w:p>
              </w:tc>
              <w:tc>
                <w:tcPr>
                  <w:tcW w:w="31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423"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0.00003 </w:t>
                  </w:r>
                </w:p>
              </w:tc>
              <w:tc>
                <w:tcPr>
                  <w:tcW w:w="402"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0.00001 </w:t>
                  </w:r>
                </w:p>
              </w:tc>
              <w:tc>
                <w:tcPr>
                  <w:tcW w:w="37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27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臭气浓度</w:t>
                  </w:r>
                </w:p>
              </w:tc>
              <w:tc>
                <w:tcPr>
                  <w:tcW w:w="27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少量</w:t>
                  </w: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有组织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DA004</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90</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cs="Times New Roman"/>
                      <w:bCs/>
                      <w:color w:val="auto"/>
                      <w:kern w:val="2"/>
                      <w:sz w:val="21"/>
                      <w:szCs w:val="21"/>
                      <w:highlight w:val="none"/>
                      <w:lang w:val="en-US" w:eastAsia="zh-CN" w:bidi="ar"/>
                    </w:rPr>
                    <w:t>40000</w:t>
                  </w:r>
                </w:p>
              </w:tc>
              <w:tc>
                <w:tcPr>
                  <w:tcW w:w="337"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少量</w:t>
                  </w:r>
                </w:p>
              </w:tc>
              <w:tc>
                <w:tcPr>
                  <w:tcW w:w="32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w:t>
                  </w:r>
                </w:p>
              </w:tc>
              <w:tc>
                <w:tcPr>
                  <w:tcW w:w="31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水喷淋+干式过滤器+二级活性炭</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80</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42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少量</w:t>
                  </w:r>
                </w:p>
              </w:tc>
              <w:tc>
                <w:tcPr>
                  <w:tcW w:w="40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w:t>
                  </w:r>
                </w:p>
              </w:tc>
              <w:tc>
                <w:tcPr>
                  <w:tcW w:w="374"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27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7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
                    </w:rPr>
                    <w:t>--</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337"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少量</w:t>
                  </w:r>
                </w:p>
              </w:tc>
              <w:tc>
                <w:tcPr>
                  <w:tcW w:w="32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w:t>
                  </w:r>
                </w:p>
              </w:tc>
              <w:tc>
                <w:tcPr>
                  <w:tcW w:w="31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42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少量</w:t>
                  </w:r>
                </w:p>
              </w:tc>
              <w:tc>
                <w:tcPr>
                  <w:tcW w:w="402"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w:t>
                  </w:r>
                </w:p>
              </w:tc>
              <w:tc>
                <w:tcPr>
                  <w:tcW w:w="374"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85" w:type="pct"/>
                  <w:vMerge w:val="restar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预搅拌、涂布及烤干</w:t>
                  </w:r>
                </w:p>
              </w:tc>
              <w:tc>
                <w:tcPr>
                  <w:tcW w:w="27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VOCs</w:t>
                  </w:r>
                </w:p>
              </w:tc>
              <w:tc>
                <w:tcPr>
                  <w:tcW w:w="27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有组织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DA003</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90</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cs="Times New Roman"/>
                      <w:bCs/>
                      <w:color w:val="auto"/>
                      <w:kern w:val="2"/>
                      <w:sz w:val="21"/>
                      <w:szCs w:val="21"/>
                      <w:highlight w:val="none"/>
                      <w:lang w:val="en-US" w:eastAsia="zh-CN" w:bidi="ar"/>
                    </w:rPr>
                    <w:t>45000</w:t>
                  </w:r>
                </w:p>
              </w:tc>
              <w:tc>
                <w:tcPr>
                  <w:tcW w:w="94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0.1514 </w:t>
                  </w:r>
                </w:p>
              </w:tc>
              <w:tc>
                <w:tcPr>
                  <w:tcW w:w="9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0.0631 </w:t>
                  </w:r>
                </w:p>
              </w:tc>
              <w:tc>
                <w:tcPr>
                  <w:tcW w:w="8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1.4019 </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水喷淋+干式过滤器+二级活性炭</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80</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0.0303 </w:t>
                  </w:r>
                </w:p>
              </w:tc>
              <w:tc>
                <w:tcPr>
                  <w:tcW w:w="112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0.0126 </w:t>
                  </w:r>
                </w:p>
              </w:tc>
              <w:tc>
                <w:tcPr>
                  <w:tcW w:w="104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0.2804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7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p>
              </w:tc>
              <w:tc>
                <w:tcPr>
                  <w:tcW w:w="27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
                    </w:rPr>
                    <w:t>--</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94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0.0168 </w:t>
                  </w:r>
                </w:p>
              </w:tc>
              <w:tc>
                <w:tcPr>
                  <w:tcW w:w="9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0.0070 </w:t>
                  </w:r>
                </w:p>
              </w:tc>
              <w:tc>
                <w:tcPr>
                  <w:tcW w:w="8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0.0168 </w:t>
                  </w:r>
                </w:p>
              </w:tc>
              <w:tc>
                <w:tcPr>
                  <w:tcW w:w="112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0.0070 </w:t>
                  </w:r>
                </w:p>
              </w:tc>
              <w:tc>
                <w:tcPr>
                  <w:tcW w:w="104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285" w:type="pct"/>
                  <w:vMerge w:val="restar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涂布、UV固化</w:t>
                  </w:r>
                </w:p>
              </w:tc>
              <w:tc>
                <w:tcPr>
                  <w:tcW w:w="27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VOCs</w:t>
                  </w:r>
                </w:p>
              </w:tc>
              <w:tc>
                <w:tcPr>
                  <w:tcW w:w="27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有组织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DA004</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90</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cs="Times New Roman"/>
                      <w:bCs/>
                      <w:color w:val="auto"/>
                      <w:kern w:val="2"/>
                      <w:sz w:val="21"/>
                      <w:szCs w:val="21"/>
                      <w:highlight w:val="none"/>
                      <w:lang w:val="en-US" w:eastAsia="zh-CN" w:bidi="ar"/>
                    </w:rPr>
                    <w:t>40000</w:t>
                  </w:r>
                </w:p>
              </w:tc>
              <w:tc>
                <w:tcPr>
                  <w:tcW w:w="94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0.0388 </w:t>
                  </w:r>
                </w:p>
              </w:tc>
              <w:tc>
                <w:tcPr>
                  <w:tcW w:w="9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0.0162 </w:t>
                  </w:r>
                </w:p>
              </w:tc>
              <w:tc>
                <w:tcPr>
                  <w:tcW w:w="8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0.4043 </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水喷淋+干式过滤器+二级活性炭</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80</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是</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0.0078 </w:t>
                  </w:r>
                </w:p>
              </w:tc>
              <w:tc>
                <w:tcPr>
                  <w:tcW w:w="112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0.0032 </w:t>
                  </w:r>
                </w:p>
              </w:tc>
              <w:tc>
                <w:tcPr>
                  <w:tcW w:w="104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0.0809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85" w:type="pct"/>
                  <w:vMerge w:val="continue"/>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27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21"/>
                      <w:szCs w:val="21"/>
                      <w:highlight w:val="none"/>
                    </w:rPr>
                  </w:pPr>
                </w:p>
              </w:tc>
              <w:tc>
                <w:tcPr>
                  <w:tcW w:w="27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p>
              </w:tc>
              <w:tc>
                <w:tcPr>
                  <w:tcW w:w="293"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 w:val="21"/>
                      <w:szCs w:val="21"/>
                      <w:highlight w:val="none"/>
                      <w:lang w:val="en-US" w:eastAsia="zh-CN" w:bidi="ar"/>
                    </w:rPr>
                    <w:t>无组织</w:t>
                  </w:r>
                </w:p>
              </w:tc>
              <w:tc>
                <w:tcPr>
                  <w:tcW w:w="256"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
                    </w:rPr>
                    <w:t>--</w:t>
                  </w:r>
                </w:p>
              </w:tc>
              <w:tc>
                <w:tcPr>
                  <w:tcW w:w="254"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p>
              </w:tc>
              <w:tc>
                <w:tcPr>
                  <w:tcW w:w="381"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943"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0.0043 </w:t>
                  </w:r>
                </w:p>
              </w:tc>
              <w:tc>
                <w:tcPr>
                  <w:tcW w:w="9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0.0018 </w:t>
                  </w:r>
                </w:p>
              </w:tc>
              <w:tc>
                <w:tcPr>
                  <w:tcW w:w="8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31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4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236" w:type="pct"/>
                  <w:noWrap w:val="0"/>
                  <w:vAlign w:val="center"/>
                </w:tcPr>
                <w:p>
                  <w:pPr>
                    <w:pStyle w:val="41"/>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c>
                <w:tcPr>
                  <w:tcW w:w="1185"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0.0043 </w:t>
                  </w:r>
                </w:p>
              </w:tc>
              <w:tc>
                <w:tcPr>
                  <w:tcW w:w="112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0.0018 </w:t>
                  </w:r>
                </w:p>
              </w:tc>
              <w:tc>
                <w:tcPr>
                  <w:tcW w:w="1046" w:type="dxa"/>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w:t>
                  </w:r>
                </w:p>
              </w:tc>
            </w:tr>
          </w:tbl>
          <w:p>
            <w:pPr>
              <w:pStyle w:val="54"/>
              <w:numPr>
                <w:ilvl w:val="0"/>
                <w:numId w:val="0"/>
              </w:numPr>
              <w:jc w:val="both"/>
              <w:rPr>
                <w:rFonts w:hint="default" w:ascii="Times New Roman" w:hAnsi="Times New Roman" w:cs="Times New Roman"/>
                <w:color w:val="auto"/>
              </w:rPr>
            </w:pPr>
          </w:p>
        </w:tc>
      </w:tr>
    </w:tbl>
    <w:p>
      <w:pPr>
        <w:pStyle w:val="27"/>
        <w:rPr>
          <w:rFonts w:hint="default" w:ascii="Times New Roman" w:hAnsi="Times New Roman" w:cs="Times New Roman"/>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3"/>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9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7" w:hRule="atLeast"/>
        </w:trPr>
        <w:tc>
          <w:tcPr>
            <w:tcW w:w="381" w:type="dxa"/>
            <w:vAlign w:val="center"/>
          </w:tcPr>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运营</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期环</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境影</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响和</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Cs w:val="21"/>
              </w:rPr>
              <w:t>保护</w:t>
            </w:r>
          </w:p>
          <w:p>
            <w:pPr>
              <w:pStyle w:val="28"/>
              <w:adjustRightInd w:val="0"/>
              <w:snapToGrid w:val="0"/>
              <w:spacing w:before="0" w:beforeAutospacing="0" w:after="0" w:afterAutospacing="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bCs/>
                <w:color w:val="auto"/>
                <w:szCs w:val="21"/>
              </w:rPr>
              <w:t>措施</w:t>
            </w:r>
          </w:p>
        </w:tc>
        <w:tc>
          <w:tcPr>
            <w:tcW w:w="9476" w:type="dxa"/>
            <w:vAlign w:val="center"/>
          </w:tcPr>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b/>
                <w:bCs/>
                <w:color w:val="auto"/>
                <w:kern w:val="21"/>
                <w:szCs w:val="21"/>
                <w:lang w:val="en-US" w:eastAsia="zh-CN"/>
              </w:rPr>
            </w:pPr>
            <w:r>
              <w:rPr>
                <w:rFonts w:hint="default" w:ascii="Times New Roman" w:hAnsi="Times New Roman" w:cs="Times New Roman"/>
                <w:b/>
                <w:bCs/>
                <w:color w:val="auto"/>
                <w:kern w:val="21"/>
                <w:szCs w:val="21"/>
                <w:lang w:val="en-US" w:eastAsia="zh-CN"/>
              </w:rPr>
              <w:t>2、源强核算详解：</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（1）（聚氨酯高密度棉）预搅拌、混合发泡、流平、烘烤工序产生的废气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1）非甲烷总烃</w:t>
            </w:r>
          </w:p>
          <w:p>
            <w:pPr>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cs="Times New Roman"/>
                <w:b w:val="0"/>
                <w:bCs w:val="0"/>
                <w:color w:val="auto"/>
                <w:sz w:val="24"/>
                <w:szCs w:val="24"/>
                <w:highlight w:val="none"/>
                <w:lang w:val="en-US" w:eastAsia="zh-CN"/>
              </w:rPr>
              <w:t>项目发泡过程中主要原料为聚醚多元醇、改性异氰酸酯、氢氧化铝、炭黑、硅油、活化粉、抗氧剂，其中聚醚多元醇、改性异氰酸酯等在使用过程会挥发产生有机废气，由于成分比较复杂，本评价该有机废气采用非甲烷总烃评价。本项目</w:t>
            </w:r>
            <w:r>
              <w:rPr>
                <w:rFonts w:hint="default" w:ascii="Times New Roman" w:hAnsi="Times New Roman" w:eastAsia="宋体" w:cs="Times New Roman"/>
                <w:bCs/>
                <w:color w:val="auto"/>
                <w:sz w:val="24"/>
                <w:highlight w:val="none"/>
              </w:rPr>
              <w:t>参照同类企业《安吉梅园海绵有限公司年产2000吨聚氨酯海绵生产线技术改造项目环境影响报告书》（批复号</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rPr>
              <w:t>为安环建[2017]1</w:t>
            </w:r>
            <w:r>
              <w:rPr>
                <w:rFonts w:hint="default" w:ascii="Times New Roman" w:hAnsi="Times New Roman" w:eastAsia="宋体" w:cs="Times New Roman"/>
                <w:bCs/>
                <w:color w:val="auto"/>
                <w:sz w:val="24"/>
                <w:highlight w:val="none"/>
                <w:lang w:val="en-US" w:eastAsia="zh-CN"/>
              </w:rPr>
              <w:t>3</w:t>
            </w:r>
            <w:r>
              <w:rPr>
                <w:rFonts w:hint="default" w:ascii="Times New Roman" w:hAnsi="Times New Roman" w:eastAsia="宋体" w:cs="Times New Roman"/>
                <w:bCs/>
                <w:color w:val="auto"/>
                <w:sz w:val="24"/>
                <w:highlight w:val="none"/>
              </w:rPr>
              <w:t>号）</w:t>
            </w:r>
            <w:r>
              <w:rPr>
                <w:rFonts w:hint="default" w:ascii="Times New Roman" w:hAnsi="Times New Roman" w:eastAsia="宋体" w:cs="Times New Roman"/>
                <w:bCs/>
                <w:color w:val="auto"/>
                <w:sz w:val="24"/>
                <w:highlight w:val="none"/>
                <w:lang w:val="en-US" w:eastAsia="zh-CN"/>
              </w:rPr>
              <w:t>的</w:t>
            </w:r>
            <w:r>
              <w:rPr>
                <w:rFonts w:hint="default" w:ascii="Times New Roman" w:hAnsi="Times New Roman" w:eastAsia="宋体" w:cs="Times New Roman"/>
                <w:bCs/>
                <w:color w:val="auto"/>
                <w:sz w:val="24"/>
                <w:highlight w:val="none"/>
              </w:rPr>
              <w:t>验收报告及验收监测数据，安吉梅园海绵有限公司位于安吉县孝源街道孝源村，该厂区主要使用的原料为：聚醚多元醇、</w:t>
            </w:r>
            <w:r>
              <w:rPr>
                <w:rFonts w:hint="default" w:ascii="Times New Roman" w:hAnsi="Times New Roman" w:eastAsia="宋体" w:cs="Times New Roman"/>
                <w:bCs/>
                <w:color w:val="auto"/>
                <w:sz w:val="24"/>
                <w:highlight w:val="none"/>
                <w:lang w:val="en-US" w:eastAsia="zh-CN"/>
              </w:rPr>
              <w:t>聚酯多元醇、</w:t>
            </w:r>
            <w:r>
              <w:rPr>
                <w:rFonts w:hint="default" w:ascii="Times New Roman" w:hAnsi="Times New Roman" w:eastAsia="宋体" w:cs="Times New Roman"/>
                <w:bCs/>
                <w:color w:val="auto"/>
                <w:sz w:val="24"/>
                <w:highlight w:val="none"/>
              </w:rPr>
              <w:t>甲苯二异氰酸酯（TDI）、硅油、锡催化剂、胺催化剂、色浆、阻燃剂、水等原辅料。主要生产设备有：海绵发泡生产线、平切机、异型切割机、立切机等；产品的主要工艺为</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rPr>
              <w:t>原料混合搅拌、发泡、熟化、切割</w:t>
            </w:r>
            <w:r>
              <w:rPr>
                <w:rFonts w:hint="default" w:ascii="Times New Roman" w:hAnsi="Times New Roman" w:eastAsia="宋体" w:cs="Times New Roman"/>
                <w:bCs/>
                <w:color w:val="auto"/>
                <w:sz w:val="24"/>
                <w:highlight w:val="none"/>
                <w:lang w:val="en-US" w:eastAsia="zh-CN"/>
              </w:rPr>
              <w:t>等</w:t>
            </w:r>
            <w:r>
              <w:rPr>
                <w:rFonts w:hint="default" w:ascii="Times New Roman" w:hAnsi="Times New Roman" w:eastAsia="宋体" w:cs="Times New Roman"/>
                <w:bCs/>
                <w:color w:val="auto"/>
                <w:sz w:val="24"/>
                <w:highlight w:val="none"/>
              </w:rPr>
              <w:t>。</w:t>
            </w:r>
            <w:r>
              <w:rPr>
                <w:rFonts w:hint="default" w:ascii="Times New Roman" w:hAnsi="Times New Roman" w:eastAsia="宋体" w:cs="Times New Roman"/>
                <w:bCs/>
                <w:color w:val="auto"/>
                <w:sz w:val="24"/>
                <w:highlight w:val="none"/>
                <w:lang w:val="en-US" w:eastAsia="zh-CN"/>
              </w:rPr>
              <w:t>本项目使用的原辅料和工艺与</w:t>
            </w:r>
            <w:r>
              <w:rPr>
                <w:rFonts w:hint="default" w:ascii="Times New Roman" w:hAnsi="Times New Roman" w:eastAsia="宋体" w:cs="Times New Roman"/>
                <w:bCs/>
                <w:color w:val="auto"/>
                <w:sz w:val="24"/>
                <w:highlight w:val="none"/>
              </w:rPr>
              <w:t>安吉梅园海绵有限公司的主要原料、主要生产设备和生产工艺相似，因此类比可行。</w:t>
            </w:r>
          </w:p>
          <w:p>
            <w:pPr>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403" w:firstLineChars="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cs="Times New Roman"/>
                <w:b/>
                <w:bCs/>
                <w:color w:val="auto"/>
                <w:lang w:val="en-US" w:eastAsia="zh-CN"/>
              </w:rPr>
              <w:t>非甲烷总烃</w:t>
            </w:r>
            <w:r>
              <w:rPr>
                <w:rFonts w:hint="default" w:ascii="Times New Roman" w:hAnsi="Times New Roman" w:eastAsia="宋体" w:cs="Times New Roman"/>
                <w:b/>
                <w:bCs/>
                <w:color w:val="auto"/>
                <w:kern w:val="2"/>
                <w:sz w:val="24"/>
                <w:szCs w:val="24"/>
                <w:u w:val="none"/>
                <w:shd w:val="clear" w:color="auto" w:fill="auto"/>
                <w:lang w:val="en-US" w:eastAsia="zh-CN" w:bidi="ar-SA"/>
              </w:rPr>
              <w:t>类比合理性分析</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4"/>
              <w:gridCol w:w="3866"/>
              <w:gridCol w:w="3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2"/>
                      <w:szCs w:val="22"/>
                      <w:highlight w:val="none"/>
                      <w:vertAlign w:val="baseline"/>
                      <w:lang w:val="en-US" w:eastAsia="zh-CN"/>
                    </w:rPr>
                  </w:pPr>
                  <w:r>
                    <w:rPr>
                      <w:rFonts w:hint="default" w:ascii="Times New Roman" w:hAnsi="Times New Roman" w:eastAsia="宋体" w:cs="Times New Roman"/>
                      <w:b/>
                      <w:bCs w:val="0"/>
                      <w:color w:val="auto"/>
                      <w:sz w:val="22"/>
                      <w:szCs w:val="22"/>
                      <w:highlight w:val="none"/>
                      <w:vertAlign w:val="baseline"/>
                      <w:lang w:val="en-US" w:eastAsia="zh-CN"/>
                    </w:rPr>
                    <w:t>类型</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2"/>
                      <w:szCs w:val="22"/>
                      <w:highlight w:val="none"/>
                      <w:vertAlign w:val="baseline"/>
                      <w:lang w:val="en-US" w:eastAsia="zh-CN"/>
                    </w:rPr>
                  </w:pPr>
                  <w:r>
                    <w:rPr>
                      <w:rFonts w:hint="default" w:ascii="Times New Roman" w:hAnsi="Times New Roman" w:eastAsia="宋体" w:cs="Times New Roman"/>
                      <w:b/>
                      <w:bCs w:val="0"/>
                      <w:color w:val="auto"/>
                      <w:sz w:val="22"/>
                      <w:szCs w:val="22"/>
                      <w:highlight w:val="none"/>
                      <w:vertAlign w:val="baseline"/>
                      <w:lang w:val="en-US" w:eastAsia="zh-CN"/>
                    </w:rPr>
                    <w:t>安吉梅园海绵有限公司年产2000吨聚氨酯海绵生产线技术改造项目</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2"/>
                      <w:szCs w:val="22"/>
                      <w:highlight w:val="none"/>
                      <w:vertAlign w:val="baseline"/>
                      <w:lang w:val="en-US" w:eastAsia="zh-CN"/>
                    </w:rPr>
                  </w:pPr>
                  <w:r>
                    <w:rPr>
                      <w:rFonts w:hint="default" w:ascii="Times New Roman" w:hAnsi="Times New Roman" w:eastAsia="宋体" w:cs="Times New Roman"/>
                      <w:b/>
                      <w:bCs w:val="0"/>
                      <w:color w:val="auto"/>
                      <w:sz w:val="22"/>
                      <w:szCs w:val="22"/>
                      <w:highlight w:val="none"/>
                      <w:vertAlign w:val="baseline"/>
                      <w:lang w:val="en-US" w:eastAsia="zh-CN"/>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生产产品</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聚氨酯海绵（发泡）</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聚氨酯高密度棉（发泡）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原辅料</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聚醚多元醇、聚酯多元醇、甲苯二异氰酸酯（TDI）、硅油、锡催化剂、胺催化剂、色浆、阻燃剂、水等</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聚醚多元醇、改性异氰酸酯、氢氧化铝、炭黑、硅油、活化粉、抗氧剂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生产设备</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发泡生产线、储罐、发泡模具等</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预搅拌、均质机（发泡）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发泡生产工艺</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原料→混合搅拌→注料→发泡→熟化→脱模→切割</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原料→预搅拌→混合发泡→流平→烘烤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废气收集方式</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包围型集气罩收集</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集气管收集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废气处理方式</w:t>
                  </w:r>
                </w:p>
              </w:tc>
              <w:tc>
                <w:tcPr>
                  <w:tcW w:w="209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过滤器+光催化氧化+活性炭吸附</w:t>
                  </w:r>
                </w:p>
              </w:tc>
              <w:tc>
                <w:tcPr>
                  <w:tcW w:w="20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二级活性炭吸附</w:t>
                  </w:r>
                </w:p>
              </w:tc>
            </w:tr>
          </w:tbl>
          <w:p>
            <w:pPr>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安吉梅园海绵有限公司委托杭州普洛赛斯检测科技有限公司</w:t>
            </w:r>
            <w:r>
              <w:rPr>
                <w:rFonts w:hint="default" w:ascii="Times New Roman" w:hAnsi="Times New Roman" w:eastAsia="宋体" w:cs="Times New Roman"/>
                <w:bCs/>
                <w:color w:val="auto"/>
                <w:sz w:val="24"/>
                <w:highlight w:val="none"/>
                <w:lang w:val="en-US" w:eastAsia="zh-CN"/>
              </w:rPr>
              <w:t>进行</w:t>
            </w:r>
            <w:r>
              <w:rPr>
                <w:rFonts w:hint="default" w:ascii="Times New Roman" w:hAnsi="Times New Roman" w:eastAsia="宋体" w:cs="Times New Roman"/>
                <w:bCs/>
                <w:color w:val="auto"/>
                <w:sz w:val="24"/>
                <w:highlight w:val="none"/>
              </w:rPr>
              <w:t>验收监测，出具</w:t>
            </w:r>
            <w:r>
              <w:rPr>
                <w:rFonts w:hint="default" w:ascii="Times New Roman" w:hAnsi="Times New Roman" w:eastAsia="宋体" w:cs="Times New Roman"/>
                <w:bCs/>
                <w:color w:val="auto"/>
                <w:sz w:val="24"/>
                <w:highlight w:val="none"/>
                <w:lang w:val="en-US" w:eastAsia="zh-CN"/>
              </w:rPr>
              <w:t>了</w:t>
            </w:r>
            <w:r>
              <w:rPr>
                <w:rFonts w:hint="default" w:ascii="Times New Roman" w:hAnsi="Times New Roman" w:eastAsia="宋体" w:cs="Times New Roman"/>
                <w:bCs/>
                <w:color w:val="auto"/>
                <w:sz w:val="24"/>
                <w:highlight w:val="none"/>
              </w:rPr>
              <w:t>《安吉梅园海绵有限公司年产2000吨聚氨酯海绵生产线技术改造项目竣工环境保护验收监测报告》（监测报告编号：普洛赛斯竣验第2018YS03028号），</w:t>
            </w:r>
            <w:r>
              <w:rPr>
                <w:rFonts w:hint="default" w:ascii="Times New Roman" w:hAnsi="Times New Roman" w:eastAsia="宋体" w:cs="Times New Roman"/>
                <w:bCs/>
                <w:color w:val="auto"/>
                <w:sz w:val="24"/>
                <w:highlight w:val="none"/>
                <w:lang w:val="en-US" w:eastAsia="zh-CN"/>
              </w:rPr>
              <w:t>发泡</w:t>
            </w:r>
            <w:r>
              <w:rPr>
                <w:rFonts w:hint="default" w:ascii="Times New Roman" w:hAnsi="Times New Roman" w:eastAsia="宋体" w:cs="Times New Roman"/>
                <w:bCs/>
                <w:color w:val="auto"/>
                <w:sz w:val="24"/>
                <w:highlight w:val="none"/>
              </w:rPr>
              <w:t>废气处理设施处理前检测结果见下表：</w:t>
            </w:r>
          </w:p>
          <w:p>
            <w:pPr>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403" w:firstLineChars="0"/>
              <w:jc w:val="center"/>
              <w:textAlignment w:val="auto"/>
              <w:rPr>
                <w:rFonts w:hint="default" w:ascii="Times New Roman" w:hAnsi="Times New Roman" w:eastAsia="宋体" w:cs="Times New Roman"/>
                <w:b/>
                <w:bCs/>
                <w:color w:val="auto"/>
                <w:kern w:val="2"/>
                <w:sz w:val="24"/>
                <w:szCs w:val="24"/>
                <w:u w:val="none"/>
                <w:shd w:val="clear" w:color="auto" w:fill="auto"/>
                <w:lang w:val="en-US" w:eastAsia="zh-CN" w:bidi="ar-SA"/>
              </w:rPr>
            </w:pPr>
            <w:r>
              <w:rPr>
                <w:rFonts w:hint="default" w:ascii="Times New Roman" w:hAnsi="Times New Roman" w:eastAsia="宋体" w:cs="Times New Roman"/>
                <w:b/>
                <w:bCs/>
                <w:color w:val="auto"/>
                <w:kern w:val="2"/>
                <w:sz w:val="24"/>
                <w:szCs w:val="24"/>
                <w:u w:val="none"/>
                <w:shd w:val="clear" w:color="auto" w:fill="auto"/>
                <w:lang w:val="en-US" w:eastAsia="zh-CN" w:bidi="ar-SA"/>
              </w:rPr>
              <w:t>安吉梅园海绵有限公司发泡工序非甲烷总烃废气监测结果</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9"/>
              <w:gridCol w:w="1561"/>
              <w:gridCol w:w="2347"/>
              <w:gridCol w:w="31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2065" w:type="pct"/>
                  <w:gridSpan w:val="2"/>
                  <w:vMerge w:val="restart"/>
                  <w:noWrap w:val="0"/>
                  <w:vAlign w:val="center"/>
                </w:tcPr>
                <w:p>
                  <w:pPr>
                    <w:widowControl w:val="0"/>
                    <w:autoSpaceDE w:val="0"/>
                    <w:autoSpaceDN w:val="0"/>
                    <w:spacing w:before="69"/>
                    <w:ind w:left="0"/>
                    <w:jc w:val="center"/>
                    <w:rPr>
                      <w:rFonts w:hint="default" w:ascii="Times New Roman" w:hAnsi="Times New Roman" w:eastAsia="宋体" w:cs="Times New Roman"/>
                      <w:b/>
                      <w:bCs/>
                      <w:color w:val="auto"/>
                      <w:kern w:val="0"/>
                      <w:sz w:val="21"/>
                      <w:szCs w:val="21"/>
                      <w:highlight w:val="none"/>
                      <w:lang w:val="en-US" w:eastAsia="en-US" w:bidi="ar-SA"/>
                    </w:rPr>
                  </w:pPr>
                  <w:r>
                    <w:rPr>
                      <w:rFonts w:hint="default" w:ascii="Times New Roman" w:hAnsi="Times New Roman" w:eastAsia="宋体" w:cs="Times New Roman"/>
                      <w:b/>
                      <w:bCs/>
                      <w:color w:val="auto"/>
                      <w:kern w:val="0"/>
                      <w:sz w:val="21"/>
                      <w:szCs w:val="21"/>
                      <w:highlight w:val="none"/>
                      <w:lang w:val="en-US" w:eastAsia="en-US" w:bidi="ar-SA"/>
                    </w:rPr>
                    <w:t>监测点位及时间</w:t>
                  </w:r>
                </w:p>
              </w:tc>
              <w:tc>
                <w:tcPr>
                  <w:tcW w:w="5514" w:type="dxa"/>
                  <w:gridSpan w:val="2"/>
                  <w:noWrap w:val="0"/>
                  <w:vAlign w:val="center"/>
                </w:tcPr>
                <w:p>
                  <w:pPr>
                    <w:widowControl w:val="0"/>
                    <w:autoSpaceDE w:val="0"/>
                    <w:autoSpaceDN w:val="0"/>
                    <w:spacing w:before="1" w:line="252" w:lineRule="exact"/>
                    <w:ind w:left="1592" w:right="1579"/>
                    <w:jc w:val="center"/>
                    <w:rPr>
                      <w:rFonts w:hint="default" w:ascii="Times New Roman" w:hAnsi="Times New Roman" w:eastAsia="宋体" w:cs="Times New Roman"/>
                      <w:b/>
                      <w:bCs/>
                      <w:color w:val="auto"/>
                      <w:kern w:val="0"/>
                      <w:sz w:val="21"/>
                      <w:szCs w:val="21"/>
                      <w:highlight w:val="none"/>
                      <w:lang w:val="en-US" w:eastAsia="en-US" w:bidi="ar-SA"/>
                    </w:rPr>
                  </w:pPr>
                  <w:r>
                    <w:rPr>
                      <w:rFonts w:hint="default" w:ascii="Times New Roman" w:hAnsi="Times New Roman" w:eastAsia="宋体" w:cs="Times New Roman"/>
                      <w:b/>
                      <w:bCs/>
                      <w:color w:val="auto"/>
                      <w:kern w:val="0"/>
                      <w:sz w:val="21"/>
                      <w:szCs w:val="21"/>
                      <w:highlight w:val="none"/>
                      <w:lang w:val="en-US" w:eastAsia="en-US" w:bidi="ar-SA"/>
                    </w:rPr>
                    <w:t>监测项目及数据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 w:hRule="atLeast"/>
                <w:jc w:val="center"/>
              </w:trPr>
              <w:tc>
                <w:tcPr>
                  <w:tcW w:w="2065" w:type="pct"/>
                  <w:gridSpan w:val="2"/>
                  <w:vMerge w:val="continue"/>
                  <w:tcBorders>
                    <w:top w:val="nil"/>
                  </w:tcBorders>
                  <w:noWrap w:val="0"/>
                  <w:vAlign w:val="center"/>
                </w:tcPr>
                <w:p>
                  <w:pPr>
                    <w:jc w:val="center"/>
                    <w:rPr>
                      <w:rFonts w:hint="default" w:ascii="Times New Roman" w:hAnsi="Times New Roman" w:eastAsia="宋体" w:cs="Times New Roman"/>
                      <w:b/>
                      <w:bCs/>
                      <w:color w:val="auto"/>
                      <w:sz w:val="21"/>
                      <w:szCs w:val="21"/>
                      <w:highlight w:val="none"/>
                    </w:rPr>
                  </w:pPr>
                </w:p>
              </w:tc>
              <w:tc>
                <w:tcPr>
                  <w:tcW w:w="5514" w:type="dxa"/>
                  <w:gridSpan w:val="2"/>
                  <w:noWrap w:val="0"/>
                  <w:vAlign w:val="center"/>
                </w:tcPr>
                <w:p>
                  <w:pPr>
                    <w:widowControl w:val="0"/>
                    <w:autoSpaceDE w:val="0"/>
                    <w:autoSpaceDN w:val="0"/>
                    <w:spacing w:before="1" w:line="250" w:lineRule="exact"/>
                    <w:ind w:left="1590" w:right="1579"/>
                    <w:jc w:val="center"/>
                    <w:rPr>
                      <w:rFonts w:hint="default" w:ascii="Times New Roman" w:hAnsi="Times New Roman" w:eastAsia="宋体" w:cs="Times New Roman"/>
                      <w:b/>
                      <w:bCs/>
                      <w:color w:val="auto"/>
                      <w:kern w:val="0"/>
                      <w:sz w:val="21"/>
                      <w:szCs w:val="21"/>
                      <w:highlight w:val="none"/>
                      <w:lang w:val="en-US" w:eastAsia="en-US" w:bidi="ar-SA"/>
                    </w:rPr>
                  </w:pPr>
                  <w:r>
                    <w:rPr>
                      <w:rFonts w:hint="default" w:ascii="Times New Roman" w:hAnsi="Times New Roman" w:eastAsia="宋体" w:cs="Times New Roman"/>
                      <w:b/>
                      <w:bCs/>
                      <w:color w:val="auto"/>
                      <w:kern w:val="0"/>
                      <w:sz w:val="21"/>
                      <w:szCs w:val="21"/>
                      <w:highlight w:val="none"/>
                      <w:lang w:val="en-US" w:eastAsia="en-US" w:bidi="ar-SA"/>
                    </w:rPr>
                    <w:t>非甲烷总烃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exact"/>
                <w:jc w:val="center"/>
              </w:trPr>
              <w:tc>
                <w:tcPr>
                  <w:tcW w:w="2065" w:type="pct"/>
                  <w:gridSpan w:val="2"/>
                  <w:vMerge w:val="continue"/>
                  <w:tcBorders>
                    <w:top w:val="nil"/>
                  </w:tcBorders>
                  <w:noWrap w:val="0"/>
                  <w:vAlign w:val="center"/>
                </w:tcPr>
                <w:p>
                  <w:pPr>
                    <w:jc w:val="center"/>
                    <w:rPr>
                      <w:rFonts w:hint="default" w:ascii="Times New Roman" w:hAnsi="Times New Roman" w:eastAsia="宋体" w:cs="Times New Roman"/>
                      <w:b/>
                      <w:bCs/>
                      <w:color w:val="auto"/>
                      <w:sz w:val="21"/>
                      <w:szCs w:val="21"/>
                      <w:highlight w:val="none"/>
                    </w:rPr>
                  </w:pPr>
                </w:p>
              </w:tc>
              <w:tc>
                <w:tcPr>
                  <w:tcW w:w="2347" w:type="dxa"/>
                  <w:noWrap w:val="0"/>
                  <w:vAlign w:val="center"/>
                </w:tcPr>
                <w:p>
                  <w:pPr>
                    <w:widowControl w:val="0"/>
                    <w:autoSpaceDE w:val="0"/>
                    <w:autoSpaceDN w:val="0"/>
                    <w:spacing w:before="3" w:line="250" w:lineRule="exact"/>
                    <w:ind w:left="89" w:right="65"/>
                    <w:jc w:val="center"/>
                    <w:rPr>
                      <w:rFonts w:hint="default" w:ascii="Times New Roman" w:hAnsi="Times New Roman" w:eastAsia="宋体" w:cs="Times New Roman"/>
                      <w:b/>
                      <w:bCs/>
                      <w:color w:val="auto"/>
                      <w:kern w:val="0"/>
                      <w:sz w:val="21"/>
                      <w:szCs w:val="21"/>
                      <w:highlight w:val="none"/>
                      <w:lang w:val="en-US" w:eastAsia="en-US" w:bidi="ar-SA"/>
                    </w:rPr>
                  </w:pPr>
                  <w:r>
                    <w:rPr>
                      <w:rFonts w:hint="default" w:ascii="Times New Roman" w:hAnsi="Times New Roman" w:eastAsia="宋体" w:cs="Times New Roman"/>
                      <w:b/>
                      <w:bCs/>
                      <w:color w:val="auto"/>
                      <w:kern w:val="0"/>
                      <w:sz w:val="21"/>
                      <w:szCs w:val="21"/>
                      <w:highlight w:val="none"/>
                      <w:lang w:val="en-US" w:eastAsia="en-US" w:bidi="ar-SA"/>
                    </w:rPr>
                    <w:t>浓度（mg/m</w:t>
                  </w:r>
                  <w:r>
                    <w:rPr>
                      <w:rFonts w:hint="default" w:ascii="Times New Roman" w:hAnsi="Times New Roman" w:eastAsia="宋体" w:cs="Times New Roman"/>
                      <w:b/>
                      <w:bCs/>
                      <w:color w:val="auto"/>
                      <w:kern w:val="0"/>
                      <w:sz w:val="21"/>
                      <w:szCs w:val="21"/>
                      <w:highlight w:val="none"/>
                      <w:vertAlign w:val="superscript"/>
                      <w:lang w:val="en-US" w:eastAsia="zh-CN" w:bidi="ar-SA"/>
                    </w:rPr>
                    <w:t>3</w:t>
                  </w:r>
                  <w:r>
                    <w:rPr>
                      <w:rFonts w:hint="default" w:ascii="Times New Roman" w:hAnsi="Times New Roman" w:eastAsia="宋体" w:cs="Times New Roman"/>
                      <w:b/>
                      <w:bCs/>
                      <w:color w:val="auto"/>
                      <w:kern w:val="0"/>
                      <w:sz w:val="21"/>
                      <w:szCs w:val="21"/>
                      <w:highlight w:val="none"/>
                      <w:lang w:val="en-US" w:eastAsia="en-US" w:bidi="ar-SA"/>
                    </w:rPr>
                    <w:t>）</w:t>
                  </w:r>
                </w:p>
              </w:tc>
              <w:tc>
                <w:tcPr>
                  <w:tcW w:w="3167" w:type="dxa"/>
                  <w:noWrap w:val="0"/>
                  <w:vAlign w:val="center"/>
                </w:tcPr>
                <w:p>
                  <w:pPr>
                    <w:widowControl w:val="0"/>
                    <w:autoSpaceDE w:val="0"/>
                    <w:autoSpaceDN w:val="0"/>
                    <w:spacing w:before="3" w:line="250" w:lineRule="exact"/>
                    <w:ind w:left="497" w:right="483"/>
                    <w:jc w:val="center"/>
                    <w:rPr>
                      <w:rFonts w:hint="default" w:ascii="Times New Roman" w:hAnsi="Times New Roman" w:eastAsia="宋体" w:cs="Times New Roman"/>
                      <w:b/>
                      <w:bCs/>
                      <w:color w:val="auto"/>
                      <w:kern w:val="0"/>
                      <w:sz w:val="21"/>
                      <w:szCs w:val="21"/>
                      <w:highlight w:val="none"/>
                      <w:lang w:val="en-US" w:eastAsia="en-US" w:bidi="ar-SA"/>
                    </w:rPr>
                  </w:pPr>
                  <w:r>
                    <w:rPr>
                      <w:rFonts w:hint="default" w:ascii="Times New Roman" w:hAnsi="Times New Roman" w:eastAsia="宋体" w:cs="Times New Roman"/>
                      <w:b/>
                      <w:bCs/>
                      <w:color w:val="auto"/>
                      <w:kern w:val="0"/>
                      <w:sz w:val="21"/>
                      <w:szCs w:val="21"/>
                      <w:highlight w:val="none"/>
                      <w:lang w:val="en-US" w:eastAsia="en-US" w:bidi="ar-SA"/>
                    </w:rPr>
                    <w:t>速率（kg/h）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34" w:type="pct"/>
                  <w:vMerge w:val="restart"/>
                  <w:noWrap w:val="0"/>
                  <w:vAlign w:val="center"/>
                </w:tcPr>
                <w:p>
                  <w:pPr>
                    <w:widowControl w:val="0"/>
                    <w:autoSpaceDE w:val="0"/>
                    <w:autoSpaceDN w:val="0"/>
                    <w:spacing w:before="4" w:line="250" w:lineRule="exact"/>
                    <w:ind w:left="162" w:right="148"/>
                    <w:jc w:val="center"/>
                    <w:rPr>
                      <w:rFonts w:hint="default" w:ascii="Times New Roman" w:hAnsi="Times New Roman" w:eastAsia="宋体" w:cs="Times New Roman"/>
                      <w:color w:val="auto"/>
                      <w:kern w:val="0"/>
                      <w:sz w:val="21"/>
                      <w:szCs w:val="21"/>
                      <w:highlight w:val="none"/>
                      <w:lang w:val="en-US" w:eastAsia="en-US" w:bidi="ar-SA"/>
                    </w:rPr>
                  </w:pPr>
                  <w:r>
                    <w:rPr>
                      <w:rFonts w:hint="default" w:ascii="Times New Roman" w:hAnsi="Times New Roman" w:eastAsia="宋体" w:cs="Times New Roman"/>
                      <w:color w:val="auto"/>
                      <w:kern w:val="0"/>
                      <w:sz w:val="21"/>
                      <w:szCs w:val="21"/>
                      <w:highlight w:val="none"/>
                      <w:lang w:val="en-US" w:eastAsia="zh-CN" w:bidi="ar-SA"/>
                    </w:rPr>
                    <w:t>发泡车间废气进口（2018年3月24日）</w:t>
                  </w:r>
                </w:p>
              </w:tc>
              <w:tc>
                <w:tcPr>
                  <w:tcW w:w="830" w:type="pct"/>
                  <w:noWrap w:val="0"/>
                  <w:vAlign w:val="center"/>
                </w:tcPr>
                <w:p>
                  <w:pPr>
                    <w:widowControl w:val="0"/>
                    <w:autoSpaceDE w:val="0"/>
                    <w:autoSpaceDN w:val="0"/>
                    <w:spacing w:before="4" w:line="250" w:lineRule="exact"/>
                    <w:ind w:left="162" w:right="148"/>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第一次</w:t>
                  </w:r>
                </w:p>
              </w:tc>
              <w:tc>
                <w:tcPr>
                  <w:tcW w:w="2347" w:type="dxa"/>
                  <w:noWrap w:val="0"/>
                  <w:vAlign w:val="center"/>
                </w:tcPr>
                <w:p>
                  <w:pPr>
                    <w:widowControl/>
                    <w:wordWrap w:val="0"/>
                    <w:spacing w:line="36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27.5</w:t>
                  </w:r>
                </w:p>
              </w:tc>
              <w:tc>
                <w:tcPr>
                  <w:tcW w:w="3167" w:type="dxa"/>
                  <w:noWrap w:val="0"/>
                  <w:vAlign w:val="center"/>
                </w:tcPr>
                <w:p>
                  <w:pPr>
                    <w:widowControl/>
                    <w:wordWrap w:val="0"/>
                    <w:spacing w:line="36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0.171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34" w:type="pct"/>
                  <w:vMerge w:val="continue"/>
                  <w:noWrap w:val="0"/>
                  <w:vAlign w:val="center"/>
                </w:tcPr>
                <w:p>
                  <w:pPr>
                    <w:widowControl w:val="0"/>
                    <w:autoSpaceDE w:val="0"/>
                    <w:autoSpaceDN w:val="0"/>
                    <w:spacing w:before="4" w:line="250" w:lineRule="exact"/>
                    <w:ind w:left="162" w:right="148"/>
                    <w:jc w:val="center"/>
                    <w:rPr>
                      <w:rFonts w:hint="default" w:ascii="Times New Roman" w:hAnsi="Times New Roman" w:eastAsia="宋体" w:cs="Times New Roman"/>
                      <w:color w:val="auto"/>
                      <w:kern w:val="0"/>
                      <w:sz w:val="21"/>
                      <w:szCs w:val="21"/>
                      <w:highlight w:val="none"/>
                      <w:lang w:val="en-US" w:eastAsia="en-US" w:bidi="ar-SA"/>
                    </w:rPr>
                  </w:pPr>
                </w:p>
              </w:tc>
              <w:tc>
                <w:tcPr>
                  <w:tcW w:w="830" w:type="pct"/>
                  <w:noWrap w:val="0"/>
                  <w:vAlign w:val="center"/>
                </w:tcPr>
                <w:p>
                  <w:pPr>
                    <w:widowControl w:val="0"/>
                    <w:autoSpaceDE w:val="0"/>
                    <w:autoSpaceDN w:val="0"/>
                    <w:spacing w:before="4" w:line="250" w:lineRule="exact"/>
                    <w:ind w:left="162" w:right="148"/>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第二次</w:t>
                  </w:r>
                </w:p>
              </w:tc>
              <w:tc>
                <w:tcPr>
                  <w:tcW w:w="2347" w:type="dxa"/>
                  <w:noWrap w:val="0"/>
                  <w:vAlign w:val="center"/>
                </w:tcPr>
                <w:p>
                  <w:pPr>
                    <w:widowControl/>
                    <w:wordWrap w:val="0"/>
                    <w:spacing w:line="36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23.2</w:t>
                  </w:r>
                </w:p>
              </w:tc>
              <w:tc>
                <w:tcPr>
                  <w:tcW w:w="3167" w:type="dxa"/>
                  <w:noWrap w:val="0"/>
                  <w:vAlign w:val="center"/>
                </w:tcPr>
                <w:p>
                  <w:pPr>
                    <w:widowControl/>
                    <w:wordWrap w:val="0"/>
                    <w:spacing w:line="36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0.133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234" w:type="pct"/>
                  <w:vMerge w:val="continue"/>
                  <w:noWrap w:val="0"/>
                  <w:vAlign w:val="center"/>
                </w:tcPr>
                <w:p>
                  <w:pPr>
                    <w:widowControl w:val="0"/>
                    <w:autoSpaceDE w:val="0"/>
                    <w:autoSpaceDN w:val="0"/>
                    <w:spacing w:before="4" w:line="250" w:lineRule="exact"/>
                    <w:ind w:left="162" w:right="148"/>
                    <w:jc w:val="center"/>
                    <w:rPr>
                      <w:rFonts w:hint="default" w:ascii="Times New Roman" w:hAnsi="Times New Roman" w:eastAsia="宋体" w:cs="Times New Roman"/>
                      <w:color w:val="auto"/>
                      <w:kern w:val="0"/>
                      <w:sz w:val="21"/>
                      <w:szCs w:val="21"/>
                      <w:highlight w:val="none"/>
                      <w:lang w:val="en-US" w:eastAsia="en-US" w:bidi="ar-SA"/>
                    </w:rPr>
                  </w:pPr>
                </w:p>
              </w:tc>
              <w:tc>
                <w:tcPr>
                  <w:tcW w:w="830" w:type="pct"/>
                  <w:noWrap w:val="0"/>
                  <w:vAlign w:val="center"/>
                </w:tcPr>
                <w:p>
                  <w:pPr>
                    <w:widowControl w:val="0"/>
                    <w:autoSpaceDE w:val="0"/>
                    <w:autoSpaceDN w:val="0"/>
                    <w:spacing w:before="4" w:line="250" w:lineRule="exact"/>
                    <w:ind w:left="162" w:right="148"/>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第三次</w:t>
                  </w:r>
                </w:p>
              </w:tc>
              <w:tc>
                <w:tcPr>
                  <w:tcW w:w="2347" w:type="dxa"/>
                  <w:noWrap w:val="0"/>
                  <w:vAlign w:val="center"/>
                </w:tcPr>
                <w:p>
                  <w:pPr>
                    <w:widowControl/>
                    <w:wordWrap w:val="0"/>
                    <w:spacing w:line="36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28.0</w:t>
                  </w:r>
                </w:p>
              </w:tc>
              <w:tc>
                <w:tcPr>
                  <w:tcW w:w="3167" w:type="dxa"/>
                  <w:noWrap w:val="0"/>
                  <w:vAlign w:val="center"/>
                </w:tcPr>
                <w:p>
                  <w:pPr>
                    <w:widowControl/>
                    <w:wordWrap w:val="0"/>
                    <w:spacing w:line="36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0.178</w:t>
                  </w:r>
                </w:p>
              </w:tc>
            </w:tr>
          </w:tbl>
          <w:p>
            <w:pPr>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rPr>
              <w:t>安吉梅园海绵有限公司工作制度</w:t>
            </w:r>
            <w:r>
              <w:rPr>
                <w:rFonts w:hint="default" w:ascii="Times New Roman" w:hAnsi="Times New Roman" w:eastAsia="宋体" w:cs="Times New Roman"/>
                <w:bCs/>
                <w:color w:val="auto"/>
                <w:sz w:val="24"/>
                <w:highlight w:val="none"/>
                <w:lang w:val="en-US" w:eastAsia="zh-CN"/>
              </w:rPr>
              <w:t>为</w:t>
            </w:r>
            <w:r>
              <w:rPr>
                <w:rFonts w:hint="default" w:ascii="Times New Roman" w:hAnsi="Times New Roman" w:eastAsia="宋体" w:cs="Times New Roman"/>
                <w:bCs/>
                <w:color w:val="auto"/>
                <w:sz w:val="24"/>
                <w:highlight w:val="none"/>
              </w:rPr>
              <w:t>1班制</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lang w:val="en-US" w:eastAsia="zh-CN"/>
              </w:rPr>
              <w:t>每班</w:t>
            </w:r>
            <w:r>
              <w:rPr>
                <w:rFonts w:hint="default" w:ascii="Times New Roman" w:hAnsi="Times New Roman" w:eastAsia="宋体" w:cs="Times New Roman"/>
                <w:bCs/>
                <w:color w:val="auto"/>
                <w:sz w:val="24"/>
                <w:highlight w:val="none"/>
              </w:rPr>
              <w:t>8小时，年工作300天，年产聚氨酯软质泡沫材料2000</w:t>
            </w:r>
            <w:r>
              <w:rPr>
                <w:rFonts w:hint="default" w:ascii="Times New Roman" w:hAnsi="Times New Roman" w:eastAsia="宋体" w:cs="Times New Roman"/>
                <w:bCs/>
                <w:color w:val="auto"/>
                <w:sz w:val="24"/>
                <w:highlight w:val="none"/>
                <w:lang w:val="en-US" w:eastAsia="zh-CN"/>
              </w:rPr>
              <w:t>t。</w:t>
            </w:r>
            <w:r>
              <w:rPr>
                <w:rFonts w:hint="default" w:ascii="Times New Roman" w:hAnsi="Times New Roman" w:eastAsia="宋体" w:cs="Times New Roman"/>
                <w:bCs/>
                <w:color w:val="auto"/>
                <w:sz w:val="24"/>
                <w:highlight w:val="none"/>
              </w:rPr>
              <w:t>由上表知，100%工况</w:t>
            </w:r>
            <w:r>
              <w:rPr>
                <w:rFonts w:hint="default" w:ascii="Times New Roman" w:hAnsi="Times New Roman" w:eastAsia="宋体" w:cs="Times New Roman"/>
                <w:bCs/>
                <w:color w:val="auto"/>
                <w:sz w:val="24"/>
                <w:highlight w:val="none"/>
                <w:lang w:val="en-US" w:eastAsia="zh-CN"/>
              </w:rPr>
              <w:t>下</w:t>
            </w:r>
            <w:r>
              <w:rPr>
                <w:rFonts w:hint="default" w:ascii="Times New Roman" w:hAnsi="Times New Roman" w:eastAsia="宋体" w:cs="Times New Roman"/>
                <w:bCs/>
                <w:color w:val="auto"/>
                <w:sz w:val="24"/>
                <w:highlight w:val="none"/>
              </w:rPr>
              <w:t>在生产过程中处理前</w:t>
            </w:r>
            <w:r>
              <w:rPr>
                <w:rFonts w:hint="default" w:ascii="Times New Roman" w:hAnsi="Times New Roman" w:eastAsia="宋体" w:cs="Times New Roman"/>
                <w:bCs/>
                <w:color w:val="auto"/>
                <w:sz w:val="24"/>
                <w:highlight w:val="none"/>
                <w:lang w:val="en-US" w:eastAsia="zh-CN"/>
              </w:rPr>
              <w:t>废气中的非甲烷总烃</w:t>
            </w:r>
            <w:r>
              <w:rPr>
                <w:rFonts w:hint="default" w:ascii="Times New Roman" w:hAnsi="Times New Roman" w:eastAsia="宋体" w:cs="Times New Roman"/>
                <w:bCs/>
                <w:color w:val="auto"/>
                <w:sz w:val="24"/>
                <w:highlight w:val="none"/>
              </w:rPr>
              <w:t>最大速率</w:t>
            </w:r>
            <w:r>
              <w:rPr>
                <w:rFonts w:hint="default" w:ascii="Times New Roman" w:hAnsi="Times New Roman" w:eastAsia="宋体" w:cs="Times New Roman"/>
                <w:bCs/>
                <w:color w:val="auto"/>
                <w:sz w:val="24"/>
                <w:highlight w:val="none"/>
                <w:lang w:val="en-US" w:eastAsia="zh-CN"/>
              </w:rPr>
              <w:t>为0.178</w:t>
            </w:r>
            <w:r>
              <w:rPr>
                <w:rFonts w:hint="default" w:ascii="Times New Roman" w:hAnsi="Times New Roman" w:eastAsia="宋体" w:cs="Times New Roman"/>
                <w:bCs/>
                <w:color w:val="auto"/>
                <w:sz w:val="24"/>
                <w:highlight w:val="none"/>
              </w:rPr>
              <w:t>kg/h，处理前非甲烷总烃废气收集量</w:t>
            </w:r>
            <w:r>
              <w:rPr>
                <w:rFonts w:hint="default" w:ascii="Times New Roman" w:hAnsi="Times New Roman" w:eastAsia="宋体" w:cs="Times New Roman"/>
                <w:bCs/>
                <w:color w:val="auto"/>
                <w:sz w:val="24"/>
                <w:highlight w:val="none"/>
                <w:lang w:val="en-US" w:eastAsia="zh-CN"/>
              </w:rPr>
              <w:t>为0.178kg/h</w:t>
            </w:r>
            <w:r>
              <w:rPr>
                <w:rFonts w:hint="default" w:ascii="Times New Roman" w:hAnsi="Times New Roman" w:eastAsia="宋体" w:cs="Times New Roman"/>
                <w:bCs/>
                <w:color w:val="auto"/>
                <w:sz w:val="24"/>
                <w:highlight w:val="none"/>
              </w:rPr>
              <w:t>×8</w:t>
            </w:r>
            <w:r>
              <w:rPr>
                <w:rFonts w:hint="default" w:ascii="Times New Roman" w:hAnsi="Times New Roman" w:eastAsia="宋体" w:cs="Times New Roman"/>
                <w:bCs/>
                <w:color w:val="auto"/>
                <w:sz w:val="24"/>
                <w:highlight w:val="none"/>
                <w:lang w:val="en-US" w:eastAsia="zh-CN"/>
              </w:rPr>
              <w:t>h</w:t>
            </w:r>
            <w:r>
              <w:rPr>
                <w:rFonts w:hint="default" w:ascii="Times New Roman" w:hAnsi="Times New Roman" w:eastAsia="宋体" w:cs="Times New Roman"/>
                <w:bCs/>
                <w:color w:val="auto"/>
                <w:sz w:val="24"/>
                <w:highlight w:val="none"/>
              </w:rPr>
              <w:t>×300</w:t>
            </w:r>
            <w:r>
              <w:rPr>
                <w:rFonts w:hint="default" w:ascii="Times New Roman" w:hAnsi="Times New Roman" w:eastAsia="宋体" w:cs="Times New Roman"/>
                <w:bCs/>
                <w:color w:val="auto"/>
                <w:sz w:val="24"/>
                <w:highlight w:val="none"/>
                <w:lang w:val="en-US" w:eastAsia="zh-CN"/>
              </w:rPr>
              <w:t>d</w:t>
            </w:r>
            <w:r>
              <w:rPr>
                <w:rFonts w:hint="default" w:ascii="Times New Roman" w:hAnsi="Times New Roman" w:eastAsia="宋体" w:cs="Times New Roman"/>
                <w:bCs/>
                <w:color w:val="auto"/>
                <w:sz w:val="24"/>
                <w:highlight w:val="none"/>
              </w:rPr>
              <w:t>÷1000</w:t>
            </w:r>
            <w:r>
              <w:rPr>
                <w:rFonts w:hint="default" w:ascii="Times New Roman" w:hAnsi="Times New Roman" w:eastAsia="宋体" w:cs="Times New Roman"/>
                <w:bCs/>
                <w:color w:val="auto"/>
                <w:sz w:val="24"/>
                <w:highlight w:val="none"/>
                <w:lang w:val="en-US" w:eastAsia="zh-CN"/>
              </w:rPr>
              <w:t>=0.4272</w:t>
            </w:r>
            <w:r>
              <w:rPr>
                <w:rFonts w:hint="default" w:ascii="Times New Roman" w:hAnsi="Times New Roman" w:eastAsia="宋体" w:cs="Times New Roman"/>
                <w:bCs/>
                <w:color w:val="auto"/>
                <w:sz w:val="24"/>
                <w:highlight w:val="none"/>
              </w:rPr>
              <w:t>t/a。废气收集效率</w:t>
            </w:r>
            <w:r>
              <w:rPr>
                <w:rFonts w:hint="default" w:ascii="Times New Roman" w:hAnsi="Times New Roman" w:eastAsia="宋体" w:cs="Times New Roman"/>
                <w:bCs/>
                <w:color w:val="auto"/>
                <w:sz w:val="24"/>
                <w:highlight w:val="none"/>
                <w:lang w:val="en-US" w:eastAsia="zh-CN"/>
              </w:rPr>
              <w:t>为8</w:t>
            </w:r>
            <w:r>
              <w:rPr>
                <w:rFonts w:hint="default" w:ascii="Times New Roman" w:hAnsi="Times New Roman" w:eastAsia="宋体" w:cs="Times New Roman"/>
                <w:bCs/>
                <w:color w:val="auto"/>
                <w:sz w:val="24"/>
                <w:highlight w:val="none"/>
              </w:rPr>
              <w:t>0%</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lang w:val="en-US" w:eastAsia="zh-CN"/>
              </w:rPr>
              <w:t>则非甲烷总烃总</w:t>
            </w:r>
            <w:r>
              <w:rPr>
                <w:rFonts w:hint="default" w:ascii="Times New Roman" w:hAnsi="Times New Roman" w:eastAsia="宋体" w:cs="Times New Roman"/>
                <w:bCs/>
                <w:color w:val="auto"/>
                <w:sz w:val="24"/>
                <w:highlight w:val="none"/>
              </w:rPr>
              <w:t>产生量</w:t>
            </w:r>
            <w:r>
              <w:rPr>
                <w:rFonts w:hint="default" w:ascii="Times New Roman" w:hAnsi="Times New Roman" w:eastAsia="宋体" w:cs="Times New Roman"/>
                <w:bCs/>
                <w:color w:val="auto"/>
                <w:sz w:val="24"/>
                <w:highlight w:val="none"/>
                <w:lang w:val="en-US" w:eastAsia="zh-CN"/>
              </w:rPr>
              <w:t>为0.4272</w:t>
            </w:r>
            <w:r>
              <w:rPr>
                <w:rFonts w:hint="default" w:ascii="Times New Roman" w:hAnsi="Times New Roman" w:eastAsia="宋体" w:cs="Times New Roman"/>
                <w:bCs/>
                <w:color w:val="auto"/>
                <w:sz w:val="24"/>
                <w:highlight w:val="none"/>
              </w:rPr>
              <w:t>t/a÷</w:t>
            </w:r>
            <w:r>
              <w:rPr>
                <w:rFonts w:hint="default" w:ascii="Times New Roman" w:hAnsi="Times New Roman" w:eastAsia="宋体" w:cs="Times New Roman"/>
                <w:bCs/>
                <w:color w:val="auto"/>
                <w:sz w:val="24"/>
                <w:highlight w:val="none"/>
                <w:lang w:val="en-US" w:eastAsia="zh-CN"/>
              </w:rPr>
              <w:t>8</w:t>
            </w:r>
            <w:r>
              <w:rPr>
                <w:rFonts w:hint="default" w:ascii="Times New Roman" w:hAnsi="Times New Roman" w:eastAsia="宋体" w:cs="Times New Roman"/>
                <w:bCs/>
                <w:color w:val="auto"/>
                <w:sz w:val="24"/>
                <w:highlight w:val="none"/>
              </w:rPr>
              <w:t>0%</w:t>
            </w:r>
            <w:r>
              <w:rPr>
                <w:rFonts w:hint="default" w:ascii="Times New Roman" w:hAnsi="Times New Roman" w:eastAsia="宋体" w:cs="Times New Roman"/>
                <w:bCs/>
                <w:color w:val="auto"/>
                <w:sz w:val="24"/>
                <w:highlight w:val="none"/>
                <w:lang w:val="en-US" w:eastAsia="zh-CN"/>
              </w:rPr>
              <w:t>=0.534</w:t>
            </w:r>
            <w:r>
              <w:rPr>
                <w:rFonts w:hint="default" w:ascii="Times New Roman" w:hAnsi="Times New Roman" w:eastAsia="宋体" w:cs="Times New Roman"/>
                <w:bCs/>
                <w:color w:val="auto"/>
                <w:sz w:val="24"/>
                <w:highlight w:val="none"/>
              </w:rPr>
              <w:t>t/a</w:t>
            </w:r>
            <w:r>
              <w:rPr>
                <w:rFonts w:hint="default" w:ascii="Times New Roman" w:hAnsi="Times New Roman" w:eastAsia="宋体" w:cs="Times New Roman"/>
                <w:bCs/>
                <w:color w:val="auto"/>
                <w:sz w:val="24"/>
                <w:highlight w:val="none"/>
                <w:lang w:eastAsia="zh-CN"/>
              </w:rPr>
              <w:t>，</w:t>
            </w:r>
            <w:r>
              <w:rPr>
                <w:rFonts w:hint="default" w:ascii="Times New Roman" w:hAnsi="Times New Roman" w:eastAsia="宋体" w:cs="Times New Roman"/>
                <w:bCs/>
                <w:color w:val="auto"/>
                <w:sz w:val="24"/>
                <w:highlight w:val="none"/>
                <w:lang w:val="en-US" w:eastAsia="zh-CN"/>
              </w:rPr>
              <w:t>则每吨产品产生的非甲烷总烃量为0.534</w:t>
            </w:r>
            <w:r>
              <w:rPr>
                <w:rFonts w:hint="default" w:ascii="Times New Roman" w:hAnsi="Times New Roman" w:eastAsia="宋体" w:cs="Times New Roman"/>
                <w:bCs/>
                <w:color w:val="auto"/>
                <w:sz w:val="24"/>
                <w:highlight w:val="none"/>
              </w:rPr>
              <w:t>t÷2000</w:t>
            </w:r>
            <w:r>
              <w:rPr>
                <w:rFonts w:hint="default" w:ascii="Times New Roman" w:hAnsi="Times New Roman" w:eastAsia="宋体" w:cs="Times New Roman"/>
                <w:bCs/>
                <w:color w:val="auto"/>
                <w:sz w:val="24"/>
                <w:highlight w:val="none"/>
                <w:lang w:val="en-US" w:eastAsia="zh-CN"/>
              </w:rPr>
              <w:t>t=0.000267</w:t>
            </w:r>
            <w:r>
              <w:rPr>
                <w:rFonts w:hint="default" w:ascii="Times New Roman" w:hAnsi="Times New Roman" w:eastAsia="宋体" w:cs="Times New Roman"/>
                <w:bCs/>
                <w:color w:val="auto"/>
                <w:sz w:val="24"/>
                <w:highlight w:val="none"/>
              </w:rPr>
              <w:t>t/t</w:t>
            </w:r>
            <w:r>
              <w:rPr>
                <w:rFonts w:hint="default" w:ascii="Times New Roman" w:hAnsi="Times New Roman" w:eastAsia="宋体" w:cs="Times New Roman"/>
                <w:bCs/>
                <w:color w:val="auto"/>
                <w:sz w:val="24"/>
                <w:highlight w:val="none"/>
                <w:lang w:val="en-US" w:eastAsia="zh-CN"/>
              </w:rPr>
              <w:t>-产品。</w:t>
            </w:r>
          </w:p>
          <w:p>
            <w:pPr>
              <w:spacing w:line="360" w:lineRule="auto"/>
              <w:ind w:firstLine="480" w:firstLineChars="200"/>
              <w:rPr>
                <w:rFonts w:hint="default" w:ascii="Times New Roman" w:hAnsi="Times New Roman" w:eastAsia="宋体" w:cs="Times New Roman"/>
                <w:b/>
                <w:bCs/>
                <w:color w:val="auto"/>
                <w:sz w:val="24"/>
                <w:szCs w:val="32"/>
                <w:highlight w:val="none"/>
              </w:rPr>
            </w:pPr>
            <w:r>
              <w:rPr>
                <w:rFonts w:hint="default" w:ascii="Times New Roman" w:hAnsi="Times New Roman" w:eastAsia="宋体" w:cs="Times New Roman"/>
                <w:bCs/>
                <w:color w:val="auto"/>
                <w:sz w:val="24"/>
                <w:highlight w:val="none"/>
              </w:rPr>
              <w:t>本项目</w:t>
            </w:r>
            <w:r>
              <w:rPr>
                <w:rFonts w:hint="default" w:ascii="Times New Roman" w:hAnsi="Times New Roman" w:eastAsia="宋体" w:cs="Times New Roman"/>
                <w:bCs/>
                <w:color w:val="auto"/>
                <w:sz w:val="24"/>
                <w:highlight w:val="none"/>
                <w:lang w:val="en-US" w:eastAsia="zh-CN"/>
              </w:rPr>
              <w:t>聚氨酯高密度棉产量为400</w:t>
            </w:r>
            <w:r>
              <w:rPr>
                <w:rFonts w:hint="default" w:ascii="Times New Roman" w:hAnsi="Times New Roman" w:eastAsia="宋体" w:cs="Times New Roman"/>
                <w:bCs/>
                <w:color w:val="auto"/>
                <w:sz w:val="24"/>
                <w:highlight w:val="none"/>
              </w:rPr>
              <w:t>t/a，</w:t>
            </w:r>
            <w:r>
              <w:rPr>
                <w:rFonts w:hint="default" w:ascii="Times New Roman" w:hAnsi="Times New Roman" w:eastAsia="宋体" w:cs="Times New Roman"/>
                <w:bCs/>
                <w:color w:val="auto"/>
                <w:sz w:val="24"/>
                <w:highlight w:val="none"/>
                <w:lang w:val="en-US" w:eastAsia="zh-CN"/>
              </w:rPr>
              <w:t>则非甲烷总烃</w:t>
            </w:r>
            <w:r>
              <w:rPr>
                <w:rFonts w:hint="default" w:ascii="Times New Roman" w:hAnsi="Times New Roman" w:eastAsia="宋体" w:cs="Times New Roman"/>
                <w:bCs/>
                <w:color w:val="auto"/>
                <w:sz w:val="24"/>
                <w:highlight w:val="none"/>
              </w:rPr>
              <w:t>产生量为</w:t>
            </w:r>
            <w:r>
              <w:rPr>
                <w:rFonts w:hint="default" w:ascii="Times New Roman" w:hAnsi="Times New Roman" w:eastAsia="宋体" w:cs="Times New Roman"/>
                <w:bCs/>
                <w:color w:val="auto"/>
                <w:sz w:val="24"/>
                <w:highlight w:val="none"/>
                <w:lang w:val="en-US" w:eastAsia="zh-CN"/>
              </w:rPr>
              <w:t>400</w:t>
            </w:r>
            <w:r>
              <w:rPr>
                <w:rFonts w:hint="default" w:ascii="Times New Roman" w:hAnsi="Times New Roman" w:eastAsia="宋体" w:cs="Times New Roman"/>
                <w:bCs/>
                <w:color w:val="auto"/>
                <w:sz w:val="24"/>
                <w:highlight w:val="none"/>
              </w:rPr>
              <w:t>t/a×</w:t>
            </w:r>
            <w:r>
              <w:rPr>
                <w:rFonts w:hint="default" w:ascii="Times New Roman" w:hAnsi="Times New Roman" w:eastAsia="宋体" w:cs="Times New Roman"/>
                <w:bCs/>
                <w:color w:val="auto"/>
                <w:sz w:val="24"/>
                <w:highlight w:val="none"/>
                <w:lang w:val="en-US" w:eastAsia="zh-CN"/>
              </w:rPr>
              <w:t>0.000267</w:t>
            </w:r>
            <w:r>
              <w:rPr>
                <w:rFonts w:hint="default" w:ascii="Times New Roman" w:hAnsi="Times New Roman" w:eastAsia="宋体" w:cs="Times New Roman"/>
                <w:bCs/>
                <w:color w:val="auto"/>
                <w:sz w:val="24"/>
                <w:highlight w:val="none"/>
              </w:rPr>
              <w:t>t/t</w:t>
            </w:r>
            <w:r>
              <w:rPr>
                <w:rFonts w:hint="default" w:ascii="Times New Roman" w:hAnsi="Times New Roman" w:eastAsia="宋体" w:cs="Times New Roman"/>
                <w:bCs/>
                <w:color w:val="auto"/>
                <w:sz w:val="24"/>
                <w:highlight w:val="none"/>
                <w:lang w:val="en-US" w:eastAsia="zh-CN"/>
              </w:rPr>
              <w:t>-产品=0.1068</w:t>
            </w:r>
            <w:r>
              <w:rPr>
                <w:rFonts w:hint="default" w:ascii="Times New Roman" w:hAnsi="Times New Roman" w:eastAsia="宋体" w:cs="Times New Roman"/>
                <w:bCs/>
                <w:color w:val="auto"/>
                <w:sz w:val="24"/>
                <w:highlight w:val="none"/>
              </w:rPr>
              <w:t>t/a。</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2）MDI</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项目</w:t>
            </w:r>
            <w:r>
              <w:rPr>
                <w:rFonts w:hint="default" w:ascii="Times New Roman" w:hAnsi="Times New Roman" w:cs="Times New Roman"/>
                <w:b w:val="0"/>
                <w:bCs w:val="0"/>
                <w:color w:val="auto"/>
                <w:sz w:val="24"/>
                <w:szCs w:val="24"/>
                <w:highlight w:val="none"/>
                <w:lang w:val="en-US" w:eastAsia="zh-CN"/>
              </w:rPr>
              <w:t>聚醚多元醇、改性异氰酸酯、氢氧化铝、炭黑、硅油、活化粉、抗氧剂等经预搅拌后，通过</w:t>
            </w:r>
            <w:r>
              <w:rPr>
                <w:rFonts w:hint="default" w:ascii="Times New Roman" w:hAnsi="Times New Roman" w:eastAsia="宋体" w:cs="Times New Roman"/>
                <w:color w:val="auto"/>
                <w:kern w:val="2"/>
                <w:sz w:val="24"/>
                <w:szCs w:val="24"/>
                <w:highlight w:val="none"/>
                <w:lang w:val="en-US" w:eastAsia="zh-CN" w:bidi="ar-SA"/>
              </w:rPr>
              <w:t>管道输入均质机中混合发泡，发泡过程中少量</w:t>
            </w:r>
            <w:r>
              <w:rPr>
                <w:rFonts w:hint="default" w:ascii="Times New Roman" w:hAnsi="Times New Roman" w:cs="Times New Roman"/>
                <w:b w:val="0"/>
                <w:bCs w:val="0"/>
                <w:color w:val="auto"/>
                <w:sz w:val="24"/>
                <w:szCs w:val="24"/>
                <w:highlight w:val="none"/>
                <w:lang w:val="en-US" w:eastAsia="zh-CN"/>
              </w:rPr>
              <w:t>改性异氰酸酯</w:t>
            </w:r>
            <w:r>
              <w:rPr>
                <w:rFonts w:hint="default" w:ascii="Times New Roman" w:hAnsi="Times New Roman" w:eastAsia="宋体" w:cs="Times New Roman"/>
                <w:color w:val="auto"/>
                <w:kern w:val="2"/>
                <w:sz w:val="24"/>
                <w:szCs w:val="24"/>
                <w:highlight w:val="none"/>
                <w:lang w:val="en-US" w:eastAsia="zh-CN" w:bidi="ar-SA"/>
              </w:rPr>
              <w:t>未完全反应会挥发出来，会产生MDI废气</w:t>
            </w:r>
            <w:r>
              <w:rPr>
                <w:rFonts w:hint="default" w:ascii="Times New Roman" w:hAnsi="Times New Roman" w:eastAsia="宋体" w:cs="Times New Roman"/>
                <w:bCs/>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sz w:val="24"/>
                <w:highlight w:val="none"/>
                <w:lang w:val="en-US" w:eastAsia="zh-CN"/>
              </w:rPr>
            </w:pPr>
            <w:r>
              <w:rPr>
                <w:rFonts w:hint="default" w:ascii="Times New Roman" w:hAnsi="Times New Roman" w:cs="Times New Roman"/>
                <w:color w:val="auto"/>
                <w:lang w:val="en-US" w:eastAsia="zh-CN"/>
              </w:rPr>
              <w:t>本项目</w:t>
            </w:r>
            <w:r>
              <w:rPr>
                <w:rFonts w:hint="default" w:ascii="Times New Roman" w:hAnsi="Times New Roman" w:eastAsia="宋体" w:cs="Times New Roman"/>
                <w:bCs/>
                <w:color w:val="auto"/>
                <w:sz w:val="24"/>
                <w:highlight w:val="none"/>
                <w:lang w:val="en-US" w:eastAsia="zh-CN"/>
              </w:rPr>
              <w:t>类比同类型项目《麦格纳座椅（台州）有限公司年产40万套汽车座椅发泡项目环境影响报告表》（批复号：台集环建[2018]6号）的验收报告及其验收监测数据。</w:t>
            </w:r>
          </w:p>
          <w:p>
            <w:pPr>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403" w:firstLineChars="0"/>
              <w:jc w:val="center"/>
              <w:textAlignment w:val="auto"/>
              <w:rPr>
                <w:rFonts w:hint="default" w:ascii="Times New Roman" w:hAnsi="Times New Roman" w:eastAsia="宋体" w:cs="Times New Roman"/>
                <w:b/>
                <w:bCs/>
                <w:color w:val="auto"/>
                <w:kern w:val="2"/>
                <w:sz w:val="24"/>
                <w:szCs w:val="24"/>
                <w:u w:val="none"/>
                <w:shd w:val="clear" w:color="auto" w:fill="auto"/>
                <w:lang w:val="en-US" w:eastAsia="zh-CN" w:bidi="ar-SA"/>
              </w:rPr>
            </w:pPr>
            <w:r>
              <w:rPr>
                <w:rFonts w:hint="default" w:ascii="Times New Roman" w:hAnsi="Times New Roman" w:eastAsia="宋体" w:cs="Times New Roman"/>
                <w:b/>
                <w:bCs/>
                <w:color w:val="auto"/>
                <w:kern w:val="2"/>
                <w:sz w:val="24"/>
                <w:szCs w:val="24"/>
                <w:u w:val="none"/>
                <w:shd w:val="clear" w:color="auto" w:fill="auto"/>
                <w:lang w:val="en-US" w:eastAsia="zh-CN" w:bidi="ar-SA"/>
              </w:rPr>
              <w:t>MDI废气类比合理性分析</w:t>
            </w:r>
          </w:p>
          <w:tbl>
            <w:tblPr>
              <w:tblStyle w:val="33"/>
              <w:tblW w:w="511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3390"/>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2"/>
                      <w:szCs w:val="22"/>
                      <w:highlight w:val="none"/>
                      <w:vertAlign w:val="baseline"/>
                      <w:lang w:val="en-US" w:eastAsia="zh-CN"/>
                    </w:rPr>
                  </w:pPr>
                  <w:r>
                    <w:rPr>
                      <w:rFonts w:hint="default" w:ascii="Times New Roman" w:hAnsi="Times New Roman" w:eastAsia="宋体" w:cs="Times New Roman"/>
                      <w:b/>
                      <w:bCs w:val="0"/>
                      <w:color w:val="auto"/>
                      <w:sz w:val="22"/>
                      <w:szCs w:val="22"/>
                      <w:highlight w:val="none"/>
                      <w:vertAlign w:val="baseline"/>
                      <w:lang w:val="en-US" w:eastAsia="zh-CN"/>
                    </w:rPr>
                    <w:t>类型</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2"/>
                      <w:szCs w:val="22"/>
                      <w:highlight w:val="none"/>
                      <w:vertAlign w:val="baseline"/>
                      <w:lang w:val="en-US" w:eastAsia="zh-CN"/>
                    </w:rPr>
                  </w:pPr>
                  <w:r>
                    <w:rPr>
                      <w:rFonts w:hint="default" w:ascii="Times New Roman" w:hAnsi="Times New Roman" w:eastAsia="宋体" w:cs="Times New Roman"/>
                      <w:b/>
                      <w:bCs w:val="0"/>
                      <w:color w:val="auto"/>
                      <w:sz w:val="22"/>
                      <w:szCs w:val="22"/>
                      <w:highlight w:val="none"/>
                      <w:vertAlign w:val="baseline"/>
                      <w:lang w:val="en-US" w:eastAsia="zh-CN"/>
                    </w:rPr>
                    <w:t>麦格纳座椅（台州）有限公司年产40万套汽车座椅发泡项目</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2"/>
                      <w:szCs w:val="22"/>
                      <w:highlight w:val="none"/>
                      <w:vertAlign w:val="baseline"/>
                      <w:lang w:val="en-US" w:eastAsia="zh-CN"/>
                    </w:rPr>
                  </w:pPr>
                  <w:r>
                    <w:rPr>
                      <w:rFonts w:hint="default" w:ascii="Times New Roman" w:hAnsi="Times New Roman" w:eastAsia="宋体" w:cs="Times New Roman"/>
                      <w:b/>
                      <w:bCs w:val="0"/>
                      <w:color w:val="auto"/>
                      <w:sz w:val="22"/>
                      <w:szCs w:val="22"/>
                      <w:highlight w:val="none"/>
                      <w:vertAlign w:val="baseline"/>
                      <w:lang w:val="en-US" w:eastAsia="zh-CN"/>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生产产品</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汽车座椅（发泡）</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聚氨酯高密度棉（发泡）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9"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原辅料</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聚醚多元醇、聚合物多元醇、聚合MDI、水、脱模剂、催化剂等</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2"/>
                      <w:szCs w:val="22"/>
                      <w:highlight w:val="none"/>
                      <w:vertAlign w:val="baseline"/>
                      <w:lang w:val="en-US" w:eastAsia="zh-CN" w:bidi="ar-SA"/>
                    </w:rPr>
                  </w:pPr>
                  <w:r>
                    <w:rPr>
                      <w:rFonts w:hint="default" w:ascii="Times New Roman" w:hAnsi="Times New Roman" w:eastAsia="宋体" w:cs="Times New Roman"/>
                      <w:b w:val="0"/>
                      <w:bCs/>
                      <w:color w:val="auto"/>
                      <w:sz w:val="22"/>
                      <w:szCs w:val="22"/>
                      <w:highlight w:val="none"/>
                      <w:vertAlign w:val="baseline"/>
                      <w:lang w:val="en-US" w:eastAsia="zh-CN"/>
                    </w:rPr>
                    <w:t>聚醚多元醇、改性异氰酸酯、氢氧化铝、炭黑、硅油、活化粉、抗氧剂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生产设备</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发泡生产线、料罐、发泡模具等</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2"/>
                      <w:szCs w:val="22"/>
                      <w:highlight w:val="none"/>
                      <w:vertAlign w:val="baseline"/>
                      <w:lang w:val="en-US" w:eastAsia="zh-CN" w:bidi="ar-SA"/>
                    </w:rPr>
                  </w:pPr>
                  <w:r>
                    <w:rPr>
                      <w:rFonts w:hint="default" w:ascii="Times New Roman" w:hAnsi="Times New Roman" w:eastAsia="宋体" w:cs="Times New Roman"/>
                      <w:b w:val="0"/>
                      <w:bCs/>
                      <w:color w:val="auto"/>
                      <w:sz w:val="22"/>
                      <w:szCs w:val="22"/>
                      <w:highlight w:val="none"/>
                      <w:vertAlign w:val="baseline"/>
                      <w:lang w:val="en-US" w:eastAsia="zh-CN"/>
                    </w:rPr>
                    <w:t>预搅拌、均质机（发泡）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发泡生产工艺</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原料→混合搅拌→注料→发泡→熟化→脱模</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2"/>
                      <w:szCs w:val="22"/>
                      <w:highlight w:val="none"/>
                      <w:vertAlign w:val="baseline"/>
                      <w:lang w:val="en-US" w:eastAsia="zh-CN" w:bidi="ar-SA"/>
                    </w:rPr>
                  </w:pPr>
                  <w:r>
                    <w:rPr>
                      <w:rFonts w:hint="default" w:ascii="Times New Roman" w:hAnsi="Times New Roman" w:eastAsia="宋体" w:cs="Times New Roman"/>
                      <w:b w:val="0"/>
                      <w:bCs/>
                      <w:color w:val="auto"/>
                      <w:sz w:val="22"/>
                      <w:szCs w:val="22"/>
                      <w:highlight w:val="none"/>
                      <w:vertAlign w:val="baseline"/>
                      <w:lang w:val="en-US" w:eastAsia="zh-CN"/>
                    </w:rPr>
                    <w:t>原料→预搅拌→混合发泡→流平→烘烤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2"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废气收集方式</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包围型集气罩收集</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2"/>
                      <w:szCs w:val="22"/>
                      <w:highlight w:val="none"/>
                      <w:vertAlign w:val="baseline"/>
                      <w:lang w:val="en-US" w:eastAsia="zh-CN" w:bidi="ar-SA"/>
                    </w:rPr>
                  </w:pPr>
                  <w:r>
                    <w:rPr>
                      <w:rFonts w:hint="default" w:ascii="Times New Roman" w:hAnsi="Times New Roman" w:eastAsia="宋体" w:cs="Times New Roman"/>
                      <w:b w:val="0"/>
                      <w:bCs/>
                      <w:color w:val="auto"/>
                      <w:sz w:val="22"/>
                      <w:szCs w:val="22"/>
                      <w:highlight w:val="none"/>
                      <w:vertAlign w:val="baseline"/>
                      <w:lang w:val="en-US" w:eastAsia="zh-CN"/>
                    </w:rPr>
                    <w:t>集气管收集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8"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废气处理方式</w:t>
                  </w:r>
                </w:p>
              </w:tc>
              <w:tc>
                <w:tcPr>
                  <w:tcW w:w="179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2"/>
                      <w:szCs w:val="22"/>
                      <w:highlight w:val="none"/>
                      <w:vertAlign w:val="baseline"/>
                      <w:lang w:val="en-US" w:eastAsia="zh-CN"/>
                    </w:rPr>
                  </w:pPr>
                  <w:r>
                    <w:rPr>
                      <w:rFonts w:hint="default" w:ascii="Times New Roman" w:hAnsi="Times New Roman" w:eastAsia="宋体" w:cs="Times New Roman"/>
                      <w:b w:val="0"/>
                      <w:bCs/>
                      <w:color w:val="auto"/>
                      <w:sz w:val="22"/>
                      <w:szCs w:val="22"/>
                      <w:highlight w:val="none"/>
                      <w:vertAlign w:val="baseline"/>
                      <w:lang w:val="en-US" w:eastAsia="zh-CN"/>
                    </w:rPr>
                    <w:t>过滤器+光催化氧化+活性炭吸附</w:t>
                  </w:r>
                </w:p>
              </w:tc>
              <w:tc>
                <w:tcPr>
                  <w:tcW w:w="237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2"/>
                      <w:szCs w:val="22"/>
                      <w:highlight w:val="none"/>
                      <w:vertAlign w:val="baseline"/>
                      <w:lang w:val="en-US" w:eastAsia="zh-CN" w:bidi="ar-SA"/>
                    </w:rPr>
                  </w:pPr>
                  <w:r>
                    <w:rPr>
                      <w:rFonts w:hint="default" w:ascii="Times New Roman" w:hAnsi="Times New Roman" w:eastAsia="宋体" w:cs="Times New Roman"/>
                      <w:b w:val="0"/>
                      <w:bCs/>
                      <w:color w:val="auto"/>
                      <w:sz w:val="22"/>
                      <w:szCs w:val="22"/>
                      <w:highlight w:val="none"/>
                      <w:vertAlign w:val="baseline"/>
                      <w:lang w:val="en-US" w:eastAsia="zh-CN"/>
                    </w:rPr>
                    <w:t>二级活性炭吸附</w:t>
                  </w:r>
                </w:p>
              </w:tc>
            </w:tr>
          </w:tbl>
          <w:p>
            <w:pPr>
              <w:spacing w:line="360" w:lineRule="auto"/>
              <w:ind w:firstLine="480" w:firstLineChars="200"/>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麦格纳座椅（台州）有限公司（以下简称“麦格纳公司”）年产40万套汽车座椅，生产工序主要为发泡、熟化成型、脱模、修边等；使用的原辅材料为料聚醚多元醇、聚合MDI、聚合物多元醇、水、脱模剂、催化剂等；废气经包围型集气罩收集后通过1套“过滤器+光催化氧化+活性炭吸附”处理后排放。本项目使用的原辅材料、生产工序、废气处理设施基本与麦格纳公司相似，因此类比麦格纳公司可行。</w:t>
            </w:r>
          </w:p>
          <w:p>
            <w:pPr>
              <w:spacing w:line="360" w:lineRule="auto"/>
              <w:ind w:firstLine="480" w:firstLineChars="200"/>
              <w:rPr>
                <w:rFonts w:hint="default" w:ascii="Times New Roman" w:hAnsi="Times New Roman" w:eastAsia="宋体" w:cs="Times New Roman"/>
                <w:bCs/>
                <w:color w:val="auto"/>
                <w:sz w:val="24"/>
                <w:highlight w:val="none"/>
                <w:lang w:val="en-US"/>
              </w:rPr>
            </w:pPr>
            <w:r>
              <w:rPr>
                <w:rFonts w:hint="default" w:ascii="Times New Roman" w:hAnsi="Times New Roman" w:eastAsia="宋体" w:cs="Times New Roman"/>
                <w:bCs/>
                <w:color w:val="auto"/>
                <w:sz w:val="24"/>
                <w:highlight w:val="none"/>
              </w:rPr>
              <w:t>麦格纳座椅（台州）有限公司年产40万套汽车座椅发泡项目验收监测</w:t>
            </w:r>
            <w:r>
              <w:rPr>
                <w:rFonts w:hint="default" w:ascii="Times New Roman" w:hAnsi="Times New Roman" w:eastAsia="宋体" w:cs="Times New Roman"/>
                <w:bCs/>
                <w:color w:val="auto"/>
                <w:sz w:val="24"/>
                <w:highlight w:val="none"/>
                <w:lang w:val="en-US" w:eastAsia="zh-CN"/>
              </w:rPr>
              <w:t>数据</w:t>
            </w:r>
            <w:r>
              <w:rPr>
                <w:rFonts w:hint="default" w:ascii="Times New Roman" w:hAnsi="Times New Roman" w:eastAsia="宋体" w:cs="Times New Roman"/>
                <w:bCs/>
                <w:color w:val="auto"/>
                <w:sz w:val="24"/>
                <w:highlight w:val="none"/>
              </w:rPr>
              <w:t>见</w:t>
            </w:r>
            <w:r>
              <w:rPr>
                <w:rFonts w:hint="default" w:ascii="Times New Roman" w:hAnsi="Times New Roman" w:eastAsia="宋体" w:cs="Times New Roman"/>
                <w:bCs/>
                <w:color w:val="auto"/>
                <w:sz w:val="24"/>
                <w:highlight w:val="none"/>
                <w:lang w:val="en-US" w:eastAsia="zh-CN"/>
              </w:rPr>
              <w:t>下表：</w:t>
            </w:r>
          </w:p>
          <w:p>
            <w:pPr>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403" w:firstLineChars="0"/>
              <w:jc w:val="center"/>
              <w:textAlignment w:val="auto"/>
              <w:rPr>
                <w:rFonts w:hint="default" w:ascii="Times New Roman" w:hAnsi="Times New Roman" w:eastAsia="宋体" w:cs="Times New Roman"/>
                <w:b/>
                <w:bCs/>
                <w:color w:val="auto"/>
                <w:kern w:val="2"/>
                <w:sz w:val="24"/>
                <w:szCs w:val="24"/>
                <w:u w:val="none"/>
                <w:shd w:val="clear" w:color="auto" w:fill="auto"/>
                <w:lang w:val="en-US" w:eastAsia="zh-CN" w:bidi="ar-SA"/>
              </w:rPr>
            </w:pPr>
            <w:r>
              <w:rPr>
                <w:rFonts w:hint="default" w:ascii="Times New Roman" w:hAnsi="Times New Roman" w:eastAsia="宋体" w:cs="Times New Roman"/>
                <w:b/>
                <w:bCs/>
                <w:color w:val="auto"/>
                <w:kern w:val="2"/>
                <w:sz w:val="24"/>
                <w:szCs w:val="24"/>
                <w:u w:val="none"/>
                <w:shd w:val="clear" w:color="auto" w:fill="auto"/>
                <w:lang w:val="en-US" w:eastAsia="zh-CN" w:bidi="ar-SA"/>
              </w:rPr>
              <w:t>MDI废气监测结果</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7"/>
              <w:gridCol w:w="1560"/>
              <w:gridCol w:w="2980"/>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测试项目</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2019年07月18日</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rPr>
                  </w:pPr>
                  <w:r>
                    <w:rPr>
                      <w:rFonts w:hint="default" w:ascii="Times New Roman" w:hAnsi="Times New Roman" w:eastAsia="宋体" w:cs="Times New Roman"/>
                      <w:b/>
                      <w:bCs w:val="0"/>
                      <w:color w:val="auto"/>
                      <w:sz w:val="21"/>
                      <w:szCs w:val="21"/>
                      <w:highlight w:val="none"/>
                      <w:vertAlign w:val="baseline"/>
                      <w:lang w:val="en-US" w:eastAsia="zh-CN"/>
                    </w:rPr>
                    <w:t>2019年07月19日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rPr>
                  </w:pP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进口</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highlight w:val="none"/>
                      <w:vertAlign w:val="baseline"/>
                      <w:lang w:val="en-US" w:eastAsia="zh-CN" w:bidi="ar-SA"/>
                    </w:rPr>
                  </w:pPr>
                  <w:r>
                    <w:rPr>
                      <w:rFonts w:hint="default" w:ascii="Times New Roman" w:hAnsi="Times New Roman" w:eastAsia="宋体" w:cs="Times New Roman"/>
                      <w:b/>
                      <w:bCs w:val="0"/>
                      <w:color w:val="auto"/>
                      <w:sz w:val="21"/>
                      <w:szCs w:val="21"/>
                      <w:highlight w:val="none"/>
                      <w:vertAlign w:val="baseline"/>
                      <w:lang w:val="en-US" w:eastAsia="zh-CN"/>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监测点位</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发泡废气处理设施</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发泡废气处理设施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排气筒高度（m）</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15</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温度（℃）</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25</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含湿度（%）</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1.9</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流速（m/s）</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10.2</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截面积（m</w:t>
                  </w:r>
                  <w:r>
                    <w:rPr>
                      <w:rFonts w:hint="default" w:ascii="Times New Roman" w:hAnsi="Times New Roman" w:eastAsia="宋体" w:cs="Times New Roman"/>
                      <w:bCs/>
                      <w:color w:val="auto"/>
                      <w:sz w:val="21"/>
                      <w:szCs w:val="21"/>
                      <w:highlight w:val="none"/>
                      <w:vertAlign w:val="superscript"/>
                      <w:lang w:val="en-US" w:eastAsia="zh-CN"/>
                    </w:rPr>
                    <w:t>2</w:t>
                  </w:r>
                  <w:r>
                    <w:rPr>
                      <w:rFonts w:hint="default" w:ascii="Times New Roman" w:hAnsi="Times New Roman" w:eastAsia="宋体" w:cs="Times New Roman"/>
                      <w:bCs/>
                      <w:color w:val="auto"/>
                      <w:sz w:val="21"/>
                      <w:szCs w:val="21"/>
                      <w:highlight w:val="none"/>
                      <w:vertAlign w:val="baseline"/>
                      <w:lang w:val="en-US" w:eastAsia="zh-CN"/>
                    </w:rPr>
                    <w:t>）</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0.72</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标态烟气量（N.d.m</w:t>
                  </w:r>
                  <w:r>
                    <w:rPr>
                      <w:rFonts w:hint="default" w:ascii="Times New Roman" w:hAnsi="Times New Roman" w:eastAsia="宋体" w:cs="Times New Roman"/>
                      <w:bCs/>
                      <w:color w:val="auto"/>
                      <w:sz w:val="21"/>
                      <w:szCs w:val="21"/>
                      <w:highlight w:val="none"/>
                      <w:vertAlign w:val="superscript"/>
                      <w:lang w:val="en-US" w:eastAsia="zh-CN"/>
                    </w:rPr>
                    <w:t>3</w:t>
                  </w:r>
                  <w:r>
                    <w:rPr>
                      <w:rFonts w:hint="default" w:ascii="Times New Roman" w:hAnsi="Times New Roman" w:eastAsia="宋体" w:cs="Times New Roman"/>
                      <w:bCs/>
                      <w:color w:val="auto"/>
                      <w:sz w:val="21"/>
                      <w:szCs w:val="21"/>
                      <w:highlight w:val="none"/>
                      <w:vertAlign w:val="baseline"/>
                      <w:lang w:val="en-US" w:eastAsia="zh-CN"/>
                    </w:rPr>
                    <w:t>/h）</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25851</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26743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MDI（二苯基甲烷二异氰酸酯）（mg/N.d.m</w:t>
                  </w:r>
                  <w:r>
                    <w:rPr>
                      <w:rFonts w:hint="default" w:ascii="Times New Roman" w:hAnsi="Times New Roman" w:eastAsia="宋体" w:cs="Times New Roman"/>
                      <w:bCs/>
                      <w:color w:val="auto"/>
                      <w:sz w:val="21"/>
                      <w:szCs w:val="21"/>
                      <w:highlight w:val="none"/>
                      <w:vertAlign w:val="superscript"/>
                      <w:lang w:val="en-US" w:eastAsia="zh-CN"/>
                    </w:rPr>
                    <w:t>3</w:t>
                  </w:r>
                  <w:r>
                    <w:rPr>
                      <w:rFonts w:hint="default" w:ascii="Times New Roman" w:hAnsi="Times New Roman" w:eastAsia="宋体" w:cs="Times New Roman"/>
                      <w:bCs/>
                      <w:color w:val="auto"/>
                      <w:sz w:val="21"/>
                      <w:szCs w:val="21"/>
                      <w:highlight w:val="none"/>
                      <w:vertAlign w:val="baseline"/>
                      <w:lang w:val="en-US" w:eastAsia="zh-CN"/>
                    </w:rPr>
                    <w:t>）</w:t>
                  </w:r>
                </w:p>
              </w:tc>
              <w:tc>
                <w:tcPr>
                  <w:tcW w:w="84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0.046</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84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2</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0.072</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84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3</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0.032</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p>
              </w:tc>
              <w:tc>
                <w:tcPr>
                  <w:tcW w:w="84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4</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0.05</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0.070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标准限值（mg/m</w:t>
                  </w:r>
                  <w:r>
                    <w:rPr>
                      <w:rFonts w:hint="default" w:ascii="Times New Roman" w:hAnsi="Times New Roman" w:eastAsia="宋体" w:cs="Times New Roman"/>
                      <w:bCs/>
                      <w:color w:val="auto"/>
                      <w:sz w:val="21"/>
                      <w:szCs w:val="21"/>
                      <w:highlight w:val="none"/>
                      <w:vertAlign w:val="superscript"/>
                      <w:lang w:val="en-US" w:eastAsia="zh-CN"/>
                    </w:rPr>
                    <w:t>3</w:t>
                  </w:r>
                  <w:r>
                    <w:rPr>
                      <w:rFonts w:hint="default" w:ascii="Times New Roman" w:hAnsi="Times New Roman" w:eastAsia="宋体" w:cs="Times New Roman"/>
                      <w:bCs/>
                      <w:color w:val="auto"/>
                      <w:sz w:val="21"/>
                      <w:szCs w:val="21"/>
                      <w:highlight w:val="none"/>
                      <w:vertAlign w:val="baseline"/>
                      <w:lang w:val="en-US" w:eastAsia="zh-CN"/>
                    </w:rPr>
                    <w:t>）</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排放速率（kg/h）</w:t>
                  </w:r>
                </w:p>
              </w:tc>
              <w:tc>
                <w:tcPr>
                  <w:tcW w:w="161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1.29×10</w:t>
                  </w:r>
                  <w:r>
                    <w:rPr>
                      <w:rFonts w:hint="default" w:ascii="Times New Roman" w:hAnsi="Times New Roman" w:eastAsia="宋体" w:cs="Times New Roman"/>
                      <w:bCs/>
                      <w:color w:val="auto"/>
                      <w:sz w:val="21"/>
                      <w:szCs w:val="21"/>
                      <w:highlight w:val="none"/>
                      <w:vertAlign w:val="superscript"/>
                      <w:lang w:val="en-US" w:eastAsia="zh-CN"/>
                    </w:rPr>
                    <w:t>-3</w:t>
                  </w:r>
                </w:p>
              </w:tc>
              <w:tc>
                <w:tcPr>
                  <w:tcW w:w="130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1.88×10</w:t>
                  </w:r>
                  <w:r>
                    <w:rPr>
                      <w:rFonts w:hint="default" w:ascii="Times New Roman" w:hAnsi="Times New Roman" w:eastAsia="宋体" w:cs="Times New Roman"/>
                      <w:bCs/>
                      <w:color w:val="auto"/>
                      <w:sz w:val="21"/>
                      <w:szCs w:val="21"/>
                      <w:highlight w:val="none"/>
                      <w:vertAlign w:val="superscript"/>
                      <w:lang w:val="en-US" w:eastAsia="zh-CN"/>
                    </w:rPr>
                    <w:t>-3</w:t>
                  </w:r>
                </w:p>
              </w:tc>
            </w:tr>
          </w:tbl>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麦格纳公司工作制度为2班制，每班工作10小时，设备运行时间为20h/天，年工作300天。由上表知，2019年07月18日MDI废气处理前排放速率为</w:t>
            </w:r>
            <w:r>
              <w:rPr>
                <w:rFonts w:hint="default" w:ascii="Times New Roman" w:hAnsi="Times New Roman" w:eastAsia="宋体" w:cs="Times New Roman"/>
                <w:bCs/>
                <w:color w:val="auto"/>
                <w:sz w:val="24"/>
                <w:szCs w:val="24"/>
                <w:highlight w:val="none"/>
                <w:vertAlign w:val="baseline"/>
                <w:lang w:val="en-US" w:eastAsia="zh-CN"/>
              </w:rPr>
              <w:t>1.29×10</w:t>
            </w:r>
            <w:r>
              <w:rPr>
                <w:rFonts w:hint="default" w:ascii="Times New Roman" w:hAnsi="Times New Roman" w:eastAsia="宋体" w:cs="Times New Roman"/>
                <w:bCs/>
                <w:color w:val="auto"/>
                <w:sz w:val="24"/>
                <w:szCs w:val="24"/>
                <w:highlight w:val="none"/>
                <w:vertAlign w:val="superscript"/>
                <w:lang w:val="en-US" w:eastAsia="zh-CN"/>
              </w:rPr>
              <w:t>-3</w:t>
            </w:r>
            <w:r>
              <w:rPr>
                <w:rFonts w:hint="default" w:ascii="Times New Roman" w:hAnsi="Times New Roman" w:eastAsia="宋体" w:cs="Times New Roman"/>
                <w:bCs/>
                <w:color w:val="auto"/>
                <w:sz w:val="24"/>
                <w:highlight w:val="none"/>
                <w:vertAlign w:val="baseline"/>
                <w:lang w:val="en-US" w:eastAsia="zh-CN"/>
              </w:rPr>
              <w:t>kg/h，</w:t>
            </w:r>
            <w:r>
              <w:rPr>
                <w:rFonts w:hint="default" w:ascii="Times New Roman" w:hAnsi="Times New Roman" w:eastAsia="宋体" w:cs="Times New Roman"/>
                <w:bCs/>
                <w:color w:val="auto"/>
                <w:sz w:val="24"/>
                <w:szCs w:val="24"/>
                <w:highlight w:val="none"/>
                <w:vertAlign w:val="baseline"/>
                <w:lang w:val="en-US" w:eastAsia="zh-CN"/>
              </w:rPr>
              <w:t>2019年07月19日MDI废气处理前排放速率为1.88×10</w:t>
            </w:r>
            <w:r>
              <w:rPr>
                <w:rFonts w:hint="default" w:ascii="Times New Roman" w:hAnsi="Times New Roman" w:eastAsia="宋体" w:cs="Times New Roman"/>
                <w:bCs/>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vertAlign w:val="baseline"/>
                <w:lang w:val="en-US" w:eastAsia="zh-CN"/>
              </w:rPr>
              <w:t>kg/h，按最大处理前排放速率</w:t>
            </w:r>
            <w:r>
              <w:rPr>
                <w:rFonts w:hint="default" w:ascii="Times New Roman" w:hAnsi="Times New Roman" w:eastAsia="宋体" w:cs="Times New Roman"/>
                <w:color w:val="auto"/>
                <w:sz w:val="24"/>
                <w:szCs w:val="24"/>
                <w:highlight w:val="none"/>
                <w:lang w:val="en-US" w:eastAsia="zh-CN"/>
              </w:rPr>
              <w:t>1.88×10</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kg/h计算其收集量，则MDI废气处理前收集量为1.88×10</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kg/h×20h×300d÷1000=0.0113t/a。该公司发泡废气采用包围型集气罩收集，参照《广东省工业源挥发性有机物减排量核算方法（试行）》中集气设备的取值依据，包围型集气设备收集效率取值80%。则MDI废气的总产生量为0.0113t/a÷80%=0.0141t/a。该公司MDI原料用量为1200t/a，验收时的工况为75%，验收时MDI原料用量为900t，则MDI废气产生量为0.000016t/t-原料。本项目改性异氰酸酯用量为20t/a，则MDI的产生量20t/a×0.000016t/t-原料=0.0003t/a。</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3）臭气浓度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项目营运期生产过程的恶臭物质为发泡工序产生的异味，以臭气浓度计。恶臭物质经集气罩收集后引入废气处理设施（两级活性炭吸附装置）处理。由于项目臭气浓度产生量较少，且经过废气处理设施（两级活性炭吸附装置）臭气浓度的排放量极少，本环评不作定量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（2）涂布、UV固化工序产生的废气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本项目聚氨酯胶粘剂使用过程中会产生有机废气，以VOCs表征，根据聚氨酯胶粘剂的VOC检测报告，VOC检测结果为31g/L，密度为1.15g/cm</w:t>
            </w:r>
            <w:r>
              <w:rPr>
                <w:rFonts w:hint="default" w:ascii="Times New Roman" w:hAnsi="Times New Roman" w:cs="Times New Roman"/>
                <w:b w:val="0"/>
                <w:bCs w:val="0"/>
                <w:color w:val="auto"/>
                <w:sz w:val="24"/>
                <w:szCs w:val="24"/>
                <w:highlight w:val="none"/>
                <w:vertAlign w:val="superscript"/>
                <w:lang w:val="en-US" w:eastAsia="zh-CN"/>
              </w:rPr>
              <w:t>3</w:t>
            </w:r>
            <w:r>
              <w:rPr>
                <w:rFonts w:hint="default" w:ascii="Times New Roman" w:hAnsi="Times New Roman" w:cs="Times New Roman"/>
                <w:b w:val="0"/>
                <w:bCs w:val="0"/>
                <w:color w:val="auto"/>
                <w:sz w:val="24"/>
                <w:szCs w:val="24"/>
                <w:highlight w:val="none"/>
                <w:lang w:val="en-US" w:eastAsia="zh-CN"/>
              </w:rPr>
              <w:t>，则胶水中VOC占比为31÷1150t/m</w:t>
            </w:r>
            <w:r>
              <w:rPr>
                <w:rFonts w:hint="default" w:ascii="Times New Roman" w:hAnsi="Times New Roman" w:cs="Times New Roman"/>
                <w:b w:val="0"/>
                <w:bCs w:val="0"/>
                <w:color w:val="auto"/>
                <w:sz w:val="24"/>
                <w:szCs w:val="24"/>
                <w:highlight w:val="none"/>
                <w:vertAlign w:val="superscript"/>
                <w:lang w:val="en-US" w:eastAsia="zh-CN"/>
              </w:rPr>
              <w:t>3</w:t>
            </w:r>
            <w:r>
              <w:rPr>
                <w:rFonts w:hint="default" w:ascii="Times New Roman" w:hAnsi="Times New Roman" w:cs="Times New Roman"/>
                <w:b w:val="0"/>
                <w:bCs w:val="0"/>
                <w:color w:val="auto"/>
                <w:sz w:val="24"/>
                <w:szCs w:val="24"/>
                <w:highlight w:val="none"/>
                <w:lang w:val="en-US" w:eastAsia="zh-CN"/>
              </w:rPr>
              <w:t>×100%=2.7%。本项目使用的聚氨酯胶粘剂量为1.6t/a，则涂布、UV固化工序VOCs产生量为0.0431t/a。</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预搅拌、混合发泡、流平、烘烤、（聚氨酯高密度棉）涂布、UV固化的废气经收集后，通过1套“水喷淋+干式过滤器+二级活性炭吸附装置”处理后经1根15m高的排气筒DA004高空排放。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（3）预搅拌、涂布及烤干工序产生的废气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本项目水性亚敏胶使用过程中会产生有机废气，以VOCs表征，根据水性压敏胶的VOC检测报告，VOC检测结果为2g/L，密度为1.04-1.07g/cm</w:t>
            </w:r>
            <w:r>
              <w:rPr>
                <w:rFonts w:hint="default" w:ascii="Times New Roman" w:hAnsi="Times New Roman" w:cs="Times New Roman"/>
                <w:b w:val="0"/>
                <w:bCs w:val="0"/>
                <w:color w:val="auto"/>
                <w:sz w:val="24"/>
                <w:szCs w:val="24"/>
                <w:highlight w:val="none"/>
                <w:vertAlign w:val="superscript"/>
                <w:lang w:val="en-US" w:eastAsia="zh-CN"/>
              </w:rPr>
              <w:t>3</w:t>
            </w:r>
            <w:r>
              <w:rPr>
                <w:rFonts w:hint="default" w:ascii="Times New Roman" w:hAnsi="Times New Roman" w:cs="Times New Roman"/>
                <w:b w:val="0"/>
                <w:bCs w:val="0"/>
                <w:color w:val="auto"/>
                <w:sz w:val="24"/>
                <w:szCs w:val="24"/>
                <w:highlight w:val="none"/>
                <w:lang w:val="en-US" w:eastAsia="zh-CN"/>
              </w:rPr>
              <w:t>，本项目按1.07g/cm</w:t>
            </w:r>
            <w:r>
              <w:rPr>
                <w:rFonts w:hint="default" w:ascii="Times New Roman" w:hAnsi="Times New Roman" w:cs="Times New Roman"/>
                <w:b w:val="0"/>
                <w:bCs w:val="0"/>
                <w:color w:val="auto"/>
                <w:sz w:val="24"/>
                <w:szCs w:val="24"/>
                <w:highlight w:val="none"/>
                <w:vertAlign w:val="superscript"/>
                <w:lang w:val="en-US" w:eastAsia="zh-CN"/>
              </w:rPr>
              <w:t>3</w:t>
            </w:r>
            <w:r>
              <w:rPr>
                <w:rFonts w:hint="default" w:ascii="Times New Roman" w:hAnsi="Times New Roman" w:cs="Times New Roman"/>
                <w:b w:val="0"/>
                <w:bCs w:val="0"/>
                <w:color w:val="auto"/>
                <w:sz w:val="24"/>
                <w:szCs w:val="24"/>
                <w:highlight w:val="none"/>
                <w:lang w:val="en-US" w:eastAsia="zh-CN"/>
              </w:rPr>
              <w:t>计算，则胶水中VOC占比为2÷1070t/m</w:t>
            </w:r>
            <w:r>
              <w:rPr>
                <w:rFonts w:hint="default" w:ascii="Times New Roman" w:hAnsi="Times New Roman" w:cs="Times New Roman"/>
                <w:b w:val="0"/>
                <w:bCs w:val="0"/>
                <w:color w:val="auto"/>
                <w:sz w:val="24"/>
                <w:szCs w:val="24"/>
                <w:highlight w:val="none"/>
                <w:vertAlign w:val="superscript"/>
                <w:lang w:val="en-US" w:eastAsia="zh-CN"/>
              </w:rPr>
              <w:t>3</w:t>
            </w:r>
            <w:r>
              <w:rPr>
                <w:rFonts w:hint="default" w:ascii="Times New Roman" w:hAnsi="Times New Roman" w:cs="Times New Roman"/>
                <w:b w:val="0"/>
                <w:bCs w:val="0"/>
                <w:color w:val="auto"/>
                <w:sz w:val="24"/>
                <w:szCs w:val="24"/>
                <w:highlight w:val="none"/>
                <w:lang w:val="en-US" w:eastAsia="zh-CN"/>
              </w:rPr>
              <w:t>×100%=0.2%。本项目使用的水性压敏胶量为90t/a，则预搅拌、涂布及烤干工序VOCs产生量为0.1682t/a。</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预搅拌、涂布及烤干工序的废气经收集后，通过1套“水喷淋+干式过滤器+二级活性炭吸附装置”处理后经1根15m高的排气筒DA003高空排放。</w:t>
            </w:r>
          </w:p>
          <w:p>
            <w:pPr>
              <w:pStyle w:val="41"/>
              <w:ind w:firstLine="482" w:firstLineChars="200"/>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（4）天然气燃烧产生的废气</w:t>
            </w:r>
          </w:p>
          <w:p>
            <w:pPr>
              <w:widowControl/>
              <w:snapToGrid/>
              <w:spacing w:before="0" w:after="0" w:line="360" w:lineRule="auto"/>
              <w:ind w:right="0" w:firstLine="480" w:firstLineChars="200"/>
              <w:jc w:val="both"/>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本项目使用燃烧机为烤干、烘烤工序提供热能，使用的能源为天然气，燃烧会产生SO</w:t>
            </w:r>
            <w:r>
              <w:rPr>
                <w:rFonts w:hint="default" w:ascii="Times New Roman" w:hAnsi="Times New Roman" w:eastAsia="宋体" w:cs="Times New Roman"/>
                <w:color w:val="auto"/>
                <w:kern w:val="0"/>
                <w:sz w:val="24"/>
                <w:szCs w:val="20"/>
                <w:highlight w:val="none"/>
                <w:vertAlign w:val="subscript"/>
                <w:lang w:val="en-US" w:eastAsia="zh-CN" w:bidi="ar-SA"/>
              </w:rPr>
              <w:t>2</w:t>
            </w:r>
            <w:r>
              <w:rPr>
                <w:rFonts w:hint="default" w:ascii="Times New Roman" w:hAnsi="Times New Roman" w:eastAsia="宋体" w:cs="Times New Roman"/>
                <w:color w:val="auto"/>
                <w:kern w:val="0"/>
                <w:sz w:val="24"/>
                <w:szCs w:val="20"/>
                <w:highlight w:val="none"/>
                <w:lang w:val="en-US" w:eastAsia="zh-CN" w:bidi="ar-SA"/>
              </w:rPr>
              <w:t>、NO</w:t>
            </w:r>
            <w:r>
              <w:rPr>
                <w:rFonts w:hint="default" w:ascii="Times New Roman" w:hAnsi="Times New Roman" w:eastAsia="宋体" w:cs="Times New Roman"/>
                <w:color w:val="auto"/>
                <w:kern w:val="0"/>
                <w:sz w:val="24"/>
                <w:szCs w:val="20"/>
                <w:highlight w:val="none"/>
                <w:vertAlign w:val="subscript"/>
                <w:lang w:val="en-US" w:eastAsia="zh-CN" w:bidi="ar-SA"/>
              </w:rPr>
              <w:t>X</w:t>
            </w:r>
            <w:r>
              <w:rPr>
                <w:rFonts w:hint="default" w:ascii="Times New Roman" w:hAnsi="Times New Roman" w:eastAsia="宋体" w:cs="Times New Roman"/>
                <w:color w:val="auto"/>
                <w:kern w:val="0"/>
                <w:sz w:val="24"/>
                <w:szCs w:val="20"/>
                <w:highlight w:val="none"/>
                <w:lang w:val="en-US" w:eastAsia="zh-CN" w:bidi="ar-SA"/>
              </w:rPr>
              <w:t>、颗粒物。根据建设单位提供资料，本项目拟采用1台100万大卡（1.7t/h）的燃烧机，根据前文核算，天然气使用量为31.362万m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/a，每天运行时间为8h，年工作300天。</w:t>
            </w:r>
          </w:p>
          <w:p>
            <w:pPr>
              <w:widowControl/>
              <w:snapToGrid/>
              <w:spacing w:before="0" w:after="0" w:line="360" w:lineRule="auto"/>
              <w:ind w:right="0" w:firstLine="480" w:firstLineChars="200"/>
              <w:jc w:val="both"/>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工业废气量、SO</w:t>
            </w:r>
            <w:r>
              <w:rPr>
                <w:rFonts w:hint="default" w:ascii="Times New Roman" w:hAnsi="Times New Roman" w:eastAsia="宋体" w:cs="Times New Roman"/>
                <w:color w:val="auto"/>
                <w:kern w:val="0"/>
                <w:sz w:val="24"/>
                <w:szCs w:val="20"/>
                <w:highlight w:val="none"/>
                <w:vertAlign w:val="subscript"/>
                <w:lang w:val="en-US" w:eastAsia="zh-CN" w:bidi="ar-SA"/>
              </w:rPr>
              <w:t>2</w:t>
            </w:r>
            <w:r>
              <w:rPr>
                <w:rFonts w:hint="default" w:ascii="Times New Roman" w:hAnsi="Times New Roman" w:eastAsia="宋体" w:cs="Times New Roman"/>
                <w:color w:val="auto"/>
                <w:kern w:val="0"/>
                <w:sz w:val="24"/>
                <w:szCs w:val="20"/>
                <w:highlight w:val="none"/>
                <w:lang w:val="en-US" w:eastAsia="zh-CN" w:bidi="ar-SA"/>
              </w:rPr>
              <w:t>、NO</w:t>
            </w:r>
            <w:r>
              <w:rPr>
                <w:rFonts w:hint="default" w:ascii="Times New Roman" w:hAnsi="Times New Roman" w:eastAsia="宋体" w:cs="Times New Roman"/>
                <w:color w:val="auto"/>
                <w:kern w:val="0"/>
                <w:sz w:val="24"/>
                <w:szCs w:val="20"/>
                <w:highlight w:val="none"/>
                <w:vertAlign w:val="subscript"/>
                <w:lang w:val="en-US" w:eastAsia="zh-CN" w:bidi="ar-SA"/>
              </w:rPr>
              <w:t>X</w:t>
            </w:r>
            <w:r>
              <w:rPr>
                <w:rFonts w:hint="default" w:ascii="Times New Roman" w:hAnsi="Times New Roman" w:eastAsia="宋体" w:cs="Times New Roman"/>
                <w:color w:val="auto"/>
                <w:kern w:val="0"/>
                <w:sz w:val="24"/>
                <w:szCs w:val="20"/>
                <w:highlight w:val="none"/>
                <w:vertAlign w:val="baseline"/>
                <w:lang w:val="en-US" w:eastAsia="zh-CN" w:bidi="ar-SA"/>
              </w:rPr>
              <w:t>的产污系数</w:t>
            </w:r>
            <w:r>
              <w:rPr>
                <w:rFonts w:hint="default" w:ascii="Times New Roman" w:hAnsi="Times New Roman" w:eastAsia="宋体" w:cs="Times New Roman"/>
                <w:color w:val="auto"/>
                <w:kern w:val="0"/>
                <w:sz w:val="24"/>
                <w:szCs w:val="20"/>
                <w:highlight w:val="none"/>
                <w:lang w:val="en-US" w:eastAsia="zh-CN" w:bidi="ar-SA"/>
              </w:rPr>
              <w:t>参考《排放源统计调查产排污核算方法和系数手册》（环境部公告2021年第24号）4430 工业锅炉（热力供应）行业系数手册中产污系数表-燃气工业锅炉；颗粒物的产污系数参考《环境影响评价工程师职业资格登记培训教材社会区域类》（中国环境科学出版社出版）中油、气燃料的污染物排放因子，每燃烧1000立方米天然气排放烟尘0.14kg。</w:t>
            </w:r>
          </w:p>
          <w:p>
            <w:pPr>
              <w:widowControl/>
              <w:snapToGrid/>
              <w:spacing w:before="0" w:after="0" w:line="360" w:lineRule="auto"/>
              <w:ind w:right="0" w:firstLine="480" w:firstLineChars="200"/>
              <w:jc w:val="both"/>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产污系数如下表所示：</w:t>
            </w:r>
          </w:p>
          <w:p>
            <w:pPr>
              <w:keepNext w:val="0"/>
              <w:keepLines w:val="0"/>
              <w:pageBreakBefore w:val="0"/>
              <w:widowControl w:val="0"/>
              <w:numPr>
                <w:ilvl w:val="0"/>
                <w:numId w:val="16"/>
              </w:numPr>
              <w:kinsoku/>
              <w:wordWrap/>
              <w:overflowPunct/>
              <w:topLinePunct w:val="0"/>
              <w:autoSpaceDE/>
              <w:autoSpaceDN/>
              <w:bidi w:val="0"/>
              <w:adjustRightInd/>
              <w:snapToGrid/>
              <w:spacing w:line="240" w:lineRule="auto"/>
              <w:ind w:left="0" w:leftChars="0" w:firstLine="403" w:firstLineChars="0"/>
              <w:jc w:val="center"/>
              <w:textAlignment w:val="auto"/>
              <w:rPr>
                <w:rFonts w:hint="default" w:ascii="Times New Roman" w:hAnsi="Times New Roman" w:eastAsia="宋体" w:cs="Times New Roman"/>
                <w:b/>
                <w:bCs/>
                <w:color w:val="auto"/>
                <w:kern w:val="2"/>
                <w:sz w:val="24"/>
                <w:szCs w:val="24"/>
                <w:u w:val="none"/>
                <w:shd w:val="clear" w:color="auto" w:fill="auto"/>
                <w:lang w:val="en-US" w:eastAsia="zh-CN" w:bidi="ar-SA"/>
              </w:rPr>
            </w:pPr>
            <w:r>
              <w:rPr>
                <w:rFonts w:hint="default" w:ascii="Times New Roman" w:hAnsi="Times New Roman" w:eastAsia="宋体" w:cs="Times New Roman"/>
                <w:b/>
                <w:bCs/>
                <w:color w:val="auto"/>
                <w:kern w:val="2"/>
                <w:sz w:val="24"/>
                <w:szCs w:val="24"/>
                <w:u w:val="none"/>
                <w:shd w:val="clear" w:color="auto" w:fill="auto"/>
                <w:lang w:val="en-US" w:eastAsia="zh-CN" w:bidi="ar-SA"/>
              </w:rPr>
              <w:t>项目大气污染物源强核算结果一览表</w:t>
            </w:r>
          </w:p>
          <w:tbl>
            <w:tblPr>
              <w:tblStyle w:val="32"/>
              <w:tblW w:w="92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1421"/>
              <w:gridCol w:w="1440"/>
              <w:gridCol w:w="1718"/>
              <w:gridCol w:w="2173"/>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70"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名称</w:t>
                  </w:r>
                </w:p>
              </w:tc>
              <w:tc>
                <w:tcPr>
                  <w:tcW w:w="76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原料名称</w:t>
                  </w:r>
                </w:p>
              </w:tc>
              <w:tc>
                <w:tcPr>
                  <w:tcW w:w="77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规模登记</w:t>
                  </w:r>
                </w:p>
              </w:tc>
              <w:tc>
                <w:tcPr>
                  <w:tcW w:w="92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污染物指标</w:t>
                  </w:r>
                </w:p>
              </w:tc>
              <w:tc>
                <w:tcPr>
                  <w:tcW w:w="1173"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单位</w:t>
                  </w:r>
                </w:p>
              </w:tc>
              <w:tc>
                <w:tcPr>
                  <w:tcW w:w="882"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产排污系数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470" w:type="pct"/>
                  <w:vMerge w:val="restar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蒸汽/热水/其他</w:t>
                  </w:r>
                </w:p>
              </w:tc>
              <w:tc>
                <w:tcPr>
                  <w:tcW w:w="767" w:type="pct"/>
                  <w:vMerge w:val="restar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天然气</w:t>
                  </w:r>
                </w:p>
              </w:tc>
              <w:tc>
                <w:tcPr>
                  <w:tcW w:w="777" w:type="pct"/>
                  <w:vMerge w:val="restar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所有规模</w:t>
                  </w:r>
                </w:p>
              </w:tc>
              <w:tc>
                <w:tcPr>
                  <w:tcW w:w="92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工业废气量</w:t>
                  </w:r>
                </w:p>
              </w:tc>
              <w:tc>
                <w:tcPr>
                  <w:tcW w:w="1173"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标立方米/万m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-原料</w:t>
                  </w:r>
                </w:p>
              </w:tc>
              <w:tc>
                <w:tcPr>
                  <w:tcW w:w="882"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107753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70"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767"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777"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92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二氧化硫</w:t>
                  </w:r>
                </w:p>
              </w:tc>
              <w:tc>
                <w:tcPr>
                  <w:tcW w:w="1173"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千克/万m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-原料</w:t>
                  </w:r>
                </w:p>
              </w:tc>
              <w:tc>
                <w:tcPr>
                  <w:tcW w:w="882"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0.02S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470" w:type="pct"/>
                  <w:vMerge w:val="continue"/>
                  <w:noWrap w:val="0"/>
                  <w:vAlign w:val="top"/>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baseline"/>
                    <w:rPr>
                      <w:rFonts w:hint="default" w:ascii="Times New Roman" w:hAnsi="Times New Roman" w:eastAsia="宋体" w:cs="Times New Roman"/>
                      <w:color w:val="auto"/>
                      <w:kern w:val="0"/>
                      <w:sz w:val="21"/>
                      <w:szCs w:val="21"/>
                      <w:highlight w:val="none"/>
                      <w:lang w:val="en-US" w:eastAsia="zh-CN" w:bidi="ar"/>
                    </w:rPr>
                  </w:pPr>
                </w:p>
              </w:tc>
              <w:tc>
                <w:tcPr>
                  <w:tcW w:w="767"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777"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92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氮氧化物</w:t>
                  </w:r>
                </w:p>
              </w:tc>
              <w:tc>
                <w:tcPr>
                  <w:tcW w:w="1173"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千克/万m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-原料</w:t>
                  </w:r>
                </w:p>
              </w:tc>
              <w:tc>
                <w:tcPr>
                  <w:tcW w:w="882"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6.97（低氮燃烧-国内领先）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470" w:type="pct"/>
                  <w:vMerge w:val="continue"/>
                  <w:noWrap w:val="0"/>
                  <w:vAlign w:val="top"/>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baseline"/>
                    <w:rPr>
                      <w:rFonts w:hint="default" w:ascii="Times New Roman" w:hAnsi="Times New Roman" w:eastAsia="宋体" w:cs="Times New Roman"/>
                      <w:color w:val="auto"/>
                      <w:kern w:val="0"/>
                      <w:sz w:val="21"/>
                      <w:szCs w:val="21"/>
                      <w:highlight w:val="none"/>
                      <w:lang w:val="en-US" w:eastAsia="zh-CN" w:bidi="ar"/>
                    </w:rPr>
                  </w:pPr>
                </w:p>
              </w:tc>
              <w:tc>
                <w:tcPr>
                  <w:tcW w:w="767"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777"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p>
              </w:tc>
              <w:tc>
                <w:tcPr>
                  <w:tcW w:w="927"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颗粒物</w:t>
                  </w:r>
                </w:p>
              </w:tc>
              <w:tc>
                <w:tcPr>
                  <w:tcW w:w="1173"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千克/万m</w:t>
                  </w:r>
                  <w:r>
                    <w:rPr>
                      <w:rFonts w:hint="default" w:ascii="Times New Roman" w:hAnsi="Times New Roman" w:eastAsia="宋体" w:cs="Times New Roman"/>
                      <w:color w:val="auto"/>
                      <w:kern w:val="0"/>
                      <w:sz w:val="21"/>
                      <w:szCs w:val="21"/>
                      <w:highlight w:val="none"/>
                      <w:vertAlign w:val="superscript"/>
                      <w:lang w:val="en-US" w:eastAsia="zh-CN" w:bidi="ar"/>
                    </w:rPr>
                    <w:t>3</w:t>
                  </w:r>
                  <w:r>
                    <w:rPr>
                      <w:rFonts w:hint="default" w:ascii="Times New Roman" w:hAnsi="Times New Roman" w:eastAsia="宋体" w:cs="Times New Roman"/>
                      <w:color w:val="auto"/>
                      <w:kern w:val="0"/>
                      <w:sz w:val="21"/>
                      <w:szCs w:val="21"/>
                      <w:highlight w:val="none"/>
                      <w:lang w:val="en-US" w:eastAsia="zh-CN" w:bidi="ar"/>
                    </w:rPr>
                    <w:t>-原料</w:t>
                  </w:r>
                </w:p>
              </w:tc>
              <w:tc>
                <w:tcPr>
                  <w:tcW w:w="882" w:type="pct"/>
                  <w:noWrap w:val="0"/>
                  <w:vAlign w:val="center"/>
                </w:tcPr>
                <w:p>
                  <w:pPr>
                    <w:keepNext w:val="0"/>
                    <w:keepLines w:val="0"/>
                    <w:pageBreakBefore w:val="0"/>
                    <w:widowControl/>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1.40</w:t>
                  </w:r>
                </w:p>
              </w:tc>
            </w:tr>
          </w:tbl>
          <w:p>
            <w:pPr>
              <w:keepNext w:val="0"/>
              <w:keepLines w:val="0"/>
              <w:pageBreakBefore w:val="0"/>
              <w:widowControl/>
              <w:kinsoku/>
              <w:wordWrap/>
              <w:overflowPunct/>
              <w:topLinePunct w:val="0"/>
              <w:autoSpaceDE/>
              <w:autoSpaceDN/>
              <w:bidi w:val="0"/>
              <w:adjustRightInd w:val="0"/>
              <w:snapToGrid w:val="0"/>
              <w:spacing w:before="0" w:after="0" w:line="240" w:lineRule="auto"/>
              <w:ind w:right="0" w:firstLine="632" w:firstLineChars="300"/>
              <w:jc w:val="both"/>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注：①二氧化硫的产排污系数以含硫量（S）的形式表示，单位是毫克/立方米；</w:t>
            </w:r>
          </w:p>
          <w:p>
            <w:pPr>
              <w:keepNext w:val="0"/>
              <w:keepLines w:val="0"/>
              <w:pageBreakBefore w:val="0"/>
              <w:widowControl/>
              <w:kinsoku/>
              <w:wordWrap/>
              <w:overflowPunct/>
              <w:topLinePunct w:val="0"/>
              <w:autoSpaceDE/>
              <w:autoSpaceDN/>
              <w:bidi w:val="0"/>
              <w:adjustRightInd w:val="0"/>
              <w:snapToGrid w:val="0"/>
              <w:spacing w:before="0" w:after="0" w:line="240" w:lineRule="auto"/>
              <w:ind w:right="0"/>
              <w:jc w:val="both"/>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②含硫量（S）是指燃气收到基硫分含量，单位为毫克/立方米，天然气含硫量≤200mg/m</w:t>
            </w:r>
            <w:r>
              <w:rPr>
                <w:rFonts w:hint="default" w:ascii="Times New Roman" w:hAnsi="Times New Roman" w:eastAsia="宋体" w:cs="Times New Roman"/>
                <w:b/>
                <w:bCs/>
                <w:color w:val="auto"/>
                <w:kern w:val="0"/>
                <w:sz w:val="21"/>
                <w:szCs w:val="21"/>
                <w:highlight w:val="none"/>
                <w:vertAlign w:val="superscript"/>
                <w:lang w:val="en-US" w:eastAsia="zh-CN" w:bidi="ar-SA"/>
              </w:rPr>
              <w:t>3</w:t>
            </w:r>
            <w:r>
              <w:rPr>
                <w:rFonts w:hint="default" w:ascii="Times New Roman" w:hAnsi="Times New Roman" w:eastAsia="宋体" w:cs="Times New Roman"/>
                <w:b/>
                <w:bCs/>
                <w:color w:val="auto"/>
                <w:kern w:val="0"/>
                <w:sz w:val="21"/>
                <w:szCs w:val="21"/>
                <w:highlight w:val="none"/>
                <w:lang w:val="en-US" w:eastAsia="zh-CN" w:bidi="ar-SA"/>
              </w:rPr>
              <w:t>，本项目S取值200mg/m</w:t>
            </w:r>
            <w:r>
              <w:rPr>
                <w:rFonts w:hint="default" w:ascii="Times New Roman" w:hAnsi="Times New Roman" w:eastAsia="宋体" w:cs="Times New Roman"/>
                <w:b/>
                <w:bCs/>
                <w:color w:val="auto"/>
                <w:kern w:val="0"/>
                <w:sz w:val="21"/>
                <w:szCs w:val="21"/>
                <w:highlight w:val="none"/>
                <w:vertAlign w:val="superscript"/>
                <w:lang w:val="en-US" w:eastAsia="zh-CN" w:bidi="ar-SA"/>
              </w:rPr>
              <w:t>3</w:t>
            </w:r>
            <w:r>
              <w:rPr>
                <w:rFonts w:hint="default" w:ascii="Times New Roman" w:hAnsi="Times New Roman" w:eastAsia="宋体" w:cs="Times New Roman"/>
                <w:b/>
                <w:bCs/>
                <w:color w:val="auto"/>
                <w:kern w:val="0"/>
                <w:sz w:val="21"/>
                <w:szCs w:val="21"/>
                <w:highlight w:val="none"/>
                <w:lang w:val="en-US" w:eastAsia="zh-CN" w:bidi="ar-SA"/>
              </w:rPr>
              <w:t>。</w:t>
            </w:r>
          </w:p>
          <w:p>
            <w:pPr>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jc w:val="both"/>
              <w:textAlignment w:val="auto"/>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项目天然气使用量为31.362万m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/a，则工业废气量为：337.935万Nm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/a；燃烧机年工作2400小时，天然气使用低氮燃烧装置，项目燃烧废气产生情况如下：</w:t>
            </w:r>
          </w:p>
          <w:p>
            <w:pPr>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jc w:val="both"/>
              <w:textAlignment w:val="auto"/>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二氧化硫=0.02</w:t>
            </w:r>
            <w:r>
              <w:rPr>
                <w:rFonts w:hint="default" w:ascii="Times New Roman" w:hAnsi="Times New Roman" w:eastAsia="宋体" w:cs="Times New Roman"/>
                <w:color w:val="auto"/>
                <w:kern w:val="0"/>
                <w:sz w:val="24"/>
                <w:szCs w:val="24"/>
                <w:highlight w:val="none"/>
                <w:lang w:val="en-US" w:eastAsia="zh-CN" w:bidi="ar-SA"/>
              </w:rPr>
              <w:t>S</w:t>
            </w:r>
            <w:r>
              <w:rPr>
                <w:rFonts w:hint="default" w:ascii="Times New Roman" w:hAnsi="Times New Roman" w:eastAsia="宋体" w:cs="Times New Roman"/>
                <w:color w:val="auto"/>
                <w:kern w:val="0"/>
                <w:sz w:val="24"/>
                <w:szCs w:val="24"/>
                <w:highlight w:val="none"/>
                <w:vertAlign w:val="superscript"/>
                <w:lang w:val="en-US" w:eastAsia="zh-CN" w:bidi="ar-SA"/>
              </w:rPr>
              <w:t>①</w:t>
            </w:r>
            <w:r>
              <w:rPr>
                <w:rFonts w:hint="default" w:ascii="Times New Roman" w:hAnsi="Times New Roman" w:eastAsia="宋体" w:cs="Times New Roman"/>
                <w:color w:val="auto"/>
                <w:kern w:val="0"/>
                <w:sz w:val="24"/>
                <w:szCs w:val="24"/>
                <w:highlight w:val="none"/>
                <w:lang w:val="en-US" w:eastAsia="zh-CN" w:bidi="ar"/>
              </w:rPr>
              <w:t>千克/万m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-原料</w:t>
            </w:r>
            <w:r>
              <w:rPr>
                <w:rFonts w:hint="default" w:ascii="Times New Roman" w:hAnsi="Times New Roman" w:eastAsia="宋体" w:cs="Times New Roman"/>
                <w:color w:val="auto"/>
                <w:kern w:val="0"/>
                <w:sz w:val="24"/>
                <w:szCs w:val="20"/>
                <w:highlight w:val="none"/>
                <w:lang w:val="en-US" w:eastAsia="zh-CN" w:bidi="ar-SA"/>
              </w:rPr>
              <w:t>×天然气用量=（0.02×200）kg/万m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×31.362万Nm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/a≈0.1254t/a；</w:t>
            </w:r>
          </w:p>
          <w:p>
            <w:pPr>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jc w:val="both"/>
              <w:textAlignment w:val="auto"/>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氮氧化物=6.97</w:t>
            </w:r>
            <w:r>
              <w:rPr>
                <w:rFonts w:hint="default" w:ascii="Times New Roman" w:hAnsi="Times New Roman" w:eastAsia="宋体" w:cs="Times New Roman"/>
                <w:color w:val="auto"/>
                <w:kern w:val="0"/>
                <w:sz w:val="24"/>
                <w:szCs w:val="24"/>
                <w:highlight w:val="none"/>
                <w:lang w:val="en-US" w:eastAsia="zh-CN" w:bidi="ar"/>
              </w:rPr>
              <w:t>千克/万m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-原料</w:t>
            </w:r>
            <w:r>
              <w:rPr>
                <w:rFonts w:hint="default" w:ascii="Times New Roman" w:hAnsi="Times New Roman" w:eastAsia="宋体" w:cs="Times New Roman"/>
                <w:color w:val="auto"/>
                <w:kern w:val="0"/>
                <w:sz w:val="24"/>
                <w:szCs w:val="20"/>
                <w:highlight w:val="none"/>
                <w:lang w:val="en-US" w:eastAsia="zh-CN" w:bidi="ar-SA"/>
              </w:rPr>
              <w:t>×天然气用量=6.97kg/万m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×31.362万Nm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/a≈0.095t/a。</w:t>
            </w:r>
          </w:p>
          <w:p>
            <w:pPr>
              <w:keepNext w:val="0"/>
              <w:keepLines w:val="0"/>
              <w:pageBreakBefore w:val="0"/>
              <w:widowControl/>
              <w:kinsoku/>
              <w:wordWrap/>
              <w:overflowPunct/>
              <w:topLinePunct w:val="0"/>
              <w:autoSpaceDE/>
              <w:autoSpaceDN/>
              <w:bidi w:val="0"/>
              <w:adjustRightInd w:val="0"/>
              <w:snapToGrid w:val="0"/>
              <w:spacing w:before="0" w:after="0" w:line="360" w:lineRule="auto"/>
              <w:ind w:right="0" w:firstLine="480" w:firstLineChars="200"/>
              <w:jc w:val="both"/>
              <w:textAlignment w:val="auto"/>
              <w:rPr>
                <w:rFonts w:hint="default" w:ascii="Times New Roman" w:hAnsi="Times New Roman" w:eastAsia="宋体" w:cs="Times New Roman"/>
                <w:color w:val="auto"/>
                <w:kern w:val="0"/>
                <w:sz w:val="24"/>
                <w:szCs w:val="20"/>
                <w:highlight w:val="none"/>
                <w:lang w:val="en-US" w:eastAsia="zh-CN" w:bidi="ar-SA"/>
              </w:rPr>
            </w:pPr>
            <w:r>
              <w:rPr>
                <w:rFonts w:hint="default" w:ascii="Times New Roman" w:hAnsi="Times New Roman" w:eastAsia="宋体" w:cs="Times New Roman"/>
                <w:color w:val="auto"/>
                <w:kern w:val="0"/>
                <w:sz w:val="24"/>
                <w:szCs w:val="20"/>
                <w:highlight w:val="none"/>
                <w:lang w:val="en-US" w:eastAsia="zh-CN" w:bidi="ar-SA"/>
              </w:rPr>
              <w:t>颗粒物=1.40</w:t>
            </w:r>
            <w:r>
              <w:rPr>
                <w:rFonts w:hint="default" w:ascii="Times New Roman" w:hAnsi="Times New Roman" w:eastAsia="宋体" w:cs="Times New Roman"/>
                <w:color w:val="auto"/>
                <w:kern w:val="0"/>
                <w:sz w:val="24"/>
                <w:szCs w:val="24"/>
                <w:highlight w:val="none"/>
                <w:lang w:val="en-US" w:eastAsia="zh-CN" w:bidi="ar"/>
              </w:rPr>
              <w:t>千克/万m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-原料</w:t>
            </w:r>
            <w:r>
              <w:rPr>
                <w:rFonts w:hint="default" w:ascii="Times New Roman" w:hAnsi="Times New Roman" w:eastAsia="宋体" w:cs="Times New Roman"/>
                <w:color w:val="auto"/>
                <w:kern w:val="0"/>
                <w:sz w:val="24"/>
                <w:szCs w:val="20"/>
                <w:highlight w:val="none"/>
                <w:lang w:val="en-US" w:eastAsia="zh-CN" w:bidi="ar-SA"/>
              </w:rPr>
              <w:t>×天然气用量=1.40kg/万m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×31.362万Nm</w:t>
            </w:r>
            <w:r>
              <w:rPr>
                <w:rFonts w:hint="default" w:ascii="Times New Roman" w:hAnsi="Times New Roman" w:eastAsia="宋体" w:cs="Times New Roman"/>
                <w:color w:val="auto"/>
                <w:kern w:val="0"/>
                <w:sz w:val="24"/>
                <w:szCs w:val="20"/>
                <w:highlight w:val="none"/>
                <w:vertAlign w:val="superscript"/>
                <w:lang w:val="en-US" w:eastAsia="zh-CN" w:bidi="ar-SA"/>
              </w:rPr>
              <w:t>3</w:t>
            </w:r>
            <w:r>
              <w:rPr>
                <w:rFonts w:hint="default" w:ascii="Times New Roman" w:hAnsi="Times New Roman" w:eastAsia="宋体" w:cs="Times New Roman"/>
                <w:color w:val="auto"/>
                <w:kern w:val="0"/>
                <w:sz w:val="24"/>
                <w:szCs w:val="20"/>
                <w:highlight w:val="none"/>
                <w:lang w:val="en-US" w:eastAsia="zh-CN" w:bidi="ar-SA"/>
              </w:rPr>
              <w:t>/a=0.0439t/a。</w:t>
            </w:r>
          </w:p>
          <w:p>
            <w:pPr>
              <w:keepNext w:val="0"/>
              <w:keepLines w:val="0"/>
              <w:pageBreakBefore w:val="0"/>
              <w:widowControl/>
              <w:kinsoku/>
              <w:wordWrap/>
              <w:overflowPunct/>
              <w:topLinePunct w:val="0"/>
              <w:autoSpaceDE/>
              <w:autoSpaceDN/>
              <w:bidi w:val="0"/>
              <w:adjustRightInd w:val="0"/>
              <w:snapToGrid w:val="0"/>
              <w:spacing w:before="0" w:after="0" w:line="360" w:lineRule="auto"/>
              <w:ind w:right="0" w:firstLine="482" w:firstLineChars="200"/>
              <w:jc w:val="both"/>
              <w:textAlignment w:val="auto"/>
              <w:rPr>
                <w:rFonts w:hint="default" w:ascii="Times New Roman" w:hAnsi="Times New Roman" w:cs="Times New Roman"/>
                <w:b/>
                <w:bCs/>
                <w:color w:val="auto"/>
                <w:highlight w:val="none"/>
                <w:lang w:val="en-US" w:eastAsia="zh-CN"/>
              </w:rPr>
            </w:pPr>
            <w:r>
              <w:rPr>
                <w:rFonts w:hint="default" w:ascii="Times New Roman" w:hAnsi="Times New Roman" w:eastAsia="宋体" w:cs="Times New Roman"/>
                <w:b/>
                <w:bCs/>
                <w:color w:val="auto"/>
                <w:kern w:val="0"/>
                <w:sz w:val="24"/>
                <w:szCs w:val="20"/>
                <w:highlight w:val="none"/>
                <w:lang w:val="en-US" w:eastAsia="zh-CN" w:bidi="ar-SA"/>
              </w:rPr>
              <w:t>天然气燃烧后的废气采用1套2000m</w:t>
            </w:r>
            <w:r>
              <w:rPr>
                <w:rFonts w:hint="default" w:ascii="Times New Roman" w:hAnsi="Times New Roman" w:eastAsia="宋体" w:cs="Times New Roman"/>
                <w:b/>
                <w:bCs/>
                <w:color w:val="auto"/>
                <w:kern w:val="0"/>
                <w:sz w:val="24"/>
                <w:szCs w:val="20"/>
                <w:highlight w:val="none"/>
                <w:vertAlign w:val="superscript"/>
                <w:lang w:val="en-US" w:eastAsia="zh-CN" w:bidi="ar-SA"/>
              </w:rPr>
              <w:t>3</w:t>
            </w:r>
            <w:r>
              <w:rPr>
                <w:rFonts w:hint="default" w:ascii="Times New Roman" w:hAnsi="Times New Roman" w:eastAsia="宋体" w:cs="Times New Roman"/>
                <w:b/>
                <w:bCs/>
                <w:color w:val="auto"/>
                <w:kern w:val="0"/>
                <w:sz w:val="24"/>
                <w:szCs w:val="20"/>
                <w:highlight w:val="none"/>
                <w:lang w:val="en-US" w:eastAsia="zh-CN" w:bidi="ar-SA"/>
              </w:rPr>
              <w:t>/h的低氮燃烧设施处理后通过1根22m高的排气筒DA005高空排放。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3、废气收集及处理情况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（1）（聚氨酯高密度棉）预搅拌、混合发泡、流平、烘烤、涂布、UV固化工序产生的废气收集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本项目（</w:t>
            </w:r>
            <w:r>
              <w:rPr>
                <w:rFonts w:hint="default" w:ascii="Times New Roman" w:hAnsi="Times New Roman" w:cs="Times New Roman"/>
                <w:b w:val="0"/>
                <w:bCs w:val="0"/>
                <w:color w:val="auto"/>
                <w:sz w:val="24"/>
                <w:szCs w:val="24"/>
                <w:highlight w:val="none"/>
                <w:lang w:val="en-US" w:eastAsia="zh-CN"/>
              </w:rPr>
              <w:t>聚氨酯高密度棉）预搅拌、混合发泡、流平、烘烤、涂布、UV固化工序产生的废气</w:t>
            </w:r>
            <w:r>
              <w:rPr>
                <w:rFonts w:hint="default" w:ascii="Times New Roman" w:hAnsi="Times New Roman" w:cs="Times New Roman"/>
                <w:b w:val="0"/>
                <w:bCs w:val="0"/>
                <w:color w:val="auto"/>
                <w:highlight w:val="none"/>
                <w:lang w:val="en-US" w:eastAsia="zh-CN"/>
              </w:rPr>
              <w:t>收集后经1套“水喷淋+干式过滤器+二级活性炭吸附装置”处理达标后经1根15m高的排气筒DA004排放。</w:t>
            </w:r>
          </w:p>
          <w:p>
            <w:pPr>
              <w:pStyle w:val="27"/>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①收集装置：</w:t>
            </w:r>
            <w:r>
              <w:rPr>
                <w:rFonts w:hint="default" w:ascii="Times New Roman" w:hAnsi="Times New Roman" w:cs="Times New Roman"/>
                <w:color w:val="auto"/>
                <w:sz w:val="24"/>
                <w:szCs w:val="24"/>
                <w:highlight w:val="none"/>
                <w:lang w:val="en-US" w:eastAsia="zh-CN"/>
              </w:rPr>
              <w:t>拟在预搅拌罐上方、聚氨酯高密度棉生产线上方连接集气管收集废气。</w:t>
            </w:r>
          </w:p>
          <w:p>
            <w:pPr>
              <w:pStyle w:val="27"/>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cs="Times New Roman"/>
                <w:b/>
                <w:bCs w:val="0"/>
                <w:color w:val="auto"/>
                <w:sz w:val="24"/>
                <w:szCs w:val="24"/>
                <w:highlight w:val="none"/>
                <w:lang w:val="en-US" w:eastAsia="zh-CN"/>
              </w:rPr>
              <w:t>②收集效率：</w:t>
            </w:r>
            <w:r>
              <w:rPr>
                <w:rFonts w:hint="default" w:ascii="Times New Roman" w:hAnsi="Times New Roman" w:eastAsia="宋体" w:cs="Times New Roman"/>
                <w:color w:val="auto"/>
                <w:sz w:val="24"/>
                <w:highlight w:val="none"/>
                <w:lang w:val="en-US" w:eastAsia="zh-CN"/>
              </w:rPr>
              <w:t>参照</w:t>
            </w:r>
            <w:r>
              <w:rPr>
                <w:rFonts w:hint="default" w:ascii="Times New Roman" w:hAnsi="Times New Roman" w:eastAsia="宋体" w:cs="Times New Roman"/>
                <w:b w:val="0"/>
                <w:bCs/>
                <w:color w:val="auto"/>
                <w:sz w:val="24"/>
                <w:szCs w:val="24"/>
                <w:highlight w:val="none"/>
                <w:lang w:val="en-US" w:eastAsia="zh-CN"/>
              </w:rPr>
              <w:t>《广东省工业源挥发性有机物减排量核算方法（试行）》中表4.5-1，包围型集气设备：“”设备废气排口直连-设备有固定排放管(或口)直接与风管连接，设备整体密闭只留产品进出口，且进出口处有废气收集措施，收集系统运行时周边基本无VOCs散发，集气效率可取95%”，本项目按90%计算。</w:t>
            </w:r>
          </w:p>
          <w:p>
            <w:pPr>
              <w:pStyle w:val="27"/>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bCs w:val="0"/>
                <w:color w:val="auto"/>
                <w:sz w:val="24"/>
                <w:szCs w:val="24"/>
                <w:highlight w:val="none"/>
                <w:lang w:val="en-US" w:eastAsia="zh-CN"/>
              </w:rPr>
              <w:t>③风量设计：</w:t>
            </w:r>
            <w:r>
              <w:rPr>
                <w:rFonts w:hint="default" w:ascii="Times New Roman" w:hAnsi="Times New Roman" w:cs="Times New Roman"/>
                <w:b w:val="0"/>
                <w:bCs/>
                <w:color w:val="auto"/>
                <w:sz w:val="24"/>
                <w:szCs w:val="24"/>
                <w:highlight w:val="none"/>
                <w:lang w:val="en-US" w:eastAsia="zh-CN"/>
              </w:rPr>
              <w:t>集气管</w:t>
            </w:r>
            <w:r>
              <w:rPr>
                <w:rFonts w:hint="default" w:ascii="Times New Roman" w:hAnsi="Times New Roman" w:cs="Times New Roman"/>
                <w:b w:val="0"/>
                <w:bCs/>
                <w:color w:val="auto"/>
                <w:highlight w:val="none"/>
                <w:lang w:val="en-US" w:eastAsia="zh-CN"/>
              </w:rPr>
              <w:t>风</w:t>
            </w:r>
            <w:r>
              <w:rPr>
                <w:rFonts w:hint="default" w:ascii="Times New Roman" w:hAnsi="Times New Roman" w:cs="Times New Roman"/>
                <w:b w:val="0"/>
                <w:bCs w:val="0"/>
                <w:color w:val="auto"/>
                <w:highlight w:val="none"/>
                <w:lang w:val="en-US" w:eastAsia="zh-CN"/>
              </w:rPr>
              <w:t>量参照《三废处理工程技术手册—废气卷》整体密闭罩的排气量计算公式：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Q=Fv</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Q为排气量（m</w:t>
            </w:r>
            <w:r>
              <w:rPr>
                <w:rFonts w:hint="default" w:ascii="Times New Roman" w:hAnsi="Times New Roman" w:cs="Times New Roman"/>
                <w:b w:val="0"/>
                <w:bCs w:val="0"/>
                <w:color w:val="auto"/>
                <w:highlight w:val="none"/>
                <w:vertAlign w:val="superscript"/>
                <w:lang w:val="en-US" w:eastAsia="zh-CN"/>
              </w:rPr>
              <w:t>3</w:t>
            </w:r>
            <w:r>
              <w:rPr>
                <w:rFonts w:hint="default" w:ascii="Times New Roman" w:hAnsi="Times New Roman" w:cs="Times New Roman"/>
                <w:b w:val="0"/>
                <w:bCs w:val="0"/>
                <w:color w:val="auto"/>
                <w:highlight w:val="none"/>
                <w:lang w:val="en-US" w:eastAsia="zh-CN"/>
              </w:rPr>
              <w:t>/s）；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F为缝隙面积（m</w:t>
            </w:r>
            <w:r>
              <w:rPr>
                <w:rFonts w:hint="default" w:ascii="Times New Roman" w:hAnsi="Times New Roman" w:cs="Times New Roman"/>
                <w:b w:val="0"/>
                <w:bCs w:val="0"/>
                <w:color w:val="auto"/>
                <w:highlight w:val="none"/>
                <w:vertAlign w:val="superscript"/>
                <w:lang w:val="en-US" w:eastAsia="zh-CN"/>
              </w:rPr>
              <w:t>2</w:t>
            </w:r>
            <w:r>
              <w:rPr>
                <w:rFonts w:hint="default" w:ascii="Times New Roman" w:hAnsi="Times New Roman" w:cs="Times New Roman"/>
                <w:b w:val="0"/>
                <w:bCs w:val="0"/>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v为缝隙风速（m/s，本报告取0.5）。</w:t>
            </w:r>
          </w:p>
          <w:p>
            <w:pPr>
              <w:pStyle w:val="45"/>
              <w:numPr>
                <w:ilvl w:val="0"/>
                <w:numId w:val="16"/>
              </w:numPr>
              <w:shd w:val="clear" w:color="auto" w:fill="auto"/>
              <w:tabs>
                <w:tab w:val="clear" w:pos="0"/>
              </w:tabs>
              <w:bidi w:val="0"/>
              <w:ind w:left="0" w:leftChars="0" w:firstLine="403"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聚氨酯高密度棉生产线</w:t>
            </w:r>
            <w:r>
              <w:rPr>
                <w:rFonts w:hint="default" w:ascii="Times New Roman" w:hAnsi="Times New Roman" w:eastAsia="宋体" w:cs="Times New Roman"/>
                <w:color w:val="auto"/>
                <w:highlight w:val="none"/>
                <w:lang w:val="en-US" w:eastAsia="zh-CN"/>
              </w:rPr>
              <w:t>风量设计参数表</w:t>
            </w:r>
          </w:p>
          <w:tbl>
            <w:tblPr>
              <w:tblStyle w:val="32"/>
              <w:tblW w:w="9396"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1"/>
              <w:gridCol w:w="1050"/>
              <w:gridCol w:w="733"/>
              <w:gridCol w:w="1133"/>
              <w:gridCol w:w="917"/>
              <w:gridCol w:w="1083"/>
              <w:gridCol w:w="850"/>
              <w:gridCol w:w="105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368"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设备</w:t>
                  </w:r>
                </w:p>
              </w:tc>
              <w:tc>
                <w:tcPr>
                  <w:tcW w:w="558"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集气</w:t>
                  </w:r>
                  <w:r>
                    <w:rPr>
                      <w:rFonts w:hint="default" w:ascii="Times New Roman" w:hAnsi="Times New Roman" w:cs="Times New Roman"/>
                      <w:b/>
                      <w:bCs/>
                      <w:color w:val="auto"/>
                      <w:sz w:val="21"/>
                      <w:szCs w:val="21"/>
                      <w:lang w:val="en-US" w:eastAsia="zh-CN"/>
                    </w:rPr>
                    <w:t>设施</w:t>
                  </w:r>
                  <w:r>
                    <w:rPr>
                      <w:rFonts w:hint="default" w:ascii="Times New Roman" w:hAnsi="Times New Roman" w:cs="Times New Roman"/>
                      <w:b/>
                      <w:bCs/>
                      <w:color w:val="auto"/>
                      <w:sz w:val="21"/>
                      <w:szCs w:val="21"/>
                    </w:rPr>
                    <w:t>类型</w:t>
                  </w:r>
                </w:p>
              </w:tc>
              <w:tc>
                <w:tcPr>
                  <w:tcW w:w="390"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直径（m）</w:t>
                  </w:r>
                </w:p>
              </w:tc>
              <w:tc>
                <w:tcPr>
                  <w:tcW w:w="602"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缝隙面积F（m</w:t>
                  </w:r>
                  <w:r>
                    <w:rPr>
                      <w:rFonts w:hint="default" w:ascii="Times New Roman" w:hAnsi="Times New Roman" w:cs="Times New Roman"/>
                      <w:b/>
                      <w:bCs/>
                      <w:color w:val="auto"/>
                      <w:sz w:val="21"/>
                      <w:szCs w:val="21"/>
                      <w:vertAlign w:val="superscript"/>
                    </w:rPr>
                    <w:t>2</w:t>
                  </w:r>
                  <w:r>
                    <w:rPr>
                      <w:rFonts w:hint="default" w:ascii="Times New Roman" w:hAnsi="Times New Roman" w:cs="Times New Roman"/>
                      <w:b/>
                      <w:bCs/>
                      <w:color w:val="auto"/>
                      <w:sz w:val="21"/>
                      <w:szCs w:val="21"/>
                    </w:rPr>
                    <w:t>）</w:t>
                  </w:r>
                </w:p>
              </w:tc>
              <w:tc>
                <w:tcPr>
                  <w:tcW w:w="487"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缝隙风速</w:t>
                  </w:r>
                  <w:r>
                    <w:rPr>
                      <w:rFonts w:hint="default" w:ascii="Times New Roman" w:hAnsi="Times New Roman" w:cs="Times New Roman"/>
                      <w:b/>
                      <w:bCs/>
                      <w:color w:val="auto"/>
                      <w:sz w:val="21"/>
                      <w:szCs w:val="21"/>
                      <w:lang w:val="en-US" w:eastAsia="zh-CN"/>
                    </w:rPr>
                    <w:t>v</w:t>
                  </w:r>
                  <w:r>
                    <w:rPr>
                      <w:rFonts w:hint="default" w:ascii="Times New Roman" w:hAnsi="Times New Roman" w:cs="Times New Roman"/>
                      <w:b/>
                      <w:bCs/>
                      <w:color w:val="auto"/>
                      <w:sz w:val="21"/>
                      <w:szCs w:val="21"/>
                    </w:rPr>
                    <w:t>（m/s）</w:t>
                  </w:r>
                </w:p>
              </w:tc>
              <w:tc>
                <w:tcPr>
                  <w:tcW w:w="576"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单个集气设施风量（m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452"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集气设施数量（个）</w:t>
                  </w:r>
                </w:p>
              </w:tc>
              <w:tc>
                <w:tcPr>
                  <w:tcW w:w="563"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36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预搅拌罐（1500L）  </w:t>
                  </w:r>
                </w:p>
              </w:tc>
              <w:tc>
                <w:tcPr>
                  <w:tcW w:w="55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lang w:val="en-US" w:eastAsia="zh-CN"/>
                    </w:rPr>
                    <w:t>集气管</w:t>
                  </w:r>
                </w:p>
              </w:tc>
              <w:tc>
                <w:tcPr>
                  <w:tcW w:w="39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6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0.5024</w:t>
                  </w:r>
                </w:p>
              </w:tc>
              <w:tc>
                <w:tcPr>
                  <w:tcW w:w="48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0.5</w:t>
                  </w:r>
                </w:p>
              </w:tc>
              <w:tc>
                <w:tcPr>
                  <w:tcW w:w="57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904.32</w:t>
                  </w:r>
                </w:p>
              </w:tc>
              <w:tc>
                <w:tcPr>
                  <w:tcW w:w="4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3</w:t>
                  </w: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2712.96</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36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预搅拌罐（150L）</w:t>
                  </w:r>
                </w:p>
              </w:tc>
              <w:tc>
                <w:tcPr>
                  <w:tcW w:w="55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集气管</w:t>
                  </w:r>
                </w:p>
              </w:tc>
              <w:tc>
                <w:tcPr>
                  <w:tcW w:w="39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w:t>
                  </w:r>
                </w:p>
              </w:tc>
              <w:tc>
                <w:tcPr>
                  <w:tcW w:w="6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0.1256</w:t>
                  </w:r>
                </w:p>
              </w:tc>
              <w:tc>
                <w:tcPr>
                  <w:tcW w:w="48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lang w:val="en-US" w:eastAsia="zh-CN"/>
                    </w:rPr>
                  </w:pPr>
                </w:p>
              </w:tc>
              <w:tc>
                <w:tcPr>
                  <w:tcW w:w="57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226.08</w:t>
                  </w:r>
                </w:p>
              </w:tc>
              <w:tc>
                <w:tcPr>
                  <w:tcW w:w="4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6</w:t>
                  </w: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1356.48</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3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bCs/>
                      <w:color w:val="auto"/>
                      <w:sz w:val="21"/>
                      <w:szCs w:val="21"/>
                      <w:lang w:val="en-US" w:eastAsia="zh-CN"/>
                    </w:rPr>
                    <w:t>聚氨酯高密度棉整体生产线（包含混合发泡、流平、烘烤、涂布、UV固化等）</w:t>
                  </w:r>
                </w:p>
              </w:tc>
              <w:tc>
                <w:tcPr>
                  <w:tcW w:w="55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集气管</w:t>
                  </w:r>
                </w:p>
              </w:tc>
              <w:tc>
                <w:tcPr>
                  <w:tcW w:w="39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bCs/>
                      <w:color w:val="auto"/>
                      <w:sz w:val="21"/>
                      <w:szCs w:val="21"/>
                      <w:lang w:val="en-US" w:eastAsia="zh-CN"/>
                    </w:rPr>
                    <w:t>0.5</w:t>
                  </w:r>
                </w:p>
              </w:tc>
              <w:tc>
                <w:tcPr>
                  <w:tcW w:w="60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3.14</w:t>
                  </w:r>
                </w:p>
              </w:tc>
              <w:tc>
                <w:tcPr>
                  <w:tcW w:w="487"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bCs/>
                      <w:color w:val="auto"/>
                      <w:sz w:val="21"/>
                      <w:szCs w:val="21"/>
                      <w:lang w:val="en-US" w:eastAsia="zh-CN"/>
                    </w:rPr>
                    <w:t>0.5</w:t>
                  </w:r>
                </w:p>
              </w:tc>
              <w:tc>
                <w:tcPr>
                  <w:tcW w:w="57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5652</w:t>
                  </w:r>
                </w:p>
              </w:tc>
              <w:tc>
                <w:tcPr>
                  <w:tcW w:w="4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w:t>
                  </w: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28260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436" w:type="pct"/>
                  <w:gridSpan w:val="7"/>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合计</w:t>
                  </w:r>
                </w:p>
              </w:tc>
              <w:tc>
                <w:tcPr>
                  <w:tcW w:w="563" w:type="pct"/>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32329.44</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考虑到风管损失，本项目拟设置40000m</w:t>
            </w:r>
            <w:r>
              <w:rPr>
                <w:rFonts w:hint="default" w:ascii="Times New Roman" w:hAnsi="Times New Roman" w:cs="Times New Roman"/>
                <w:b w:val="0"/>
                <w:bCs w:val="0"/>
                <w:color w:val="auto"/>
                <w:highlight w:val="none"/>
                <w:vertAlign w:val="superscript"/>
                <w:lang w:val="en-US" w:eastAsia="zh-CN"/>
              </w:rPr>
              <w:t>3</w:t>
            </w:r>
            <w:r>
              <w:rPr>
                <w:rFonts w:hint="default" w:ascii="Times New Roman" w:hAnsi="Times New Roman" w:cs="Times New Roman"/>
                <w:b w:val="0"/>
                <w:bCs w:val="0"/>
                <w:color w:val="auto"/>
                <w:highlight w:val="none"/>
                <w:lang w:val="en-US" w:eastAsia="zh-CN"/>
              </w:rPr>
              <w:t>/h的风机收集聚氨酯高密度棉生产过程产生的废气。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④处理效率</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根据</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广东省家具制造行业挥发性有机废气治理技术指南</w:t>
            </w:r>
            <w:r>
              <w:rPr>
                <w:rFonts w:hint="default" w:ascii="Times New Roman" w:hAnsi="Times New Roman" w:cs="Times New Roman"/>
                <w:color w:val="auto"/>
                <w:sz w:val="24"/>
              </w:rPr>
              <w:t>》，活性炭治理</w:t>
            </w:r>
            <w:r>
              <w:rPr>
                <w:rFonts w:hint="default" w:ascii="Times New Roman" w:hAnsi="Times New Roman" w:cs="Times New Roman"/>
                <w:color w:val="auto"/>
                <w:sz w:val="24"/>
                <w:lang w:val="en-US" w:eastAsia="zh-CN"/>
              </w:rPr>
              <w:t>有机废气</w:t>
            </w:r>
            <w:r>
              <w:rPr>
                <w:rFonts w:hint="default" w:ascii="Times New Roman" w:hAnsi="Times New Roman" w:cs="Times New Roman"/>
                <w:color w:val="auto"/>
                <w:sz w:val="24"/>
              </w:rPr>
              <w:t>效率可达</w:t>
            </w:r>
            <w:r>
              <w:rPr>
                <w:rFonts w:hint="default" w:ascii="Times New Roman" w:hAnsi="Times New Roman" w:cs="Times New Roman"/>
                <w:color w:val="auto"/>
                <w:sz w:val="24"/>
                <w:lang w:val="en-US" w:eastAsia="zh-CN"/>
              </w:rPr>
              <w:t>50~80</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本项目取55</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聚氨酯高密度棉生产过程产生的有机废气拟采用</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水喷淋+</w:t>
            </w:r>
            <w:r>
              <w:rPr>
                <w:rFonts w:hint="default" w:ascii="Times New Roman" w:hAnsi="Times New Roman" w:cs="Times New Roman"/>
                <w:color w:val="auto"/>
                <w:sz w:val="24"/>
              </w:rPr>
              <w:t>二级活性炭吸附装置</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处理</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综合治理效率=1-（1-</w:t>
            </w:r>
            <w:r>
              <w:rPr>
                <w:rFonts w:hint="default" w:ascii="Times New Roman" w:hAnsi="Times New Roman" w:cs="Times New Roman"/>
                <w:color w:val="auto"/>
                <w:sz w:val="24"/>
                <w:lang w:val="en-US" w:eastAsia="zh-CN"/>
              </w:rPr>
              <w:t>55</w:t>
            </w:r>
            <w:r>
              <w:rPr>
                <w:rFonts w:hint="default" w:ascii="Times New Roman" w:hAnsi="Times New Roman" w:cs="Times New Roman"/>
                <w:color w:val="auto"/>
                <w:sz w:val="24"/>
              </w:rPr>
              <w:t>%）</w:t>
            </w:r>
            <w:r>
              <w:rPr>
                <w:rFonts w:hint="default" w:ascii="Times New Roman" w:hAnsi="Times New Roman" w:cs="Times New Roman"/>
                <w:color w:val="auto"/>
                <w:kern w:val="0"/>
                <w:szCs w:val="21"/>
                <w:lang w:val="en-US" w:eastAsia="zh-CN" w:bidi="ar"/>
              </w:rPr>
              <w:t>×</w:t>
            </w: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55</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80</w:t>
            </w:r>
            <w:r>
              <w:rPr>
                <w:rFonts w:hint="default" w:ascii="Times New Roman" w:hAnsi="Times New Roman" w:cs="Times New Roman"/>
                <w:color w:val="auto"/>
                <w:sz w:val="24"/>
              </w:rPr>
              <w:t>%。</w:t>
            </w:r>
          </w:p>
          <w:p>
            <w:pPr>
              <w:adjustRightInd w:val="0"/>
              <w:snapToGrid w:val="0"/>
              <w:spacing w:line="360" w:lineRule="auto"/>
              <w:ind w:firstLine="482" w:firstLineChars="200"/>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bCs/>
                <w:color w:val="auto"/>
                <w:highlight w:val="yellow"/>
                <w:lang w:val="en-US" w:eastAsia="zh-CN"/>
              </w:rPr>
            </w:pPr>
            <w:r>
              <w:rPr>
                <w:rFonts w:hint="default" w:ascii="Times New Roman" w:hAnsi="Times New Roman" w:cs="Times New Roman"/>
                <w:color w:val="auto"/>
                <w:sz w:val="24"/>
              </w:rPr>
              <w:t>根据《排污许可证申请与核发技术规范 橡胶和塑料制品工业》（HJ1122—2020）表A.2可知，本项目废气采用的“</w:t>
            </w:r>
            <w:r>
              <w:rPr>
                <w:rFonts w:hint="default" w:ascii="Times New Roman" w:hAnsi="Times New Roman" w:cs="Times New Roman"/>
                <w:color w:val="auto"/>
                <w:sz w:val="24"/>
                <w:lang w:val="en-US" w:eastAsia="zh-CN"/>
              </w:rPr>
              <w:t>活性炭吸附</w:t>
            </w:r>
            <w:r>
              <w:rPr>
                <w:rFonts w:hint="default" w:ascii="Times New Roman" w:hAnsi="Times New Roman" w:cs="Times New Roman"/>
                <w:color w:val="auto"/>
                <w:sz w:val="24"/>
              </w:rPr>
              <w:t>”为可行技术</w:t>
            </w:r>
            <w:r>
              <w:rPr>
                <w:rFonts w:hint="default"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（2）</w:t>
            </w:r>
            <w:r>
              <w:rPr>
                <w:rFonts w:hint="default" w:ascii="Times New Roman" w:hAnsi="Times New Roman" w:cs="Times New Roman"/>
                <w:b/>
                <w:bCs/>
                <w:color w:val="auto"/>
                <w:sz w:val="24"/>
                <w:szCs w:val="24"/>
                <w:highlight w:val="none"/>
                <w:lang w:val="en-US" w:eastAsia="zh-CN"/>
              </w:rPr>
              <w:t>预搅拌、涂布及烤干</w:t>
            </w:r>
            <w:r>
              <w:rPr>
                <w:rFonts w:hint="default" w:ascii="Times New Roman" w:hAnsi="Times New Roman" w:cs="Times New Roman"/>
                <w:b/>
                <w:bCs/>
                <w:color w:val="auto"/>
                <w:highlight w:val="none"/>
                <w:lang w:val="en-US" w:eastAsia="zh-CN"/>
              </w:rPr>
              <w:t>工序废气的收集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本项目预搅拌、涂布及烤干工序废气收集后经1套“水喷淋+干式过滤器+二级活性炭吸附装置”处理达标后经1根15m高的排气筒DA003排放。</w:t>
            </w:r>
          </w:p>
          <w:p>
            <w:pPr>
              <w:pStyle w:val="27"/>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①收集装置：</w:t>
            </w:r>
            <w:r>
              <w:rPr>
                <w:rFonts w:hint="default" w:ascii="Times New Roman" w:hAnsi="Times New Roman" w:cs="Times New Roman"/>
                <w:color w:val="auto"/>
                <w:sz w:val="24"/>
                <w:szCs w:val="24"/>
                <w:highlight w:val="none"/>
                <w:lang w:val="en-US" w:eastAsia="zh-CN"/>
              </w:rPr>
              <w:t>拟在搅拌机上方设置包围型集气罩、在一体化涂布机上方设置集气管。</w:t>
            </w:r>
          </w:p>
          <w:p>
            <w:pPr>
              <w:pStyle w:val="27"/>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cs="Times New Roman"/>
                <w:b/>
                <w:bCs w:val="0"/>
                <w:color w:val="auto"/>
                <w:sz w:val="24"/>
                <w:szCs w:val="24"/>
                <w:highlight w:val="none"/>
                <w:lang w:val="en-US" w:eastAsia="zh-CN"/>
              </w:rPr>
              <w:t>②收集效率：</w:t>
            </w:r>
            <w:r>
              <w:rPr>
                <w:rFonts w:hint="default" w:ascii="Times New Roman" w:hAnsi="Times New Roman" w:eastAsia="宋体" w:cs="Times New Roman"/>
                <w:color w:val="auto"/>
                <w:sz w:val="24"/>
                <w:highlight w:val="none"/>
                <w:lang w:val="en-US" w:eastAsia="zh-CN"/>
              </w:rPr>
              <w:t>参照</w:t>
            </w:r>
            <w:r>
              <w:rPr>
                <w:rFonts w:hint="default" w:ascii="Times New Roman" w:hAnsi="Times New Roman" w:eastAsia="宋体" w:cs="Times New Roman"/>
                <w:b w:val="0"/>
                <w:bCs/>
                <w:color w:val="auto"/>
                <w:sz w:val="24"/>
                <w:szCs w:val="24"/>
                <w:highlight w:val="none"/>
                <w:lang w:val="en-US" w:eastAsia="zh-CN"/>
              </w:rPr>
              <w:t>《广东省工业源挥发性有机物减排量核算方法（试行）》中表4.5-1，包围型集气设备：“”设备废气排口直连-设备有固定排放管(或口)直接与风管连接，设备整体密闭只留产品进出口，且进出口处有废气收集措施，收集系统运行时周边基本无VOCs散发，集气效率可取95%”，本项目按90%计算；“1、仅保留1个操作工作面；2、仅保留物料进出通道，通道敞开面小于1个操作工位面。敞开面控制风速不小于0.5m/s，集气效率取值80%”，本项目按80%计算。</w:t>
            </w:r>
          </w:p>
          <w:p>
            <w:pPr>
              <w:pStyle w:val="27"/>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bCs w:val="0"/>
                <w:color w:val="auto"/>
                <w:sz w:val="24"/>
                <w:szCs w:val="24"/>
                <w:highlight w:val="none"/>
                <w:lang w:val="en-US" w:eastAsia="zh-CN"/>
              </w:rPr>
              <w:t>③风量设计：</w:t>
            </w:r>
            <w:r>
              <w:rPr>
                <w:rFonts w:hint="default" w:ascii="Times New Roman" w:hAnsi="Times New Roman" w:cs="Times New Roman"/>
                <w:b w:val="0"/>
                <w:bCs/>
                <w:color w:val="auto"/>
                <w:sz w:val="24"/>
                <w:szCs w:val="24"/>
                <w:highlight w:val="none"/>
                <w:lang w:val="en-US" w:eastAsia="zh-CN"/>
              </w:rPr>
              <w:t>集气管</w:t>
            </w:r>
            <w:r>
              <w:rPr>
                <w:rFonts w:hint="default" w:ascii="Times New Roman" w:hAnsi="Times New Roman" w:cs="Times New Roman"/>
                <w:b w:val="0"/>
                <w:bCs/>
                <w:color w:val="auto"/>
                <w:highlight w:val="none"/>
                <w:lang w:val="en-US" w:eastAsia="zh-CN"/>
              </w:rPr>
              <w:t>风</w:t>
            </w:r>
            <w:r>
              <w:rPr>
                <w:rFonts w:hint="default" w:ascii="Times New Roman" w:hAnsi="Times New Roman" w:cs="Times New Roman"/>
                <w:b w:val="0"/>
                <w:bCs w:val="0"/>
                <w:color w:val="auto"/>
                <w:highlight w:val="none"/>
                <w:lang w:val="en-US" w:eastAsia="zh-CN"/>
              </w:rPr>
              <w:t>量参照《三废处理工程技术手册—废气卷》整体密闭罩的排气量计算公式：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Q=Fv</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Q为排气量（m</w:t>
            </w:r>
            <w:r>
              <w:rPr>
                <w:rFonts w:hint="default" w:ascii="Times New Roman" w:hAnsi="Times New Roman" w:cs="Times New Roman"/>
                <w:b w:val="0"/>
                <w:bCs w:val="0"/>
                <w:color w:val="auto"/>
                <w:highlight w:val="none"/>
                <w:vertAlign w:val="superscript"/>
                <w:lang w:val="en-US" w:eastAsia="zh-CN"/>
              </w:rPr>
              <w:t>3</w:t>
            </w:r>
            <w:r>
              <w:rPr>
                <w:rFonts w:hint="default" w:ascii="Times New Roman" w:hAnsi="Times New Roman" w:cs="Times New Roman"/>
                <w:b w:val="0"/>
                <w:bCs w:val="0"/>
                <w:color w:val="auto"/>
                <w:highlight w:val="none"/>
                <w:lang w:val="en-US" w:eastAsia="zh-CN"/>
              </w:rPr>
              <w:t>/s）；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F为缝隙面积（m</w:t>
            </w:r>
            <w:r>
              <w:rPr>
                <w:rFonts w:hint="default" w:ascii="Times New Roman" w:hAnsi="Times New Roman" w:cs="Times New Roman"/>
                <w:b w:val="0"/>
                <w:bCs w:val="0"/>
                <w:color w:val="auto"/>
                <w:highlight w:val="none"/>
                <w:vertAlign w:val="superscript"/>
                <w:lang w:val="en-US" w:eastAsia="zh-CN"/>
              </w:rPr>
              <w:t>2</w:t>
            </w:r>
            <w:r>
              <w:rPr>
                <w:rFonts w:hint="default" w:ascii="Times New Roman" w:hAnsi="Times New Roman" w:cs="Times New Roman"/>
                <w:b w:val="0"/>
                <w:bCs w:val="0"/>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v为缝隙风速（m/s，本报告取0.5）。</w:t>
            </w:r>
          </w:p>
          <w:p>
            <w:pPr>
              <w:pStyle w:val="27"/>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集气罩参照《三废处理工程技术手册—废气卷》矩形及圆形平口排气罩的排气量计算公式：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Q=（10x</w:t>
            </w:r>
            <w:r>
              <w:rPr>
                <w:rFonts w:hint="default" w:ascii="Times New Roman" w:hAnsi="Times New Roman" w:cs="Times New Roman"/>
                <w:b w:val="0"/>
                <w:bCs w:val="0"/>
                <w:color w:val="auto"/>
                <w:highlight w:val="none"/>
                <w:vertAlign w:val="superscript"/>
                <w:lang w:val="en-US" w:eastAsia="zh-CN"/>
              </w:rPr>
              <w:t>2</w:t>
            </w:r>
            <w:r>
              <w:rPr>
                <w:rFonts w:hint="default" w:ascii="Times New Roman" w:hAnsi="Times New Roman" w:cs="Times New Roman"/>
                <w:b w:val="0"/>
                <w:bCs w:val="0"/>
                <w:color w:val="auto"/>
                <w:highlight w:val="none"/>
                <w:lang w:val="en-US" w:eastAsia="zh-CN"/>
              </w:rPr>
              <w:t>+F）Vx</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Q为排气量（m</w:t>
            </w:r>
            <w:r>
              <w:rPr>
                <w:rFonts w:hint="default" w:ascii="Times New Roman" w:hAnsi="Times New Roman" w:cs="Times New Roman"/>
                <w:b w:val="0"/>
                <w:bCs w:val="0"/>
                <w:color w:val="auto"/>
                <w:highlight w:val="none"/>
                <w:vertAlign w:val="superscript"/>
                <w:lang w:val="en-US" w:eastAsia="zh-CN"/>
              </w:rPr>
              <w:t>3</w:t>
            </w:r>
            <w:r>
              <w:rPr>
                <w:rFonts w:hint="default" w:ascii="Times New Roman" w:hAnsi="Times New Roman" w:cs="Times New Roman"/>
                <w:b w:val="0"/>
                <w:bCs w:val="0"/>
                <w:color w:val="auto"/>
                <w:highlight w:val="none"/>
                <w:lang w:val="en-US" w:eastAsia="zh-CN"/>
              </w:rPr>
              <w:t>/s）；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F为罩口面积（m</w:t>
            </w:r>
            <w:r>
              <w:rPr>
                <w:rFonts w:hint="default" w:ascii="Times New Roman" w:hAnsi="Times New Roman" w:cs="Times New Roman"/>
                <w:b w:val="0"/>
                <w:bCs w:val="0"/>
                <w:color w:val="auto"/>
                <w:highlight w:val="none"/>
                <w:vertAlign w:val="superscript"/>
                <w:lang w:val="en-US" w:eastAsia="zh-CN"/>
              </w:rPr>
              <w:t>2</w:t>
            </w:r>
            <w:r>
              <w:rPr>
                <w:rFonts w:hint="default" w:ascii="Times New Roman" w:hAnsi="Times New Roman" w:cs="Times New Roman"/>
                <w:b w:val="0"/>
                <w:bCs w:val="0"/>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x为罩口到设备的距离（m，本报告取0.3）。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Vx为控制风速（m/s，本报告取0.5）</w:t>
            </w:r>
          </w:p>
          <w:p>
            <w:pPr>
              <w:pStyle w:val="45"/>
              <w:numPr>
                <w:ilvl w:val="0"/>
                <w:numId w:val="16"/>
              </w:numPr>
              <w:shd w:val="clear" w:color="auto" w:fill="auto"/>
              <w:tabs>
                <w:tab w:val="clear" w:pos="0"/>
              </w:tabs>
              <w:bidi w:val="0"/>
              <w:ind w:left="0" w:leftChars="0" w:firstLine="403"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保护膜生产线</w:t>
            </w:r>
            <w:r>
              <w:rPr>
                <w:rFonts w:hint="default" w:ascii="Times New Roman" w:hAnsi="Times New Roman" w:eastAsia="宋体" w:cs="Times New Roman"/>
                <w:color w:val="auto"/>
                <w:highlight w:val="none"/>
                <w:lang w:val="en-US" w:eastAsia="zh-CN"/>
              </w:rPr>
              <w:t>风量设计参数表</w:t>
            </w:r>
          </w:p>
          <w:tbl>
            <w:tblPr>
              <w:tblStyle w:val="32"/>
              <w:tblW w:w="9395"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916"/>
              <w:gridCol w:w="1034"/>
              <w:gridCol w:w="1033"/>
              <w:gridCol w:w="1250"/>
              <w:gridCol w:w="1199"/>
              <w:gridCol w:w="1083"/>
              <w:gridCol w:w="850"/>
              <w:gridCol w:w="105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516"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设备</w:t>
                  </w:r>
                </w:p>
              </w:tc>
              <w:tc>
                <w:tcPr>
                  <w:tcW w:w="487"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集气</w:t>
                  </w:r>
                  <w:r>
                    <w:rPr>
                      <w:rFonts w:hint="default" w:ascii="Times New Roman" w:hAnsi="Times New Roman" w:cs="Times New Roman"/>
                      <w:b/>
                      <w:bCs/>
                      <w:color w:val="auto"/>
                      <w:sz w:val="21"/>
                      <w:szCs w:val="21"/>
                      <w:lang w:val="en-US" w:eastAsia="zh-CN"/>
                    </w:rPr>
                    <w:t>设施</w:t>
                  </w:r>
                  <w:r>
                    <w:rPr>
                      <w:rFonts w:hint="default" w:ascii="Times New Roman" w:hAnsi="Times New Roman" w:cs="Times New Roman"/>
                      <w:b/>
                      <w:bCs/>
                      <w:color w:val="auto"/>
                      <w:sz w:val="21"/>
                      <w:szCs w:val="21"/>
                    </w:rPr>
                    <w:t>类型</w:t>
                  </w:r>
                </w:p>
              </w:tc>
              <w:tc>
                <w:tcPr>
                  <w:tcW w:w="550"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直径（m）</w:t>
                  </w:r>
                </w:p>
              </w:tc>
              <w:tc>
                <w:tcPr>
                  <w:tcW w:w="1215" w:type="pct"/>
                  <w:gridSpan w:val="2"/>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缝隙面积F（m</w:t>
                  </w:r>
                  <w:r>
                    <w:rPr>
                      <w:rFonts w:hint="default" w:ascii="Times New Roman" w:hAnsi="Times New Roman" w:cs="Times New Roman"/>
                      <w:b/>
                      <w:bCs/>
                      <w:color w:val="auto"/>
                      <w:sz w:val="21"/>
                      <w:szCs w:val="21"/>
                      <w:vertAlign w:val="superscript"/>
                    </w:rPr>
                    <w:t>2</w:t>
                  </w:r>
                  <w:r>
                    <w:rPr>
                      <w:rFonts w:hint="default" w:ascii="Times New Roman" w:hAnsi="Times New Roman" w:cs="Times New Roman"/>
                      <w:b/>
                      <w:bCs/>
                      <w:color w:val="auto"/>
                      <w:sz w:val="21"/>
                      <w:szCs w:val="21"/>
                    </w:rPr>
                    <w:t>）</w:t>
                  </w:r>
                </w:p>
              </w:tc>
              <w:tc>
                <w:tcPr>
                  <w:tcW w:w="638"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缝隙风速</w:t>
                  </w:r>
                  <w:r>
                    <w:rPr>
                      <w:rFonts w:hint="default" w:ascii="Times New Roman" w:hAnsi="Times New Roman" w:cs="Times New Roman"/>
                      <w:b/>
                      <w:bCs/>
                      <w:color w:val="auto"/>
                      <w:sz w:val="21"/>
                      <w:szCs w:val="21"/>
                      <w:lang w:val="en-US" w:eastAsia="zh-CN"/>
                    </w:rPr>
                    <w:t>v</w:t>
                  </w:r>
                  <w:r>
                    <w:rPr>
                      <w:rFonts w:hint="default" w:ascii="Times New Roman" w:hAnsi="Times New Roman" w:cs="Times New Roman"/>
                      <w:b/>
                      <w:bCs/>
                      <w:color w:val="auto"/>
                      <w:sz w:val="21"/>
                      <w:szCs w:val="21"/>
                    </w:rPr>
                    <w:t>（m/s）</w:t>
                  </w:r>
                </w:p>
              </w:tc>
              <w:tc>
                <w:tcPr>
                  <w:tcW w:w="576"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单个集气设施风量（m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452"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集气设施数量（个）</w:t>
                  </w:r>
                </w:p>
              </w:tc>
              <w:tc>
                <w:tcPr>
                  <w:tcW w:w="563" w:type="pct"/>
                  <w:tcBorders>
                    <w:top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51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保护膜生产线</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集气管</w:t>
                  </w:r>
                </w:p>
              </w:tc>
              <w:tc>
                <w:tcPr>
                  <w:tcW w:w="55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215"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3.14</w:t>
                  </w:r>
                </w:p>
              </w:tc>
              <w:tc>
                <w:tcPr>
                  <w:tcW w:w="63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0.5</w:t>
                  </w:r>
                </w:p>
              </w:tc>
              <w:tc>
                <w:tcPr>
                  <w:tcW w:w="57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5652</w:t>
                  </w:r>
                </w:p>
              </w:tc>
              <w:tc>
                <w:tcPr>
                  <w:tcW w:w="4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5</w:t>
                  </w: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28260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51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设备</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集气</w:t>
                  </w:r>
                  <w:r>
                    <w:rPr>
                      <w:rFonts w:hint="default" w:ascii="Times New Roman" w:hAnsi="Times New Roman" w:cs="Times New Roman"/>
                      <w:b/>
                      <w:bCs/>
                      <w:color w:val="auto"/>
                      <w:sz w:val="21"/>
                      <w:szCs w:val="21"/>
                      <w:lang w:val="en-US" w:eastAsia="zh-CN"/>
                    </w:rPr>
                    <w:t>设施</w:t>
                  </w:r>
                  <w:r>
                    <w:rPr>
                      <w:rFonts w:hint="default" w:ascii="Times New Roman" w:hAnsi="Times New Roman" w:cs="Times New Roman"/>
                      <w:b/>
                      <w:bCs/>
                      <w:color w:val="auto"/>
                      <w:sz w:val="21"/>
                      <w:szCs w:val="21"/>
                    </w:rPr>
                    <w:t>类型</w:t>
                  </w:r>
                </w:p>
              </w:tc>
              <w:tc>
                <w:tcPr>
                  <w:tcW w:w="55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集气罩直径（m）</w:t>
                  </w:r>
                </w:p>
              </w:tc>
              <w:tc>
                <w:tcPr>
                  <w:tcW w:w="54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集气罩面积F</w:t>
                  </w:r>
                  <w:r>
                    <w:rPr>
                      <w:rFonts w:hint="default" w:ascii="Times New Roman" w:hAnsi="Times New Roman" w:cs="Times New Roman"/>
                      <w:b/>
                      <w:bCs/>
                      <w:color w:val="auto"/>
                      <w:sz w:val="21"/>
                      <w:szCs w:val="21"/>
                    </w:rPr>
                    <w:t>（m</w:t>
                  </w:r>
                  <w:r>
                    <w:rPr>
                      <w:rFonts w:hint="default" w:ascii="Times New Roman" w:hAnsi="Times New Roman" w:cs="Times New Roman"/>
                      <w:b/>
                      <w:bCs/>
                      <w:color w:val="auto"/>
                      <w:sz w:val="21"/>
                      <w:szCs w:val="21"/>
                      <w:vertAlign w:val="superscript"/>
                    </w:rPr>
                    <w:t>2</w:t>
                  </w:r>
                  <w:r>
                    <w:rPr>
                      <w:rFonts w:hint="default" w:ascii="Times New Roman" w:hAnsi="Times New Roman" w:cs="Times New Roman"/>
                      <w:b/>
                      <w:bCs/>
                      <w:color w:val="auto"/>
                      <w:sz w:val="21"/>
                      <w:szCs w:val="21"/>
                    </w:rPr>
                    <w:t>）</w:t>
                  </w:r>
                </w:p>
              </w:tc>
              <w:tc>
                <w:tcPr>
                  <w:tcW w:w="66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罩口到设备距离x（m）</w:t>
                  </w:r>
                </w:p>
              </w:tc>
              <w:tc>
                <w:tcPr>
                  <w:tcW w:w="63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控制风速Vx（</w:t>
                  </w:r>
                  <w:r>
                    <w:rPr>
                      <w:rFonts w:hint="default" w:ascii="Times New Roman" w:hAnsi="Times New Roman" w:cs="Times New Roman"/>
                      <w:b/>
                      <w:bCs/>
                      <w:color w:val="auto"/>
                      <w:sz w:val="21"/>
                      <w:szCs w:val="21"/>
                    </w:rPr>
                    <w:t>m/s</w:t>
                  </w:r>
                  <w:r>
                    <w:rPr>
                      <w:rFonts w:hint="default" w:ascii="Times New Roman" w:hAnsi="Times New Roman" w:cs="Times New Roman"/>
                      <w:b/>
                      <w:bCs/>
                      <w:color w:val="auto"/>
                      <w:sz w:val="21"/>
                      <w:szCs w:val="21"/>
                      <w:lang w:val="en-US" w:eastAsia="zh-CN"/>
                    </w:rPr>
                    <w:t>）</w:t>
                  </w:r>
                </w:p>
              </w:tc>
              <w:tc>
                <w:tcPr>
                  <w:tcW w:w="57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单个集气设施风量（m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c>
                <w:tcPr>
                  <w:tcW w:w="45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集气设施数量（个）</w:t>
                  </w:r>
                </w:p>
              </w:tc>
              <w:tc>
                <w:tcPr>
                  <w:tcW w:w="5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风量（m</w:t>
                  </w:r>
                  <w:r>
                    <w:rPr>
                      <w:rFonts w:hint="default" w:ascii="Times New Roman" w:hAnsi="Times New Roman" w:cs="Times New Roman"/>
                      <w:b/>
                      <w:bCs/>
                      <w:color w:val="auto"/>
                      <w:sz w:val="21"/>
                      <w:szCs w:val="21"/>
                      <w:vertAlign w:val="superscript"/>
                    </w:rPr>
                    <w:t>3</w:t>
                  </w:r>
                  <w:r>
                    <w:rPr>
                      <w:rFonts w:hint="default" w:ascii="Times New Roman" w:hAnsi="Times New Roman" w:cs="Times New Roman"/>
                      <w:b/>
                      <w:bCs/>
                      <w:color w:val="auto"/>
                      <w:sz w:val="21"/>
                      <w:szCs w:val="21"/>
                    </w:rPr>
                    <w:t>/h）</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51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搅拌机</w:t>
                  </w:r>
                </w:p>
              </w:tc>
              <w:tc>
                <w:tcPr>
                  <w:tcW w:w="48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集气罩</w:t>
                  </w:r>
                </w:p>
              </w:tc>
              <w:tc>
                <w:tcPr>
                  <w:tcW w:w="550"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549"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66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w:t>
                  </w:r>
                </w:p>
              </w:tc>
              <w:tc>
                <w:tcPr>
                  <w:tcW w:w="638"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0.5</w:t>
                  </w:r>
                </w:p>
              </w:tc>
              <w:tc>
                <w:tcPr>
                  <w:tcW w:w="576"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1747.17</w:t>
                  </w:r>
                </w:p>
              </w:tc>
              <w:tc>
                <w:tcPr>
                  <w:tcW w:w="452"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9</w:t>
                  </w:r>
                </w:p>
              </w:tc>
              <w:tc>
                <w:tcPr>
                  <w:tcW w:w="563"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15724.53</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436" w:type="pct"/>
                  <w:gridSpan w:val="8"/>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合计</w:t>
                  </w:r>
                </w:p>
              </w:tc>
              <w:tc>
                <w:tcPr>
                  <w:tcW w:w="563" w:type="pct"/>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43984.53</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考虑到风管损失，本项目拟设置45000m</w:t>
            </w:r>
            <w:r>
              <w:rPr>
                <w:rFonts w:hint="default" w:ascii="Times New Roman" w:hAnsi="Times New Roman" w:cs="Times New Roman"/>
                <w:b w:val="0"/>
                <w:bCs w:val="0"/>
                <w:color w:val="auto"/>
                <w:highlight w:val="none"/>
                <w:vertAlign w:val="superscript"/>
                <w:lang w:val="en-US" w:eastAsia="zh-CN"/>
              </w:rPr>
              <w:t>3</w:t>
            </w:r>
            <w:r>
              <w:rPr>
                <w:rFonts w:hint="default" w:ascii="Times New Roman" w:hAnsi="Times New Roman" w:cs="Times New Roman"/>
                <w:b w:val="0"/>
                <w:bCs w:val="0"/>
                <w:color w:val="auto"/>
                <w:highlight w:val="none"/>
                <w:lang w:val="en-US" w:eastAsia="zh-CN"/>
              </w:rPr>
              <w:t>/h的风机收集保护膜棉生产过程产生的废气。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④处理效率</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根据</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广东省家具制造行业挥发性有机废气治理技术指南</w:t>
            </w:r>
            <w:r>
              <w:rPr>
                <w:rFonts w:hint="default" w:ascii="Times New Roman" w:hAnsi="Times New Roman" w:cs="Times New Roman"/>
                <w:color w:val="auto"/>
                <w:sz w:val="24"/>
              </w:rPr>
              <w:t>》，活性炭治理</w:t>
            </w:r>
            <w:r>
              <w:rPr>
                <w:rFonts w:hint="default" w:ascii="Times New Roman" w:hAnsi="Times New Roman" w:cs="Times New Roman"/>
                <w:color w:val="auto"/>
                <w:sz w:val="24"/>
                <w:lang w:val="en-US" w:eastAsia="zh-CN"/>
              </w:rPr>
              <w:t>有机废气</w:t>
            </w:r>
            <w:r>
              <w:rPr>
                <w:rFonts w:hint="default" w:ascii="Times New Roman" w:hAnsi="Times New Roman" w:cs="Times New Roman"/>
                <w:color w:val="auto"/>
                <w:sz w:val="24"/>
              </w:rPr>
              <w:t>效率可达</w:t>
            </w:r>
            <w:r>
              <w:rPr>
                <w:rFonts w:hint="default" w:ascii="Times New Roman" w:hAnsi="Times New Roman" w:cs="Times New Roman"/>
                <w:color w:val="auto"/>
                <w:sz w:val="24"/>
                <w:lang w:val="en-US" w:eastAsia="zh-CN"/>
              </w:rPr>
              <w:t>50~80</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本项目取55</w:t>
            </w:r>
            <w:r>
              <w:rPr>
                <w:rFonts w:hint="default" w:ascii="Times New Roman" w:hAnsi="Times New Roman" w:cs="Times New Roman"/>
                <w:color w:val="auto"/>
                <w:sz w:val="24"/>
              </w:rPr>
              <w:t>%</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保护膜生产过程产生的有机废气拟采用</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水喷淋+</w:t>
            </w:r>
            <w:r>
              <w:rPr>
                <w:rFonts w:hint="default" w:ascii="Times New Roman" w:hAnsi="Times New Roman" w:cs="Times New Roman"/>
                <w:color w:val="auto"/>
                <w:sz w:val="24"/>
              </w:rPr>
              <w:t>二级活性炭吸附装置</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处理</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综合治理效率=1-（1-</w:t>
            </w:r>
            <w:r>
              <w:rPr>
                <w:rFonts w:hint="default" w:ascii="Times New Roman" w:hAnsi="Times New Roman" w:cs="Times New Roman"/>
                <w:color w:val="auto"/>
                <w:sz w:val="24"/>
                <w:lang w:val="en-US" w:eastAsia="zh-CN"/>
              </w:rPr>
              <w:t>55</w:t>
            </w:r>
            <w:r>
              <w:rPr>
                <w:rFonts w:hint="default" w:ascii="Times New Roman" w:hAnsi="Times New Roman" w:cs="Times New Roman"/>
                <w:color w:val="auto"/>
                <w:sz w:val="24"/>
              </w:rPr>
              <w:t>%）</w:t>
            </w:r>
            <w:r>
              <w:rPr>
                <w:rFonts w:hint="default" w:ascii="Times New Roman" w:hAnsi="Times New Roman" w:cs="Times New Roman"/>
                <w:color w:val="auto"/>
                <w:kern w:val="0"/>
                <w:szCs w:val="21"/>
                <w:lang w:val="en-US" w:eastAsia="zh-CN" w:bidi="ar"/>
              </w:rPr>
              <w:t>×</w:t>
            </w: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55</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80</w:t>
            </w:r>
            <w:r>
              <w:rPr>
                <w:rFonts w:hint="default" w:ascii="Times New Roman" w:hAnsi="Times New Roman" w:cs="Times New Roman"/>
                <w:color w:val="auto"/>
                <w:sz w:val="24"/>
              </w:rPr>
              <w:t>%。</w:t>
            </w:r>
          </w:p>
          <w:p>
            <w:pPr>
              <w:adjustRightInd w:val="0"/>
              <w:snapToGrid w:val="0"/>
              <w:spacing w:line="360" w:lineRule="auto"/>
              <w:ind w:firstLine="482" w:firstLineChars="200"/>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bCs/>
                <w:color w:val="auto"/>
                <w:highlight w:val="yellow"/>
                <w:lang w:val="en-US" w:eastAsia="zh-CN"/>
              </w:rPr>
            </w:pPr>
            <w:r>
              <w:rPr>
                <w:rFonts w:hint="default" w:ascii="Times New Roman" w:hAnsi="Times New Roman" w:cs="Times New Roman"/>
                <w:color w:val="auto"/>
                <w:sz w:val="24"/>
              </w:rPr>
              <w:t>根据《排污许可证申请与核发技术规范 橡胶和塑料制品工业》（HJ1122—2020）表A.2可知，本项目废气采用的“</w:t>
            </w:r>
            <w:r>
              <w:rPr>
                <w:rFonts w:hint="default" w:ascii="Times New Roman" w:hAnsi="Times New Roman" w:cs="Times New Roman"/>
                <w:color w:val="auto"/>
                <w:sz w:val="24"/>
                <w:lang w:val="en-US" w:eastAsia="zh-CN"/>
              </w:rPr>
              <w:t>活性炭吸附</w:t>
            </w:r>
            <w:r>
              <w:rPr>
                <w:rFonts w:hint="default" w:ascii="Times New Roman" w:hAnsi="Times New Roman" w:cs="Times New Roman"/>
                <w:color w:val="auto"/>
                <w:sz w:val="24"/>
              </w:rPr>
              <w:t>”为可行技术</w:t>
            </w:r>
            <w:r>
              <w:rPr>
                <w:rFonts w:hint="default" w:ascii="Times New Roman" w:hAnsi="Times New Roman" w:cs="Times New Roman"/>
                <w:color w:val="auto"/>
                <w:sz w:val="24"/>
                <w:lang w:eastAsia="zh-CN"/>
              </w:rPr>
              <w:t>。</w:t>
            </w:r>
          </w:p>
          <w:p>
            <w:pPr>
              <w:keepNext w:val="0"/>
              <w:keepLines w:val="0"/>
              <w:pageBreakBefore w:val="0"/>
              <w:numPr>
                <w:ilvl w:val="0"/>
                <w:numId w:val="0"/>
              </w:numPr>
              <w:kinsoku/>
              <w:wordWrap/>
              <w:overflowPunct/>
              <w:topLinePunct w:val="0"/>
              <w:autoSpaceDE/>
              <w:autoSpaceDN/>
              <w:bidi w:val="0"/>
              <w:adjustRightInd/>
              <w:spacing w:line="360" w:lineRule="auto"/>
              <w:ind w:left="471" w:leftChars="0" w:right="0" w:rightChars="0"/>
              <w:textAlignment w:val="auto"/>
              <w:rPr>
                <w:rFonts w:hint="default" w:ascii="Times New Roman" w:hAnsi="Times New Roman" w:eastAsia="宋体" w:cs="Times New Roman"/>
                <w:b/>
                <w:bCs w:val="0"/>
                <w:color w:val="auto"/>
                <w:sz w:val="24"/>
                <w:highlight w:val="none"/>
                <w:lang w:val="en-US" w:eastAsia="zh-CN"/>
              </w:rPr>
            </w:pPr>
            <w:r>
              <w:rPr>
                <w:rFonts w:hint="default" w:ascii="Times New Roman" w:hAnsi="Times New Roman" w:cs="Times New Roman"/>
                <w:b/>
                <w:bCs/>
                <w:color w:val="auto"/>
                <w:lang w:val="en-US" w:eastAsia="zh-CN"/>
              </w:rPr>
              <w:t>⑥</w:t>
            </w:r>
            <w:r>
              <w:rPr>
                <w:rFonts w:hint="default" w:ascii="Times New Roman" w:hAnsi="Times New Roman" w:eastAsia="宋体" w:cs="Times New Roman"/>
                <w:b/>
                <w:bCs w:val="0"/>
                <w:color w:val="auto"/>
                <w:sz w:val="24"/>
                <w:highlight w:val="none"/>
                <w:lang w:val="en-US" w:eastAsia="zh-CN"/>
              </w:rPr>
              <w:t>单位产品非甲烷总烃排放量相符性分析：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bCs/>
                <w:color w:val="auto"/>
                <w:sz w:val="24"/>
                <w:highlight w:val="none"/>
                <w:lang w:val="en-US" w:eastAsia="zh-CN"/>
              </w:rPr>
            </w:pPr>
            <w:r>
              <w:rPr>
                <w:rFonts w:hint="default" w:ascii="Times New Roman" w:hAnsi="Times New Roman" w:cs="Times New Roman"/>
                <w:bCs/>
                <w:color w:val="auto"/>
                <w:sz w:val="24"/>
                <w:highlight w:val="none"/>
                <w:lang w:val="en-US" w:eastAsia="zh-CN"/>
              </w:rPr>
              <w:t>本</w:t>
            </w:r>
            <w:r>
              <w:rPr>
                <w:rFonts w:hint="default" w:ascii="Times New Roman" w:hAnsi="Times New Roman" w:eastAsia="宋体" w:cs="Times New Roman"/>
                <w:bCs/>
                <w:color w:val="auto"/>
                <w:sz w:val="24"/>
                <w:highlight w:val="none"/>
                <w:lang w:val="en-US" w:eastAsia="zh-CN"/>
              </w:rPr>
              <w:t>项目</w:t>
            </w:r>
            <w:r>
              <w:rPr>
                <w:rFonts w:hint="default" w:ascii="Times New Roman" w:hAnsi="Times New Roman" w:cs="Times New Roman"/>
                <w:bCs/>
                <w:color w:val="auto"/>
                <w:sz w:val="24"/>
                <w:highlight w:val="none"/>
                <w:lang w:val="en-US" w:eastAsia="zh-CN"/>
              </w:rPr>
              <w:t>混合发泡过程执行</w:t>
            </w:r>
            <w:r>
              <w:rPr>
                <w:rFonts w:hint="default" w:ascii="Times New Roman" w:hAnsi="Times New Roman" w:eastAsia="宋体" w:cs="Times New Roman"/>
                <w:bCs/>
                <w:color w:val="auto"/>
                <w:sz w:val="24"/>
                <w:highlight w:val="none"/>
                <w:lang w:val="en-US" w:eastAsia="zh-CN"/>
              </w:rPr>
              <w:t>《合成树脂工业污染物排放标准》（GB31572-2015）</w:t>
            </w:r>
            <w:r>
              <w:rPr>
                <w:rFonts w:hint="default" w:ascii="Times New Roman" w:hAnsi="Times New Roman" w:cs="Times New Roman"/>
                <w:bCs/>
                <w:color w:val="auto"/>
                <w:sz w:val="24"/>
                <w:highlight w:val="none"/>
                <w:lang w:val="en-US" w:eastAsia="zh-CN"/>
              </w:rPr>
              <w:t>中表5</w:t>
            </w:r>
            <w:r>
              <w:rPr>
                <w:rFonts w:hint="default" w:ascii="Times New Roman" w:hAnsi="Times New Roman" w:eastAsia="宋体" w:cs="Times New Roman"/>
                <w:bCs/>
                <w:color w:val="auto"/>
                <w:sz w:val="24"/>
                <w:highlight w:val="none"/>
                <w:lang w:val="en-US" w:eastAsia="zh-CN"/>
              </w:rPr>
              <w:t>大气污染物特别排放限值</w:t>
            </w:r>
            <w:r>
              <w:rPr>
                <w:rFonts w:hint="default" w:ascii="Times New Roman" w:hAnsi="Times New Roman" w:cs="Times New Roman"/>
                <w:bCs/>
                <w:color w:val="auto"/>
                <w:sz w:val="24"/>
                <w:highlight w:val="none"/>
                <w:lang w:val="en-US" w:eastAsia="zh-CN"/>
              </w:rPr>
              <w:t>，因此需核算单位产品非甲烷总烃排放量。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highlight w:val="none"/>
              </w:rPr>
            </w:pPr>
            <w:r>
              <w:rPr>
                <w:rFonts w:hint="default" w:ascii="Times New Roman" w:hAnsi="Times New Roman" w:cs="Times New Roman"/>
                <w:bCs/>
                <w:color w:val="auto"/>
                <w:sz w:val="24"/>
                <w:highlight w:val="none"/>
                <w:lang w:val="en-US" w:eastAsia="zh-CN"/>
              </w:rPr>
              <w:t>根据前文分析，DA004有机废气排放口</w:t>
            </w:r>
            <w:r>
              <w:rPr>
                <w:rFonts w:hint="default" w:ascii="Times New Roman" w:hAnsi="Times New Roman" w:eastAsia="宋体" w:cs="Times New Roman"/>
                <w:bCs/>
                <w:color w:val="auto"/>
                <w:sz w:val="24"/>
                <w:highlight w:val="none"/>
                <w:lang w:val="en-US" w:eastAsia="zh-CN"/>
              </w:rPr>
              <w:t>非甲烷总烃有组织排放</w:t>
            </w:r>
            <w:r>
              <w:rPr>
                <w:rFonts w:hint="default" w:ascii="Times New Roman" w:hAnsi="Times New Roman" w:cs="Times New Roman"/>
                <w:bCs/>
                <w:color w:val="auto"/>
                <w:sz w:val="24"/>
                <w:highlight w:val="none"/>
                <w:lang w:val="en-US" w:eastAsia="zh-CN"/>
              </w:rPr>
              <w:t>速率</w:t>
            </w:r>
            <w:r>
              <w:rPr>
                <w:rFonts w:hint="default" w:ascii="Times New Roman" w:hAnsi="Times New Roman" w:eastAsia="宋体" w:cs="Times New Roman"/>
                <w:bCs/>
                <w:color w:val="auto"/>
                <w:sz w:val="24"/>
                <w:highlight w:val="none"/>
                <w:lang w:val="en-US" w:eastAsia="zh-CN"/>
              </w:rPr>
              <w:t>为</w:t>
            </w:r>
            <w:r>
              <w:rPr>
                <w:rFonts w:hint="default" w:ascii="Times New Roman" w:hAnsi="Times New Roman" w:cs="Times New Roman"/>
                <w:bCs/>
                <w:color w:val="auto"/>
                <w:sz w:val="24"/>
                <w:highlight w:val="none"/>
                <w:lang w:val="en-US" w:eastAsia="zh-CN"/>
              </w:rPr>
              <w:t>0.008kg/h</w:t>
            </w:r>
            <w:r>
              <w:rPr>
                <w:rFonts w:hint="default" w:ascii="Times New Roman" w:hAnsi="Times New Roman" w:eastAsia="宋体" w:cs="Times New Roman"/>
                <w:bCs/>
                <w:color w:val="auto"/>
                <w:sz w:val="24"/>
                <w:highlight w:val="none"/>
                <w:lang w:val="en-US" w:eastAsia="zh-CN"/>
              </w:rPr>
              <w:t>，根据《合成树脂工业污染物排放标准》（GB31572-2015）中表5大气污染物特别排放限值中规定，除有机硅树脂外，所有合成树脂类，单位产品非甲烷总烃排放量（kg/t-产品）</w:t>
            </w:r>
            <w:r>
              <w:rPr>
                <w:rFonts w:hint="default" w:ascii="Times New Roman" w:hAnsi="Times New Roman" w:cs="Times New Roman"/>
                <w:bCs/>
                <w:color w:val="auto"/>
                <w:sz w:val="24"/>
                <w:highlight w:val="none"/>
                <w:lang w:val="en-US" w:eastAsia="zh-CN"/>
              </w:rPr>
              <w:t>＜</w:t>
            </w:r>
            <w:r>
              <w:rPr>
                <w:rFonts w:hint="default" w:ascii="Times New Roman" w:hAnsi="Times New Roman" w:eastAsia="宋体" w:cs="Times New Roman"/>
                <w:bCs/>
                <w:color w:val="auto"/>
                <w:sz w:val="24"/>
                <w:highlight w:val="none"/>
                <w:lang w:val="en-US" w:eastAsia="zh-CN"/>
              </w:rPr>
              <w:t>0.3kg/t-产品，本项目</w:t>
            </w:r>
            <w:r>
              <w:rPr>
                <w:rFonts w:hint="default" w:ascii="Times New Roman" w:hAnsi="Times New Roman" w:cs="Times New Roman"/>
                <w:bCs/>
                <w:color w:val="auto"/>
                <w:sz w:val="24"/>
                <w:highlight w:val="none"/>
                <w:lang w:val="en-US" w:eastAsia="zh-CN"/>
              </w:rPr>
              <w:t>聚氨酯高密度棉年产</w:t>
            </w:r>
            <w:r>
              <w:rPr>
                <w:rFonts w:hint="default" w:ascii="Times New Roman" w:hAnsi="Times New Roman" w:eastAsia="宋体" w:cs="Times New Roman"/>
                <w:bCs/>
                <w:color w:val="auto"/>
                <w:sz w:val="24"/>
                <w:highlight w:val="none"/>
                <w:lang w:val="en-US" w:eastAsia="zh-CN"/>
              </w:rPr>
              <w:t>量为</w:t>
            </w:r>
            <w:r>
              <w:rPr>
                <w:rFonts w:hint="default" w:ascii="Times New Roman" w:hAnsi="Times New Roman" w:cs="Times New Roman"/>
                <w:bCs/>
                <w:color w:val="auto"/>
                <w:sz w:val="24"/>
                <w:highlight w:val="none"/>
                <w:lang w:val="en-US" w:eastAsia="zh-CN"/>
              </w:rPr>
              <w:t>40</w:t>
            </w:r>
            <w:r>
              <w:rPr>
                <w:rFonts w:hint="default" w:ascii="Times New Roman" w:hAnsi="Times New Roman" w:eastAsia="宋体" w:cs="Times New Roman"/>
                <w:bCs/>
                <w:color w:val="auto"/>
                <w:sz w:val="24"/>
                <w:highlight w:val="none"/>
                <w:lang w:val="en-US" w:eastAsia="zh-CN"/>
              </w:rPr>
              <w:t>0t，</w:t>
            </w:r>
            <w:r>
              <w:rPr>
                <w:rFonts w:hint="default" w:ascii="Times New Roman" w:hAnsi="Times New Roman" w:cs="Times New Roman"/>
                <w:bCs/>
                <w:color w:val="auto"/>
                <w:sz w:val="24"/>
                <w:highlight w:val="none"/>
                <w:lang w:val="en-US" w:eastAsia="zh-CN"/>
              </w:rPr>
              <w:t>年工作小时为2400h，每小时产量为0.17t/h，则单位产品非甲烷总烃排放量为0.008kg/h÷0.17t/h=0.048</w:t>
            </w:r>
            <w:r>
              <w:rPr>
                <w:rFonts w:hint="default" w:ascii="Times New Roman" w:hAnsi="Times New Roman" w:eastAsia="宋体" w:cs="Times New Roman"/>
                <w:bCs/>
                <w:color w:val="auto"/>
                <w:sz w:val="24"/>
                <w:highlight w:val="none"/>
                <w:lang w:val="en-US" w:eastAsia="zh-CN"/>
              </w:rPr>
              <w:t>kg/t≤0.3kg/t</w:t>
            </w:r>
            <w:r>
              <w:rPr>
                <w:rFonts w:hint="default" w:ascii="Times New Roman" w:hAnsi="Times New Roman" w:cs="Times New Roman"/>
                <w:bCs/>
                <w:color w:val="auto"/>
                <w:sz w:val="24"/>
                <w:highlight w:val="none"/>
                <w:lang w:val="en-US" w:eastAsia="zh-CN"/>
              </w:rPr>
              <w:t>，因此本项目非甲烷总烃有组织排放量</w:t>
            </w:r>
            <w:r>
              <w:rPr>
                <w:rFonts w:hint="default" w:ascii="Times New Roman" w:hAnsi="Times New Roman" w:eastAsia="宋体" w:cs="Times New Roman"/>
                <w:bCs/>
                <w:color w:val="auto"/>
                <w:sz w:val="24"/>
                <w:highlight w:val="none"/>
                <w:lang w:val="en-US" w:eastAsia="zh-CN"/>
              </w:rPr>
              <w:t>符合文件的要求。</w:t>
            </w:r>
          </w:p>
          <w:p>
            <w:pPr>
              <w:ind w:firstLine="482" w:firstLineChars="200"/>
              <w:rPr>
                <w:rFonts w:hint="default" w:ascii="Times New Roman" w:hAnsi="Times New Roman" w:cs="Times New Roman"/>
                <w:color w:val="auto"/>
              </w:rPr>
            </w:pPr>
            <w:r>
              <w:rPr>
                <w:rFonts w:hint="default" w:ascii="Times New Roman" w:hAnsi="Times New Roman" w:cs="Times New Roman"/>
                <w:b/>
                <w:bCs/>
                <w:color w:val="auto"/>
                <w:lang w:val="en-US" w:eastAsia="zh-CN"/>
              </w:rPr>
              <w:t>4、</w:t>
            </w:r>
            <w:r>
              <w:rPr>
                <w:rFonts w:hint="default" w:ascii="Times New Roman" w:hAnsi="Times New Roman" w:cs="Times New Roman"/>
                <w:b/>
                <w:bCs/>
                <w:color w:val="auto"/>
              </w:rPr>
              <w:t>排气口设置情况</w:t>
            </w:r>
          </w:p>
          <w:p>
            <w:pPr>
              <w:ind w:firstLine="480" w:firstLineChars="200"/>
              <w:rPr>
                <w:rFonts w:hint="default" w:ascii="Times New Roman" w:hAnsi="Times New Roman" w:cs="Times New Roman"/>
                <w:color w:val="auto"/>
              </w:rPr>
            </w:pPr>
            <w:r>
              <w:rPr>
                <w:rFonts w:hint="default" w:ascii="Times New Roman" w:hAnsi="Times New Roman" w:cs="Times New Roman"/>
                <w:bCs/>
                <w:color w:val="auto"/>
                <w:szCs w:val="21"/>
              </w:rPr>
              <w:t>项目</w:t>
            </w:r>
            <w:r>
              <w:rPr>
                <w:rFonts w:hint="default" w:ascii="Times New Roman" w:hAnsi="Times New Roman" w:cs="Times New Roman"/>
                <w:color w:val="auto"/>
              </w:rPr>
              <w:t>排气口设置计划见下表。</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lang w:val="en-US" w:eastAsia="zh-CN"/>
              </w:rPr>
              <w:t>扩建后</w:t>
            </w:r>
            <w:r>
              <w:rPr>
                <w:rFonts w:hint="default" w:ascii="Times New Roman" w:hAnsi="Times New Roman" w:cs="Times New Roman"/>
                <w:color w:val="auto"/>
              </w:rPr>
              <w:t>项目排气口设置计划</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1076"/>
              <w:gridCol w:w="1017"/>
              <w:gridCol w:w="1450"/>
              <w:gridCol w:w="1433"/>
              <w:gridCol w:w="667"/>
              <w:gridCol w:w="650"/>
              <w:gridCol w:w="933"/>
              <w:gridCol w:w="817"/>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编号</w:t>
                  </w:r>
                </w:p>
              </w:tc>
              <w:tc>
                <w:tcPr>
                  <w:tcW w:w="581"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550"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1559" w:type="pct"/>
                  <w:gridSpan w:val="2"/>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排气筒底部中心坐标m</w:t>
                  </w:r>
                </w:p>
              </w:tc>
              <w:tc>
                <w:tcPr>
                  <w:tcW w:w="360"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排气温度℃</w:t>
                  </w:r>
                </w:p>
              </w:tc>
              <w:tc>
                <w:tcPr>
                  <w:tcW w:w="1298" w:type="pct"/>
                  <w:gridSpan w:val="3"/>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w:t>
                  </w:r>
                </w:p>
              </w:tc>
              <w:tc>
                <w:tcPr>
                  <w:tcW w:w="387"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581"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550"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784"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E</w:t>
                  </w:r>
                </w:p>
              </w:tc>
              <w:tc>
                <w:tcPr>
                  <w:tcW w:w="775"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N</w:t>
                  </w:r>
                </w:p>
              </w:tc>
              <w:tc>
                <w:tcPr>
                  <w:tcW w:w="360" w:type="pct"/>
                  <w:vMerge w:val="continue"/>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p>
              </w:tc>
              <w:tc>
                <w:tcPr>
                  <w:tcW w:w="35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高度m</w:t>
                  </w:r>
                </w:p>
              </w:tc>
              <w:tc>
                <w:tcPr>
                  <w:tcW w:w="504"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出口</w:t>
                  </w:r>
                </w:p>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内径m</w:t>
                  </w:r>
                </w:p>
              </w:tc>
              <w:tc>
                <w:tcPr>
                  <w:tcW w:w="44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流速</w:t>
                  </w:r>
                  <w:r>
                    <w:rPr>
                      <w:rFonts w:hint="default" w:ascii="Times New Roman" w:hAnsi="Times New Roman" w:eastAsia="宋体" w:cs="Times New Roman"/>
                      <w:b/>
                      <w:bCs/>
                      <w:color w:val="auto"/>
                      <w:sz w:val="21"/>
                      <w:szCs w:val="21"/>
                      <w:highlight w:val="none"/>
                    </w:rPr>
                    <w:t>m/s</w:t>
                  </w:r>
                </w:p>
              </w:tc>
              <w:tc>
                <w:tcPr>
                  <w:tcW w:w="387"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58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DA00</w:t>
                  </w:r>
                  <w:r>
                    <w:rPr>
                      <w:rFonts w:hint="default" w:ascii="Times New Roman" w:hAnsi="Times New Roman" w:cs="Times New Roman"/>
                      <w:color w:val="auto"/>
                      <w:sz w:val="21"/>
                      <w:szCs w:val="21"/>
                      <w:highlight w:val="none"/>
                      <w:lang w:val="en-US" w:eastAsia="zh-CN"/>
                    </w:rPr>
                    <w:t>3有机</w:t>
                  </w:r>
                  <w:r>
                    <w:rPr>
                      <w:rFonts w:hint="default" w:ascii="Times New Roman" w:hAnsi="Times New Roman" w:eastAsia="宋体"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lang w:eastAsia="zh-CN"/>
                    </w:rPr>
                    <w:t>排放口</w:t>
                  </w:r>
                </w:p>
              </w:tc>
              <w:tc>
                <w:tcPr>
                  <w:tcW w:w="550"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总VOCs</w:t>
                  </w:r>
                </w:p>
              </w:tc>
              <w:tc>
                <w:tcPr>
                  <w:tcW w:w="78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113°56′3.145″</w:t>
                  </w:r>
                </w:p>
              </w:tc>
              <w:tc>
                <w:tcPr>
                  <w:tcW w:w="775"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23°10′54.777″</w:t>
                  </w:r>
                </w:p>
              </w:tc>
              <w:tc>
                <w:tcPr>
                  <w:tcW w:w="360"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15</w:t>
                  </w:r>
                </w:p>
              </w:tc>
              <w:tc>
                <w:tcPr>
                  <w:tcW w:w="50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c>
                <w:tcPr>
                  <w:tcW w:w="44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15.92</w:t>
                  </w:r>
                </w:p>
              </w:tc>
              <w:tc>
                <w:tcPr>
                  <w:tcW w:w="387"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c>
                <w:tcPr>
                  <w:tcW w:w="58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default" w:ascii="Times New Roman" w:hAnsi="Times New Roman" w:cs="Times New Roman"/>
                      <w:color w:val="auto"/>
                      <w:sz w:val="21"/>
                      <w:szCs w:val="21"/>
                      <w:highlight w:val="none"/>
                      <w:lang w:val="en-US" w:eastAsia="zh-CN"/>
                    </w:rPr>
                    <w:t>4有机</w:t>
                  </w:r>
                  <w:r>
                    <w:rPr>
                      <w:rFonts w:hint="default" w:ascii="Times New Roman" w:hAnsi="Times New Roman" w:eastAsia="宋体"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lang w:eastAsia="zh-CN"/>
                    </w:rPr>
                    <w:t>排放口</w:t>
                  </w:r>
                </w:p>
              </w:tc>
              <w:tc>
                <w:tcPr>
                  <w:tcW w:w="550"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非甲烷总烃、MDI、臭气浓度、总VOCs</w:t>
                  </w:r>
                </w:p>
              </w:tc>
              <w:tc>
                <w:tcPr>
                  <w:tcW w:w="784"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113°56′6.718″</w:t>
                  </w:r>
                </w:p>
              </w:tc>
              <w:tc>
                <w:tcPr>
                  <w:tcW w:w="775"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23°10′54.565″</w:t>
                  </w:r>
                </w:p>
              </w:tc>
              <w:tc>
                <w:tcPr>
                  <w:tcW w:w="360"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w:t>
                  </w:r>
                </w:p>
              </w:tc>
              <w:tc>
                <w:tcPr>
                  <w:tcW w:w="351" w:type="pct"/>
                  <w:noWrap w:val="0"/>
                  <w:vAlign w:val="center"/>
                </w:tcPr>
                <w:p>
                  <w:pPr>
                    <w:adjustRightInd w:val="0"/>
                    <w:snapToGrid w:val="0"/>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15</w:t>
                  </w:r>
                </w:p>
              </w:tc>
              <w:tc>
                <w:tcPr>
                  <w:tcW w:w="504"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w:t>
                  </w:r>
                </w:p>
              </w:tc>
              <w:tc>
                <w:tcPr>
                  <w:tcW w:w="441"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14.15</w:t>
                  </w:r>
                </w:p>
              </w:tc>
              <w:tc>
                <w:tcPr>
                  <w:tcW w:w="387"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w:t>
                  </w:r>
                </w:p>
              </w:tc>
              <w:tc>
                <w:tcPr>
                  <w:tcW w:w="58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default" w:ascii="Times New Roman" w:hAnsi="Times New Roman" w:cs="Times New Roman"/>
                      <w:color w:val="auto"/>
                      <w:sz w:val="21"/>
                      <w:szCs w:val="21"/>
                      <w:highlight w:val="none"/>
                      <w:lang w:val="en-US" w:eastAsia="zh-CN"/>
                    </w:rPr>
                    <w:t>5燃烧</w:t>
                  </w:r>
                  <w:r>
                    <w:rPr>
                      <w:rFonts w:hint="default" w:ascii="Times New Roman" w:hAnsi="Times New Roman" w:eastAsia="宋体"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lang w:eastAsia="zh-CN"/>
                    </w:rPr>
                    <w:t>排放口</w:t>
                  </w:r>
                </w:p>
              </w:tc>
              <w:tc>
                <w:tcPr>
                  <w:tcW w:w="550"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NOx、SO</w:t>
                  </w:r>
                  <w:r>
                    <w:rPr>
                      <w:rFonts w:hint="default" w:ascii="Times New Roman" w:hAnsi="Times New Roman" w:cs="Times New Roman"/>
                      <w:color w:val="auto"/>
                      <w:sz w:val="21"/>
                      <w:szCs w:val="21"/>
                      <w:highlight w:val="none"/>
                      <w:vertAlign w:val="subscript"/>
                      <w:lang w:val="en-US" w:eastAsia="zh-CN"/>
                    </w:rPr>
                    <w:t>2</w:t>
                  </w:r>
                  <w:r>
                    <w:rPr>
                      <w:rFonts w:hint="default" w:ascii="Times New Roman" w:hAnsi="Times New Roman" w:cs="Times New Roman"/>
                      <w:color w:val="auto"/>
                      <w:sz w:val="21"/>
                      <w:szCs w:val="21"/>
                      <w:highlight w:val="none"/>
                      <w:lang w:val="en-US" w:eastAsia="zh-CN"/>
                    </w:rPr>
                    <w:t>、颗粒物</w:t>
                  </w:r>
                </w:p>
              </w:tc>
              <w:tc>
                <w:tcPr>
                  <w:tcW w:w="784" w:type="pct"/>
                  <w:noWrap w:val="0"/>
                  <w:vAlign w:val="center"/>
                </w:tcPr>
                <w:p>
                  <w:pPr>
                    <w:pStyle w:val="41"/>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113°56′6.699″</w:t>
                  </w:r>
                </w:p>
              </w:tc>
              <w:tc>
                <w:tcPr>
                  <w:tcW w:w="775" w:type="pct"/>
                  <w:noWrap w:val="0"/>
                  <w:vAlign w:val="center"/>
                </w:tcPr>
                <w:p>
                  <w:pPr>
                    <w:pStyle w:val="41"/>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23°10′53.522″</w:t>
                  </w:r>
                </w:p>
              </w:tc>
              <w:tc>
                <w:tcPr>
                  <w:tcW w:w="360"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35</w:t>
                  </w:r>
                </w:p>
              </w:tc>
              <w:tc>
                <w:tcPr>
                  <w:tcW w:w="351" w:type="pct"/>
                  <w:noWrap w:val="0"/>
                  <w:vAlign w:val="center"/>
                </w:tcPr>
                <w:p>
                  <w:pPr>
                    <w:adjustRightInd w:val="0"/>
                    <w:snapToGrid w:val="0"/>
                    <w:spacing w:line="240" w:lineRule="auto"/>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22</w:t>
                  </w:r>
                </w:p>
              </w:tc>
              <w:tc>
                <w:tcPr>
                  <w:tcW w:w="504"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0.3</w:t>
                  </w:r>
                </w:p>
              </w:tc>
              <w:tc>
                <w:tcPr>
                  <w:tcW w:w="441" w:type="pct"/>
                  <w:noWrap w:val="0"/>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7.86</w:t>
                  </w:r>
                </w:p>
              </w:tc>
              <w:tc>
                <w:tcPr>
                  <w:tcW w:w="387"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一般排放口</w:t>
                  </w:r>
                </w:p>
              </w:tc>
            </w:tr>
          </w:tbl>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4、</w:t>
            </w:r>
            <w:r>
              <w:rPr>
                <w:rFonts w:hint="default" w:ascii="Times New Roman" w:hAnsi="Times New Roman" w:cs="Times New Roman"/>
                <w:b/>
                <w:color w:val="auto"/>
                <w:szCs w:val="21"/>
              </w:rPr>
              <w:t>废气监测要求</w:t>
            </w:r>
          </w:p>
          <w:p>
            <w:pPr>
              <w:autoSpaceDE w:val="0"/>
              <w:autoSpaceDN w:val="0"/>
              <w:adjustRightIn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bCs/>
                <w:color w:val="auto"/>
                <w:sz w:val="24"/>
              </w:rPr>
              <w:t>根据</w:t>
            </w:r>
            <w:r>
              <w:rPr>
                <w:rFonts w:hint="default" w:ascii="Times New Roman" w:hAnsi="Times New Roman" w:cs="Times New Roman"/>
                <w:color w:val="auto"/>
                <w:sz w:val="24"/>
              </w:rPr>
              <w:t>《排污许可证申请与核发技术规范 橡胶和塑料制品工业》（HJ1122—2020）</w:t>
            </w:r>
            <w:r>
              <w:rPr>
                <w:rFonts w:hint="default" w:ascii="Times New Roman" w:hAnsi="Times New Roman" w:cs="Times New Roman"/>
                <w:snapToGrid w:val="0"/>
                <w:color w:val="auto"/>
                <w:spacing w:val="4"/>
                <w:kern w:val="18"/>
                <w:sz w:val="24"/>
              </w:rPr>
              <w:t>以及结合《排污单位自行监测指南 总则》（HJ 819－2017）、《排污单位自行监测技术指南 橡胶和塑料制品》（HJ 1207-2021）</w:t>
            </w:r>
            <w:r>
              <w:rPr>
                <w:rFonts w:hint="default" w:ascii="Times New Roman" w:hAnsi="Times New Roman" w:cs="Times New Roman"/>
                <w:bCs/>
                <w:color w:val="auto"/>
                <w:sz w:val="24"/>
              </w:rPr>
              <w:t>制定本</w:t>
            </w:r>
            <w:r>
              <w:rPr>
                <w:rFonts w:hint="default" w:ascii="Times New Roman" w:hAnsi="Times New Roman" w:cs="Times New Roman"/>
                <w:color w:val="auto"/>
                <w:sz w:val="24"/>
              </w:rPr>
              <w:t>项目大气监测计划如下：</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rPr>
              <w:t>废气污染源监测点位、监测指标及最低监测频次一览表</w:t>
            </w:r>
          </w:p>
          <w:tbl>
            <w:tblPr>
              <w:tblStyle w:val="32"/>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723"/>
              <w:gridCol w:w="1336"/>
              <w:gridCol w:w="1484"/>
              <w:gridCol w:w="981"/>
              <w:gridCol w:w="4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blHeader/>
              </w:trPr>
              <w:tc>
                <w:tcPr>
                  <w:tcW w:w="1356" w:type="dxa"/>
                  <w:gridSpan w:val="2"/>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项目</w:t>
                  </w:r>
                </w:p>
              </w:tc>
              <w:tc>
                <w:tcPr>
                  <w:tcW w:w="1336"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监测点位</w:t>
                  </w:r>
                </w:p>
              </w:tc>
              <w:tc>
                <w:tcPr>
                  <w:tcW w:w="1484"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监测指标</w:t>
                  </w:r>
                </w:p>
              </w:tc>
              <w:tc>
                <w:tcPr>
                  <w:tcW w:w="981"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监测频次</w:t>
                  </w:r>
                </w:p>
              </w:tc>
              <w:tc>
                <w:tcPr>
                  <w:tcW w:w="4121"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633" w:type="dxa"/>
                  <w:vMerge w:val="restart"/>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w:t>
                  </w:r>
                </w:p>
              </w:tc>
              <w:tc>
                <w:tcPr>
                  <w:tcW w:w="723" w:type="dxa"/>
                  <w:vMerge w:val="restart"/>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有组织废气</w:t>
                  </w:r>
                </w:p>
              </w:tc>
              <w:tc>
                <w:tcPr>
                  <w:tcW w:w="1336" w:type="dxa"/>
                  <w:vMerge w:val="restar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highlight w:val="none"/>
                      <w:lang w:val="en-US" w:eastAsia="zh-CN"/>
                    </w:rPr>
                    <w:t>DA00</w:t>
                  </w:r>
                  <w:r>
                    <w:rPr>
                      <w:rFonts w:hint="default" w:ascii="Times New Roman" w:hAnsi="Times New Roman" w:cs="Times New Roman"/>
                      <w:color w:val="auto"/>
                      <w:sz w:val="18"/>
                      <w:szCs w:val="18"/>
                      <w:highlight w:val="none"/>
                      <w:lang w:val="en-US" w:eastAsia="zh-CN"/>
                    </w:rPr>
                    <w:t>4有机</w:t>
                  </w:r>
                  <w:r>
                    <w:rPr>
                      <w:rFonts w:hint="default" w:ascii="Times New Roman" w:hAnsi="Times New Roman" w:eastAsia="宋体" w:cs="Times New Roman"/>
                      <w:color w:val="auto"/>
                      <w:sz w:val="18"/>
                      <w:szCs w:val="18"/>
                      <w:highlight w:val="none"/>
                      <w:lang w:val="en-US" w:eastAsia="zh-CN"/>
                    </w:rPr>
                    <w:t>废气</w:t>
                  </w:r>
                  <w:r>
                    <w:rPr>
                      <w:rFonts w:hint="default" w:ascii="Times New Roman" w:hAnsi="Times New Roman" w:cs="Times New Roman"/>
                      <w:color w:val="auto"/>
                      <w:sz w:val="18"/>
                      <w:szCs w:val="18"/>
                      <w:highlight w:val="none"/>
                      <w:lang w:eastAsia="zh-CN"/>
                    </w:rPr>
                    <w:t>排放口</w:t>
                  </w:r>
                </w:p>
              </w:tc>
              <w:tc>
                <w:tcPr>
                  <w:tcW w:w="1484" w:type="dxa"/>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lang w:eastAsia="zh-CN"/>
                    </w:rPr>
                  </w:pPr>
                  <w:r>
                    <w:rPr>
                      <w:rFonts w:hint="default" w:ascii="Times New Roman" w:hAnsi="Times New Roman" w:cs="Times New Roman"/>
                      <w:color w:val="auto"/>
                      <w:sz w:val="18"/>
                      <w:szCs w:val="18"/>
                      <w:highlight w:val="none"/>
                      <w:lang w:val="en-US" w:eastAsia="zh-CN"/>
                    </w:rPr>
                    <w:t>非甲烷总烃</w:t>
                  </w:r>
                </w:p>
              </w:tc>
              <w:tc>
                <w:tcPr>
                  <w:tcW w:w="981" w:type="dxa"/>
                  <w:vMerge w:val="restart"/>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1次/年</w:t>
                  </w:r>
                </w:p>
              </w:tc>
              <w:tc>
                <w:tcPr>
                  <w:tcW w:w="4121" w:type="dxa"/>
                  <w:tcBorders>
                    <w:tl2br w:val="nil"/>
                    <w:tr2bl w:val="nil"/>
                  </w:tcBorders>
                  <w:noWrap/>
                  <w:vAlign w:val="center"/>
                </w:tcPr>
                <w:p>
                  <w:pPr>
                    <w:spacing w:line="240" w:lineRule="auto"/>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《合成树脂工业污染物排放标准》（GB31572-2015）中表5污染物特别排放限值与广东省地方标准《固定污染源挥发性有机物综合排放标准》（DB44/2367—2022）表1挥发性有机物排放限值排放限值两者较严值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TVOC</w:t>
                  </w:r>
                </w:p>
              </w:tc>
              <w:tc>
                <w:tcPr>
                  <w:tcW w:w="981"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412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rPr>
                  </w:pPr>
                  <w:r>
                    <w:rPr>
                      <w:rFonts w:hint="default" w:ascii="Times New Roman" w:hAnsi="Times New Roman" w:cs="Times New Roman"/>
                      <w:color w:val="auto"/>
                      <w:sz w:val="18"/>
                      <w:szCs w:val="18"/>
                      <w:lang w:val="en-US" w:eastAsia="zh-CN"/>
                    </w:rPr>
                    <w:t>广东省地方标准《固定污染源挥发性有机物综合排放标准》（DB44/2367—2022）表1挥发性有机物排放限值排放限值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highlight w:val="none"/>
                      <w:lang w:val="en-US" w:eastAsia="zh-CN"/>
                    </w:rPr>
                    <w:t>MDI</w:t>
                  </w:r>
                </w:p>
              </w:tc>
              <w:tc>
                <w:tcPr>
                  <w:tcW w:w="981"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412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highlight w:val="none"/>
                      <w:vertAlign w:val="baseline"/>
                      <w:lang w:val="en-US" w:eastAsia="zh-CN"/>
                    </w:rPr>
                    <w:t>《合成树脂工业污染物排放标准》（GB31572-2015）中表5污染物特别排放限值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spacing w:line="240" w:lineRule="auto"/>
                    <w:jc w:val="center"/>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highlight w:val="none"/>
                      <w:lang w:val="en-US" w:eastAsia="zh-CN"/>
                    </w:rPr>
                    <w:t>臭气浓度</w:t>
                  </w:r>
                </w:p>
              </w:tc>
              <w:tc>
                <w:tcPr>
                  <w:tcW w:w="98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p>
              </w:tc>
              <w:tc>
                <w:tcPr>
                  <w:tcW w:w="4121"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eastAsia="zh-CN"/>
                    </w:rPr>
                    <w:t>《恶臭污染物排放标准》（GB14554-1993 ）</w:t>
                  </w:r>
                  <w:r>
                    <w:rPr>
                      <w:rFonts w:hint="default" w:ascii="Times New Roman" w:hAnsi="Times New Roman" w:cs="Times New Roman"/>
                      <w:color w:val="auto"/>
                      <w:sz w:val="18"/>
                      <w:szCs w:val="18"/>
                      <w:lang w:val="en-US" w:eastAsia="zh-CN"/>
                    </w:rPr>
                    <w:t>表2中二级标准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restar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DA00</w:t>
                  </w:r>
                  <w:r>
                    <w:rPr>
                      <w:rFonts w:hint="default" w:ascii="Times New Roman" w:hAnsi="Times New Roman" w:cs="Times New Roman"/>
                      <w:color w:val="auto"/>
                      <w:sz w:val="18"/>
                      <w:szCs w:val="18"/>
                      <w:highlight w:val="none"/>
                      <w:lang w:val="en-US" w:eastAsia="zh-CN"/>
                    </w:rPr>
                    <w:t>3有机</w:t>
                  </w:r>
                  <w:r>
                    <w:rPr>
                      <w:rFonts w:hint="default" w:ascii="Times New Roman" w:hAnsi="Times New Roman" w:eastAsia="宋体" w:cs="Times New Roman"/>
                      <w:color w:val="auto"/>
                      <w:sz w:val="18"/>
                      <w:szCs w:val="18"/>
                      <w:highlight w:val="none"/>
                      <w:lang w:val="en-US" w:eastAsia="zh-CN"/>
                    </w:rPr>
                    <w:t>废气</w:t>
                  </w:r>
                  <w:r>
                    <w:rPr>
                      <w:rFonts w:hint="default" w:ascii="Times New Roman" w:hAnsi="Times New Roman" w:cs="Times New Roman"/>
                      <w:color w:val="auto"/>
                      <w:sz w:val="18"/>
                      <w:szCs w:val="18"/>
                      <w:highlight w:val="none"/>
                      <w:lang w:eastAsia="zh-CN"/>
                    </w:rPr>
                    <w:t>排放口</w:t>
                  </w:r>
                </w:p>
              </w:tc>
              <w:tc>
                <w:tcPr>
                  <w:tcW w:w="1484" w:type="dxa"/>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highlight w:val="none"/>
                      <w:lang w:val="en-US" w:eastAsia="zh-CN"/>
                    </w:rPr>
                    <w:t>TVOC</w:t>
                  </w:r>
                </w:p>
              </w:tc>
              <w:tc>
                <w:tcPr>
                  <w:tcW w:w="981" w:type="dxa"/>
                  <w:vMerge w:val="restart"/>
                  <w:tcBorders>
                    <w:tl2br w:val="nil"/>
                    <w:tr2bl w:val="nil"/>
                  </w:tcBorders>
                  <w:noWrap/>
                  <w:vAlign w:val="center"/>
                </w:tcPr>
                <w:p>
                  <w:pPr>
                    <w:pStyle w:val="69"/>
                    <w:snapToGrid w:val="0"/>
                    <w:spacing w:line="240" w:lineRule="auto"/>
                    <w:ind w:firstLine="0" w:firstLineChars="0"/>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rPr>
                    <w:t>1次/年</w:t>
                  </w:r>
                </w:p>
              </w:tc>
              <w:tc>
                <w:tcPr>
                  <w:tcW w:w="4121" w:type="dxa"/>
                  <w:vMerge w:val="restart"/>
                  <w:tcBorders>
                    <w:tl2br w:val="nil"/>
                    <w:tr2bl w:val="nil"/>
                  </w:tcBorders>
                  <w:noWrap/>
                  <w:vAlign w:val="center"/>
                </w:tcPr>
                <w:p>
                  <w:pPr>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rPr>
                    <w:t>广东省地方标准《固定污染源挥发性有机物综合排放标准》（DB44/2367—2022）表1挥发性有机物排放限值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adjustRightInd w:val="0"/>
                    <w:snapToGrid w:val="0"/>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非甲烷总烃</w:t>
                  </w:r>
                </w:p>
              </w:tc>
              <w:tc>
                <w:tcPr>
                  <w:tcW w:w="981" w:type="dxa"/>
                  <w:vMerge w:val="continue"/>
                  <w:tcBorders>
                    <w:tl2br w:val="nil"/>
                    <w:tr2bl w:val="nil"/>
                  </w:tcBorders>
                  <w:noWrap/>
                  <w:vAlign w:val="center"/>
                </w:tcPr>
                <w:p>
                  <w:pPr>
                    <w:pStyle w:val="69"/>
                    <w:snapToGrid w:val="0"/>
                    <w:spacing w:line="240" w:lineRule="auto"/>
                    <w:ind w:firstLine="0" w:firstLineChars="0"/>
                    <w:jc w:val="center"/>
                    <w:rPr>
                      <w:rFonts w:hint="default" w:ascii="Times New Roman" w:hAnsi="Times New Roman" w:eastAsia="宋体" w:cs="Times New Roman"/>
                      <w:color w:val="auto"/>
                      <w:kern w:val="2"/>
                      <w:sz w:val="18"/>
                      <w:szCs w:val="18"/>
                      <w:lang w:val="en-US" w:eastAsia="zh-CN" w:bidi="ar-SA"/>
                    </w:rPr>
                  </w:pPr>
                </w:p>
              </w:tc>
              <w:tc>
                <w:tcPr>
                  <w:tcW w:w="4121" w:type="dxa"/>
                  <w:vMerge w:val="continue"/>
                  <w:tcBorders>
                    <w:tl2br w:val="nil"/>
                    <w:tr2bl w:val="nil"/>
                  </w:tcBorders>
                  <w:noWrap/>
                  <w:vAlign w:val="center"/>
                </w:tcPr>
                <w:p>
                  <w:pPr>
                    <w:spacing w:line="240" w:lineRule="auto"/>
                    <w:jc w:val="center"/>
                    <w:rPr>
                      <w:rFonts w:hint="default" w:ascii="Times New Roman" w:hAnsi="Times New Roman"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restar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DA00</w:t>
                  </w:r>
                  <w:r>
                    <w:rPr>
                      <w:rFonts w:hint="default" w:ascii="Times New Roman" w:hAnsi="Times New Roman" w:cs="Times New Roman"/>
                      <w:color w:val="auto"/>
                      <w:sz w:val="18"/>
                      <w:szCs w:val="18"/>
                      <w:highlight w:val="none"/>
                      <w:lang w:val="en-US" w:eastAsia="zh-CN"/>
                    </w:rPr>
                    <w:t>5燃烧</w:t>
                  </w:r>
                  <w:r>
                    <w:rPr>
                      <w:rFonts w:hint="default" w:ascii="Times New Roman" w:hAnsi="Times New Roman" w:eastAsia="宋体" w:cs="Times New Roman"/>
                      <w:color w:val="auto"/>
                      <w:sz w:val="18"/>
                      <w:szCs w:val="18"/>
                      <w:highlight w:val="none"/>
                      <w:lang w:val="en-US" w:eastAsia="zh-CN"/>
                    </w:rPr>
                    <w:t>废气</w:t>
                  </w:r>
                  <w:r>
                    <w:rPr>
                      <w:rFonts w:hint="default" w:ascii="Times New Roman" w:hAnsi="Times New Roman" w:cs="Times New Roman"/>
                      <w:color w:val="auto"/>
                      <w:sz w:val="18"/>
                      <w:szCs w:val="18"/>
                      <w:highlight w:val="none"/>
                      <w:lang w:eastAsia="zh-CN"/>
                    </w:rPr>
                    <w:t>排放口</w:t>
                  </w:r>
                </w:p>
              </w:tc>
              <w:tc>
                <w:tcPr>
                  <w:tcW w:w="1484" w:type="dxa"/>
                  <w:tcBorders>
                    <w:tl2br w:val="nil"/>
                    <w:tr2bl w:val="nil"/>
                  </w:tcBorders>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kern w:val="0"/>
                      <w:position w:val="2"/>
                      <w:sz w:val="18"/>
                      <w:szCs w:val="18"/>
                      <w:highlight w:val="none"/>
                      <w:lang w:val="en-US" w:eastAsia="en-US" w:bidi="ar-SA"/>
                    </w:rPr>
                    <w:t>SO</w:t>
                  </w:r>
                  <w:r>
                    <w:rPr>
                      <w:rFonts w:hint="default" w:ascii="Times New Roman" w:hAnsi="Times New Roman" w:eastAsia="宋体" w:cs="Times New Roman"/>
                      <w:color w:val="auto"/>
                      <w:kern w:val="0"/>
                      <w:position w:val="2"/>
                      <w:sz w:val="18"/>
                      <w:szCs w:val="18"/>
                      <w:highlight w:val="none"/>
                      <w:vertAlign w:val="subscript"/>
                      <w:lang w:val="en-US" w:eastAsia="en-US" w:bidi="ar-SA"/>
                    </w:rPr>
                    <w:t>2</w:t>
                  </w:r>
                </w:p>
              </w:tc>
              <w:tc>
                <w:tcPr>
                  <w:tcW w:w="981" w:type="dxa"/>
                  <w:vMerge w:val="restart"/>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1次/年</w:t>
                  </w:r>
                </w:p>
              </w:tc>
              <w:tc>
                <w:tcPr>
                  <w:tcW w:w="4121" w:type="dxa"/>
                  <w:vMerge w:val="restart"/>
                  <w:tcBorders>
                    <w:tl2br w:val="nil"/>
                    <w:tr2bl w:val="nil"/>
                  </w:tcBorders>
                  <w:noWrap/>
                  <w:vAlign w:val="center"/>
                </w:tcPr>
                <w:p>
                  <w:pPr>
                    <w:spacing w:line="240" w:lineRule="auto"/>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rPr>
                    <w:t>广东省地方标准《锅炉大气污染物排放标准》（DB44/765-2019）表2燃气锅炉排放标准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en-US" w:bidi="ar-SA"/>
                    </w:rPr>
                    <w:t>颗粒物</w:t>
                  </w:r>
                </w:p>
              </w:tc>
              <w:tc>
                <w:tcPr>
                  <w:tcW w:w="98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p>
              </w:tc>
              <w:tc>
                <w:tcPr>
                  <w:tcW w:w="412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en-US" w:bidi="ar-SA"/>
                    </w:rPr>
                    <w:t>烟气黑度（林格曼黑度，级）</w:t>
                  </w:r>
                </w:p>
              </w:tc>
              <w:tc>
                <w:tcPr>
                  <w:tcW w:w="98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p>
              </w:tc>
              <w:tc>
                <w:tcPr>
                  <w:tcW w:w="412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kern w:val="0"/>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63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1484" w:type="dxa"/>
                  <w:tcBorders>
                    <w:tl2br w:val="nil"/>
                    <w:tr2bl w:val="nil"/>
                  </w:tcBorders>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en-US" w:bidi="ar-SA"/>
                    </w:rPr>
                    <w:t>NOx</w:t>
                  </w:r>
                </w:p>
              </w:tc>
              <w:tc>
                <w:tcPr>
                  <w:tcW w:w="981" w:type="dxa"/>
                  <w:vMerge w:val="continue"/>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p>
              </w:tc>
              <w:tc>
                <w:tcPr>
                  <w:tcW w:w="4121" w:type="dxa"/>
                  <w:tcBorders>
                    <w:tl2br w:val="nil"/>
                    <w:tr2bl w:val="nil"/>
                  </w:tcBorders>
                  <w:noWrap/>
                  <w:vAlign w:val="center"/>
                </w:tcPr>
                <w:p>
                  <w:pPr>
                    <w:spacing w:line="240" w:lineRule="auto"/>
                    <w:jc w:val="center"/>
                    <w:rPr>
                      <w:rFonts w:hint="default" w:ascii="Times New Roman" w:hAnsi="Times New Roman" w:eastAsia="宋体" w:cs="Times New Roman"/>
                      <w:color w:val="auto"/>
                      <w:kern w:val="0"/>
                      <w:sz w:val="18"/>
                      <w:szCs w:val="18"/>
                      <w:highlight w:val="none"/>
                      <w:lang w:val="en-US" w:eastAsia="zh-CN" w:bidi="ar-SA"/>
                    </w:rPr>
                  </w:pPr>
                  <w:r>
                    <w:rPr>
                      <w:rFonts w:hint="default" w:ascii="Times New Roman" w:hAnsi="Times New Roman" w:eastAsia="宋体" w:cs="Times New Roman"/>
                      <w:color w:val="auto"/>
                      <w:kern w:val="0"/>
                      <w:sz w:val="18"/>
                      <w:szCs w:val="18"/>
                      <w:highlight w:val="none"/>
                      <w:lang w:val="en-US" w:eastAsia="zh-CN"/>
                    </w:rPr>
                    <w:t>《锅炉大气污染物排放标准》（DB44/765-2019）的表3特别排放限值的要求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rFonts w:hint="default" w:ascii="Times New Roman" w:hAnsi="Times New Roman" w:cs="Times New Roman"/>
                      <w:color w:val="auto"/>
                      <w:sz w:val="18"/>
                      <w:szCs w:val="18"/>
                    </w:rPr>
                  </w:pPr>
                </w:p>
              </w:tc>
              <w:tc>
                <w:tcPr>
                  <w:tcW w:w="723" w:type="dxa"/>
                  <w:vMerge w:val="restart"/>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无组织废气</w:t>
                  </w:r>
                </w:p>
              </w:tc>
              <w:tc>
                <w:tcPr>
                  <w:tcW w:w="1336" w:type="dxa"/>
                  <w:vMerge w:val="restart"/>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企业边界</w:t>
                  </w:r>
                </w:p>
              </w:tc>
              <w:tc>
                <w:tcPr>
                  <w:tcW w:w="1484" w:type="dxa"/>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highlight w:val="none"/>
                      <w:lang w:val="en-US" w:eastAsia="zh-CN"/>
                    </w:rPr>
                    <w:t>非甲烷总烃</w:t>
                  </w:r>
                </w:p>
              </w:tc>
              <w:tc>
                <w:tcPr>
                  <w:tcW w:w="981" w:type="dxa"/>
                  <w:vMerge w:val="restart"/>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1次/年</w:t>
                  </w:r>
                </w:p>
              </w:tc>
              <w:tc>
                <w:tcPr>
                  <w:tcW w:w="4121"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lang w:val="en-US"/>
                    </w:rPr>
                  </w:pPr>
                  <w:r>
                    <w:rPr>
                      <w:rFonts w:hint="default" w:ascii="Times New Roman" w:hAnsi="Times New Roman" w:eastAsia="宋体" w:cs="Times New Roman"/>
                      <w:color w:val="auto"/>
                      <w:kern w:val="0"/>
                      <w:sz w:val="18"/>
                      <w:szCs w:val="18"/>
                      <w:highlight w:val="none"/>
                      <w:lang w:val="en-US" w:eastAsia="zh-CN" w:bidi="ar-SA"/>
                    </w:rPr>
                    <w:t>《合成树脂工业污染物排放标准》（GB31572-2015）中表9无组织排放监控浓度限值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rFonts w:hint="default" w:ascii="Times New Roman" w:hAnsi="Times New Roman"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484" w:type="dxa"/>
                  <w:tcBorders>
                    <w:tl2br w:val="nil"/>
                    <w:tr2bl w:val="nil"/>
                  </w:tcBorders>
                  <w:noWrap/>
                  <w:vAlign w:val="center"/>
                </w:tcPr>
                <w:p>
                  <w:pPr>
                    <w:spacing w:line="240" w:lineRule="auto"/>
                    <w:jc w:val="center"/>
                    <w:rPr>
                      <w:rFonts w:hint="default" w:ascii="Times New Roman" w:hAnsi="Times New Roman" w:eastAsia="宋体" w:cs="Times New Roman"/>
                      <w:color w:val="auto"/>
                      <w:kern w:val="2"/>
                      <w:sz w:val="18"/>
                      <w:szCs w:val="18"/>
                      <w:lang w:val="en-US" w:eastAsia="zh-CN" w:bidi="ar-SA"/>
                    </w:rPr>
                  </w:pPr>
                  <w:r>
                    <w:rPr>
                      <w:rFonts w:hint="default" w:ascii="Times New Roman" w:hAnsi="Times New Roman" w:cs="Times New Roman"/>
                      <w:color w:val="auto"/>
                      <w:sz w:val="18"/>
                      <w:szCs w:val="18"/>
                      <w:lang w:val="en-US" w:eastAsia="zh-CN"/>
                    </w:rPr>
                    <w:t>臭气浓度</w:t>
                  </w:r>
                </w:p>
              </w:tc>
              <w:tc>
                <w:tcPr>
                  <w:tcW w:w="981"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4121"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kern w:val="0"/>
                      <w:sz w:val="18"/>
                      <w:szCs w:val="18"/>
                      <w:highlight w:val="none"/>
                      <w:lang w:val="en-US" w:eastAsia="zh-CN" w:bidi="ar-SA"/>
                    </w:rPr>
                    <w:t>《恶臭污染物排放标准》（GB14554-93）中的表1恶臭污染物厂界标准值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rFonts w:hint="default" w:ascii="Times New Roman" w:hAnsi="Times New Roman"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484" w:type="dxa"/>
                  <w:tcBorders>
                    <w:tl2br w:val="nil"/>
                    <w:tr2bl w:val="nil"/>
                  </w:tcBorders>
                  <w:noWrap/>
                  <w:vAlign w:val="center"/>
                </w:tcPr>
                <w:p>
                  <w:pPr>
                    <w:spacing w:line="240" w:lineRule="auto"/>
                    <w:jc w:val="center"/>
                    <w:rPr>
                      <w:rFonts w:hint="default" w:ascii="Times New Roman" w:hAnsi="Times New Roman"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总VOCs</w:t>
                  </w:r>
                </w:p>
              </w:tc>
              <w:tc>
                <w:tcPr>
                  <w:tcW w:w="981"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4121"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lang w:val="en-US"/>
                    </w:rPr>
                  </w:pPr>
                  <w:r>
                    <w:rPr>
                      <w:rFonts w:hint="default" w:ascii="Times New Roman" w:hAnsi="Times New Roman" w:eastAsia="宋体" w:cs="Times New Roman"/>
                      <w:color w:val="auto"/>
                      <w:kern w:val="0"/>
                      <w:sz w:val="18"/>
                      <w:szCs w:val="18"/>
                      <w:highlight w:val="none"/>
                      <w:lang w:val="en-US" w:eastAsia="zh-CN" w:bidi="ar-SA"/>
                    </w:rPr>
                    <w:t>《家具制造行业挥发性有机化合物排放标准》（DB44/814-2010）中的表2无组织排放监控点浓度限值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633" w:type="dxa"/>
                  <w:vMerge w:val="continue"/>
                  <w:tcBorders>
                    <w:tl2br w:val="nil"/>
                    <w:tr2bl w:val="nil"/>
                  </w:tcBorders>
                  <w:noWrap/>
                  <w:vAlign w:val="center"/>
                </w:tcPr>
                <w:p>
                  <w:pPr>
                    <w:widowControl/>
                    <w:spacing w:line="240" w:lineRule="auto"/>
                    <w:jc w:val="left"/>
                    <w:rPr>
                      <w:rFonts w:hint="default" w:ascii="Times New Roman" w:hAnsi="Times New Roman" w:cs="Times New Roman"/>
                      <w:color w:val="auto"/>
                      <w:sz w:val="18"/>
                      <w:szCs w:val="18"/>
                    </w:rPr>
                  </w:pPr>
                </w:p>
              </w:tc>
              <w:tc>
                <w:tcPr>
                  <w:tcW w:w="723" w:type="dxa"/>
                  <w:vMerge w:val="continue"/>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p>
              </w:tc>
              <w:tc>
                <w:tcPr>
                  <w:tcW w:w="1336"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在厂房外设置监控点</w:t>
                  </w:r>
                </w:p>
              </w:tc>
              <w:tc>
                <w:tcPr>
                  <w:tcW w:w="1484" w:type="dxa"/>
                  <w:tcBorders>
                    <w:tl2br w:val="nil"/>
                    <w:tr2bl w:val="nil"/>
                  </w:tcBorders>
                  <w:noWrap/>
                  <w:vAlign w:val="center"/>
                </w:tcPr>
                <w:p>
                  <w:pPr>
                    <w:pStyle w:val="69"/>
                    <w:snapToGrid w:val="0"/>
                    <w:spacing w:line="240" w:lineRule="auto"/>
                    <w:ind w:firstLine="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NMHC</w:t>
                  </w:r>
                </w:p>
              </w:tc>
              <w:tc>
                <w:tcPr>
                  <w:tcW w:w="981" w:type="dxa"/>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1次/年</w:t>
                  </w:r>
                </w:p>
              </w:tc>
              <w:tc>
                <w:tcPr>
                  <w:tcW w:w="4121" w:type="dxa"/>
                  <w:tcBorders>
                    <w:tl2br w:val="nil"/>
                    <w:tr2bl w:val="nil"/>
                  </w:tcBorders>
                  <w:noWrap/>
                  <w:vAlign w:val="center"/>
                </w:tcPr>
                <w:p>
                  <w:pPr>
                    <w:spacing w:line="240" w:lineRule="auto"/>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广东省地方标准《固定污染源挥发性有机物综合排放标准》（DB44/2367-2022）中的表3厂区内无组织排放限值</w:t>
                  </w:r>
                </w:p>
              </w:tc>
            </w:tr>
          </w:tbl>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5、</w:t>
            </w:r>
            <w:r>
              <w:rPr>
                <w:rFonts w:hint="default" w:ascii="Times New Roman" w:hAnsi="Times New Roman" w:cs="Times New Roman"/>
                <w:b/>
                <w:color w:val="auto"/>
                <w:szCs w:val="21"/>
              </w:rPr>
              <w:t>非正常工况</w:t>
            </w:r>
          </w:p>
          <w:p>
            <w:pPr>
              <w:adjustRightInd w:val="0"/>
              <w:snapToGrid w:val="0"/>
              <w:ind w:firstLine="480" w:firstLineChars="200"/>
              <w:rPr>
                <w:rFonts w:hint="default" w:ascii="Times New Roman" w:hAnsi="Times New Roman" w:cs="Times New Roman"/>
                <w:b/>
                <w:color w:val="auto"/>
                <w:szCs w:val="21"/>
              </w:rPr>
            </w:pPr>
            <w:r>
              <w:rPr>
                <w:rFonts w:hint="default" w:ascii="Times New Roman" w:hAnsi="Times New Roman" w:cs="Times New Roman"/>
                <w:bCs/>
                <w:color w:val="auto"/>
                <w:szCs w:val="21"/>
              </w:rPr>
              <w:t>非正常排放是指生产过程中开停车（工、炉）、设备检修、工艺设备运转异常等非正常工况下的污染物排放，以及污染物排放控制措施达不到应有效率等情况下的排放。项目废气非正常工况排放主要为废气处理装置故障时，废气治理效率下降</w:t>
            </w:r>
            <w:r>
              <w:rPr>
                <w:rFonts w:hint="default" w:ascii="Times New Roman" w:hAnsi="Times New Roman" w:cs="Times New Roman"/>
                <w:bCs/>
                <w:color w:val="auto"/>
                <w:szCs w:val="21"/>
                <w:lang w:val="en-US" w:eastAsia="zh-CN"/>
              </w:rPr>
              <w:t>为设计处理效率的50</w:t>
            </w:r>
            <w:r>
              <w:rPr>
                <w:rFonts w:hint="default" w:ascii="Times New Roman" w:hAnsi="Times New Roman" w:cs="Times New Roman"/>
                <w:bCs/>
                <w:color w:val="auto"/>
                <w:szCs w:val="21"/>
              </w:rPr>
              <w:t>%，但废气收集系统可以正常运行，废气通过排气筒排放等情况，废气处理设施出现故障不能正常运行时，应立即停产进行维修，避免对周围环境造成污染。废气非正常工况源强情况见下表。</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rPr>
              <w:t>废气非正常工况排放量核算表</w:t>
            </w:r>
          </w:p>
          <w:tbl>
            <w:tblPr>
              <w:tblStyle w:val="33"/>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033"/>
              <w:gridCol w:w="1000"/>
              <w:gridCol w:w="1134"/>
              <w:gridCol w:w="983"/>
              <w:gridCol w:w="900"/>
              <w:gridCol w:w="817"/>
              <w:gridCol w:w="122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585"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污染源</w:t>
                  </w:r>
                </w:p>
              </w:tc>
              <w:tc>
                <w:tcPr>
                  <w:tcW w:w="558"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非正常排放原因</w:t>
                  </w:r>
                </w:p>
              </w:tc>
              <w:tc>
                <w:tcPr>
                  <w:tcW w:w="540"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w:t>
                  </w:r>
                </w:p>
              </w:tc>
              <w:tc>
                <w:tcPr>
                  <w:tcW w:w="612"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非正常排放浓度/（mg/m</w:t>
                  </w:r>
                  <w:r>
                    <w:rPr>
                      <w:rFonts w:hint="default" w:ascii="Times New Roman" w:hAnsi="Times New Roman" w:cs="Times New Roman"/>
                      <w:b/>
                      <w:color w:val="auto"/>
                      <w:sz w:val="21"/>
                      <w:szCs w:val="21"/>
                      <w:vertAlign w:val="superscript"/>
                    </w:rPr>
                    <w:t>3</w:t>
                  </w:r>
                  <w:r>
                    <w:rPr>
                      <w:rFonts w:hint="default" w:ascii="Times New Roman" w:hAnsi="Times New Roman" w:cs="Times New Roman"/>
                      <w:b/>
                      <w:color w:val="auto"/>
                      <w:sz w:val="21"/>
                      <w:szCs w:val="21"/>
                    </w:rPr>
                    <w:t>）</w:t>
                  </w:r>
                </w:p>
              </w:tc>
              <w:tc>
                <w:tcPr>
                  <w:tcW w:w="531"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 xml:space="preserve">非正常排放速率/（kg/h） </w:t>
                  </w:r>
                </w:p>
              </w:tc>
              <w:tc>
                <w:tcPr>
                  <w:tcW w:w="486"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单次持续时间/h</w:t>
                  </w:r>
                </w:p>
              </w:tc>
              <w:tc>
                <w:tcPr>
                  <w:tcW w:w="441"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年发生频次/年</w:t>
                  </w:r>
                </w:p>
              </w:tc>
              <w:tc>
                <w:tcPr>
                  <w:tcW w:w="661" w:type="pct"/>
                  <w:vAlign w:val="center"/>
                </w:tcPr>
                <w:p>
                  <w:pPr>
                    <w:adjustRightInd w:val="0"/>
                    <w:snapToGrid w:val="0"/>
                    <w:spacing w:line="24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非正常</w:t>
                  </w:r>
                  <w:r>
                    <w:rPr>
                      <w:rFonts w:hint="default" w:ascii="Times New Roman" w:hAnsi="Times New Roman" w:cs="Times New Roman"/>
                      <w:b/>
                      <w:color w:val="auto"/>
                      <w:sz w:val="21"/>
                      <w:szCs w:val="21"/>
                    </w:rPr>
                    <w:t>排放量k</w:t>
                  </w:r>
                  <w:r>
                    <w:rPr>
                      <w:rFonts w:hint="default" w:ascii="Times New Roman" w:hAnsi="Times New Roman" w:cs="Times New Roman"/>
                      <w:b/>
                      <w:color w:val="auto"/>
                      <w:sz w:val="21"/>
                      <w:szCs w:val="21"/>
                      <w:lang w:val="en-US" w:eastAsia="zh-CN"/>
                    </w:rPr>
                    <w:t>g</w:t>
                  </w:r>
                  <w:r>
                    <w:rPr>
                      <w:rFonts w:hint="default" w:ascii="Times New Roman" w:hAnsi="Times New Roman" w:cs="Times New Roman"/>
                      <w:b/>
                      <w:bCs/>
                      <w:color w:val="auto"/>
                      <w:sz w:val="21"/>
                      <w:szCs w:val="21"/>
                      <w:lang w:val="en-US" w:eastAsia="zh-CN"/>
                    </w:rPr>
                    <w:t>/a</w:t>
                  </w:r>
                </w:p>
              </w:tc>
              <w:tc>
                <w:tcPr>
                  <w:tcW w:w="583" w:type="pct"/>
                  <w:vAlign w:val="center"/>
                </w:tcPr>
                <w:p>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585" w:type="pct"/>
                  <w:vAlign w:val="center"/>
                </w:tcPr>
                <w:p>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highlight w:val="none"/>
                      <w:lang w:val="en-US" w:eastAsia="zh-CN"/>
                    </w:rPr>
                    <w:t>DA00</w:t>
                  </w:r>
                  <w:r>
                    <w:rPr>
                      <w:rFonts w:hint="default" w:ascii="Times New Roman" w:hAnsi="Times New Roman" w:cs="Times New Roman"/>
                      <w:color w:val="auto"/>
                      <w:sz w:val="21"/>
                      <w:szCs w:val="21"/>
                      <w:highlight w:val="none"/>
                      <w:lang w:val="en-US" w:eastAsia="zh-CN"/>
                    </w:rPr>
                    <w:t>3有机</w:t>
                  </w:r>
                  <w:r>
                    <w:rPr>
                      <w:rFonts w:hint="default" w:ascii="Times New Roman" w:hAnsi="Times New Roman" w:eastAsia="宋体"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lang w:eastAsia="zh-CN"/>
                    </w:rPr>
                    <w:t>排放口</w:t>
                  </w:r>
                </w:p>
              </w:tc>
              <w:tc>
                <w:tcPr>
                  <w:tcW w:w="558" w:type="pct"/>
                  <w:vAlign w:val="center"/>
                </w:tcPr>
                <w:p>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废气处理设施故障，废气处理效率为</w:t>
                  </w:r>
                  <w:r>
                    <w:rPr>
                      <w:rFonts w:hint="default" w:ascii="Times New Roman" w:hAnsi="Times New Roman" w:cs="Times New Roman"/>
                      <w:bCs/>
                      <w:color w:val="auto"/>
                      <w:sz w:val="21"/>
                      <w:szCs w:val="21"/>
                      <w:lang w:val="en-US" w:eastAsia="zh-CN"/>
                    </w:rPr>
                    <w:t>40</w:t>
                  </w:r>
                  <w:r>
                    <w:rPr>
                      <w:rFonts w:hint="default" w:ascii="Times New Roman" w:hAnsi="Times New Roman" w:cs="Times New Roman"/>
                      <w:bCs/>
                      <w:color w:val="auto"/>
                      <w:sz w:val="21"/>
                      <w:szCs w:val="21"/>
                    </w:rPr>
                    <w:t>%</w:t>
                  </w:r>
                </w:p>
              </w:tc>
              <w:tc>
                <w:tcPr>
                  <w:tcW w:w="540" w:type="pct"/>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highlight w:val="none"/>
                      <w:lang w:val="en-US" w:eastAsia="zh-CN"/>
                    </w:rPr>
                    <w:t>总VOCs</w:t>
                  </w:r>
                </w:p>
              </w:tc>
              <w:tc>
                <w:tcPr>
                  <w:tcW w:w="612"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0.8411</w:t>
                  </w:r>
                </w:p>
              </w:tc>
              <w:tc>
                <w:tcPr>
                  <w:tcW w:w="53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0.0379</w:t>
                  </w:r>
                </w:p>
              </w:tc>
              <w:tc>
                <w:tcPr>
                  <w:tcW w:w="486" w:type="pc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1</w:t>
                  </w:r>
                </w:p>
              </w:tc>
              <w:tc>
                <w:tcPr>
                  <w:tcW w:w="441" w:type="pc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2</w:t>
                  </w:r>
                </w:p>
              </w:tc>
              <w:tc>
                <w:tcPr>
                  <w:tcW w:w="66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0.0758</w:t>
                  </w:r>
                </w:p>
              </w:tc>
              <w:tc>
                <w:tcPr>
                  <w:tcW w:w="583" w:type="pct"/>
                  <w:vMerge w:val="restart"/>
                  <w:vAlign w:val="center"/>
                </w:tcPr>
                <w:p>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立即停止生产，关闭排放阀，及时更换活</w:t>
                  </w:r>
                </w:p>
                <w:p>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性炭，及时疏散人群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85" w:type="pct"/>
                  <w:vMerge w:val="restart"/>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w:t>
                  </w:r>
                  <w:r>
                    <w:rPr>
                      <w:rFonts w:hint="default" w:ascii="Times New Roman" w:hAnsi="Times New Roman" w:cs="Times New Roman"/>
                      <w:color w:val="auto"/>
                      <w:sz w:val="21"/>
                      <w:szCs w:val="21"/>
                      <w:highlight w:val="none"/>
                      <w:lang w:val="en-US" w:eastAsia="zh-CN"/>
                    </w:rPr>
                    <w:t>4有机</w:t>
                  </w:r>
                  <w:r>
                    <w:rPr>
                      <w:rFonts w:hint="default" w:ascii="Times New Roman" w:hAnsi="Times New Roman" w:eastAsia="宋体"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lang w:eastAsia="zh-CN"/>
                    </w:rPr>
                    <w:t>排放口</w:t>
                  </w:r>
                </w:p>
              </w:tc>
              <w:tc>
                <w:tcPr>
                  <w:tcW w:w="558" w:type="pct"/>
                  <w:vMerge w:val="restart"/>
                  <w:vAlign w:val="center"/>
                </w:tcPr>
                <w:p>
                  <w:pPr>
                    <w:adjustRightInd w:val="0"/>
                    <w:snapToGrid w:val="0"/>
                    <w:spacing w:line="240" w:lineRule="auto"/>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废气处理设施故障，废气处理效率为</w:t>
                  </w:r>
                  <w:r>
                    <w:rPr>
                      <w:rFonts w:hint="default" w:ascii="Times New Roman" w:hAnsi="Times New Roman" w:cs="Times New Roman"/>
                      <w:bCs/>
                      <w:color w:val="auto"/>
                      <w:sz w:val="21"/>
                      <w:szCs w:val="21"/>
                      <w:lang w:val="en-US" w:eastAsia="zh-CN"/>
                    </w:rPr>
                    <w:t>40</w:t>
                  </w:r>
                  <w:r>
                    <w:rPr>
                      <w:rFonts w:hint="default" w:ascii="Times New Roman" w:hAnsi="Times New Roman" w:cs="Times New Roman"/>
                      <w:bCs/>
                      <w:color w:val="auto"/>
                      <w:sz w:val="21"/>
                      <w:szCs w:val="21"/>
                    </w:rPr>
                    <w:t>%</w:t>
                  </w:r>
                </w:p>
              </w:tc>
              <w:tc>
                <w:tcPr>
                  <w:tcW w:w="540" w:type="pct"/>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highlight w:val="none"/>
                      <w:lang w:val="en-US" w:eastAsia="zh-CN"/>
                    </w:rPr>
                    <w:t>非甲烷总烃</w:t>
                  </w:r>
                </w:p>
              </w:tc>
              <w:tc>
                <w:tcPr>
                  <w:tcW w:w="612"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0.6008</w:t>
                  </w:r>
                </w:p>
              </w:tc>
              <w:tc>
                <w:tcPr>
                  <w:tcW w:w="53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0.024</w:t>
                  </w:r>
                </w:p>
              </w:tc>
              <w:tc>
                <w:tcPr>
                  <w:tcW w:w="486"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1</w:t>
                  </w:r>
                </w:p>
              </w:tc>
              <w:tc>
                <w:tcPr>
                  <w:tcW w:w="441"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2</w:t>
                  </w:r>
                </w:p>
              </w:tc>
              <w:tc>
                <w:tcPr>
                  <w:tcW w:w="66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0.048</w:t>
                  </w:r>
                </w:p>
              </w:tc>
              <w:tc>
                <w:tcPr>
                  <w:tcW w:w="583" w:type="pct"/>
                  <w:vMerge w:val="continue"/>
                  <w:vAlign w:val="center"/>
                </w:tcPr>
                <w:p>
                  <w:pPr>
                    <w:adjustRightInd w:val="0"/>
                    <w:snapToGrid w:val="0"/>
                    <w:spacing w:line="240" w:lineRule="auto"/>
                    <w:jc w:val="center"/>
                    <w:rPr>
                      <w:rFonts w:hint="default" w:ascii="Times New Roman" w:hAnsi="Times New Roman"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85" w:type="pct"/>
                  <w:vMerge w:val="continue"/>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558" w:type="pct"/>
                  <w:vMerge w:val="continue"/>
                  <w:vAlign w:val="center"/>
                </w:tcPr>
                <w:p>
                  <w:pPr>
                    <w:adjustRightInd w:val="0"/>
                    <w:snapToGrid w:val="0"/>
                    <w:spacing w:line="240" w:lineRule="auto"/>
                    <w:jc w:val="center"/>
                    <w:rPr>
                      <w:rFonts w:hint="default" w:ascii="Times New Roman" w:hAnsi="Times New Roman" w:cs="Times New Roman"/>
                      <w:bCs/>
                      <w:color w:val="auto"/>
                      <w:sz w:val="21"/>
                      <w:szCs w:val="21"/>
                    </w:rPr>
                  </w:pPr>
                </w:p>
              </w:tc>
              <w:tc>
                <w:tcPr>
                  <w:tcW w:w="540" w:type="pct"/>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highlight w:val="none"/>
                      <w:lang w:val="en-US" w:eastAsia="zh-CN"/>
                    </w:rPr>
                    <w:t>总VOCs</w:t>
                  </w:r>
                </w:p>
              </w:tc>
              <w:tc>
                <w:tcPr>
                  <w:tcW w:w="612"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0.2426</w:t>
                  </w:r>
                </w:p>
              </w:tc>
              <w:tc>
                <w:tcPr>
                  <w:tcW w:w="53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0.0097</w:t>
                  </w:r>
                </w:p>
              </w:tc>
              <w:tc>
                <w:tcPr>
                  <w:tcW w:w="48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p>
              </w:tc>
              <w:tc>
                <w:tcPr>
                  <w:tcW w:w="441"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p>
              </w:tc>
              <w:tc>
                <w:tcPr>
                  <w:tcW w:w="66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0.0194</w:t>
                  </w:r>
                </w:p>
              </w:tc>
              <w:tc>
                <w:tcPr>
                  <w:tcW w:w="583" w:type="pct"/>
                  <w:vMerge w:val="continue"/>
                  <w:vAlign w:val="center"/>
                </w:tcPr>
                <w:p>
                  <w:pPr>
                    <w:adjustRightInd w:val="0"/>
                    <w:snapToGrid w:val="0"/>
                    <w:spacing w:line="240" w:lineRule="auto"/>
                    <w:jc w:val="center"/>
                    <w:rPr>
                      <w:rFonts w:hint="default" w:ascii="Times New Roman" w:hAnsi="Times New Roman" w:cs="Times New Roman"/>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85" w:type="pct"/>
                  <w:vMerge w:val="continue"/>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p>
              </w:tc>
              <w:tc>
                <w:tcPr>
                  <w:tcW w:w="558" w:type="pct"/>
                  <w:vMerge w:val="continue"/>
                  <w:vAlign w:val="center"/>
                </w:tcPr>
                <w:p>
                  <w:pPr>
                    <w:adjustRightInd w:val="0"/>
                    <w:snapToGrid w:val="0"/>
                    <w:spacing w:line="240" w:lineRule="auto"/>
                    <w:jc w:val="center"/>
                    <w:rPr>
                      <w:rFonts w:hint="default" w:ascii="Times New Roman" w:hAnsi="Times New Roman" w:cs="Times New Roman"/>
                      <w:bCs/>
                      <w:color w:val="auto"/>
                      <w:sz w:val="21"/>
                      <w:szCs w:val="21"/>
                    </w:rPr>
                  </w:pPr>
                </w:p>
              </w:tc>
              <w:tc>
                <w:tcPr>
                  <w:tcW w:w="540" w:type="pct"/>
                  <w:vAlign w:val="center"/>
                </w:tcPr>
                <w:p>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18"/>
                      <w:szCs w:val="18"/>
                      <w:highlight w:val="none"/>
                      <w:lang w:val="en-US" w:eastAsia="zh-CN"/>
                    </w:rPr>
                    <w:t>MDI</w:t>
                  </w:r>
                </w:p>
              </w:tc>
              <w:tc>
                <w:tcPr>
                  <w:tcW w:w="612"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0.0018</w:t>
                  </w:r>
                </w:p>
              </w:tc>
              <w:tc>
                <w:tcPr>
                  <w:tcW w:w="53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0.00007</w:t>
                  </w:r>
                </w:p>
              </w:tc>
              <w:tc>
                <w:tcPr>
                  <w:tcW w:w="48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lang w:val="en-US" w:eastAsia="zh-CN"/>
                    </w:rPr>
                  </w:pPr>
                </w:p>
              </w:tc>
              <w:tc>
                <w:tcPr>
                  <w:tcW w:w="441"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szCs w:val="21"/>
                      <w:lang w:val="en-US" w:eastAsia="zh-CN"/>
                    </w:rPr>
                  </w:pPr>
                </w:p>
              </w:tc>
              <w:tc>
                <w:tcPr>
                  <w:tcW w:w="661" w:type="pct"/>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0.00014</w:t>
                  </w:r>
                </w:p>
              </w:tc>
              <w:tc>
                <w:tcPr>
                  <w:tcW w:w="583" w:type="pct"/>
                  <w:vMerge w:val="continue"/>
                  <w:vAlign w:val="center"/>
                </w:tcPr>
                <w:p>
                  <w:pPr>
                    <w:adjustRightInd w:val="0"/>
                    <w:snapToGrid w:val="0"/>
                    <w:spacing w:line="240" w:lineRule="auto"/>
                    <w:jc w:val="center"/>
                    <w:rPr>
                      <w:rFonts w:hint="default" w:ascii="Times New Roman" w:hAnsi="Times New Roman" w:cs="Times New Roman"/>
                      <w:bCs/>
                      <w:color w:val="auto"/>
                      <w:sz w:val="21"/>
                      <w:szCs w:val="21"/>
                    </w:rPr>
                  </w:pPr>
                </w:p>
              </w:tc>
            </w:tr>
          </w:tbl>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6、</w:t>
            </w:r>
            <w:r>
              <w:rPr>
                <w:rFonts w:hint="default" w:ascii="Times New Roman" w:hAnsi="Times New Roman" w:cs="Times New Roman"/>
                <w:b/>
                <w:color w:val="auto"/>
                <w:szCs w:val="21"/>
              </w:rPr>
              <w:t>大气环境影响分析结论</w:t>
            </w:r>
          </w:p>
          <w:p>
            <w:pPr>
              <w:adjustRightInd w:val="0"/>
              <w:snapToGrid w:val="0"/>
              <w:ind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rPr>
              <w:t>1）预搅拌、混合发泡、流平、烘烤、（聚氨酯高密度棉）涂布、UV固化</w:t>
            </w:r>
            <w:r>
              <w:rPr>
                <w:rFonts w:hint="default" w:ascii="Times New Roman" w:hAnsi="Times New Roman" w:cs="Times New Roman"/>
                <w:color w:val="auto"/>
                <w:lang w:val="en-US" w:eastAsia="zh-CN"/>
              </w:rPr>
              <w:t>工序产生的废气</w:t>
            </w:r>
          </w:p>
          <w:p>
            <w:pPr>
              <w:adjustRightInd w:val="0"/>
              <w:snapToGrid w:val="0"/>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rPr>
              <w:t>预搅拌、混合发泡、流平、烘烤、（聚氨酯高密度棉）涂布、UV固化</w:t>
            </w:r>
            <w:r>
              <w:rPr>
                <w:rFonts w:hint="default" w:ascii="Times New Roman" w:hAnsi="Times New Roman" w:cs="Times New Roman"/>
                <w:color w:val="auto"/>
                <w:lang w:val="en-US" w:eastAsia="zh-CN"/>
              </w:rPr>
              <w:t>工序产生的废气</w:t>
            </w:r>
            <w:r>
              <w:rPr>
                <w:rFonts w:hint="default" w:ascii="Times New Roman" w:hAnsi="Times New Roman" w:cs="Times New Roman"/>
                <w:color w:val="auto"/>
                <w:highlight w:val="none"/>
                <w:lang w:val="en-US" w:eastAsia="zh-CN"/>
              </w:rPr>
              <w:t>经1套“水喷淋+干式过滤器+二级活性炭吸附装置”处理达标后经1根15m高的排气筒DA004高空排放，非甲烷总烃有组织排放可达到《合成树脂工业污染物排放标准》（GB31572-2015）中表5污染物特别排放限值与广东省地方标准《固定污染源挥发性有机物综合排放标准》（DB44/2367—2022）表1挥发性有机物排放限值两者较严值，总VOCs有组织排放可达到广东省地方标准《固定污染源挥发性有机物综合排放标准》（DB44/2367—2022）表1挥发性有机物排放限值，MDI有组织排放可达到《合成树脂工业污染物排放标准》（GB31572-2015）中表5污染物特别排放限值，臭气浓度有组织排放可达到《恶臭污染物排放标准》（GB14554-1993 ）表2中二级标准</w:t>
            </w:r>
            <w:r>
              <w:rPr>
                <w:rFonts w:hint="default" w:ascii="Times New Roman" w:hAnsi="Times New Roman" w:cs="Times New Roman"/>
                <w:color w:val="auto"/>
                <w:highlight w:val="none"/>
              </w:rPr>
              <w:t>。</w:t>
            </w:r>
          </w:p>
          <w:p>
            <w:pPr>
              <w:adjustRightInd w:val="0"/>
              <w:snapToGrid w:val="0"/>
              <w:ind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非甲烷总烃无组织排放可达到《合成树脂工业污染物排放标准》（GB31572-2015）表9企业边界大气污染物浓度限值，总VOCs无组织排放可达到广东省地方标准《家具制造行业挥发性有机化合物排放标准》（DB44/814-2010）中的表2无组织排放监控点浓度限值，</w:t>
            </w:r>
            <w:r>
              <w:rPr>
                <w:rFonts w:hint="default" w:ascii="Times New Roman" w:hAnsi="Times New Roman" w:cs="Times New Roman"/>
                <w:color w:val="auto"/>
                <w:highlight w:val="none"/>
                <w:lang w:val="en-US" w:eastAsia="zh-CN"/>
              </w:rPr>
              <w:t>臭气浓度</w:t>
            </w:r>
            <w:r>
              <w:rPr>
                <w:rFonts w:hint="default" w:ascii="Times New Roman" w:hAnsi="Times New Roman" w:cs="Times New Roman"/>
                <w:color w:val="auto"/>
                <w:lang w:val="en-US" w:eastAsia="zh-CN"/>
              </w:rPr>
              <w:t>无组织排放可达到《恶臭污染物排放标准》（GB14554-1993 ）表1厂界标准值。</w:t>
            </w:r>
          </w:p>
          <w:p>
            <w:pPr>
              <w:adjustRightInd w:val="0"/>
              <w:snapToGrid w:val="0"/>
              <w:ind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）（保护膜）预搅拌、涂布、烤干</w:t>
            </w:r>
            <w:r>
              <w:rPr>
                <w:rFonts w:hint="default" w:ascii="Times New Roman" w:hAnsi="Times New Roman" w:cs="Times New Roman"/>
                <w:color w:val="auto"/>
                <w:lang w:val="en-US" w:eastAsia="zh-CN"/>
              </w:rPr>
              <w:t>工序</w:t>
            </w:r>
          </w:p>
          <w:p>
            <w:pPr>
              <w:adjustRightInd w:val="0"/>
              <w:snapToGrid w:val="0"/>
              <w:ind w:firstLine="480" w:firstLineChars="200"/>
              <w:rPr>
                <w:rFonts w:hint="default" w:ascii="Times New Roman" w:hAnsi="Times New Roman" w:eastAsia="宋体" w:cs="Times New Roman"/>
                <w:color w:val="auto"/>
                <w:lang w:val="en-US" w:eastAsia="zh-CN"/>
              </w:rPr>
            </w:pPr>
            <w:r>
              <w:rPr>
                <w:rFonts w:hint="default" w:ascii="Times New Roman" w:hAnsi="Times New Roman" w:cs="Times New Roman"/>
                <w:color w:val="auto"/>
              </w:rPr>
              <w:t>（保护膜）预搅拌、涂布、烤干工序产生的</w:t>
            </w:r>
            <w:r>
              <w:rPr>
                <w:rFonts w:hint="default" w:ascii="Times New Roman" w:hAnsi="Times New Roman" w:cs="Times New Roman"/>
                <w:color w:val="auto"/>
                <w:lang w:val="en-US" w:eastAsia="zh-CN"/>
              </w:rPr>
              <w:t>有机废气</w:t>
            </w:r>
            <w:r>
              <w:rPr>
                <w:rFonts w:hint="default" w:ascii="Times New Roman" w:hAnsi="Times New Roman" w:cs="Times New Roman"/>
                <w:color w:val="auto"/>
                <w:highlight w:val="none"/>
                <w:lang w:val="en-US" w:eastAsia="zh-CN"/>
              </w:rPr>
              <w:t>经“水喷淋+干式过滤器+二级活性炭吸附装置”处理达标后经1根15m高的排气筒DA003高空排放，</w:t>
            </w:r>
            <w:r>
              <w:rPr>
                <w:rFonts w:hint="default" w:ascii="Times New Roman" w:hAnsi="Times New Roman" w:cs="Times New Roman"/>
                <w:color w:val="auto"/>
                <w:lang w:val="en-US" w:eastAsia="zh-CN"/>
              </w:rPr>
              <w:t>总VOCs</w:t>
            </w:r>
            <w:r>
              <w:rPr>
                <w:rFonts w:hint="default" w:ascii="Times New Roman" w:hAnsi="Times New Roman" w:cs="Times New Roman"/>
                <w:color w:val="auto"/>
                <w:highlight w:val="none"/>
                <w:lang w:val="en-US" w:eastAsia="zh-CN"/>
              </w:rPr>
              <w:t>排放</w:t>
            </w:r>
            <w:r>
              <w:rPr>
                <w:rFonts w:hint="default" w:ascii="Times New Roman" w:hAnsi="Times New Roman" w:cs="Times New Roman"/>
                <w:color w:val="auto"/>
                <w:lang w:val="en-US" w:eastAsia="zh-CN"/>
              </w:rPr>
              <w:t>可达到广东省地方标准《固定污染源挥发性有机物综合排放标准》（DB44/ 2367—2022）表1挥发性有机物排放限值中TVOC排放限值要求及</w:t>
            </w:r>
            <w:r>
              <w:rPr>
                <w:rFonts w:hint="default" w:ascii="Times New Roman" w:hAnsi="Times New Roman" w:cs="Times New Roman"/>
                <w:color w:val="auto"/>
              </w:rPr>
              <w:t>广东省地方标准《家具制造行业挥发性有机化合物排放标准》（DB44/814-2010）无组织排放监控点浓度限值</w:t>
            </w:r>
            <w:r>
              <w:rPr>
                <w:rFonts w:hint="default" w:ascii="Times New Roman" w:hAnsi="Times New Roman" w:cs="Times New Roman"/>
                <w:color w:val="auto"/>
                <w:lang w:eastAsia="zh-CN"/>
              </w:rPr>
              <w:t>。</w:t>
            </w:r>
          </w:p>
          <w:p>
            <w:pPr>
              <w:numPr>
                <w:ilvl w:val="0"/>
                <w:numId w:val="20"/>
              </w:numPr>
              <w:adjustRightInd w:val="0"/>
              <w:snapToGrid w:val="0"/>
              <w:ind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天然气燃烧废气</w:t>
            </w:r>
          </w:p>
          <w:p>
            <w:pPr>
              <w:adjustRightInd w:val="0"/>
              <w:snapToGrid w:val="0"/>
              <w:ind w:firstLine="480" w:firstLineChars="20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天然气燃烧产生的废气经低氮燃烧装置处理后经1根22m高的排气筒DA005排放，SO</w:t>
            </w:r>
            <w:r>
              <w:rPr>
                <w:rFonts w:hint="default" w:ascii="Times New Roman" w:hAnsi="Times New Roman" w:cs="Times New Roman"/>
                <w:color w:val="auto"/>
                <w:vertAlign w:val="subscript"/>
                <w:lang w:val="en-US" w:eastAsia="zh-CN"/>
              </w:rPr>
              <w:t>2</w:t>
            </w:r>
            <w:r>
              <w:rPr>
                <w:rFonts w:hint="default" w:ascii="Times New Roman" w:hAnsi="Times New Roman" w:cs="Times New Roman"/>
                <w:color w:val="auto"/>
                <w:lang w:val="en-US" w:eastAsia="zh-CN"/>
              </w:rPr>
              <w:t>、颗粒物排放可达到广东省地方标准《锅炉大气污染物排放标准》（DB44/765-2019）表2燃气锅炉排放标准，NOx排放可达到《锅炉大气污染物排放标准》（DB44/765-2019）的表3特别排放限值的要求。</w:t>
            </w:r>
          </w:p>
          <w:p>
            <w:pPr>
              <w:adjustRightInd w:val="0"/>
              <w:snapToGrid w:val="0"/>
              <w:ind w:firstLine="480" w:firstLineChars="200"/>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厂房外无组织</w:t>
            </w:r>
            <w:r>
              <w:rPr>
                <w:rFonts w:hint="default" w:ascii="Times New Roman" w:hAnsi="Times New Roman" w:cs="Times New Roman"/>
                <w:color w:val="auto"/>
              </w:rPr>
              <w:t>满足</w:t>
            </w:r>
            <w:r>
              <w:rPr>
                <w:rFonts w:hint="default" w:ascii="Times New Roman" w:hAnsi="Times New Roman" w:cs="Times New Roman"/>
                <w:color w:val="auto"/>
                <w:lang w:val="en-US" w:eastAsia="zh-CN"/>
              </w:rPr>
              <w:t>广东省地方标准《固定污染源挥发性有机物综合排放标准》（DB44/ 2367—2022）表3要求。</w:t>
            </w:r>
          </w:p>
          <w:p>
            <w:pPr>
              <w:adjustRightInd w:val="0"/>
              <w:snapToGrid w:val="0"/>
              <w:ind w:firstLine="480" w:firstLineChars="200"/>
              <w:rPr>
                <w:rFonts w:hint="default" w:ascii="Times New Roman" w:hAnsi="Times New Roman" w:cs="Times New Roman"/>
                <w:color w:val="auto"/>
                <w:lang w:val="en-US" w:eastAsia="zh-CN"/>
              </w:rPr>
            </w:pPr>
            <w:r>
              <w:rPr>
                <w:rFonts w:hint="default" w:ascii="Times New Roman" w:hAnsi="Times New Roman" w:eastAsia="宋体" w:cs="Times New Roman"/>
                <w:color w:val="auto"/>
                <w:lang w:val="en-US" w:eastAsia="zh-CN"/>
              </w:rPr>
              <w:t>综上，项目</w:t>
            </w:r>
            <w:r>
              <w:rPr>
                <w:rFonts w:hint="default" w:ascii="Times New Roman" w:hAnsi="Times New Roman" w:cs="Times New Roman"/>
                <w:color w:val="auto"/>
                <w:lang w:val="en-US" w:eastAsia="zh-CN"/>
              </w:rPr>
              <w:t>废气</w:t>
            </w:r>
            <w:r>
              <w:rPr>
                <w:rFonts w:hint="default" w:ascii="Times New Roman" w:hAnsi="Times New Roman" w:eastAsia="宋体" w:cs="Times New Roman"/>
                <w:color w:val="auto"/>
                <w:lang w:val="en-US" w:eastAsia="zh-CN"/>
              </w:rPr>
              <w:t>经收集处理后能达标排放，废气排放量较小，对周围环境及敏感点影响较小。</w:t>
            </w:r>
          </w:p>
          <w:p>
            <w:pPr>
              <w:pStyle w:val="19"/>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482" w:firstLineChars="20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6、卫生</w:t>
            </w:r>
            <w:r>
              <w:rPr>
                <w:rFonts w:hint="default" w:ascii="Times New Roman" w:hAnsi="Times New Roman" w:cs="Times New Roman"/>
                <w:b/>
                <w:bCs/>
                <w:color w:val="auto"/>
                <w:sz w:val="24"/>
                <w:szCs w:val="24"/>
              </w:rPr>
              <w:t>防护距离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大气有害物质无组织排放卫生防护距离按照《大气有害物质无组织排放卫生防护距离推导技术导则》（GB/T39499—2020）中卫生防护距离</w:t>
            </w:r>
            <w:r>
              <w:rPr>
                <w:rFonts w:hint="default" w:ascii="Times New Roman" w:hAnsi="Times New Roman" w:cs="Times New Roman"/>
                <w:color w:val="auto"/>
                <w:sz w:val="24"/>
                <w:szCs w:val="24"/>
                <w:lang w:val="en-US" w:eastAsia="zh-CN"/>
              </w:rPr>
              <w:t>初始值</w:t>
            </w:r>
            <w:r>
              <w:rPr>
                <w:rFonts w:hint="default" w:ascii="Times New Roman" w:hAnsi="Times New Roman" w:cs="Times New Roman"/>
                <w:color w:val="auto"/>
                <w:sz w:val="24"/>
                <w:szCs w:val="24"/>
              </w:rPr>
              <w:t>的方法确定。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根据项目废气排放情况可知，项目废气无组织排放污染物为总VOCs、</w:t>
            </w:r>
            <w:r>
              <w:rPr>
                <w:rFonts w:hint="default" w:ascii="Times New Roman" w:hAnsi="Times New Roman" w:cs="Times New Roman"/>
                <w:color w:val="auto"/>
                <w:sz w:val="24"/>
                <w:szCs w:val="24"/>
                <w:lang w:val="en-US" w:eastAsia="zh-CN"/>
              </w:rPr>
              <w:t>非甲烷总烃、MDI</w:t>
            </w:r>
            <w:r>
              <w:rPr>
                <w:rFonts w:hint="default" w:ascii="Times New Roman" w:hAnsi="Times New Roman" w:cs="Times New Roman"/>
                <w:color w:val="auto"/>
                <w:sz w:val="24"/>
                <w:szCs w:val="24"/>
              </w:rPr>
              <w:t>，其无组织排放量和等标排放量如下</w:t>
            </w:r>
            <w:r>
              <w:rPr>
                <w:rFonts w:hint="default" w:ascii="Times New Roman" w:hAnsi="Times New Roman" w:cs="Times New Roman"/>
                <w:color w:val="auto"/>
                <w:sz w:val="24"/>
                <w:szCs w:val="24"/>
                <w:lang w:eastAsia="zh-CN"/>
              </w:rPr>
              <w:t>：</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rPr>
              <w:t>项目无组织排放量和等标排放量情况表</w:t>
            </w:r>
          </w:p>
          <w:tbl>
            <w:tblPr>
              <w:tblStyle w:val="32"/>
              <w:tblW w:w="94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2688"/>
              <w:gridCol w:w="1346"/>
              <w:gridCol w:w="1349"/>
              <w:gridCol w:w="1200"/>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13"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生产单元</w:t>
                  </w:r>
                </w:p>
              </w:tc>
              <w:tc>
                <w:tcPr>
                  <w:tcW w:w="1427"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714"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无组织排放量（kg/h）</w:t>
                  </w:r>
                </w:p>
              </w:tc>
              <w:tc>
                <w:tcPr>
                  <w:tcW w:w="716"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质量标准限值（mg/m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p>
              </w:tc>
              <w:tc>
                <w:tcPr>
                  <w:tcW w:w="637"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p>
              </w:tc>
              <w:tc>
                <w:tcPr>
                  <w:tcW w:w="791"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r>
                    <w:rPr>
                      <w:rFonts w:hint="default" w:ascii="Times New Roman" w:hAnsi="Times New Roman" w:cs="Times New Roman"/>
                      <w:b/>
                      <w:bCs/>
                      <w:color w:val="auto"/>
                      <w:sz w:val="21"/>
                      <w:szCs w:val="21"/>
                      <w:lang w:val="en-US" w:eastAsia="zh-CN"/>
                    </w:rPr>
                    <w:t>差值是否在10</w:t>
                  </w:r>
                  <w:r>
                    <w:rPr>
                      <w:rFonts w:hint="default" w:ascii="Times New Roman" w:hAnsi="Times New Roman" w:eastAsia="宋体" w:cs="Times New Roman"/>
                      <w:b/>
                      <w:bCs/>
                      <w:color w:val="auto"/>
                      <w:sz w:val="21"/>
                      <w:szCs w:val="21"/>
                    </w:rPr>
                    <w:t>%</w:t>
                  </w:r>
                  <w:r>
                    <w:rPr>
                      <w:rFonts w:hint="default" w:ascii="Times New Roman" w:hAnsi="Times New Roman" w:cs="Times New Roman"/>
                      <w:b/>
                      <w:bCs/>
                      <w:color w:val="auto"/>
                      <w:sz w:val="21"/>
                      <w:szCs w:val="21"/>
                      <w:lang w:val="en-US" w:eastAsia="zh-CN"/>
                    </w:rPr>
                    <w:t>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713" w:type="pct"/>
                  <w:vMerge w:val="restar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snapToGrid w:val="0"/>
                      <w:color w:val="auto"/>
                      <w:kern w:val="2"/>
                      <w:sz w:val="21"/>
                      <w:szCs w:val="21"/>
                      <w:lang w:val="en-US" w:eastAsia="zh-CN" w:bidi="ar-SA"/>
                    </w:rPr>
                    <w:t>聚氨酯高密度棉生产车间</w:t>
                  </w:r>
                </w:p>
              </w:tc>
              <w:tc>
                <w:tcPr>
                  <w:tcW w:w="1427"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非甲烷总烃</w:t>
                  </w:r>
                </w:p>
              </w:tc>
              <w:tc>
                <w:tcPr>
                  <w:tcW w:w="714" w:type="pct"/>
                  <w:noWrap w:val="0"/>
                  <w:vAlign w:val="center"/>
                </w:tcPr>
                <w:p>
                  <w:pPr>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0.0045</w:t>
                  </w:r>
                </w:p>
              </w:tc>
              <w:tc>
                <w:tcPr>
                  <w:tcW w:w="716" w:type="pc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12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2225 </w:t>
                  </w:r>
                </w:p>
              </w:tc>
              <w:tc>
                <w:tcPr>
                  <w:tcW w:w="791" w:type="pct"/>
                  <w:vMerge w:val="restart"/>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default" w:ascii="Times New Roman" w:hAnsi="Times New Roman" w:cs="Times New Roman"/>
                      <w:snapToGrid w:val="0"/>
                      <w:color w:val="auto"/>
                      <w:sz w:val="21"/>
                      <w:szCs w:val="21"/>
                      <w:lang w:val="en-US" w:eastAsia="zh-CN"/>
                    </w:rPr>
                  </w:pPr>
                </w:p>
              </w:tc>
              <w:tc>
                <w:tcPr>
                  <w:tcW w:w="1427" w:type="pc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kern w:val="2"/>
                      <w:sz w:val="21"/>
                      <w:szCs w:val="21"/>
                      <w:lang w:val="en-US" w:eastAsia="zh-CN" w:bidi="ar-SA"/>
                    </w:rPr>
                    <w:t>MDI</w:t>
                  </w:r>
                </w:p>
              </w:tc>
              <w:tc>
                <w:tcPr>
                  <w:tcW w:w="714"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0.00001</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2</w:t>
                  </w:r>
                </w:p>
              </w:tc>
              <w:tc>
                <w:tcPr>
                  <w:tcW w:w="12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6.667 </w:t>
                  </w:r>
                </w:p>
              </w:tc>
              <w:tc>
                <w:tcPr>
                  <w:tcW w:w="791" w:type="pct"/>
                  <w:vMerge w:val="continue"/>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vMerge w:val="continue"/>
                  <w:noWrap w:val="0"/>
                  <w:vAlign w:val="center"/>
                </w:tcPr>
                <w:p>
                  <w:pPr>
                    <w:widowControl/>
                    <w:spacing w:line="240" w:lineRule="auto"/>
                    <w:jc w:val="center"/>
                    <w:rPr>
                      <w:rFonts w:hint="default" w:ascii="Times New Roman" w:hAnsi="Times New Roman" w:cs="Times New Roman"/>
                      <w:snapToGrid w:val="0"/>
                      <w:color w:val="auto"/>
                      <w:sz w:val="21"/>
                      <w:szCs w:val="21"/>
                      <w:lang w:val="en-US" w:eastAsia="zh-CN"/>
                    </w:rPr>
                  </w:pPr>
                </w:p>
              </w:tc>
              <w:tc>
                <w:tcPr>
                  <w:tcW w:w="1427" w:type="pc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21"/>
                    </w:rPr>
                    <w:t>总VOCs</w:t>
                  </w:r>
                </w:p>
              </w:tc>
              <w:tc>
                <w:tcPr>
                  <w:tcW w:w="714"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0.0018</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2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1497.585 </w:t>
                  </w:r>
                </w:p>
              </w:tc>
              <w:tc>
                <w:tcPr>
                  <w:tcW w:w="791" w:type="pct"/>
                  <w:vMerge w:val="continue"/>
                  <w:noWrap w:val="0"/>
                  <w:vAlign w:val="center"/>
                </w:tcPr>
                <w:p>
                  <w:pPr>
                    <w:spacing w:line="240" w:lineRule="auto"/>
                    <w:jc w:val="center"/>
                    <w:rPr>
                      <w:rFonts w:hint="default" w:ascii="Times New Roman" w:hAnsi="Times New Roman" w:cs="Times New Roman"/>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13" w:type="pct"/>
                  <w:noWrap w:val="0"/>
                  <w:vAlign w:val="center"/>
                </w:tcPr>
                <w:p>
                  <w:pPr>
                    <w:widowControl/>
                    <w:spacing w:line="240" w:lineRule="auto"/>
                    <w:jc w:val="center"/>
                    <w:rPr>
                      <w:rFonts w:hint="default" w:ascii="Times New Roman" w:hAnsi="Times New Roman" w:cs="Times New Roman"/>
                      <w:snapToGrid w:val="0"/>
                      <w:color w:val="auto"/>
                      <w:sz w:val="21"/>
                      <w:szCs w:val="21"/>
                      <w:lang w:val="en-US" w:eastAsia="zh-CN"/>
                    </w:rPr>
                  </w:pPr>
                  <w:r>
                    <w:rPr>
                      <w:rFonts w:hint="default" w:ascii="Times New Roman" w:hAnsi="Times New Roman" w:cs="Times New Roman"/>
                      <w:snapToGrid w:val="0"/>
                      <w:color w:val="auto"/>
                      <w:sz w:val="21"/>
                      <w:szCs w:val="21"/>
                      <w:lang w:val="en-US" w:eastAsia="zh-CN"/>
                    </w:rPr>
                    <w:t>涂布车间2</w:t>
                  </w:r>
                </w:p>
              </w:tc>
              <w:tc>
                <w:tcPr>
                  <w:tcW w:w="1427" w:type="pc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eastAsia="宋体" w:cs="Times New Roman"/>
                      <w:snapToGrid w:val="0"/>
                      <w:color w:val="auto"/>
                      <w:sz w:val="21"/>
                      <w:szCs w:val="21"/>
                    </w:rPr>
                    <w:t>总VOCs</w:t>
                  </w:r>
                </w:p>
              </w:tc>
              <w:tc>
                <w:tcPr>
                  <w:tcW w:w="714"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0.007</w:t>
                  </w:r>
                </w:p>
              </w:tc>
              <w:tc>
                <w:tcPr>
                  <w:tcW w:w="716" w:type="pct"/>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2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5841.121 </w:t>
                  </w:r>
                </w:p>
              </w:tc>
              <w:tc>
                <w:tcPr>
                  <w:tcW w:w="791" w:type="pct"/>
                  <w:vMerge w:val="continue"/>
                  <w:noWrap w:val="0"/>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5000"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备注：</w:t>
                  </w:r>
                  <w:r>
                    <w:rPr>
                      <w:rFonts w:hint="default" w:ascii="Times New Roman" w:hAnsi="Times New Roman" w:cs="Times New Roman"/>
                      <w:b/>
                      <w:bCs/>
                      <w:color w:val="auto"/>
                      <w:sz w:val="20"/>
                      <w:szCs w:val="20"/>
                    </w:rPr>
                    <w:t>根据《大气有害物质无组织排放卫生防护距离推导技术导则》（GB-T39499-2020）中“5.2.2标准限值</w:t>
                  </w:r>
                  <w:r>
                    <w:rPr>
                      <w:rFonts w:hint="default" w:ascii="Times New Roman" w:hAnsi="Times New Roman" w:cs="Times New Roman"/>
                      <w:i/>
                      <w:iCs/>
                      <w:color w:val="auto"/>
                      <w:sz w:val="20"/>
                      <w:szCs w:val="20"/>
                    </w:rPr>
                    <w:t>C</w:t>
                  </w:r>
                  <w:r>
                    <w:rPr>
                      <w:rFonts w:hint="default" w:ascii="Times New Roman" w:hAnsi="Times New Roman" w:cs="Times New Roman"/>
                      <w:i/>
                      <w:iCs/>
                      <w:color w:val="auto"/>
                      <w:sz w:val="20"/>
                      <w:szCs w:val="20"/>
                      <w:vertAlign w:val="subscript"/>
                    </w:rPr>
                    <w:t>m</w:t>
                  </w:r>
                  <w:r>
                    <w:rPr>
                      <w:rFonts w:hint="default" w:ascii="Times New Roman" w:hAnsi="Times New Roman" w:cs="Times New Roman"/>
                      <w:b/>
                      <w:bCs/>
                      <w:color w:val="auto"/>
                      <w:sz w:val="20"/>
                      <w:szCs w:val="20"/>
                    </w:rPr>
                    <w:t>”：当特征大气有害物质在GB 3095中无规定时，可按照HJ 2.2中规定的1h平均标准值；当特征大气有害物质在GB 3095 中有规定的二级标准日均值时，一般可取其二级标准日均值的三倍，因此本项目总VOCs的大气有害物质环境空气质量的标准浓度限值（</w:t>
                  </w:r>
                  <w:r>
                    <w:rPr>
                      <w:rFonts w:hint="default" w:ascii="Times New Roman" w:hAnsi="Times New Roman" w:cs="Times New Roman"/>
                      <w:i/>
                      <w:iCs/>
                      <w:color w:val="auto"/>
                      <w:sz w:val="20"/>
                      <w:szCs w:val="20"/>
                    </w:rPr>
                    <w:t>C</w:t>
                  </w:r>
                  <w:r>
                    <w:rPr>
                      <w:rFonts w:hint="default" w:ascii="Times New Roman" w:hAnsi="Times New Roman" w:cs="Times New Roman"/>
                      <w:i/>
                      <w:iCs/>
                      <w:color w:val="auto"/>
                      <w:sz w:val="20"/>
                      <w:szCs w:val="20"/>
                      <w:vertAlign w:val="subscript"/>
                    </w:rPr>
                    <w:t>m</w:t>
                  </w:r>
                  <w:r>
                    <w:rPr>
                      <w:rFonts w:hint="default" w:ascii="Times New Roman" w:hAnsi="Times New Roman" w:cs="Times New Roman"/>
                      <w:b/>
                      <w:bCs/>
                      <w:color w:val="auto"/>
                      <w:sz w:val="20"/>
                      <w:szCs w:val="20"/>
                    </w:rPr>
                    <w:t>）取《环境影响评价技术导则 大气环境》（HJ 2.2-2018）》附录D的标准值按照2倍折算为1h平均质量浓度限值为1.2mg/m</w:t>
                  </w:r>
                  <w:r>
                    <w:rPr>
                      <w:rFonts w:hint="default" w:ascii="Times New Roman" w:hAnsi="Times New Roman" w:cs="Times New Roman"/>
                      <w:b/>
                      <w:bCs/>
                      <w:color w:val="auto"/>
                      <w:sz w:val="20"/>
                      <w:szCs w:val="20"/>
                      <w:vertAlign w:val="superscript"/>
                    </w:rPr>
                    <w:t>3</w:t>
                  </w:r>
                  <w:r>
                    <w:rPr>
                      <w:rFonts w:hint="default" w:ascii="Times New Roman" w:hAnsi="Times New Roman" w:cs="Times New Roman"/>
                      <w:b/>
                      <w:bCs/>
                      <w:color w:val="auto"/>
                      <w:sz w:val="20"/>
                      <w:szCs w:val="20"/>
                    </w:rPr>
                    <w:t>；非甲烷总烃的大气有害物质环境空气质量的标准浓度限值（</w:t>
                  </w:r>
                  <w:r>
                    <w:rPr>
                      <w:rFonts w:hint="default" w:ascii="Times New Roman" w:hAnsi="Times New Roman" w:cs="Times New Roman"/>
                      <w:i/>
                      <w:iCs/>
                      <w:color w:val="auto"/>
                      <w:sz w:val="20"/>
                      <w:szCs w:val="20"/>
                    </w:rPr>
                    <w:t>C</w:t>
                  </w:r>
                  <w:r>
                    <w:rPr>
                      <w:rFonts w:hint="default" w:ascii="Times New Roman" w:hAnsi="Times New Roman" w:cs="Times New Roman"/>
                      <w:i/>
                      <w:iCs/>
                      <w:color w:val="auto"/>
                      <w:sz w:val="20"/>
                      <w:szCs w:val="20"/>
                      <w:vertAlign w:val="subscript"/>
                    </w:rPr>
                    <w:t>m</w:t>
                  </w:r>
                  <w:r>
                    <w:rPr>
                      <w:rFonts w:hint="default" w:ascii="Times New Roman" w:hAnsi="Times New Roman" w:cs="Times New Roman"/>
                      <w:b/>
                      <w:bCs/>
                      <w:color w:val="auto"/>
                      <w:sz w:val="20"/>
                      <w:szCs w:val="20"/>
                    </w:rPr>
                    <w:t>）参考《大气污染物综合排放标准详解》取2mg/m</w:t>
                  </w:r>
                  <w:r>
                    <w:rPr>
                      <w:rFonts w:hint="default" w:ascii="Times New Roman" w:hAnsi="Times New Roman" w:cs="Times New Roman"/>
                      <w:b/>
                      <w:bCs/>
                      <w:color w:val="auto"/>
                      <w:sz w:val="20"/>
                      <w:szCs w:val="20"/>
                      <w:vertAlign w:val="superscript"/>
                    </w:rPr>
                    <w:t>3</w:t>
                  </w:r>
                  <w:r>
                    <w:rPr>
                      <w:rFonts w:hint="default" w:ascii="Times New Roman" w:hAnsi="Times New Roman" w:cs="Times New Roman"/>
                      <w:b/>
                      <w:bCs/>
                      <w:color w:val="auto"/>
                      <w:sz w:val="20"/>
                      <w:szCs w:val="20"/>
                      <w:lang w:eastAsia="zh-CN"/>
                    </w:rPr>
                    <w:t>；</w:t>
                  </w:r>
                  <w:r>
                    <w:rPr>
                      <w:rFonts w:hint="default" w:ascii="Times New Roman" w:hAnsi="Times New Roman" w:cs="Times New Roman"/>
                      <w:b/>
                      <w:bCs/>
                      <w:color w:val="auto"/>
                      <w:sz w:val="20"/>
                      <w:szCs w:val="20"/>
                      <w:lang w:val="en-US" w:eastAsia="zh-CN"/>
                    </w:rPr>
                    <w:t>MDI在</w:t>
                  </w:r>
                  <w:r>
                    <w:rPr>
                      <w:rFonts w:hint="default" w:ascii="Times New Roman" w:hAnsi="Times New Roman" w:cs="Times New Roman"/>
                      <w:b/>
                      <w:bCs/>
                      <w:color w:val="auto"/>
                      <w:sz w:val="20"/>
                      <w:szCs w:val="20"/>
                    </w:rPr>
                    <w:t>GB 3095中无规定</w:t>
                  </w:r>
                  <w:r>
                    <w:rPr>
                      <w:rFonts w:hint="default" w:ascii="Times New Roman" w:hAnsi="Times New Roman" w:cs="Times New Roman"/>
                      <w:b/>
                      <w:bCs/>
                      <w:color w:val="auto"/>
                      <w:sz w:val="20"/>
                      <w:szCs w:val="20"/>
                      <w:lang w:eastAsia="zh-CN"/>
                    </w:rPr>
                    <w:t>，</w:t>
                  </w:r>
                  <w:r>
                    <w:rPr>
                      <w:rFonts w:hint="default" w:ascii="Times New Roman" w:hAnsi="Times New Roman" w:cs="Times New Roman"/>
                      <w:b/>
                      <w:bCs/>
                      <w:color w:val="auto"/>
                      <w:sz w:val="20"/>
                      <w:szCs w:val="20"/>
                      <w:lang w:val="en-US" w:eastAsia="zh-CN"/>
                    </w:rPr>
                    <w:t>参照非甲烷总烃标准限值取值，为</w:t>
                  </w:r>
                  <w:r>
                    <w:rPr>
                      <w:rFonts w:hint="default" w:ascii="Times New Roman" w:hAnsi="Times New Roman" w:cs="Times New Roman"/>
                      <w:b/>
                      <w:bCs/>
                      <w:color w:val="auto"/>
                      <w:sz w:val="20"/>
                      <w:szCs w:val="20"/>
                    </w:rPr>
                    <w:t>2mg/m</w:t>
                  </w:r>
                  <w:r>
                    <w:rPr>
                      <w:rFonts w:hint="default" w:ascii="Times New Roman" w:hAnsi="Times New Roman" w:cs="Times New Roman"/>
                      <w:b/>
                      <w:bCs/>
                      <w:color w:val="auto"/>
                      <w:sz w:val="20"/>
                      <w:szCs w:val="20"/>
                      <w:vertAlign w:val="superscript"/>
                    </w:rPr>
                    <w:t>3</w:t>
                  </w:r>
                  <w:r>
                    <w:rPr>
                      <w:rFonts w:hint="default" w:ascii="Times New Roman" w:hAnsi="Times New Roman" w:cs="Times New Roman"/>
                      <w:b/>
                      <w:bCs/>
                      <w:color w:val="auto"/>
                      <w:sz w:val="20"/>
                      <w:szCs w:val="20"/>
                      <w:lang w:val="en-US" w:eastAsia="zh-CN"/>
                    </w:rPr>
                    <w:t>。</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根据上述计算，本项目所有污染物的等标排放量中最大的为涂布车间2的总VOCs，且等标排放量差值不在10%以内，因此本项目选择涂布车间2的总VOCs计算卫生防护距离初值。</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卫生防护距离初值计算公式如下：</w:t>
            </w:r>
          </w:p>
          <w:p>
            <w:pPr>
              <w:pStyle w:val="101"/>
              <w:spacing w:line="360" w:lineRule="auto"/>
              <w:ind w:firstLine="420" w:firstLineChars="200"/>
              <w:jc w:val="center"/>
              <w:rPr>
                <w:rFonts w:hint="default" w:ascii="Times New Roman" w:hAnsi="Times New Roman" w:cs="Times New Roman"/>
                <w:color w:val="auto"/>
                <w:sz w:val="21"/>
                <w:szCs w:val="21"/>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式中：</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Qc——大气有害物质的无组织排放量，单位为千克每小时（kg/h）；</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Cm——大气有害物质环境空气质量的标准限值，单位为毫克每立方米（mg/m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L——大气有害物质生防护距离初值，单位为米（m）；</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r——大气有害物质无组织排放源所在生产单元的等效半径，单位为米（m）；</w:t>
            </w:r>
          </w:p>
          <w:p>
            <w:pPr>
              <w:keepNext w:val="0"/>
              <w:keepLines w:val="0"/>
              <w:pageBreakBefore w:val="0"/>
              <w:widowControl w:val="0"/>
              <w:numPr>
                <w:ilvl w:val="0"/>
                <w:numId w:val="21"/>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B、C、D——卫生防护距离初值计算系数，无因次，根据工业企业所在地区近5年平均风速及大气污染源构成类别从下表选取。</w:t>
            </w:r>
          </w:p>
          <w:p>
            <w:pPr>
              <w:pStyle w:val="45"/>
              <w:numPr>
                <w:ilvl w:val="0"/>
                <w:numId w:val="16"/>
              </w:numPr>
              <w:shd w:val="clear" w:color="auto" w:fill="auto"/>
              <w:tabs>
                <w:tab w:val="clear" w:pos="0"/>
              </w:tabs>
              <w:bidi w:val="0"/>
              <w:ind w:left="0" w:leftChars="0" w:firstLine="403" w:firstLineChars="0"/>
              <w:rPr>
                <w:rFonts w:hint="default" w:ascii="Times New Roman" w:hAnsi="Times New Roman" w:eastAsia="宋体" w:cs="Times New Roman"/>
                <w:color w:val="auto"/>
              </w:rPr>
            </w:pPr>
            <w:r>
              <w:rPr>
                <w:rFonts w:hint="default" w:ascii="Times New Roman" w:hAnsi="Times New Roman" w:eastAsia="宋体" w:cs="Times New Roman"/>
                <w:color w:val="auto"/>
              </w:rPr>
              <w:t>卫生防护距离初值计算系数</w:t>
            </w:r>
          </w:p>
          <w:tbl>
            <w:tblPr>
              <w:tblStyle w:val="32"/>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357"/>
              <w:gridCol w:w="788"/>
              <w:gridCol w:w="788"/>
              <w:gridCol w:w="788"/>
              <w:gridCol w:w="788"/>
              <w:gridCol w:w="788"/>
              <w:gridCol w:w="788"/>
              <w:gridCol w:w="788"/>
              <w:gridCol w:w="788"/>
              <w:gridCol w:w="79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394" w:hRule="exac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算</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系</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w:t>
                  </w:r>
                </w:p>
              </w:tc>
              <w:tc>
                <w:tcPr>
                  <w:tcW w:w="733" w:type="pct"/>
                  <w:vMerge w:val="restar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工业企业所在地区近5年平均风速m/s</w:t>
                  </w: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卫生防护距离L，m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L≤1000</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1000＜L≤2000</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L＞2000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410"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工业企业大气污染源构成类别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47"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1917" w:hRule="atLeast"/>
                <w:jc w:val="center"/>
              </w:trPr>
              <w:tc>
                <w:tcPr>
                  <w:tcW w:w="5000" w:type="pct"/>
                  <w:gridSpan w:val="11"/>
                  <w:tcBorders>
                    <w:left w:val="single" w:color="auto" w:sz="4" w:space="0"/>
                    <w:right w:val="single" w:color="auto" w:sz="4" w:space="0"/>
                  </w:tcBorders>
                  <w:noWrap w:val="0"/>
                  <w:vAlign w:val="center"/>
                </w:tcPr>
                <w:p>
                  <w:pPr>
                    <w:pStyle w:val="102"/>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注：</w:t>
                  </w:r>
                </w:p>
                <w:p>
                  <w:pPr>
                    <w:pStyle w:val="102"/>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Ⅰ类：与无组织排放源共存的排放同种有害气体的排气筒的排放量，大于或等于标准规定的允许排放量的三分之一者。</w:t>
                  </w:r>
                </w:p>
                <w:p>
                  <w:pPr>
                    <w:pStyle w:val="102"/>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pStyle w:val="49"/>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422"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Ⅲ类：无排放同种有害物质的排气筒与无组织排放源共存，且无组织排放的有害物质的容许浓度是按慢性反应指标确定者。</w:t>
                  </w:r>
                </w:p>
              </w:tc>
            </w:tr>
          </w:tbl>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本项目所在地区近5年平均风速为2.2m/s，且大气污染源属于Ⅱ类，按上述公式对本项目无组织排放的卫生防护距离进行计算，项目卫生防护距离计算参数取值及具体计算结果见下表。</w:t>
            </w:r>
          </w:p>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rPr>
              <w:t>项目卫生防护距离初值计算参数选取</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2213"/>
              <w:gridCol w:w="2188"/>
              <w:gridCol w:w="1086"/>
              <w:gridCol w:w="1084"/>
              <w:gridCol w:w="951"/>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21" w:type="pct"/>
                  <w:vMerge w:val="restar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计算系数</w:t>
                  </w:r>
                </w:p>
              </w:tc>
              <w:tc>
                <w:tcPr>
                  <w:tcW w:w="119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工业企业所在地区近五年平均风速m/s</w:t>
                  </w:r>
                </w:p>
              </w:tc>
              <w:tc>
                <w:tcPr>
                  <w:tcW w:w="1182"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工业企业大气污染源构成类别</w:t>
                  </w:r>
                </w:p>
              </w:tc>
              <w:tc>
                <w:tcPr>
                  <w:tcW w:w="587"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A</w:t>
                  </w:r>
                </w:p>
              </w:tc>
              <w:tc>
                <w:tcPr>
                  <w:tcW w:w="58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B</w:t>
                  </w:r>
                </w:p>
              </w:tc>
              <w:tc>
                <w:tcPr>
                  <w:tcW w:w="514"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C</w:t>
                  </w:r>
                </w:p>
              </w:tc>
              <w:tc>
                <w:tcPr>
                  <w:tcW w:w="511"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21"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19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182"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587"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58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514"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511"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r>
          </w:tbl>
          <w:p>
            <w:pPr>
              <w:pStyle w:val="45"/>
              <w:numPr>
                <w:ilvl w:val="0"/>
                <w:numId w:val="16"/>
              </w:numPr>
              <w:tabs>
                <w:tab w:val="clear" w:pos="0"/>
              </w:tabs>
              <w:bidi w:val="0"/>
              <w:ind w:left="0" w:leftChars="0" w:firstLine="403" w:firstLineChars="0"/>
              <w:rPr>
                <w:rFonts w:hint="default" w:ascii="Times New Roman" w:hAnsi="Times New Roman" w:cs="Times New Roman"/>
                <w:color w:val="auto"/>
              </w:rPr>
            </w:pPr>
            <w:r>
              <w:rPr>
                <w:rFonts w:hint="default" w:ascii="Times New Roman" w:hAnsi="Times New Roman" w:cs="Times New Roman"/>
                <w:color w:val="auto"/>
              </w:rPr>
              <w:t>无组织废气卫生防护距离初值计算结果</w:t>
            </w:r>
          </w:p>
          <w:tbl>
            <w:tblPr>
              <w:tblStyle w:val="32"/>
              <w:tblW w:w="5079"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421"/>
              <w:gridCol w:w="1641"/>
              <w:gridCol w:w="1139"/>
              <w:gridCol w:w="1370"/>
              <w:gridCol w:w="1218"/>
              <w:gridCol w:w="1304"/>
              <w:gridCol w:w="1304"/>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771" w:hRule="atLeast"/>
                <w:jc w:val="center"/>
              </w:trPr>
              <w:tc>
                <w:tcPr>
                  <w:tcW w:w="756"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生产</w:t>
                  </w:r>
                </w:p>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单元</w:t>
                  </w:r>
                </w:p>
              </w:tc>
              <w:tc>
                <w:tcPr>
                  <w:tcW w:w="873"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kern w:val="0"/>
                      <w:sz w:val="21"/>
                      <w:szCs w:val="21"/>
                      <w:highlight w:val="none"/>
                      <w:lang w:bidi="ar"/>
                    </w:rPr>
                    <w:t>占地面积</w:t>
                  </w:r>
                  <w:r>
                    <w:rPr>
                      <w:rFonts w:hint="default" w:ascii="Times New Roman" w:hAnsi="Times New Roman" w:eastAsia="宋体" w:cs="Times New Roman"/>
                      <w:b/>
                      <w:bCs w:val="0"/>
                      <w:color w:val="auto"/>
                      <w:sz w:val="21"/>
                      <w:szCs w:val="21"/>
                      <w:highlight w:val="none"/>
                    </w:rPr>
                    <w:t>m</w:t>
                  </w:r>
                  <w:r>
                    <w:rPr>
                      <w:rFonts w:hint="default" w:ascii="Times New Roman" w:hAnsi="Times New Roman" w:eastAsia="宋体" w:cs="Times New Roman"/>
                      <w:b/>
                      <w:bCs w:val="0"/>
                      <w:color w:val="auto"/>
                      <w:sz w:val="21"/>
                      <w:szCs w:val="21"/>
                      <w:highlight w:val="none"/>
                      <w:vertAlign w:val="superscript"/>
                    </w:rPr>
                    <w:t>2</w:t>
                  </w:r>
                </w:p>
              </w:tc>
              <w:tc>
                <w:tcPr>
                  <w:tcW w:w="606"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污染物</w:t>
                  </w:r>
                </w:p>
              </w:tc>
              <w:tc>
                <w:tcPr>
                  <w:tcW w:w="72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标准限值</w:t>
                  </w: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64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无组织排放量kg/h</w:t>
                  </w:r>
                </w:p>
              </w:tc>
              <w:tc>
                <w:tcPr>
                  <w:tcW w:w="693"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卫生防护距离初值m</w:t>
                  </w:r>
                </w:p>
              </w:tc>
              <w:tc>
                <w:tcPr>
                  <w:tcW w:w="693" w:type="pct"/>
                  <w:noWrap w:val="0"/>
                  <w:tcMar>
                    <w:top w:w="15" w:type="dxa"/>
                    <w:left w:w="15" w:type="dxa"/>
                    <w:right w:w="15" w:type="dxa"/>
                  </w:tcMar>
                  <w:vAlign w:val="center"/>
                </w:tcPr>
                <w:p>
                  <w:pPr>
                    <w:widowControl/>
                    <w:tabs>
                      <w:tab w:val="left" w:pos="301"/>
                      <w:tab w:val="center" w:pos="696"/>
                    </w:tabs>
                    <w:spacing w:line="240" w:lineRule="auto"/>
                    <w:jc w:val="left"/>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卫生防护距离</w:t>
                  </w:r>
                  <w:r>
                    <w:rPr>
                      <w:rFonts w:hint="default" w:ascii="Times New Roman" w:hAnsi="Times New Roman" w:eastAsia="宋体" w:cs="Times New Roman"/>
                      <w:b/>
                      <w:bCs w:val="0"/>
                      <w:color w:val="auto"/>
                      <w:sz w:val="21"/>
                      <w:szCs w:val="21"/>
                      <w:highlight w:val="none"/>
                      <w:lang w:eastAsia="zh-CN"/>
                    </w:rPr>
                    <w:tab/>
                  </w:r>
                  <w:r>
                    <w:rPr>
                      <w:rFonts w:hint="default" w:ascii="Times New Roman" w:hAnsi="Times New Roman" w:eastAsia="宋体" w:cs="Times New Roman"/>
                      <w:b/>
                      <w:bCs w:val="0"/>
                      <w:color w:val="auto"/>
                      <w:sz w:val="21"/>
                      <w:szCs w:val="21"/>
                      <w:highlight w:val="none"/>
                    </w:rPr>
                    <w:t>终值/m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756" w:type="pct"/>
                  <w:noWrap w:val="0"/>
                  <w:tcMar>
                    <w:top w:w="15" w:type="dxa"/>
                    <w:left w:w="15" w:type="dxa"/>
                    <w:right w:w="15" w:type="dxa"/>
                  </w:tcMar>
                  <w:vAlign w:val="center"/>
                </w:tcPr>
                <w:p>
                  <w:pPr>
                    <w:widowControl/>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snapToGrid w:val="0"/>
                      <w:color w:val="auto"/>
                      <w:sz w:val="21"/>
                      <w:szCs w:val="21"/>
                      <w:lang w:val="en-US" w:eastAsia="zh-CN"/>
                    </w:rPr>
                    <w:t>涂布车间2</w:t>
                  </w:r>
                </w:p>
              </w:tc>
              <w:tc>
                <w:tcPr>
                  <w:tcW w:w="873" w:type="pct"/>
                  <w:noWrap w:val="0"/>
                  <w:tcMar>
                    <w:top w:w="15" w:type="dxa"/>
                    <w:left w:w="15" w:type="dxa"/>
                    <w:right w:w="15" w:type="dxa"/>
                  </w:tcMar>
                  <w:vAlign w:val="center"/>
                </w:tcPr>
                <w:p>
                  <w:pPr>
                    <w:widowControl/>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2000</w:t>
                  </w:r>
                </w:p>
              </w:tc>
              <w:tc>
                <w:tcPr>
                  <w:tcW w:w="606" w:type="pct"/>
                  <w:noWrap w:val="0"/>
                  <w:tcMar>
                    <w:top w:w="15" w:type="dxa"/>
                    <w:left w:w="15" w:type="dxa"/>
                    <w:right w:w="15" w:type="dxa"/>
                  </w:tcMar>
                  <w:vAlign w:val="center"/>
                </w:tcPr>
                <w:p>
                  <w:pPr>
                    <w:widowControl/>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总VOCs</w:t>
                  </w:r>
                </w:p>
              </w:tc>
              <w:tc>
                <w:tcPr>
                  <w:tcW w:w="728" w:type="pct"/>
                  <w:noWrap w:val="0"/>
                  <w:tcMar>
                    <w:top w:w="15" w:type="dxa"/>
                    <w:left w:w="15" w:type="dxa"/>
                    <w:right w:w="15" w:type="dxa"/>
                  </w:tcMar>
                  <w:vAlign w:val="center"/>
                </w:tcPr>
                <w:p>
                  <w:pPr>
                    <w:widowControl/>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1.2</w:t>
                  </w:r>
                </w:p>
              </w:tc>
              <w:tc>
                <w:tcPr>
                  <w:tcW w:w="648" w:type="pct"/>
                  <w:noWrap w:val="0"/>
                  <w:tcMar>
                    <w:top w:w="15" w:type="dxa"/>
                    <w:left w:w="15" w:type="dxa"/>
                    <w:right w:w="15" w:type="dxa"/>
                  </w:tcMar>
                  <w:vAlign w:val="center"/>
                </w:tcPr>
                <w:p>
                  <w:pPr>
                    <w:spacing w:line="240" w:lineRule="auto"/>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0.007</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0.162</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50</w:t>
                  </w:r>
                </w:p>
              </w:tc>
            </w:tr>
          </w:tbl>
          <w:p>
            <w:pPr>
              <w:adjustRightInd w:val="0"/>
              <w:snapToGrid w:val="0"/>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lang w:val="en-US" w:eastAsia="zh-CN"/>
              </w:rPr>
              <w:t>本项目计算出总VOCs的卫生防护距离初值为50m，因此本项目的卫生防护距离为50m。</w:t>
            </w:r>
            <w:r>
              <w:rPr>
                <w:rFonts w:hint="default" w:ascii="Times New Roman" w:hAnsi="Times New Roman" w:cs="Times New Roman"/>
                <w:color w:val="auto"/>
              </w:rPr>
              <w:t>项目卫生防护距离包络图见附图</w:t>
            </w:r>
            <w:r>
              <w:rPr>
                <w:rFonts w:hint="eastAsia" w:cs="Times New Roman"/>
                <w:color w:val="auto"/>
                <w:lang w:val="en-US" w:eastAsia="zh-CN"/>
              </w:rPr>
              <w:t>8</w:t>
            </w:r>
            <w:r>
              <w:rPr>
                <w:rFonts w:hint="default" w:ascii="Times New Roman" w:hAnsi="Times New Roman" w:cs="Times New Roman"/>
                <w:color w:val="auto"/>
              </w:rPr>
              <w:t>。</w:t>
            </w:r>
            <w:r>
              <w:rPr>
                <w:rFonts w:hint="default" w:ascii="Times New Roman" w:hAnsi="Times New Roman" w:cs="Times New Roman"/>
                <w:color w:val="auto"/>
                <w:lang w:val="en-US" w:eastAsia="zh-CN"/>
              </w:rPr>
              <w:t>根据现场勘察可知，项目卫生防护距离内无居民区、学校、医院等长期居住居民，因此，项目选址符合卫生防护距离要求。项目卫生防护距离内不允许新建医院、学校、集中居民区等环境敏感建筑</w:t>
            </w:r>
            <w:r>
              <w:rPr>
                <w:rFonts w:hint="default" w:ascii="Times New Roman" w:hAnsi="Times New Roman" w:cs="Times New Roman"/>
                <w:color w:val="auto"/>
              </w:rPr>
              <w:t>。</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二</w:t>
            </w:r>
            <w:r>
              <w:rPr>
                <w:rFonts w:hint="default" w:ascii="Times New Roman" w:hAnsi="Times New Roman" w:cs="Times New Roman"/>
                <w:b/>
                <w:color w:val="auto"/>
                <w:szCs w:val="21"/>
                <w:lang w:eastAsia="zh-CN"/>
              </w:rPr>
              <w:t>、</w:t>
            </w:r>
            <w:r>
              <w:rPr>
                <w:rFonts w:hint="default" w:ascii="Times New Roman" w:hAnsi="Times New Roman" w:cs="Times New Roman"/>
                <w:b/>
                <w:color w:val="auto"/>
                <w:szCs w:val="21"/>
              </w:rPr>
              <w:t>废水</w:t>
            </w:r>
          </w:p>
          <w:p>
            <w:pPr>
              <w:adjustRightInd w:val="0"/>
              <w:snapToGrid w:val="0"/>
              <w:ind w:firstLine="480" w:firstLineChars="200"/>
              <w:rPr>
                <w:rFonts w:hint="default" w:ascii="Times New Roman" w:hAnsi="Times New Roman"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本项目无新增员工，故无新增生活污水的产生和排放</w:t>
            </w:r>
            <w:r>
              <w:rPr>
                <w:rFonts w:hint="default" w:ascii="Times New Roman" w:hAnsi="Times New Roman" w:cs="Times New Roman"/>
                <w:b w:val="0"/>
                <w:bCs w:val="0"/>
                <w:color w:val="auto"/>
                <w:kern w:val="2"/>
                <w:sz w:val="24"/>
                <w:szCs w:val="24"/>
                <w:lang w:val="en-US" w:eastAsia="zh-CN" w:bidi="ar-SA"/>
              </w:rPr>
              <w:t>；</w:t>
            </w:r>
          </w:p>
          <w:p>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color w:val="auto"/>
                <w:lang w:val="en-US" w:eastAsia="zh-CN"/>
              </w:rPr>
              <w:t>生产</w:t>
            </w:r>
            <w:r>
              <w:rPr>
                <w:rFonts w:hint="default" w:ascii="Times New Roman" w:hAnsi="Times New Roman" w:cs="Times New Roman"/>
                <w:color w:val="auto"/>
              </w:rPr>
              <w:t>废水主要有</w:t>
            </w:r>
            <w:r>
              <w:rPr>
                <w:rFonts w:hint="default" w:ascii="Times New Roman" w:hAnsi="Times New Roman" w:cs="Times New Roman"/>
                <w:color w:val="auto"/>
                <w:lang w:val="en-US" w:eastAsia="zh-CN"/>
              </w:rPr>
              <w:t>混合发泡冷却废水、</w:t>
            </w:r>
            <w:r>
              <w:rPr>
                <w:rFonts w:hint="default" w:ascii="Times New Roman" w:hAnsi="Times New Roman" w:cs="Times New Roman"/>
                <w:color w:val="auto"/>
                <w:sz w:val="24"/>
                <w:szCs w:val="24"/>
                <w:lang w:val="en-US" w:eastAsia="zh-CN"/>
              </w:rPr>
              <w:t>喷淋塔废水</w:t>
            </w:r>
            <w:r>
              <w:rPr>
                <w:rFonts w:hint="default" w:ascii="Times New Roman" w:hAnsi="Times New Roman" w:cs="Times New Roman"/>
                <w:color w:val="auto"/>
              </w:rPr>
              <w:t>。</w:t>
            </w:r>
          </w:p>
          <w:p>
            <w:pPr>
              <w:adjustRightInd w:val="0"/>
              <w:snapToGrid w:val="0"/>
              <w:ind w:firstLine="480" w:firstLineChars="200"/>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lang w:val="en-US" w:eastAsia="zh-CN"/>
              </w:rPr>
              <w:t>初期雨水经沉淀后用于洒水抑尘。</w:t>
            </w:r>
          </w:p>
          <w:p>
            <w:p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（1）废水源强</w:t>
            </w:r>
          </w:p>
          <w:p>
            <w:pPr>
              <w:pStyle w:val="4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cs="Times New Roman"/>
                <w:b w:val="0"/>
                <w:bCs/>
                <w:color w:val="auto"/>
                <w:kern w:val="2"/>
                <w:sz w:val="24"/>
                <w:szCs w:val="24"/>
                <w:lang w:val="en-US" w:eastAsia="zh-CN" w:bidi="ar-SA"/>
              </w:rPr>
              <w:t>1）冷却废水：本项目冷却水循环使用，不外排，定期补充损耗。</w:t>
            </w:r>
          </w:p>
          <w:p>
            <w:pPr>
              <w:pStyle w:val="4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val="0"/>
                <w:bCs/>
                <w:color w:val="auto"/>
                <w:kern w:val="2"/>
                <w:sz w:val="24"/>
                <w:szCs w:val="24"/>
                <w:lang w:val="en-US" w:eastAsia="zh-CN" w:bidi="ar-SA"/>
              </w:rPr>
              <w:t>2）</w:t>
            </w:r>
            <w:r>
              <w:rPr>
                <w:rFonts w:hint="default" w:ascii="Times New Roman" w:hAnsi="Times New Roman" w:eastAsia="宋体" w:cs="Times New Roman"/>
                <w:b w:val="0"/>
                <w:bCs/>
                <w:color w:val="auto"/>
                <w:kern w:val="2"/>
                <w:sz w:val="24"/>
                <w:szCs w:val="24"/>
                <w:lang w:val="en-US" w:eastAsia="zh-CN" w:bidi="ar-SA"/>
              </w:rPr>
              <w:t>喷淋塔废水</w:t>
            </w:r>
            <w:r>
              <w:rPr>
                <w:rFonts w:hint="default" w:ascii="Times New Roman" w:hAnsi="Times New Roman" w:cs="Times New Roman"/>
                <w:b w:val="0"/>
                <w:bCs/>
                <w:color w:val="auto"/>
                <w:kern w:val="2"/>
                <w:sz w:val="24"/>
                <w:szCs w:val="24"/>
                <w:lang w:val="en-US" w:eastAsia="zh-CN" w:bidi="ar-SA"/>
              </w:rPr>
              <w:t>：</w:t>
            </w:r>
            <w:r>
              <w:rPr>
                <w:rFonts w:hint="default" w:ascii="Times New Roman" w:hAnsi="Times New Roman" w:eastAsia="宋体" w:cs="Times New Roman"/>
                <w:b w:val="0"/>
                <w:bCs/>
                <w:color w:val="auto"/>
                <w:kern w:val="2"/>
                <w:sz w:val="24"/>
                <w:szCs w:val="24"/>
                <w:lang w:val="en-US" w:eastAsia="zh-CN" w:bidi="ar-SA"/>
              </w:rPr>
              <w:t>每六个月更换一次，年产生废水</w:t>
            </w:r>
            <w:r>
              <w:rPr>
                <w:rFonts w:hint="default" w:ascii="Times New Roman" w:hAnsi="Times New Roman" w:cs="Times New Roman"/>
                <w:b w:val="0"/>
                <w:bCs/>
                <w:color w:val="auto"/>
                <w:kern w:val="2"/>
                <w:sz w:val="24"/>
                <w:szCs w:val="24"/>
                <w:lang w:val="en-US" w:eastAsia="zh-CN" w:bidi="ar-SA"/>
              </w:rPr>
              <w:t>5.024</w:t>
            </w:r>
            <w:r>
              <w:rPr>
                <w:rFonts w:hint="default" w:ascii="Times New Roman" w:hAnsi="Times New Roman" w:eastAsia="宋体" w:cs="Times New Roman"/>
                <w:b w:val="0"/>
                <w:bCs/>
                <w:color w:val="auto"/>
                <w:kern w:val="2"/>
                <w:sz w:val="24"/>
                <w:szCs w:val="24"/>
                <w:lang w:val="en-US" w:eastAsia="zh-CN" w:bidi="ar-SA"/>
              </w:rPr>
              <w:t>t</w:t>
            </w:r>
            <w:r>
              <w:rPr>
                <w:rFonts w:hint="default" w:ascii="Times New Roman" w:hAnsi="Times New Roman" w:cs="Times New Roman"/>
                <w:b w:val="0"/>
                <w:bCs/>
                <w:color w:val="auto"/>
                <w:kern w:val="2"/>
                <w:sz w:val="24"/>
                <w:szCs w:val="24"/>
                <w:lang w:val="en-US" w:eastAsia="zh-CN" w:bidi="ar-SA"/>
              </w:rPr>
              <w:t>/a</w:t>
            </w:r>
            <w:r>
              <w:rPr>
                <w:rFonts w:hint="default" w:ascii="Times New Roman" w:hAnsi="Times New Roman" w:eastAsia="宋体" w:cs="Times New Roman"/>
                <w:b w:val="0"/>
                <w:bCs/>
                <w:color w:val="auto"/>
                <w:kern w:val="2"/>
                <w:sz w:val="24"/>
                <w:szCs w:val="24"/>
                <w:lang w:val="en-US" w:eastAsia="zh-CN" w:bidi="ar-SA"/>
              </w:rPr>
              <w:t>。</w:t>
            </w:r>
            <w:r>
              <w:rPr>
                <w:rFonts w:hint="default" w:ascii="Times New Roman" w:hAnsi="Times New Roman" w:cs="Times New Roman"/>
                <w:b w:val="0"/>
                <w:bCs/>
                <w:color w:val="auto"/>
                <w:kern w:val="2"/>
                <w:sz w:val="24"/>
                <w:szCs w:val="24"/>
                <w:lang w:val="en-US" w:eastAsia="zh-CN" w:bidi="ar-SA"/>
              </w:rPr>
              <w:t>喷淋塔废水定期交由有危险废物处理资质的单位处理。</w:t>
            </w:r>
          </w:p>
          <w:p>
            <w:pPr>
              <w:adjustRightInd w:val="0"/>
              <w:snapToGrid w:val="0"/>
              <w:ind w:firstLine="482" w:firstLineChars="20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3）</w:t>
            </w:r>
            <w:r>
              <w:rPr>
                <w:rFonts w:hint="default" w:ascii="Times New Roman" w:hAnsi="Times New Roman" w:cs="Times New Roman"/>
                <w:b w:val="0"/>
                <w:bCs w:val="0"/>
                <w:color w:val="auto"/>
                <w:lang w:val="en-US" w:eastAsia="zh-CN"/>
              </w:rPr>
              <w:t>根据前文分析，本项目</w:t>
            </w:r>
            <w:r>
              <w:rPr>
                <w:rFonts w:hint="default" w:ascii="Times New Roman" w:hAnsi="Times New Roman" w:eastAsia="宋体" w:cs="Times New Roman"/>
                <w:b w:val="0"/>
                <w:bCs w:val="0"/>
                <w:color w:val="auto"/>
                <w:kern w:val="0"/>
                <w:sz w:val="24"/>
                <w:highlight w:val="none"/>
              </w:rPr>
              <w:t>全</w:t>
            </w:r>
            <w:r>
              <w:rPr>
                <w:rFonts w:hint="default" w:ascii="Times New Roman" w:hAnsi="Times New Roman" w:eastAsia="宋体" w:cs="Times New Roman"/>
                <w:color w:val="auto"/>
                <w:kern w:val="0"/>
                <w:sz w:val="24"/>
                <w:highlight w:val="none"/>
              </w:rPr>
              <w:t>年初期雨水总量约为</w:t>
            </w:r>
            <w:r>
              <w:rPr>
                <w:rFonts w:hint="default" w:ascii="Times New Roman" w:hAnsi="Times New Roman" w:cs="Times New Roman"/>
                <w:color w:val="auto"/>
                <w:kern w:val="0"/>
                <w:sz w:val="24"/>
                <w:highlight w:val="none"/>
                <w:lang w:val="en-US" w:eastAsia="zh-CN"/>
              </w:rPr>
              <w:t>3746.024</w:t>
            </w:r>
            <w:r>
              <w:rPr>
                <w:rFonts w:hint="default" w:ascii="Times New Roman" w:hAnsi="Times New Roman" w:eastAsia="宋体" w:cs="Times New Roman"/>
                <w:color w:val="auto"/>
                <w:kern w:val="0"/>
                <w:sz w:val="24"/>
                <w:highlight w:val="none"/>
              </w:rPr>
              <w:t>m</w:t>
            </w:r>
            <w:r>
              <w:rPr>
                <w:rFonts w:hint="default" w:ascii="Times New Roman" w:hAnsi="Times New Roman" w:eastAsia="宋体" w:cs="Times New Roman"/>
                <w:color w:val="auto"/>
                <w:kern w:val="0"/>
                <w:sz w:val="24"/>
                <w:highlight w:val="none"/>
                <w:vertAlign w:val="superscript"/>
              </w:rPr>
              <w:t>3</w:t>
            </w:r>
            <w:r>
              <w:rPr>
                <w:rFonts w:hint="default" w:ascii="Times New Roman" w:hAnsi="Times New Roman" w:eastAsia="宋体" w:cs="Times New Roman"/>
                <w:color w:val="auto"/>
                <w:kern w:val="0"/>
                <w:sz w:val="24"/>
                <w:highlight w:val="none"/>
              </w:rPr>
              <w:t>/a（</w:t>
            </w:r>
            <w:r>
              <w:rPr>
                <w:rFonts w:hint="default" w:ascii="Times New Roman" w:hAnsi="Times New Roman" w:cs="Times New Roman"/>
                <w:color w:val="auto"/>
                <w:kern w:val="0"/>
                <w:sz w:val="24"/>
                <w:highlight w:val="none"/>
                <w:lang w:val="en-US" w:eastAsia="zh-CN"/>
              </w:rPr>
              <w:t>12.487</w:t>
            </w:r>
            <w:r>
              <w:rPr>
                <w:rFonts w:hint="default" w:ascii="Times New Roman" w:hAnsi="Times New Roman" w:eastAsia="宋体" w:cs="Times New Roman"/>
                <w:color w:val="auto"/>
                <w:kern w:val="0"/>
                <w:sz w:val="24"/>
                <w:highlight w:val="none"/>
              </w:rPr>
              <w:t>m</w:t>
            </w:r>
            <w:r>
              <w:rPr>
                <w:rFonts w:hint="default" w:ascii="Times New Roman" w:hAnsi="Times New Roman" w:eastAsia="宋体" w:cs="Times New Roman"/>
                <w:color w:val="auto"/>
                <w:kern w:val="0"/>
                <w:sz w:val="24"/>
                <w:highlight w:val="none"/>
                <w:vertAlign w:val="superscript"/>
              </w:rPr>
              <w:t>3</w:t>
            </w:r>
            <w:r>
              <w:rPr>
                <w:rFonts w:hint="default" w:ascii="Times New Roman" w:hAnsi="Times New Roman" w:eastAsia="宋体" w:cs="Times New Roman"/>
                <w:color w:val="auto"/>
                <w:kern w:val="0"/>
                <w:sz w:val="24"/>
                <w:highlight w:val="none"/>
              </w:rPr>
              <w:t>/d）</w:t>
            </w:r>
            <w:r>
              <w:rPr>
                <w:rFonts w:hint="default" w:ascii="Times New Roman" w:hAnsi="Times New Roman" w:eastAsia="宋体" w:cs="Times New Roman"/>
                <w:color w:val="auto"/>
                <w:kern w:val="0"/>
                <w:sz w:val="24"/>
                <w:highlight w:val="none"/>
                <w:lang w:eastAsia="zh-CN"/>
              </w:rPr>
              <w:t>，</w:t>
            </w:r>
            <w:r>
              <w:rPr>
                <w:rFonts w:hint="default" w:ascii="Times New Roman" w:hAnsi="Times New Roman" w:cs="Times New Roman"/>
                <w:b w:val="0"/>
                <w:bCs w:val="0"/>
                <w:color w:val="auto"/>
                <w:lang w:val="en-US" w:eastAsia="zh-CN"/>
              </w:rPr>
              <w:t>经沉淀后用于洒水抑尘。</w:t>
            </w:r>
          </w:p>
          <w:p>
            <w:pPr>
              <w:adjustRightInd w:val="0"/>
              <w:snapToGrid w:val="0"/>
              <w:ind w:firstLine="482" w:firstLineChars="200"/>
              <w:rPr>
                <w:rFonts w:hint="default" w:ascii="Times New Roman" w:hAnsi="Times New Roman" w:cs="Times New Roman"/>
                <w:color w:val="auto"/>
              </w:rPr>
            </w:pPr>
            <w:r>
              <w:rPr>
                <w:rFonts w:hint="default" w:ascii="Times New Roman" w:hAnsi="Times New Roman" w:cs="Times New Roman"/>
                <w:b/>
                <w:bCs/>
                <w:color w:val="auto"/>
              </w:rPr>
              <w:t>（</w:t>
            </w:r>
            <w:r>
              <w:rPr>
                <w:rFonts w:hint="default" w:ascii="Times New Roman" w:hAnsi="Times New Roman" w:cs="Times New Roman"/>
                <w:b/>
                <w:bCs/>
                <w:color w:val="auto"/>
                <w:lang w:val="en-US" w:eastAsia="zh-CN"/>
              </w:rPr>
              <w:t>2</w:t>
            </w:r>
            <w:r>
              <w:rPr>
                <w:rFonts w:hint="default" w:ascii="Times New Roman" w:hAnsi="Times New Roman" w:cs="Times New Roman"/>
                <w:b/>
                <w:bCs/>
                <w:color w:val="auto"/>
              </w:rPr>
              <w:t>）排污口设置及监测计划</w:t>
            </w:r>
          </w:p>
          <w:p>
            <w:pPr>
              <w:adjustRightInd w:val="0"/>
              <w:snapToGrid w:val="0"/>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项目</w:t>
            </w:r>
            <w:r>
              <w:rPr>
                <w:rFonts w:hint="default" w:ascii="Times New Roman" w:hAnsi="Times New Roman" w:cs="Times New Roman"/>
                <w:b w:val="0"/>
                <w:bCs/>
                <w:color w:val="auto"/>
                <w:kern w:val="2"/>
                <w:sz w:val="24"/>
                <w:szCs w:val="24"/>
                <w:lang w:val="en-US" w:eastAsia="zh-CN" w:bidi="ar-SA"/>
              </w:rPr>
              <w:t>冷却水循环使用，不外排，定期补充损耗；</w:t>
            </w:r>
            <w:r>
              <w:rPr>
                <w:rFonts w:hint="default" w:ascii="Times New Roman" w:hAnsi="Times New Roman" w:eastAsia="宋体" w:cs="Times New Roman"/>
                <w:b w:val="0"/>
                <w:bCs/>
                <w:color w:val="auto"/>
                <w:kern w:val="2"/>
                <w:sz w:val="24"/>
                <w:szCs w:val="24"/>
                <w:lang w:val="en-US" w:eastAsia="zh-CN" w:bidi="ar-SA"/>
              </w:rPr>
              <w:t>喷淋塔废水定期更换，更换后的废水交由</w:t>
            </w:r>
            <w:r>
              <w:rPr>
                <w:rFonts w:hint="default" w:ascii="Times New Roman" w:hAnsi="Times New Roman" w:cs="Times New Roman"/>
                <w:b w:val="0"/>
                <w:bCs/>
                <w:color w:val="auto"/>
                <w:kern w:val="2"/>
                <w:sz w:val="24"/>
                <w:szCs w:val="24"/>
                <w:lang w:val="en-US" w:eastAsia="zh-CN" w:bidi="ar-SA"/>
              </w:rPr>
              <w:t>有危险废物处理资质的单位处理。</w:t>
            </w:r>
          </w:p>
          <w:p>
            <w:pPr>
              <w:adjustRightInd w:val="0"/>
              <w:snapToGrid w:val="0"/>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w:t>
            </w:r>
            <w:r>
              <w:rPr>
                <w:rFonts w:hint="default" w:ascii="Times New Roman" w:hAnsi="Times New Roman" w:cs="Times New Roman"/>
                <w:b/>
                <w:bCs/>
                <w:color w:val="auto"/>
                <w:lang w:val="en-US" w:eastAsia="zh-CN"/>
              </w:rPr>
              <w:t>3</w:t>
            </w:r>
            <w:r>
              <w:rPr>
                <w:rFonts w:hint="default" w:ascii="Times New Roman" w:hAnsi="Times New Roman" w:cs="Times New Roman"/>
                <w:b/>
                <w:bCs/>
                <w:color w:val="auto"/>
              </w:rPr>
              <w:t>）结论</w:t>
            </w:r>
          </w:p>
          <w:p>
            <w:pPr>
              <w:adjustRightInd w:val="0"/>
              <w:snapToGrid w:val="0"/>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本项目无生产废水排放。</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三</w:t>
            </w:r>
            <w:r>
              <w:rPr>
                <w:rFonts w:hint="default" w:ascii="Times New Roman" w:hAnsi="Times New Roman" w:cs="Times New Roman"/>
                <w:b/>
                <w:color w:val="auto"/>
                <w:szCs w:val="21"/>
                <w:lang w:eastAsia="zh-CN"/>
              </w:rPr>
              <w:t>、</w:t>
            </w:r>
            <w:r>
              <w:rPr>
                <w:rFonts w:hint="default" w:ascii="Times New Roman" w:hAnsi="Times New Roman" w:cs="Times New Roman"/>
                <w:b/>
                <w:color w:val="auto"/>
                <w:szCs w:val="21"/>
              </w:rPr>
              <w:t>噪声</w:t>
            </w:r>
          </w:p>
          <w:p>
            <w:pP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本项目的噪声主要是机械生产设备运行时产生的噪声。噪声特征以连续性噪声为主，间歇性噪声为辅，</w:t>
            </w:r>
            <w:r>
              <w:rPr>
                <w:rFonts w:hint="default" w:ascii="Times New Roman" w:hAnsi="Times New Roman" w:cs="Times New Roman"/>
                <w:color w:val="auto"/>
                <w:highlight w:val="none"/>
                <w:lang w:val="en-US" w:eastAsia="zh-CN"/>
              </w:rPr>
              <w:t>设备</w:t>
            </w:r>
            <w:r>
              <w:rPr>
                <w:rFonts w:hint="default" w:ascii="Times New Roman" w:hAnsi="Times New Roman" w:cs="Times New Roman"/>
                <w:color w:val="auto"/>
                <w:highlight w:val="none"/>
              </w:rPr>
              <w:t>噪声污染源强如下表。本项目所有设备均安装在室内，其噪声量由建筑物的墙、门、窗等综合而成，运营期间门窗紧闭，类似形成隔声间；同时对生产设备底座采取减震处理。根据刘惠玲主编《</w:t>
            </w:r>
            <w:r>
              <w:rPr>
                <w:rFonts w:hint="default" w:ascii="Times New Roman" w:hAnsi="Times New Roman" w:cs="Times New Roman"/>
                <w:color w:val="auto"/>
                <w:lang w:val="en-US" w:eastAsia="zh-CN"/>
              </w:rPr>
              <w:t>环境</w:t>
            </w:r>
            <w:r>
              <w:rPr>
                <w:rFonts w:hint="default" w:ascii="Times New Roman" w:hAnsi="Times New Roman" w:cs="Times New Roman"/>
                <w:color w:val="auto"/>
                <w:highlight w:val="none"/>
              </w:rPr>
              <w:t>噪声控制技术》（2002年10月第1版），采用隔声间（室）技术措施，降噪效果可达20~40dB（A）；减振降噪处理效果可达5~25dB（A）。本项目墙体隔声降噪效果取</w:t>
            </w:r>
            <w:r>
              <w:rPr>
                <w:rFonts w:hint="default" w:ascii="Times New Roman" w:hAnsi="Times New Roman" w:cs="Times New Roman"/>
                <w:color w:val="auto"/>
                <w:highlight w:val="none"/>
                <w:lang w:val="en-US" w:eastAsia="zh-CN"/>
              </w:rPr>
              <w:t>20</w:t>
            </w:r>
            <w:r>
              <w:rPr>
                <w:rFonts w:hint="default" w:ascii="Times New Roman" w:hAnsi="Times New Roman" w:cs="Times New Roman"/>
                <w:color w:val="auto"/>
                <w:highlight w:val="none"/>
              </w:rPr>
              <w:t>B（A），减振降噪效果取10dB（A），共计降噪效果为</w:t>
            </w:r>
            <w:r>
              <w:rPr>
                <w:rFonts w:hint="default" w:ascii="Times New Roman" w:hAnsi="Times New Roman" w:cs="Times New Roman"/>
                <w:color w:val="auto"/>
                <w:highlight w:val="none"/>
                <w:lang w:val="en-US" w:eastAsia="zh-CN"/>
              </w:rPr>
              <w:t>30</w:t>
            </w:r>
            <w:r>
              <w:rPr>
                <w:rFonts w:hint="default" w:ascii="Times New Roman" w:hAnsi="Times New Roman" w:cs="Times New Roman"/>
                <w:color w:val="auto"/>
                <w:highlight w:val="none"/>
              </w:rPr>
              <w:t>dB（A）。</w:t>
            </w:r>
          </w:p>
          <w:p>
            <w:pPr>
              <w:pStyle w:val="45"/>
              <w:keepNext w:val="0"/>
              <w:keepLines w:val="0"/>
              <w:pageBreakBefore w:val="0"/>
              <w:numPr>
                <w:ilvl w:val="0"/>
                <w:numId w:val="16"/>
              </w:numPr>
              <w:tabs>
                <w:tab w:val="clear" w:pos="0"/>
              </w:tabs>
              <w:kinsoku/>
              <w:wordWrap/>
              <w:overflowPunct/>
              <w:topLinePunct w:val="0"/>
              <w:bidi w:val="0"/>
              <w:spacing w:line="240" w:lineRule="auto"/>
              <w:ind w:left="0" w:leftChars="0" w:firstLine="403" w:firstLineChars="0"/>
              <w:rPr>
                <w:rFonts w:hint="default" w:ascii="Times New Roman" w:hAnsi="Times New Roman" w:cs="Times New Roman"/>
                <w:color w:val="auto"/>
                <w:lang w:val="en-US" w:eastAsia="zh-CN"/>
              </w:rPr>
            </w:pPr>
            <w:r>
              <w:rPr>
                <w:rFonts w:hint="default" w:ascii="Times New Roman" w:hAnsi="Times New Roman" w:cs="Times New Roman"/>
                <w:color w:val="auto"/>
                <w:kern w:val="11"/>
                <w:szCs w:val="21"/>
                <w:highlight w:val="none"/>
                <w:lang w:val="en-US" w:eastAsia="zh-CN"/>
              </w:rPr>
              <w:t>扩建</w:t>
            </w:r>
            <w:r>
              <w:rPr>
                <w:rFonts w:hint="default" w:ascii="Times New Roman" w:hAnsi="Times New Roman" w:cs="Times New Roman"/>
                <w:color w:val="auto"/>
                <w:kern w:val="11"/>
                <w:szCs w:val="21"/>
                <w:highlight w:val="none"/>
              </w:rPr>
              <w:t>项目噪声排放情况一览表（单位：</w:t>
            </w:r>
            <w:r>
              <w:rPr>
                <w:rFonts w:hint="default" w:ascii="Times New Roman" w:hAnsi="Times New Roman" w:cs="Times New Roman"/>
                <w:color w:val="auto"/>
                <w:sz w:val="21"/>
                <w:szCs w:val="21"/>
                <w:highlight w:val="none"/>
              </w:rPr>
              <w:t>dB（A）</w:t>
            </w:r>
            <w:r>
              <w:rPr>
                <w:rFonts w:hint="default" w:ascii="Times New Roman" w:hAnsi="Times New Roman" w:cs="Times New Roman"/>
                <w:color w:val="auto"/>
                <w:kern w:val="11"/>
                <w:szCs w:val="21"/>
                <w:highlight w:val="none"/>
              </w:rPr>
              <w:t>）</w:t>
            </w:r>
          </w:p>
          <w:tbl>
            <w:tblPr>
              <w:tblStyle w:val="32"/>
              <w:tblW w:w="496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50"/>
              <w:gridCol w:w="851"/>
              <w:gridCol w:w="807"/>
              <w:gridCol w:w="782"/>
              <w:gridCol w:w="1138"/>
              <w:gridCol w:w="1194"/>
              <w:gridCol w:w="793"/>
              <w:gridCol w:w="860"/>
              <w:gridCol w:w="10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cs="Times New Roman"/>
                      <w:b/>
                      <w:color w:val="auto"/>
                      <w:sz w:val="21"/>
                      <w:szCs w:val="21"/>
                      <w:highlight w:val="none"/>
                      <w:lang w:val="en-US" w:eastAsia="zh-CN"/>
                    </w:rPr>
                    <w:t>声源名称</w:t>
                  </w:r>
                </w:p>
              </w:tc>
              <w:tc>
                <w:tcPr>
                  <w:tcW w:w="463"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数量/台</w:t>
                  </w:r>
                </w:p>
              </w:tc>
              <w:tc>
                <w:tcPr>
                  <w:tcW w:w="43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声源类型</w:t>
                  </w:r>
                </w:p>
              </w:tc>
              <w:tc>
                <w:tcPr>
                  <w:tcW w:w="42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b/>
                      <w:color w:val="auto"/>
                      <w:sz w:val="21"/>
                      <w:szCs w:val="21"/>
                      <w:highlight w:val="none"/>
                    </w:rPr>
                    <w:t>单台源强</w:t>
                  </w:r>
                </w:p>
              </w:tc>
              <w:tc>
                <w:tcPr>
                  <w:tcW w:w="61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叠加设备产生源强</w:t>
                  </w:r>
                </w:p>
              </w:tc>
              <w:tc>
                <w:tcPr>
                  <w:tcW w:w="64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降噪措施</w:t>
                  </w:r>
                </w:p>
              </w:tc>
              <w:tc>
                <w:tcPr>
                  <w:tcW w:w="43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降噪效果</w:t>
                  </w:r>
                </w:p>
              </w:tc>
              <w:tc>
                <w:tcPr>
                  <w:tcW w:w="46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排放强度</w:t>
                  </w:r>
                </w:p>
              </w:tc>
              <w:tc>
                <w:tcPr>
                  <w:tcW w:w="55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持续时间（h/a）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保护膜一体化涂布机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3</w:t>
                  </w:r>
                </w:p>
              </w:tc>
              <w:tc>
                <w:tcPr>
                  <w:tcW w:w="43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频发</w:t>
                  </w: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89.77 </w:t>
                  </w:r>
                </w:p>
              </w:tc>
              <w:tc>
                <w:tcPr>
                  <w:tcW w:w="64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减震、隔声</w:t>
                  </w: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59.77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8"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分条机</w:t>
                  </w:r>
                </w:p>
              </w:tc>
              <w:tc>
                <w:tcPr>
                  <w:tcW w:w="463"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80</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84.77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54.77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切台机</w:t>
                  </w:r>
                </w:p>
              </w:tc>
              <w:tc>
                <w:tcPr>
                  <w:tcW w:w="463"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80</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80.00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50.00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4"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搅拌机</w:t>
                  </w:r>
                </w:p>
              </w:tc>
              <w:tc>
                <w:tcPr>
                  <w:tcW w:w="463"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9</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89</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98.54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68.54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自制前段搅拌设备</w:t>
                  </w:r>
                </w:p>
              </w:tc>
              <w:tc>
                <w:tcPr>
                  <w:tcW w:w="463"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89</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89.00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59.00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空压机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89.77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59.77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冷水机</w:t>
                  </w:r>
                </w:p>
              </w:tc>
              <w:tc>
                <w:tcPr>
                  <w:tcW w:w="463"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85.00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55.00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2"/>
                      <w:szCs w:val="22"/>
                      <w:highlight w:val="none"/>
                      <w:u w:val="none"/>
                      <w:lang w:val="en-US" w:eastAsia="zh-CN" w:bidi="ar"/>
                    </w:rPr>
                    <w:t>聚氨酯棉</w:t>
                  </w:r>
                  <w:r>
                    <w:rPr>
                      <w:rFonts w:hint="default" w:ascii="Times New Roman" w:hAnsi="Times New Roman" w:cs="Times New Roman"/>
                      <w:i w:val="0"/>
                      <w:iCs w:val="0"/>
                      <w:color w:val="auto"/>
                      <w:kern w:val="0"/>
                      <w:sz w:val="22"/>
                      <w:szCs w:val="22"/>
                      <w:highlight w:val="none"/>
                      <w:u w:val="none"/>
                      <w:lang w:val="en-US" w:eastAsia="zh-CN" w:bidi="ar"/>
                    </w:rPr>
                    <w:t>一体化涂布机</w:t>
                  </w:r>
                </w:p>
              </w:tc>
              <w:tc>
                <w:tcPr>
                  <w:tcW w:w="463" w:type="pct"/>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85.00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79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30</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rPr>
                  </w:pPr>
                  <w:r>
                    <w:rPr>
                      <w:rFonts w:hint="default" w:ascii="Times New Roman" w:hAnsi="Times New Roman" w:eastAsia="宋体" w:cs="Times New Roman"/>
                      <w:i w:val="0"/>
                      <w:iCs w:val="0"/>
                      <w:color w:val="auto"/>
                      <w:kern w:val="0"/>
                      <w:sz w:val="22"/>
                      <w:szCs w:val="22"/>
                      <w:u w:val="none"/>
                      <w:lang w:val="en-US" w:eastAsia="zh-CN" w:bidi="ar"/>
                    </w:rPr>
                    <w:t xml:space="preserve">55.00 </w:t>
                  </w:r>
                </w:p>
              </w:tc>
              <w:tc>
                <w:tcPr>
                  <w:tcW w:w="55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vertAlign w:val="baseline"/>
                      <w:lang w:val="en-US" w:eastAsia="zh-CN"/>
                    </w:rPr>
                    <w:t>1200</w:t>
                  </w:r>
                </w:p>
              </w:tc>
            </w:tr>
          </w:tbl>
          <w:p>
            <w:pPr>
              <w:autoSpaceDE w:val="0"/>
              <w:autoSpaceDN w:val="0"/>
              <w:snapToGrid w:val="0"/>
              <w:ind w:firstLine="480"/>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2、降噪措施</w:t>
            </w:r>
          </w:p>
          <w:p>
            <w:pPr>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1）合理布局生产设备，高噪声设备放置在密闭的厂房内，隔间墙体选用吸声材料；</w:t>
            </w:r>
          </w:p>
          <w:p>
            <w:pPr>
              <w:autoSpaceDE w:val="0"/>
              <w:autoSpaceDN w:val="0"/>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2）对高噪声设备进行减震、隔声等措施，安装弹簧、弹性减振器、隔声罩</w:t>
            </w:r>
            <w:r>
              <w:rPr>
                <w:rFonts w:hint="default" w:ascii="Times New Roman" w:hAnsi="Times New Roman" w:cs="Times New Roman"/>
                <w:color w:val="auto"/>
                <w:highlight w:val="none"/>
                <w:lang w:eastAsia="zh-CN"/>
              </w:rPr>
              <w:t>，在生产车间窗户安装隔声</w:t>
            </w:r>
            <w:r>
              <w:rPr>
                <w:rFonts w:hint="default" w:ascii="Times New Roman" w:hAnsi="Times New Roman" w:cs="Times New Roman"/>
                <w:color w:val="auto"/>
                <w:highlight w:val="none"/>
              </w:rPr>
              <w:t>等；</w:t>
            </w:r>
          </w:p>
          <w:p>
            <w:pPr>
              <w:pStyle w:val="89"/>
              <w:spacing w:line="360" w:lineRule="auto"/>
              <w:ind w:firstLine="48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3）加强作业管理，减少非正常噪声；</w:t>
            </w:r>
          </w:p>
          <w:p>
            <w:pPr>
              <w:pStyle w:val="89"/>
              <w:spacing w:line="360" w:lineRule="auto"/>
              <w:ind w:firstLine="480" w:firstLineChars="200"/>
              <w:jc w:val="both"/>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4）定期做好设备的保养与日常维护，维持厂内设备处于良好的运转状态，减少因零部件磨损产生的噪声</w:t>
            </w:r>
            <w:r>
              <w:rPr>
                <w:rFonts w:hint="default" w:ascii="Times New Roman" w:hAnsi="Times New Roman" w:cs="Times New Roman"/>
                <w:color w:val="auto"/>
                <w:highlight w:val="none"/>
                <w:lang w:eastAsia="zh-CN"/>
              </w:rPr>
              <w:t>；</w:t>
            </w:r>
          </w:p>
          <w:p>
            <w:pPr>
              <w:pStyle w:val="89"/>
              <w:spacing w:line="360" w:lineRule="auto"/>
              <w:ind w:firstLine="48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在噪声传播途径上采取措施加以控制，采取车间外及厂界的绿化利用建筑物与树木阻隔声音的传播。</w:t>
            </w:r>
          </w:p>
          <w:p>
            <w:pPr>
              <w:autoSpaceDE w:val="0"/>
              <w:autoSpaceDN w:val="0"/>
              <w:snapToGrid w:val="0"/>
              <w:ind w:firstLine="480"/>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6）运输车进出厂区时要减速行驶，装卸作业时要严格实行降噪措施。</w:t>
            </w:r>
          </w:p>
          <w:p>
            <w:pPr>
              <w:autoSpaceDE w:val="0"/>
              <w:autoSpaceDN w:val="0"/>
              <w:snapToGrid w:val="0"/>
              <w:ind w:firstLine="480"/>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3、厂界达标情况分析</w:t>
            </w:r>
          </w:p>
          <w:p>
            <w:pPr>
              <w:autoSpaceDE w:val="0"/>
              <w:autoSpaceDN w:val="0"/>
              <w:snapToGrid w:val="0"/>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根据项目噪声污染源的特征，按照《环境影响评价技术导则</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声环境》（HJ2.4-2021）中推荐的预测模式进行预测，噪声预测模式如下：</w:t>
            </w:r>
          </w:p>
          <w:p>
            <w:pPr>
              <w:autoSpaceDE w:val="0"/>
              <w:autoSpaceDN w:val="0"/>
              <w:snapToGrid w:val="0"/>
              <w:ind w:firstLine="48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现场有多台机械设备同时运转，其噪声情况应是这些设备总叠加。多个噪声源叠加后的总声压级，</w:t>
            </w:r>
            <w:r>
              <w:rPr>
                <w:rFonts w:hint="default" w:ascii="Times New Roman" w:hAnsi="Times New Roman" w:cs="Times New Roman"/>
                <w:color w:val="auto"/>
                <w:highlight w:val="none"/>
                <w:lang w:eastAsia="zh-CN"/>
              </w:rPr>
              <w:t>在预测点产生的等效声级贡献值（</w:t>
            </w:r>
            <w:r>
              <w:rPr>
                <w:rFonts w:hint="default" w:ascii="Times New Roman" w:hAnsi="Times New Roman" w:cs="Times New Roman"/>
                <w:color w:val="auto"/>
                <w:highlight w:val="none"/>
                <w:lang w:val="en-US" w:eastAsia="zh-CN"/>
              </w:rPr>
              <w:t>L</w:t>
            </w:r>
            <w:r>
              <w:rPr>
                <w:rFonts w:hint="default" w:ascii="Times New Roman" w:hAnsi="Times New Roman" w:cs="Times New Roman"/>
                <w:color w:val="auto"/>
                <w:highlight w:val="none"/>
                <w:vertAlign w:val="subscript"/>
                <w:lang w:val="en-US" w:eastAsia="zh-CN"/>
              </w:rPr>
              <w:t>eqg</w:t>
            </w:r>
            <w:r>
              <w:rPr>
                <w:rFonts w:hint="default" w:ascii="Times New Roman" w:hAnsi="Times New Roman" w:cs="Times New Roman"/>
                <w:color w:val="auto"/>
                <w:highlight w:val="none"/>
                <w:lang w:eastAsia="zh-CN"/>
              </w:rPr>
              <w:t>）的</w:t>
            </w:r>
            <w:r>
              <w:rPr>
                <w:rFonts w:hint="default" w:ascii="Times New Roman" w:hAnsi="Times New Roman" w:cs="Times New Roman"/>
                <w:color w:val="auto"/>
                <w:highlight w:val="none"/>
                <w:lang w:val="en-US" w:eastAsia="zh-CN"/>
              </w:rPr>
              <w:t>计算方式：</w:t>
            </w:r>
          </w:p>
          <w:p>
            <w:pPr>
              <w:autoSpaceDE w:val="0"/>
              <w:autoSpaceDN w:val="0"/>
              <w:snapToGrid w:val="0"/>
              <w:ind w:firstLine="48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drawing>
                <wp:inline distT="0" distB="0" distL="114300" distR="114300">
                  <wp:extent cx="2793365" cy="536575"/>
                  <wp:effectExtent l="0" t="0" r="6985" b="15875"/>
                  <wp:docPr id="413" name="图片 413" descr="c38347ba67b7fc9486e617283a7a8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descr="c38347ba67b7fc9486e617283a7a88b"/>
                          <pic:cNvPicPr>
                            <a:picLocks noChangeAspect="1"/>
                          </pic:cNvPicPr>
                        </pic:nvPicPr>
                        <pic:blipFill>
                          <a:blip r:embed="rId41"/>
                          <a:srcRect l="7344" t="7531" r="3785" b="8395"/>
                          <a:stretch>
                            <a:fillRect/>
                          </a:stretch>
                        </pic:blipFill>
                        <pic:spPr>
                          <a:xfrm>
                            <a:off x="0" y="0"/>
                            <a:ext cx="2793365" cy="536575"/>
                          </a:xfrm>
                          <a:prstGeom prst="rect">
                            <a:avLst/>
                          </a:prstGeom>
                        </pic:spPr>
                      </pic:pic>
                    </a:graphicData>
                  </a:graphic>
                </wp:inline>
              </w:drawing>
            </w:r>
          </w:p>
          <w:p>
            <w:pPr>
              <w:autoSpaceDE w:val="0"/>
              <w:autoSpaceDN w:val="0"/>
              <w:snapToGrid w:val="0"/>
              <w:ind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式中：</w:t>
            </w:r>
          </w:p>
          <w:p>
            <w:pPr>
              <w:autoSpaceDE w:val="0"/>
              <w:autoSpaceDN w:val="0"/>
              <w:snapToGrid w:val="0"/>
              <w:ind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L</w:t>
            </w:r>
            <w:r>
              <w:rPr>
                <w:rFonts w:hint="default" w:ascii="Times New Roman" w:hAnsi="Times New Roman" w:cs="Times New Roman"/>
                <w:color w:val="auto"/>
                <w:highlight w:val="none"/>
                <w:vertAlign w:val="subscript"/>
                <w:lang w:eastAsia="zh-CN"/>
              </w:rPr>
              <w:t>eqg</w:t>
            </w:r>
            <w:r>
              <w:rPr>
                <w:rFonts w:hint="default" w:ascii="Times New Roman" w:hAnsi="Times New Roman" w:cs="Times New Roman"/>
                <w:color w:val="auto"/>
                <w:highlight w:val="none"/>
                <w:lang w:eastAsia="zh-CN"/>
              </w:rPr>
              <w:t>——噪声贡献值，dB；</w:t>
            </w:r>
          </w:p>
          <w:p>
            <w:pPr>
              <w:autoSpaceDE w:val="0"/>
              <w:autoSpaceDN w:val="0"/>
              <w:snapToGrid w:val="0"/>
              <w:ind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T——预测计算的时间段，s；</w:t>
            </w:r>
          </w:p>
          <w:p>
            <w:pPr>
              <w:autoSpaceDE w:val="0"/>
              <w:autoSpaceDN w:val="0"/>
              <w:snapToGrid w:val="0"/>
              <w:ind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ti——i 声源在T时段内的运行时间，s；</w:t>
            </w:r>
          </w:p>
          <w:p>
            <w:pPr>
              <w:autoSpaceDE w:val="0"/>
              <w:autoSpaceDN w:val="0"/>
              <w:snapToGrid w:val="0"/>
              <w:ind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L</w:t>
            </w:r>
            <w:r>
              <w:rPr>
                <w:rFonts w:hint="default" w:ascii="Times New Roman" w:hAnsi="Times New Roman" w:cs="Times New Roman"/>
                <w:color w:val="auto"/>
                <w:highlight w:val="none"/>
                <w:vertAlign w:val="subscript"/>
                <w:lang w:eastAsia="zh-CN"/>
              </w:rPr>
              <w:t>Ai</w:t>
            </w:r>
            <w:r>
              <w:rPr>
                <w:rFonts w:hint="default" w:ascii="Times New Roman" w:hAnsi="Times New Roman" w:cs="Times New Roman"/>
                <w:color w:val="auto"/>
                <w:highlight w:val="none"/>
                <w:lang w:eastAsia="zh-CN"/>
              </w:rPr>
              <w:t>——i声源在预测点产生的等效连续A声级，dB。</w:t>
            </w:r>
          </w:p>
          <w:p>
            <w:pPr>
              <w:autoSpaceDE w:val="0"/>
              <w:autoSpaceDN w:val="0"/>
              <w:snapToGrid w:val="0"/>
              <w:ind w:firstLine="48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lang w:eastAsia="zh-CN"/>
              </w:rPr>
              <w:t>）无指向性点声源几何发散衰减的基本公式是：</w:t>
            </w:r>
          </w:p>
          <w:p>
            <w:pPr>
              <w:autoSpaceDE w:val="0"/>
              <w:autoSpaceDN w:val="0"/>
              <w:snapToGrid w:val="0"/>
              <w:ind w:firstLine="48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drawing>
                <wp:inline distT="0" distB="0" distL="114300" distR="114300">
                  <wp:extent cx="2838450" cy="485775"/>
                  <wp:effectExtent l="0" t="0" r="0" b="9525"/>
                  <wp:docPr id="412" name="图片 412" descr="7c8d851cb7311eb53359f1ab42b9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7c8d851cb7311eb53359f1ab42b96ff"/>
                          <pic:cNvPicPr>
                            <a:picLocks noChangeAspect="1"/>
                          </pic:cNvPicPr>
                        </pic:nvPicPr>
                        <pic:blipFill>
                          <a:blip r:embed="rId42"/>
                          <a:stretch>
                            <a:fillRect/>
                          </a:stretch>
                        </pic:blipFill>
                        <pic:spPr>
                          <a:xfrm>
                            <a:off x="0" y="0"/>
                            <a:ext cx="2838450" cy="485775"/>
                          </a:xfrm>
                          <a:prstGeom prst="rect">
                            <a:avLst/>
                          </a:prstGeom>
                        </pic:spPr>
                      </pic:pic>
                    </a:graphicData>
                  </a:graphic>
                </wp:inline>
              </w:drawing>
            </w:r>
          </w:p>
          <w:p>
            <w:pPr>
              <w:autoSpaceDE w:val="0"/>
              <w:autoSpaceDN w:val="0"/>
              <w:snapToGrid w:val="0"/>
              <w:ind w:firstLine="48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式中：</w:t>
            </w:r>
          </w:p>
          <w:p>
            <w:pPr>
              <w:autoSpaceDE w:val="0"/>
              <w:autoSpaceDN w:val="0"/>
              <w:snapToGrid w:val="0"/>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L</w:t>
            </w:r>
            <w:r>
              <w:rPr>
                <w:rFonts w:hint="default" w:ascii="Times New Roman" w:hAnsi="Times New Roman" w:cs="Times New Roman"/>
                <w:color w:val="auto"/>
                <w:highlight w:val="none"/>
                <w:vertAlign w:val="subscript"/>
              </w:rPr>
              <w:t>p</w:t>
            </w:r>
            <w:r>
              <w:rPr>
                <w:rFonts w:hint="default" w:ascii="Times New Roman" w:hAnsi="Times New Roman" w:cs="Times New Roman"/>
                <w:color w:val="auto"/>
                <w:highlight w:val="none"/>
              </w:rPr>
              <w:t xml:space="preserve">(r) ——预测点处声压级，dB； </w:t>
            </w:r>
          </w:p>
          <w:p>
            <w:pPr>
              <w:autoSpaceDE w:val="0"/>
              <w:autoSpaceDN w:val="0"/>
              <w:snapToGrid w:val="0"/>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L</w:t>
            </w:r>
            <w:r>
              <w:rPr>
                <w:rFonts w:hint="default" w:ascii="Times New Roman" w:hAnsi="Times New Roman" w:cs="Times New Roman"/>
                <w:color w:val="auto"/>
                <w:highlight w:val="none"/>
                <w:vertAlign w:val="subscript"/>
              </w:rPr>
              <w:t>p</w:t>
            </w:r>
            <w:r>
              <w:rPr>
                <w:rFonts w:hint="default" w:ascii="Times New Roman" w:hAnsi="Times New Roman" w:cs="Times New Roman"/>
                <w:color w:val="auto"/>
                <w:highlight w:val="none"/>
              </w:rPr>
              <w:t>(r</w:t>
            </w:r>
            <w:r>
              <w:rPr>
                <w:rFonts w:hint="default" w:ascii="Times New Roman" w:hAnsi="Times New Roman" w:cs="Times New Roman"/>
                <w:color w:val="auto"/>
                <w:highlight w:val="none"/>
                <w:vertAlign w:val="subscript"/>
              </w:rPr>
              <w:t>0</w:t>
            </w:r>
            <w:r>
              <w:rPr>
                <w:rFonts w:hint="default" w:ascii="Times New Roman" w:hAnsi="Times New Roman" w:cs="Times New Roman"/>
                <w:color w:val="auto"/>
                <w:highlight w:val="none"/>
              </w:rPr>
              <w:t>) ——参考位置r</w:t>
            </w:r>
            <w:r>
              <w:rPr>
                <w:rFonts w:hint="default" w:ascii="Times New Roman" w:hAnsi="Times New Roman" w:cs="Times New Roman"/>
                <w:color w:val="auto"/>
                <w:highlight w:val="none"/>
                <w:vertAlign w:val="subscript"/>
              </w:rPr>
              <w:t>0</w:t>
            </w:r>
            <w:r>
              <w:rPr>
                <w:rFonts w:hint="default" w:ascii="Times New Roman" w:hAnsi="Times New Roman" w:cs="Times New Roman"/>
                <w:color w:val="auto"/>
                <w:highlight w:val="none"/>
              </w:rPr>
              <w:t xml:space="preserve">处的声压级，dB； </w:t>
            </w:r>
          </w:p>
          <w:p>
            <w:pPr>
              <w:autoSpaceDE w:val="0"/>
              <w:autoSpaceDN w:val="0"/>
              <w:snapToGrid w:val="0"/>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r——预测点距声源的距离；</w:t>
            </w:r>
          </w:p>
          <w:p>
            <w:pPr>
              <w:autoSpaceDE w:val="0"/>
              <w:autoSpaceDN w:val="0"/>
              <w:snapToGrid w:val="0"/>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r</w:t>
            </w:r>
            <w:r>
              <w:rPr>
                <w:rFonts w:hint="default" w:ascii="Times New Roman" w:hAnsi="Times New Roman" w:cs="Times New Roman"/>
                <w:color w:val="auto"/>
                <w:highlight w:val="none"/>
                <w:vertAlign w:val="subscript"/>
              </w:rPr>
              <w:t>0</w:t>
            </w:r>
            <w:r>
              <w:rPr>
                <w:rFonts w:hint="default" w:ascii="Times New Roman" w:hAnsi="Times New Roman" w:cs="Times New Roman"/>
                <w:color w:val="auto"/>
                <w:highlight w:val="none"/>
              </w:rPr>
              <w:t>——参考位置距声源的距离。</w:t>
            </w:r>
          </w:p>
          <w:p>
            <w:pPr>
              <w:pStyle w:val="89"/>
              <w:spacing w:line="360" w:lineRule="auto"/>
              <w:ind w:firstLine="48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将生产区域视为一个整体点源，依据营运期机械的噪声源强，</w:t>
            </w:r>
            <w:r>
              <w:rPr>
                <w:rFonts w:hint="default" w:ascii="Times New Roman" w:hAnsi="Times New Roman" w:cs="Times New Roman"/>
                <w:color w:val="auto"/>
                <w:highlight w:val="none"/>
                <w:lang w:val="en-US" w:eastAsia="zh-CN"/>
              </w:rPr>
              <w:t>贡献值</w:t>
            </w:r>
            <w:r>
              <w:rPr>
                <w:rFonts w:hint="default" w:ascii="Times New Roman" w:hAnsi="Times New Roman" w:cs="Times New Roman"/>
                <w:color w:val="auto"/>
                <w:highlight w:val="none"/>
              </w:rPr>
              <w:t>结果见下表。</w:t>
            </w:r>
          </w:p>
          <w:p>
            <w:pPr>
              <w:pStyle w:val="63"/>
              <w:numPr>
                <w:ilvl w:val="0"/>
                <w:numId w:val="22"/>
              </w:numPr>
              <w:ind w:left="0" w:leftChars="0" w:firstLine="397" w:firstLineChars="0"/>
              <w:rPr>
                <w:rFonts w:hint="default" w:ascii="Times New Roman" w:hAnsi="Times New Roman" w:cs="Times New Roman"/>
                <w:color w:val="auto"/>
                <w:kern w:val="11"/>
                <w:szCs w:val="21"/>
                <w:highlight w:val="none"/>
              </w:rPr>
            </w:pPr>
            <w:r>
              <w:rPr>
                <w:rFonts w:hint="default" w:ascii="Times New Roman" w:hAnsi="Times New Roman" w:cs="Times New Roman"/>
                <w:color w:val="auto"/>
                <w:kern w:val="11"/>
                <w:szCs w:val="21"/>
                <w:highlight w:val="none"/>
                <w:lang w:val="en-US" w:eastAsia="zh-CN"/>
              </w:rPr>
              <w:t>扩建</w:t>
            </w:r>
            <w:r>
              <w:rPr>
                <w:rFonts w:hint="default" w:ascii="Times New Roman" w:hAnsi="Times New Roman" w:cs="Times New Roman"/>
                <w:color w:val="auto"/>
                <w:kern w:val="11"/>
                <w:szCs w:val="21"/>
                <w:highlight w:val="none"/>
              </w:rPr>
              <w:t>项目整体噪声源</w:t>
            </w:r>
            <w:r>
              <w:rPr>
                <w:rFonts w:hint="default" w:ascii="Times New Roman" w:hAnsi="Times New Roman" w:cs="Times New Roman"/>
                <w:color w:val="auto"/>
                <w:kern w:val="11"/>
                <w:szCs w:val="21"/>
                <w:highlight w:val="none"/>
                <w:lang w:val="en-US" w:eastAsia="zh-CN"/>
              </w:rPr>
              <w:t>贡献</w:t>
            </w:r>
            <w:r>
              <w:rPr>
                <w:rFonts w:hint="default" w:ascii="Times New Roman" w:hAnsi="Times New Roman" w:cs="Times New Roman"/>
                <w:color w:val="auto"/>
                <w:kern w:val="11"/>
                <w:szCs w:val="21"/>
                <w:highlight w:val="none"/>
              </w:rPr>
              <w:t>值（单位：dB（A））</w:t>
            </w:r>
          </w:p>
          <w:tbl>
            <w:tblPr>
              <w:tblStyle w:val="32"/>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5"/>
              <w:gridCol w:w="3180"/>
              <w:gridCol w:w="1192"/>
              <w:gridCol w:w="957"/>
              <w:gridCol w:w="957"/>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jc w:val="center"/>
              </w:trPr>
              <w:tc>
                <w:tcPr>
                  <w:tcW w:w="377"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序号</w:t>
                  </w:r>
                </w:p>
              </w:tc>
              <w:tc>
                <w:tcPr>
                  <w:tcW w:w="2371" w:type="pct"/>
                  <w:gridSpan w:val="2"/>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预测点位</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贡献值dB(A)</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背景值dB(A)</w:t>
                  </w:r>
                </w:p>
              </w:tc>
              <w:tc>
                <w:tcPr>
                  <w:tcW w:w="1212" w:type="pct"/>
                  <w:noWrap w:val="0"/>
                  <w:tcMar>
                    <w:top w:w="15" w:type="dxa"/>
                    <w:left w:w="15" w:type="dxa"/>
                    <w:bottom w:w="0" w:type="dxa"/>
                    <w:right w:w="15" w:type="dxa"/>
                  </w:tcMar>
                  <w:vAlign w:val="center"/>
                </w:tcPr>
                <w:p>
                  <w:pPr>
                    <w:adjustRightInd w:val="0"/>
                    <w:snapToGrid w:val="0"/>
                    <w:spacing w:line="240" w:lineRule="auto"/>
                    <w:jc w:val="center"/>
                    <w:rPr>
                      <w:rFonts w:hint="default" w:ascii="Times New Roman" w:hAnsi="Times New Roman" w:cs="Times New Roman"/>
                      <w:b/>
                      <w:bCs w:val="0"/>
                      <w:color w:val="auto"/>
                      <w:sz w:val="21"/>
                      <w:szCs w:val="21"/>
                      <w:highlight w:val="none"/>
                    </w:rPr>
                  </w:pPr>
                  <w:r>
                    <w:rPr>
                      <w:rFonts w:hint="default" w:ascii="Times New Roman" w:hAnsi="Times New Roman" w:cs="Times New Roman"/>
                      <w:b/>
                      <w:bCs w:val="0"/>
                      <w:color w:val="auto"/>
                      <w:sz w:val="21"/>
                      <w:szCs w:val="21"/>
                      <w:highlight w:val="none"/>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377"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w:t>
                  </w:r>
                </w:p>
              </w:tc>
              <w:tc>
                <w:tcPr>
                  <w:tcW w:w="1725"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厂界东面</w:t>
                  </w:r>
                </w:p>
              </w:tc>
              <w:tc>
                <w:tcPr>
                  <w:tcW w:w="646"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昼间</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 xml:space="preserve">45.20 </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58</w:t>
                  </w:r>
                </w:p>
              </w:tc>
              <w:tc>
                <w:tcPr>
                  <w:tcW w:w="1212" w:type="pct"/>
                  <w:vMerge w:val="restar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《工业企业厂界环境噪声排放标准》（GB12348-2008）中2类标准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377"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w:t>
                  </w:r>
                </w:p>
              </w:tc>
              <w:tc>
                <w:tcPr>
                  <w:tcW w:w="1725"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厂界南面</w:t>
                  </w:r>
                </w:p>
              </w:tc>
              <w:tc>
                <w:tcPr>
                  <w:tcW w:w="646"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昼间</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 xml:space="preserve">39.40 </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57</w:t>
                  </w:r>
                </w:p>
              </w:tc>
              <w:tc>
                <w:tcPr>
                  <w:tcW w:w="1212" w:type="pct"/>
                  <w:vMerge w:val="continue"/>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8" w:hRule="atLeast"/>
                <w:jc w:val="center"/>
              </w:trPr>
              <w:tc>
                <w:tcPr>
                  <w:tcW w:w="377"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3</w:t>
                  </w:r>
                </w:p>
              </w:tc>
              <w:tc>
                <w:tcPr>
                  <w:tcW w:w="1725"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厂界西面</w:t>
                  </w:r>
                </w:p>
              </w:tc>
              <w:tc>
                <w:tcPr>
                  <w:tcW w:w="646"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昼间</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 xml:space="preserve">35.50 </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58</w:t>
                  </w:r>
                </w:p>
              </w:tc>
              <w:tc>
                <w:tcPr>
                  <w:tcW w:w="1212" w:type="pct"/>
                  <w:vMerge w:val="continue"/>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7" w:hRule="atLeast"/>
                <w:jc w:val="center"/>
              </w:trPr>
              <w:tc>
                <w:tcPr>
                  <w:tcW w:w="377"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4</w:t>
                  </w:r>
                </w:p>
              </w:tc>
              <w:tc>
                <w:tcPr>
                  <w:tcW w:w="1725"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厂界北面</w:t>
                  </w:r>
                </w:p>
              </w:tc>
              <w:tc>
                <w:tcPr>
                  <w:tcW w:w="646"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昼间</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46.8</w:t>
                  </w:r>
                </w:p>
              </w:tc>
              <w:tc>
                <w:tcPr>
                  <w:tcW w:w="519" w:type="pct"/>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58</w:t>
                  </w:r>
                </w:p>
              </w:tc>
              <w:tc>
                <w:tcPr>
                  <w:tcW w:w="1212" w:type="pct"/>
                  <w:vMerge w:val="continue"/>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p>
              </w:tc>
            </w:tr>
          </w:tbl>
          <w:p>
            <w:pPr>
              <w:pStyle w:val="17"/>
              <w:rPr>
                <w:rFonts w:hint="default" w:ascii="Times New Roman" w:hAnsi="Times New Roman" w:eastAsia="宋体" w:cs="Times New Roman"/>
                <w:b w:val="0"/>
                <w:bCs w:val="0"/>
                <w:color w:val="auto"/>
                <w:highlight w:val="none"/>
                <w:lang w:eastAsia="zh-CN"/>
              </w:rPr>
            </w:pPr>
            <w:r>
              <w:rPr>
                <w:rFonts w:hint="eastAsia"/>
                <w:color w:val="auto"/>
                <w:lang w:val="en-US" w:eastAsia="zh-CN"/>
              </w:rPr>
              <w:t xml:space="preserve">    </w:t>
            </w:r>
            <w:r>
              <w:rPr>
                <w:rFonts w:hint="eastAsia"/>
                <w:color w:val="auto"/>
                <w:lang w:eastAsia="zh-CN"/>
              </w:rPr>
              <w:t>本项目夜间不生产，本次只预测昼间的贡献值，</w:t>
            </w:r>
            <w:r>
              <w:rPr>
                <w:rFonts w:hint="default" w:ascii="Times New Roman" w:hAnsi="Times New Roman" w:cs="Times New Roman"/>
                <w:b w:val="0"/>
                <w:bCs w:val="0"/>
                <w:color w:val="auto"/>
                <w:highlight w:val="none"/>
              </w:rPr>
              <w:t>从上表的预测结果可以看出，项目合理布置各种设备，同时采取减振、隔音等</w:t>
            </w:r>
            <w:r>
              <w:rPr>
                <w:rFonts w:hint="default" w:ascii="Times New Roman" w:hAnsi="Times New Roman" w:cs="Times New Roman"/>
                <w:b w:val="0"/>
                <w:bCs w:val="0"/>
                <w:color w:val="auto"/>
                <w:highlight w:val="none"/>
                <w:lang w:val="en-US" w:eastAsia="zh-CN"/>
              </w:rPr>
              <w:t>降噪</w:t>
            </w:r>
            <w:r>
              <w:rPr>
                <w:rFonts w:hint="default" w:ascii="Times New Roman" w:hAnsi="Times New Roman" w:cs="Times New Roman"/>
                <w:b w:val="0"/>
                <w:bCs w:val="0"/>
                <w:color w:val="auto"/>
                <w:highlight w:val="none"/>
              </w:rPr>
              <w:t>措施。严格按规定操作，再经过距离衰减，项目的噪声</w:t>
            </w:r>
            <w:r>
              <w:rPr>
                <w:rFonts w:hint="default" w:ascii="Times New Roman" w:hAnsi="Times New Roman" w:cs="Times New Roman"/>
                <w:b w:val="0"/>
                <w:bCs w:val="0"/>
                <w:color w:val="auto"/>
                <w:highlight w:val="none"/>
                <w:lang w:val="en-US" w:eastAsia="zh-CN"/>
              </w:rPr>
              <w:t>可以</w:t>
            </w:r>
            <w:r>
              <w:rPr>
                <w:rFonts w:hint="default" w:ascii="Times New Roman" w:hAnsi="Times New Roman" w:cs="Times New Roman"/>
                <w:b w:val="0"/>
                <w:bCs w:val="0"/>
                <w:color w:val="auto"/>
                <w:highlight w:val="none"/>
              </w:rPr>
              <w:t>得到控制，项目厂界噪声</w:t>
            </w:r>
            <w:r>
              <w:rPr>
                <w:rFonts w:hint="default" w:ascii="Times New Roman" w:hAnsi="Times New Roman" w:cs="Times New Roman"/>
                <w:b w:val="0"/>
                <w:bCs w:val="0"/>
                <w:color w:val="auto"/>
                <w:highlight w:val="none"/>
                <w:lang w:val="en-US" w:eastAsia="zh-CN"/>
              </w:rPr>
              <w:t>可</w:t>
            </w:r>
            <w:r>
              <w:rPr>
                <w:rFonts w:hint="default" w:ascii="Times New Roman" w:hAnsi="Times New Roman" w:cs="Times New Roman"/>
                <w:b w:val="0"/>
                <w:bCs w:val="0"/>
                <w:color w:val="auto"/>
                <w:highlight w:val="none"/>
              </w:rPr>
              <w:t>达到《工业企业厂界环境噪声排放标准》（GB12348-2008）中</w:t>
            </w:r>
            <w:r>
              <w:rPr>
                <w:rFonts w:hint="default" w:ascii="Times New Roman" w:hAnsi="Times New Roman" w:cs="Times New Roman"/>
                <w:b w:val="0"/>
                <w:bCs w:val="0"/>
                <w:color w:val="auto"/>
                <w:highlight w:val="none"/>
                <w:lang w:val="en-US" w:eastAsia="zh-CN"/>
              </w:rPr>
              <w:t>2</w:t>
            </w:r>
            <w:r>
              <w:rPr>
                <w:rFonts w:hint="default" w:ascii="Times New Roman" w:hAnsi="Times New Roman" w:cs="Times New Roman"/>
                <w:b w:val="0"/>
                <w:bCs w:val="0"/>
                <w:color w:val="auto"/>
                <w:highlight w:val="none"/>
              </w:rPr>
              <w:t>类标准要求（昼间≤6</w:t>
            </w:r>
            <w:r>
              <w:rPr>
                <w:rFonts w:hint="default" w:ascii="Times New Roman" w:hAnsi="Times New Roman" w:cs="Times New Roman"/>
                <w:b w:val="0"/>
                <w:bCs w:val="0"/>
                <w:color w:val="auto"/>
                <w:highlight w:val="none"/>
                <w:lang w:val="en-US" w:eastAsia="zh-CN"/>
              </w:rPr>
              <w:t>0</w:t>
            </w:r>
            <w:r>
              <w:rPr>
                <w:rFonts w:hint="default" w:ascii="Times New Roman" w:hAnsi="Times New Roman" w:cs="Times New Roman"/>
                <w:b w:val="0"/>
                <w:bCs w:val="0"/>
                <w:color w:val="auto"/>
                <w:highlight w:val="none"/>
              </w:rPr>
              <w:t>dB（A）），对周围环境影响较小</w:t>
            </w:r>
            <w:r>
              <w:rPr>
                <w:rFonts w:hint="default" w:ascii="Times New Roman" w:hAnsi="Times New Roman" w:cs="Times New Roman"/>
                <w:b w:val="0"/>
                <w:bCs w:val="0"/>
                <w:color w:val="auto"/>
                <w:highlight w:val="none"/>
                <w:lang w:eastAsia="zh-CN"/>
              </w:rPr>
              <w:t>。</w:t>
            </w:r>
          </w:p>
          <w:p>
            <w:pPr>
              <w:pStyle w:val="89"/>
              <w:spacing w:line="360" w:lineRule="auto"/>
              <w:ind w:firstLine="482" w:firstLineChars="200"/>
              <w:jc w:val="both"/>
              <w:rPr>
                <w:rFonts w:hint="default" w:ascii="Times New Roman" w:hAnsi="Times New Roman" w:eastAsia="宋体" w:cs="Times New Roman"/>
                <w:b/>
                <w:bCs/>
                <w:color w:val="auto"/>
                <w:lang w:eastAsia="zh-CN"/>
              </w:rPr>
            </w:pPr>
            <w:r>
              <w:rPr>
                <w:rFonts w:hint="default" w:ascii="Times New Roman" w:hAnsi="Times New Roman" w:cs="Times New Roman"/>
                <w:b/>
                <w:bCs/>
                <w:color w:val="auto"/>
                <w:lang w:eastAsia="zh-CN"/>
              </w:rPr>
              <w:t>（</w:t>
            </w:r>
            <w:r>
              <w:rPr>
                <w:rFonts w:hint="default" w:ascii="Times New Roman" w:hAnsi="Times New Roman" w:cs="Times New Roman"/>
                <w:b/>
                <w:bCs/>
                <w:color w:val="auto"/>
                <w:lang w:val="en-US" w:eastAsia="zh-CN"/>
              </w:rPr>
              <w:t>3</w:t>
            </w:r>
            <w:r>
              <w:rPr>
                <w:rFonts w:hint="default" w:ascii="Times New Roman" w:hAnsi="Times New Roman" w:cs="Times New Roman"/>
                <w:b/>
                <w:bCs/>
                <w:color w:val="auto"/>
                <w:lang w:eastAsia="zh-CN"/>
              </w:rPr>
              <w:t>）</w:t>
            </w:r>
            <w:r>
              <w:rPr>
                <w:rFonts w:hint="default" w:ascii="Times New Roman" w:hAnsi="Times New Roman" w:cs="Times New Roman"/>
                <w:b/>
                <w:bCs/>
                <w:color w:val="auto"/>
              </w:rPr>
              <w:t>监测要求</w:t>
            </w:r>
          </w:p>
          <w:p>
            <w:pPr>
              <w:pStyle w:val="89"/>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参照《排污单位自行监测技术指南 总则》（HJ819-2017），项目噪声监测计划如下。</w:t>
            </w:r>
          </w:p>
          <w:p>
            <w:pPr>
              <w:pStyle w:val="63"/>
              <w:numPr>
                <w:ilvl w:val="0"/>
                <w:numId w:val="16"/>
              </w:numPr>
              <w:ind w:left="0" w:leftChars="0" w:firstLine="403" w:firstLineChars="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噪声监测计划</w:t>
            </w:r>
          </w:p>
          <w:tbl>
            <w:tblPr>
              <w:tblStyle w:val="32"/>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1613"/>
              <w:gridCol w:w="1545"/>
              <w:gridCol w:w="1725"/>
              <w:gridCol w:w="3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7" w:type="pct"/>
                  <w:noWrap w:val="0"/>
                  <w:vAlign w:val="center"/>
                </w:tcPr>
                <w:p>
                  <w:pPr>
                    <w:pStyle w:val="8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853" w:type="pct"/>
                  <w:noWrap w:val="0"/>
                  <w:vAlign w:val="center"/>
                </w:tcPr>
                <w:p>
                  <w:pPr>
                    <w:pStyle w:val="8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817" w:type="pct"/>
                  <w:noWrap w:val="0"/>
                  <w:vAlign w:val="center"/>
                </w:tcPr>
                <w:p>
                  <w:pPr>
                    <w:pStyle w:val="8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监测项目</w:t>
                  </w:r>
                </w:p>
              </w:tc>
              <w:tc>
                <w:tcPr>
                  <w:tcW w:w="912" w:type="pct"/>
                  <w:noWrap w:val="0"/>
                  <w:vAlign w:val="center"/>
                </w:tcPr>
                <w:p>
                  <w:pPr>
                    <w:pStyle w:val="8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监测频率</w:t>
                  </w:r>
                </w:p>
              </w:tc>
              <w:tc>
                <w:tcPr>
                  <w:tcW w:w="1849" w:type="pct"/>
                  <w:noWrap w:val="0"/>
                  <w:vAlign w:val="center"/>
                </w:tcPr>
                <w:p>
                  <w:pPr>
                    <w:pStyle w:val="89"/>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567" w:type="pct"/>
                  <w:noWrap w:val="0"/>
                  <w:vAlign w:val="center"/>
                </w:tcPr>
                <w:p>
                  <w:pPr>
                    <w:pStyle w:val="8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厂界噪声</w:t>
                  </w:r>
                </w:p>
              </w:tc>
              <w:tc>
                <w:tcPr>
                  <w:tcW w:w="853" w:type="pct"/>
                  <w:noWrap w:val="0"/>
                  <w:vAlign w:val="center"/>
                </w:tcPr>
                <w:p>
                  <w:pPr>
                    <w:pStyle w:val="8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四周厂界外1米处</w:t>
                  </w:r>
                </w:p>
              </w:tc>
              <w:tc>
                <w:tcPr>
                  <w:tcW w:w="817" w:type="pct"/>
                  <w:noWrap w:val="0"/>
                  <w:vAlign w:val="center"/>
                </w:tcPr>
                <w:p>
                  <w:pPr>
                    <w:pStyle w:val="8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912" w:type="pct"/>
                  <w:noWrap w:val="0"/>
                  <w:vAlign w:val="center"/>
                </w:tcPr>
                <w:p>
                  <w:pPr>
                    <w:pStyle w:val="8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1次/季，</w:t>
                  </w:r>
                  <w:r>
                    <w:rPr>
                      <w:rFonts w:hint="default" w:ascii="Times New Roman" w:hAnsi="Times New Roman" w:cs="Times New Roman"/>
                      <w:color w:val="auto"/>
                      <w:sz w:val="21"/>
                      <w:szCs w:val="21"/>
                      <w:lang w:val="en-US" w:eastAsia="zh-CN"/>
                    </w:rPr>
                    <w:t>仅监测昼间噪声</w:t>
                  </w:r>
                </w:p>
              </w:tc>
              <w:tc>
                <w:tcPr>
                  <w:tcW w:w="1849" w:type="pct"/>
                  <w:noWrap w:val="0"/>
                  <w:vAlign w:val="center"/>
                </w:tcPr>
                <w:p>
                  <w:pPr>
                    <w:pStyle w:val="8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《工业企业厂界环境噪声排放标准》（GB12348-2008）2类标准</w:t>
                  </w:r>
                </w:p>
              </w:tc>
            </w:tr>
          </w:tbl>
          <w:p>
            <w:pPr>
              <w:pStyle w:val="89"/>
              <w:spacing w:line="360" w:lineRule="auto"/>
              <w:ind w:left="0" w:leftChars="0" w:firstLine="422" w:firstLineChars="175"/>
              <w:jc w:val="both"/>
              <w:rPr>
                <w:rFonts w:hint="default" w:ascii="Times New Roman" w:hAnsi="Times New Roman" w:cs="Times New Roman"/>
                <w:b/>
                <w:bCs/>
                <w:color w:val="auto"/>
              </w:rPr>
            </w:pPr>
            <w:r>
              <w:rPr>
                <w:rFonts w:hint="default" w:ascii="Times New Roman" w:hAnsi="Times New Roman" w:cs="Times New Roman"/>
                <w:b/>
                <w:bCs/>
                <w:color w:val="auto"/>
                <w:lang w:val="en-US" w:eastAsia="zh-CN"/>
              </w:rPr>
              <w:t>4</w:t>
            </w:r>
            <w:r>
              <w:rPr>
                <w:rFonts w:hint="default" w:ascii="Times New Roman" w:hAnsi="Times New Roman" w:cs="Times New Roman"/>
                <w:b/>
                <w:bCs/>
                <w:color w:val="auto"/>
              </w:rPr>
              <w:t>、厂界和环境保护目标达标情况分析</w:t>
            </w:r>
          </w:p>
          <w:p>
            <w:pPr>
              <w:pStyle w:val="89"/>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经以上噪声污染防治措施及距离衰减后，项目四周厂界可以满足《工业企业厂界环境噪声排放标准》（GB12348-2008）2类标准要求，因此，项目不会对周围声环境造成明显影响。</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eastAsia="宋体" w:cs="Times New Roman"/>
                <w:b/>
                <w:color w:val="auto"/>
                <w:szCs w:val="21"/>
                <w:lang w:val="en-US" w:eastAsia="zh-CN"/>
              </w:rPr>
              <w:t>四</w:t>
            </w:r>
            <w:r>
              <w:rPr>
                <w:rFonts w:hint="default" w:ascii="Times New Roman" w:hAnsi="Times New Roman" w:eastAsia="宋体" w:cs="Times New Roman"/>
                <w:b/>
                <w:color w:val="auto"/>
                <w:szCs w:val="21"/>
                <w:lang w:eastAsia="zh-CN"/>
              </w:rPr>
              <w:t>、</w:t>
            </w:r>
            <w:r>
              <w:rPr>
                <w:rFonts w:hint="default" w:ascii="Times New Roman" w:hAnsi="Times New Roman" w:eastAsia="宋体" w:cs="Times New Roman"/>
                <w:b/>
                <w:color w:val="auto"/>
                <w:szCs w:val="21"/>
              </w:rPr>
              <w:t>固</w:t>
            </w:r>
            <w:r>
              <w:rPr>
                <w:rFonts w:hint="default" w:ascii="Times New Roman" w:hAnsi="Times New Roman" w:cs="Times New Roman"/>
                <w:b/>
                <w:color w:val="auto"/>
                <w:szCs w:val="21"/>
              </w:rPr>
              <w:t>体废物</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lang w:val="en-US" w:eastAsia="zh-CN"/>
              </w:rPr>
              <w:t>1、</w:t>
            </w:r>
            <w:r>
              <w:rPr>
                <w:rFonts w:hint="default" w:ascii="Times New Roman" w:hAnsi="Times New Roman" w:cs="Times New Roman"/>
                <w:b/>
                <w:color w:val="auto"/>
                <w:szCs w:val="21"/>
              </w:rPr>
              <w:t>固体废物产生情况</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lang w:eastAsia="zh-CN"/>
              </w:rPr>
              <w:t>扩建项目</w:t>
            </w:r>
            <w:r>
              <w:rPr>
                <w:rFonts w:hint="default" w:ascii="Times New Roman" w:hAnsi="Times New Roman" w:cs="Times New Roman"/>
                <w:color w:val="auto"/>
              </w:rPr>
              <w:t>营运期固体废物主要是一般工业固体废物、危险废物以及生活垃圾</w:t>
            </w:r>
            <w:r>
              <w:rPr>
                <w:rFonts w:hint="default" w:ascii="Times New Roman" w:hAnsi="Times New Roman" w:cs="Times New Roman"/>
                <w:bCs/>
                <w:color w:val="auto"/>
                <w:szCs w:val="21"/>
              </w:rPr>
              <w:t>。</w:t>
            </w:r>
          </w:p>
          <w:p>
            <w:pPr>
              <w:adjustRightInd w:val="0"/>
              <w:snapToGrid w:val="0"/>
              <w:ind w:firstLine="482" w:firstLineChars="200"/>
              <w:rPr>
                <w:rFonts w:hint="default" w:ascii="Times New Roman" w:hAnsi="Times New Roman" w:cs="Times New Roman"/>
                <w:b/>
                <w:bCs w:val="0"/>
                <w:color w:val="auto"/>
                <w:szCs w:val="21"/>
                <w:lang w:val="en-US" w:eastAsia="zh-CN"/>
              </w:rPr>
            </w:pPr>
            <w:r>
              <w:rPr>
                <w:rFonts w:hint="default" w:ascii="Times New Roman" w:hAnsi="Times New Roman" w:cs="Times New Roman"/>
                <w:b/>
                <w:bCs w:val="0"/>
                <w:color w:val="auto"/>
                <w:szCs w:val="21"/>
                <w:lang w:val="en-US" w:eastAsia="zh-CN"/>
              </w:rPr>
              <w:t>（1）</w:t>
            </w:r>
            <w:r>
              <w:rPr>
                <w:rFonts w:hint="default" w:ascii="Times New Roman" w:hAnsi="Times New Roman" w:cs="Times New Roman"/>
                <w:b/>
                <w:bCs w:val="0"/>
                <w:color w:val="auto"/>
              </w:rPr>
              <w:t>一般工业固体废物</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default" w:ascii="Times New Roman" w:hAnsi="Times New Roman" w:cs="Times New Roman"/>
                <w:b/>
                <w:bCs w:val="0"/>
                <w:color w:val="auto"/>
                <w:szCs w:val="21"/>
                <w:lang w:val="en-US" w:eastAsia="zh-CN"/>
              </w:rPr>
              <w:t>边角料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color w:val="auto"/>
                <w:sz w:val="24"/>
              </w:rPr>
              <w:t>根据建设单位提供的资料，项目裁切、收卷分切</w:t>
            </w:r>
            <w:r>
              <w:rPr>
                <w:rFonts w:hint="default" w:ascii="Times New Roman" w:hAnsi="Times New Roman" w:cs="Times New Roman"/>
                <w:color w:val="auto"/>
                <w:sz w:val="24"/>
                <w:lang w:val="en-US" w:eastAsia="zh-CN"/>
              </w:rPr>
              <w:t>会产生边角料，</w:t>
            </w:r>
            <w:r>
              <w:rPr>
                <w:rFonts w:hint="default" w:ascii="Times New Roman" w:hAnsi="Times New Roman" w:cs="Times New Roman"/>
                <w:color w:val="auto"/>
                <w:sz w:val="24"/>
              </w:rPr>
              <w:t>产生</w:t>
            </w:r>
            <w:r>
              <w:rPr>
                <w:rFonts w:hint="default" w:ascii="Times New Roman" w:hAnsi="Times New Roman" w:cs="Times New Roman"/>
                <w:color w:val="auto"/>
                <w:sz w:val="24"/>
                <w:lang w:val="en-US" w:eastAsia="zh-CN"/>
              </w:rPr>
              <w:t>量</w:t>
            </w:r>
            <w:r>
              <w:rPr>
                <w:rFonts w:hint="default" w:ascii="Times New Roman" w:hAnsi="Times New Roman" w:cs="Times New Roman"/>
                <w:color w:val="auto"/>
                <w:sz w:val="24"/>
              </w:rPr>
              <w:t>约</w:t>
            </w:r>
            <w:r>
              <w:rPr>
                <w:rFonts w:hint="default" w:ascii="Times New Roman" w:hAnsi="Times New Roman" w:cs="Times New Roman"/>
                <w:color w:val="auto"/>
                <w:sz w:val="24"/>
                <w:lang w:val="en-US" w:eastAsia="zh-CN"/>
              </w:rPr>
              <w:t>为1.685</w:t>
            </w:r>
            <w:r>
              <w:rPr>
                <w:rFonts w:hint="default" w:ascii="Times New Roman" w:hAnsi="Times New Roman" w:cs="Times New Roman"/>
                <w:color w:val="auto"/>
                <w:sz w:val="24"/>
              </w:rPr>
              <w:t>t/a，</w:t>
            </w:r>
            <w:r>
              <w:rPr>
                <w:rFonts w:hint="default" w:ascii="Times New Roman" w:hAnsi="Times New Roman" w:cs="Times New Roman"/>
                <w:color w:val="auto"/>
                <w:sz w:val="24"/>
                <w:lang w:val="en-US" w:eastAsia="zh-CN"/>
              </w:rPr>
              <w:t>收集后</w:t>
            </w:r>
            <w:r>
              <w:rPr>
                <w:rFonts w:hint="default" w:ascii="Times New Roman" w:hAnsi="Times New Roman" w:cs="Times New Roman"/>
                <w:color w:val="auto"/>
                <w:sz w:val="24"/>
              </w:rPr>
              <w:t>定期交由</w:t>
            </w:r>
            <w:r>
              <w:rPr>
                <w:rFonts w:hint="default" w:ascii="Times New Roman" w:hAnsi="Times New Roman" w:cs="Times New Roman"/>
                <w:color w:val="auto"/>
                <w:sz w:val="24"/>
                <w:lang w:val="en-US" w:eastAsia="zh-CN"/>
              </w:rPr>
              <w:t>专业</w:t>
            </w:r>
            <w:r>
              <w:rPr>
                <w:rFonts w:hint="default" w:ascii="Times New Roman" w:hAnsi="Times New Roman" w:cs="Times New Roman"/>
                <w:color w:val="auto"/>
                <w:sz w:val="24"/>
              </w:rPr>
              <w:t>回收公司回收</w:t>
            </w:r>
            <w:r>
              <w:rPr>
                <w:rFonts w:hint="default" w:ascii="Times New Roman" w:hAnsi="Times New Roman" w:cs="Times New Roman"/>
                <w:color w:val="auto"/>
                <w:sz w:val="24"/>
                <w:lang w:val="en-US" w:eastAsia="zh-CN"/>
              </w:rPr>
              <w:t>处理。</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②废包装材料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color w:val="auto"/>
                <w:sz w:val="24"/>
              </w:rPr>
              <w:t>根据建设单位提供的资料，项目</w:t>
            </w:r>
            <w:r>
              <w:rPr>
                <w:rFonts w:hint="default" w:ascii="Times New Roman" w:hAnsi="Times New Roman" w:cs="Times New Roman"/>
                <w:color w:val="auto"/>
                <w:kern w:val="0"/>
                <w:sz w:val="24"/>
              </w:rPr>
              <w:t>废包装材料</w:t>
            </w:r>
            <w:r>
              <w:rPr>
                <w:rFonts w:hint="default" w:ascii="Times New Roman" w:hAnsi="Times New Roman" w:cs="Times New Roman"/>
                <w:color w:val="auto"/>
                <w:sz w:val="24"/>
              </w:rPr>
              <w:t>产生</w:t>
            </w:r>
            <w:r>
              <w:rPr>
                <w:rFonts w:hint="default" w:ascii="Times New Roman" w:hAnsi="Times New Roman" w:cs="Times New Roman"/>
                <w:color w:val="auto"/>
                <w:sz w:val="24"/>
                <w:lang w:val="en-US" w:eastAsia="zh-CN"/>
              </w:rPr>
              <w:t>量</w:t>
            </w:r>
            <w:r>
              <w:rPr>
                <w:rFonts w:hint="default" w:ascii="Times New Roman" w:hAnsi="Times New Roman" w:cs="Times New Roman"/>
                <w:color w:val="auto"/>
                <w:sz w:val="24"/>
              </w:rPr>
              <w:t>约</w:t>
            </w:r>
            <w:r>
              <w:rPr>
                <w:rFonts w:hint="default" w:ascii="Times New Roman" w:hAnsi="Times New Roman" w:cs="Times New Roman"/>
                <w:color w:val="auto"/>
                <w:sz w:val="24"/>
                <w:lang w:val="en-US" w:eastAsia="zh-CN"/>
              </w:rPr>
              <w:t>为2</w:t>
            </w:r>
            <w:r>
              <w:rPr>
                <w:rFonts w:hint="default" w:ascii="Times New Roman" w:hAnsi="Times New Roman" w:cs="Times New Roman"/>
                <w:color w:val="auto"/>
                <w:sz w:val="24"/>
              </w:rPr>
              <w:t>t/a，收集后定期交由</w:t>
            </w:r>
            <w:r>
              <w:rPr>
                <w:rFonts w:hint="default" w:ascii="Times New Roman" w:hAnsi="Times New Roman" w:cs="Times New Roman"/>
                <w:color w:val="auto"/>
                <w:sz w:val="24"/>
                <w:lang w:val="en-US" w:eastAsia="zh-CN"/>
              </w:rPr>
              <w:t>专业</w:t>
            </w:r>
            <w:r>
              <w:rPr>
                <w:rFonts w:hint="default" w:ascii="Times New Roman" w:hAnsi="Times New Roman" w:cs="Times New Roman"/>
                <w:color w:val="auto"/>
                <w:sz w:val="24"/>
              </w:rPr>
              <w:t>回收公司回收</w:t>
            </w:r>
            <w:r>
              <w:rPr>
                <w:rFonts w:hint="default" w:ascii="Times New Roman" w:hAnsi="Times New Roman" w:cs="Times New Roman"/>
                <w:color w:val="auto"/>
                <w:sz w:val="24"/>
                <w:lang w:val="en-US" w:eastAsia="zh-CN"/>
              </w:rPr>
              <w:t>处理</w:t>
            </w:r>
            <w:r>
              <w:rPr>
                <w:rFonts w:hint="default" w:ascii="Times New Roman" w:hAnsi="Times New Roman" w:cs="Times New Roman"/>
                <w:color w:val="auto"/>
                <w:sz w:val="24"/>
              </w:rPr>
              <w:t>。</w:t>
            </w:r>
          </w:p>
          <w:p>
            <w:pPr>
              <w:adjustRightInd w:val="0"/>
              <w:snapToGrid w:val="0"/>
              <w:ind w:firstLine="482" w:firstLineChars="200"/>
              <w:rPr>
                <w:rFonts w:hint="default" w:ascii="Times New Roman" w:hAnsi="Times New Roman" w:cs="Times New Roman"/>
                <w:b/>
                <w:bCs w:val="0"/>
                <w:color w:val="auto"/>
                <w:szCs w:val="21"/>
              </w:rPr>
            </w:pPr>
            <w:r>
              <w:rPr>
                <w:rFonts w:hint="default" w:ascii="Times New Roman" w:hAnsi="Times New Roman" w:cs="Times New Roman"/>
                <w:b/>
                <w:bCs w:val="0"/>
                <w:color w:val="auto"/>
                <w:szCs w:val="21"/>
                <w:lang w:val="en-US" w:eastAsia="zh-CN"/>
              </w:rPr>
              <w:t>（2）</w:t>
            </w:r>
            <w:r>
              <w:rPr>
                <w:rFonts w:hint="default" w:ascii="Times New Roman" w:hAnsi="Times New Roman" w:cs="Times New Roman"/>
                <w:b/>
                <w:bCs w:val="0"/>
                <w:color w:val="auto"/>
                <w:szCs w:val="21"/>
              </w:rPr>
              <w:t>危险废物</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eastAsia="宋体" w:cs="Times New Roman"/>
                <w:b/>
                <w:bCs w:val="0"/>
                <w:color w:val="auto"/>
                <w:szCs w:val="21"/>
                <w:lang w:val="en-US" w:eastAsia="zh-CN"/>
              </w:rPr>
              <w:t>①</w:t>
            </w:r>
            <w:r>
              <w:rPr>
                <w:rFonts w:hint="default" w:ascii="Times New Roman" w:hAnsi="Times New Roman" w:cs="Times New Roman"/>
                <w:b/>
                <w:bCs/>
                <w:color w:val="auto"/>
                <w:sz w:val="24"/>
              </w:rPr>
              <w:t>废抹布及手套</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本项目</w:t>
            </w:r>
            <w:r>
              <w:rPr>
                <w:rFonts w:hint="default" w:ascii="Times New Roman" w:hAnsi="Times New Roman" w:cs="Times New Roman"/>
                <w:color w:val="auto"/>
                <w:sz w:val="24"/>
                <w:lang w:val="en-US" w:eastAsia="zh-CN"/>
              </w:rPr>
              <w:t>生产过程需使用抹布和手套，会</w:t>
            </w:r>
            <w:r>
              <w:rPr>
                <w:rFonts w:hint="default" w:ascii="Times New Roman" w:hAnsi="Times New Roman" w:cs="Times New Roman"/>
                <w:color w:val="auto"/>
                <w:sz w:val="24"/>
              </w:rPr>
              <w:t>产生</w:t>
            </w:r>
            <w:r>
              <w:rPr>
                <w:rFonts w:hint="default" w:ascii="Times New Roman" w:hAnsi="Times New Roman" w:cs="Times New Roman"/>
                <w:color w:val="auto"/>
                <w:sz w:val="24"/>
                <w:lang w:val="en-US" w:eastAsia="zh-CN"/>
              </w:rPr>
              <w:t>废</w:t>
            </w:r>
            <w:r>
              <w:rPr>
                <w:rFonts w:hint="default" w:ascii="Times New Roman" w:hAnsi="Times New Roman" w:cs="Times New Roman"/>
                <w:color w:val="auto"/>
                <w:sz w:val="24"/>
              </w:rPr>
              <w:t>抹布及手套，根据建设单位提供的资料，</w:t>
            </w:r>
            <w:r>
              <w:rPr>
                <w:rFonts w:hint="default" w:ascii="Times New Roman" w:hAnsi="Times New Roman" w:cs="Times New Roman"/>
                <w:color w:val="auto"/>
                <w:sz w:val="24"/>
                <w:lang w:val="en-US" w:eastAsia="zh-CN"/>
              </w:rPr>
              <w:t>废</w:t>
            </w:r>
            <w:r>
              <w:rPr>
                <w:rFonts w:hint="default" w:ascii="Times New Roman" w:hAnsi="Times New Roman" w:cs="Times New Roman"/>
                <w:color w:val="auto"/>
                <w:sz w:val="24"/>
              </w:rPr>
              <w:t>抹布及手套</w:t>
            </w:r>
            <w:r>
              <w:rPr>
                <w:rFonts w:hint="default" w:ascii="Times New Roman" w:hAnsi="Times New Roman" w:cs="Times New Roman"/>
                <w:color w:val="auto"/>
                <w:kern w:val="0"/>
                <w:sz w:val="24"/>
              </w:rPr>
              <w:t>产生量</w:t>
            </w:r>
            <w:r>
              <w:rPr>
                <w:rFonts w:hint="default" w:ascii="Times New Roman" w:hAnsi="Times New Roman" w:cs="Times New Roman"/>
                <w:color w:val="auto"/>
                <w:kern w:val="0"/>
                <w:sz w:val="24"/>
                <w:lang w:val="en-US" w:eastAsia="zh-CN"/>
              </w:rPr>
              <w:t>约</w:t>
            </w:r>
            <w:r>
              <w:rPr>
                <w:rFonts w:hint="default" w:ascii="Times New Roman" w:hAnsi="Times New Roman" w:cs="Times New Roman"/>
                <w:color w:val="auto"/>
                <w:kern w:val="0"/>
                <w:sz w:val="24"/>
              </w:rPr>
              <w:t>为</w:t>
            </w:r>
            <w:r>
              <w:rPr>
                <w:rFonts w:hint="default" w:ascii="Times New Roman" w:hAnsi="Times New Roman" w:cs="Times New Roman"/>
                <w:color w:val="auto"/>
                <w:kern w:val="0"/>
                <w:sz w:val="24"/>
                <w:lang w:val="en-US" w:eastAsia="zh-CN"/>
              </w:rPr>
              <w:t>0.01</w:t>
            </w:r>
            <w:r>
              <w:rPr>
                <w:rFonts w:hint="default" w:ascii="Times New Roman" w:hAnsi="Times New Roman" w:cs="Times New Roman"/>
                <w:color w:val="auto"/>
                <w:kern w:val="0"/>
                <w:sz w:val="24"/>
              </w:rPr>
              <w:t>t/a</w:t>
            </w:r>
            <w:r>
              <w:rPr>
                <w:rFonts w:hint="default" w:ascii="Times New Roman" w:hAnsi="Times New Roman" w:cs="Times New Roman"/>
                <w:color w:val="auto"/>
                <w:sz w:val="24"/>
              </w:rPr>
              <w:t>，属于《国家危险废物名录》（2021年版）中HW49其他废物（废物代码：900-041-49），收集后交由有危险废物处置资质单位处理。</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②废</w:t>
            </w:r>
            <w:r>
              <w:rPr>
                <w:rFonts w:hint="default" w:ascii="Times New Roman" w:hAnsi="Times New Roman" w:cs="Times New Roman"/>
                <w:b/>
                <w:bCs w:val="0"/>
                <w:color w:val="auto"/>
                <w:szCs w:val="21"/>
                <w:lang w:val="en-US" w:eastAsia="zh-CN"/>
              </w:rPr>
              <w:t>空桶</w:t>
            </w:r>
          </w:p>
          <w:p>
            <w:pPr>
              <w:adjustRightInd w:val="0"/>
              <w:snapToGrid w:val="0"/>
              <w:spacing w:line="360" w:lineRule="auto"/>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cs="Times New Roman"/>
                <w:color w:val="auto"/>
                <w:sz w:val="24"/>
              </w:rPr>
              <w:t>根据建设单位提供的资料，本项目</w:t>
            </w:r>
            <w:r>
              <w:rPr>
                <w:rFonts w:hint="default" w:ascii="Times New Roman" w:hAnsi="Times New Roman" w:cs="Times New Roman"/>
                <w:color w:val="auto"/>
                <w:sz w:val="24"/>
                <w:lang w:val="en-US" w:eastAsia="zh-CN"/>
              </w:rPr>
              <w:t>液态的原辅料使用后会产生废空桶</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产生量约</w:t>
            </w:r>
            <w:r>
              <w:rPr>
                <w:rFonts w:hint="default" w:ascii="Times New Roman" w:hAnsi="Times New Roman" w:cs="Times New Roman"/>
                <w:color w:val="auto"/>
                <w:sz w:val="24"/>
                <w:lang w:val="en-US" w:eastAsia="zh-CN"/>
              </w:rPr>
              <w:t>3.685</w:t>
            </w:r>
            <w:r>
              <w:rPr>
                <w:rFonts w:hint="default" w:ascii="Times New Roman" w:hAnsi="Times New Roman" w:cs="Times New Roman"/>
                <w:color w:val="auto"/>
                <w:sz w:val="24"/>
              </w:rPr>
              <w:t>t/a，</w:t>
            </w:r>
            <w:r>
              <w:rPr>
                <w:rFonts w:hint="default" w:ascii="Times New Roman" w:hAnsi="Times New Roman" w:cs="Times New Roman"/>
                <w:color w:val="auto"/>
                <w:sz w:val="24"/>
                <w:lang w:val="en-US" w:eastAsia="zh-CN"/>
              </w:rPr>
              <w:t>属于</w:t>
            </w:r>
            <w:r>
              <w:rPr>
                <w:rFonts w:hint="default" w:ascii="Times New Roman" w:hAnsi="Times New Roman" w:cs="Times New Roman"/>
                <w:color w:val="auto"/>
                <w:sz w:val="24"/>
              </w:rPr>
              <w:t>《国家危险废物名录》（2021年版）中HW</w:t>
            </w: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rPr>
              <w:t>9其他废物（废物代码：900-041-49</w:t>
            </w:r>
            <w:r>
              <w:rPr>
                <w:rFonts w:hint="default" w:ascii="Times New Roman" w:hAnsi="Times New Roman" w:cs="Times New Roman"/>
                <w:color w:val="auto"/>
                <w:sz w:val="24"/>
                <w:lang w:eastAsia="zh-CN"/>
              </w:rPr>
              <w:t>—含有或沾染毒性、感染性危险废物的废弃包装物、容器、过滤吸附介质</w:t>
            </w:r>
            <w:r>
              <w:rPr>
                <w:rFonts w:hint="default" w:ascii="Times New Roman" w:hAnsi="Times New Roman" w:cs="Times New Roman"/>
                <w:color w:val="auto"/>
                <w:sz w:val="24"/>
              </w:rPr>
              <w:t>）</w:t>
            </w:r>
            <w:r>
              <w:rPr>
                <w:rFonts w:hint="default" w:ascii="Times New Roman" w:hAnsi="Times New Roman" w:eastAsia="宋体" w:cs="Times New Roman"/>
                <w:bCs/>
                <w:color w:val="auto"/>
                <w:szCs w:val="21"/>
                <w:highlight w:val="none"/>
                <w:lang w:val="en-US" w:eastAsia="zh-CN"/>
              </w:rPr>
              <w:t>，收集后交由有资质单位进行处置。</w:t>
            </w:r>
          </w:p>
          <w:p>
            <w:pPr>
              <w:adjustRightInd w:val="0"/>
              <w:snapToGrid w:val="0"/>
              <w:ind w:firstLine="482" w:firstLineChars="200"/>
              <w:rPr>
                <w:rFonts w:hint="default" w:ascii="Times New Roman" w:hAnsi="Times New Roman" w:cs="Times New Roman"/>
                <w:b/>
                <w:bCs w:val="0"/>
                <w:color w:val="auto"/>
                <w:lang w:val="en-US" w:eastAsia="zh-CN"/>
              </w:rPr>
            </w:pPr>
            <w:r>
              <w:rPr>
                <w:rFonts w:hint="default" w:ascii="Times New Roman" w:hAnsi="Times New Roman" w:cs="Times New Roman"/>
                <w:b/>
                <w:bCs/>
                <w:color w:val="auto"/>
                <w:sz w:val="24"/>
              </w:rPr>
              <w:t>③</w:t>
            </w:r>
            <w:r>
              <w:rPr>
                <w:rFonts w:hint="default" w:ascii="Times New Roman" w:hAnsi="Times New Roman" w:cs="Times New Roman"/>
                <w:b/>
                <w:bCs w:val="0"/>
                <w:color w:val="auto"/>
                <w:lang w:val="en-US" w:eastAsia="zh-CN"/>
              </w:rPr>
              <w:t>废活性炭</w:t>
            </w:r>
          </w:p>
          <w:p>
            <w:pPr>
              <w:adjustRightInd w:val="0"/>
              <w:snapToGrid w:val="0"/>
              <w:spacing w:line="360" w:lineRule="auto"/>
              <w:ind w:firstLine="480" w:firstLineChars="200"/>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cs="Times New Roman"/>
                <w:color w:val="auto"/>
                <w:szCs w:val="21"/>
                <w:highlight w:val="none"/>
                <w:lang w:val="en-US" w:eastAsia="zh-CN"/>
              </w:rPr>
              <w:t>本</w:t>
            </w:r>
            <w:r>
              <w:rPr>
                <w:rFonts w:hint="default" w:ascii="Times New Roman" w:hAnsi="Times New Roman" w:cs="Times New Roman"/>
                <w:color w:val="auto"/>
                <w:szCs w:val="21"/>
                <w:highlight w:val="none"/>
              </w:rPr>
              <w:t>项目</w:t>
            </w:r>
            <w:r>
              <w:rPr>
                <w:rFonts w:hint="default" w:ascii="Times New Roman" w:hAnsi="Times New Roman" w:cs="Times New Roman"/>
                <w:color w:val="auto"/>
                <w:szCs w:val="21"/>
                <w:highlight w:val="none"/>
                <w:lang w:val="en-US" w:eastAsia="zh-CN"/>
              </w:rPr>
              <w:t>有机废气通过</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lang w:val="en-US" w:eastAsia="zh-CN"/>
              </w:rPr>
              <w:t>水喷淋+干式过滤器+二级</w:t>
            </w:r>
            <w:r>
              <w:rPr>
                <w:rFonts w:hint="default" w:ascii="Times New Roman" w:hAnsi="Times New Roman" w:cs="Times New Roman"/>
                <w:color w:val="auto"/>
                <w:szCs w:val="21"/>
                <w:highlight w:val="none"/>
              </w:rPr>
              <w:t>活性炭吸附”</w:t>
            </w:r>
            <w:r>
              <w:rPr>
                <w:rFonts w:hint="default" w:ascii="Times New Roman" w:hAnsi="Times New Roman" w:cs="Times New Roman"/>
                <w:color w:val="auto"/>
                <w:szCs w:val="21"/>
                <w:highlight w:val="none"/>
                <w:lang w:val="en-US" w:eastAsia="zh-CN"/>
              </w:rPr>
              <w:t>装置</w:t>
            </w:r>
            <w:r>
              <w:rPr>
                <w:rFonts w:hint="default" w:ascii="Times New Roman" w:hAnsi="Times New Roman" w:cs="Times New Roman"/>
                <w:color w:val="auto"/>
                <w:szCs w:val="21"/>
                <w:highlight w:val="none"/>
              </w:rPr>
              <w:t>处理达标后排放。根据《现代涂装手册》（化学工业出版社，陈治良主编），活性炭的吸附容量约为25%</w:t>
            </w:r>
            <w:r>
              <w:rPr>
                <w:rFonts w:hint="default" w:ascii="Times New Roman" w:hAnsi="Times New Roman" w:cs="Times New Roman"/>
                <w:color w:val="auto"/>
                <w:lang w:eastAsia="zh-CN"/>
              </w:rPr>
              <w:t>，</w:t>
            </w:r>
            <w:r>
              <w:rPr>
                <w:rFonts w:hint="default" w:ascii="Times New Roman" w:hAnsi="Times New Roman" w:eastAsia="宋体" w:cs="Times New Roman"/>
                <w:color w:val="auto"/>
                <w:kern w:val="2"/>
                <w:sz w:val="24"/>
                <w:szCs w:val="21"/>
                <w:highlight w:val="none"/>
                <w:lang w:val="en-US" w:eastAsia="zh-CN" w:bidi="ar-SA"/>
              </w:rPr>
              <w:t>本项目有机废气</w:t>
            </w:r>
            <w:r>
              <w:rPr>
                <w:rFonts w:hint="default" w:ascii="Times New Roman" w:hAnsi="Times New Roman" w:cs="Times New Roman"/>
                <w:color w:val="auto"/>
                <w:kern w:val="2"/>
                <w:sz w:val="24"/>
                <w:szCs w:val="21"/>
                <w:highlight w:val="none"/>
                <w:lang w:val="en-US" w:eastAsia="zh-CN" w:bidi="ar-SA"/>
              </w:rPr>
              <w:t>有组织</w:t>
            </w:r>
            <w:r>
              <w:rPr>
                <w:rFonts w:hint="default" w:ascii="Times New Roman" w:hAnsi="Times New Roman" w:eastAsia="宋体" w:cs="Times New Roman"/>
                <w:color w:val="auto"/>
                <w:kern w:val="2"/>
                <w:sz w:val="24"/>
                <w:szCs w:val="21"/>
                <w:highlight w:val="none"/>
                <w:lang w:val="en-US" w:eastAsia="zh-CN" w:bidi="ar-SA"/>
              </w:rPr>
              <w:t>去除量为</w:t>
            </w:r>
            <w:r>
              <w:rPr>
                <w:rFonts w:hint="default" w:ascii="Times New Roman" w:hAnsi="Times New Roman" w:cs="Times New Roman"/>
                <w:color w:val="auto"/>
                <w:kern w:val="2"/>
                <w:sz w:val="24"/>
                <w:szCs w:val="21"/>
                <w:highlight w:val="none"/>
                <w:lang w:val="en-US" w:eastAsia="zh-CN" w:bidi="ar-SA"/>
              </w:rPr>
              <w:t>0.2293</w:t>
            </w:r>
            <w:r>
              <w:rPr>
                <w:rFonts w:hint="default" w:ascii="Times New Roman" w:hAnsi="Times New Roman" w:eastAsia="宋体" w:cs="Times New Roman"/>
                <w:color w:val="auto"/>
                <w:kern w:val="2"/>
                <w:sz w:val="24"/>
                <w:szCs w:val="21"/>
                <w:highlight w:val="none"/>
                <w:lang w:val="en-US" w:eastAsia="zh-CN" w:bidi="ar-SA"/>
              </w:rPr>
              <w:t>t/a，则本项目活性炭用量为</w:t>
            </w:r>
            <w:r>
              <w:rPr>
                <w:rFonts w:hint="default" w:ascii="Times New Roman" w:hAnsi="Times New Roman" w:cs="Times New Roman"/>
                <w:color w:val="auto"/>
                <w:kern w:val="2"/>
                <w:sz w:val="24"/>
                <w:szCs w:val="21"/>
                <w:highlight w:val="none"/>
                <w:lang w:val="en-US" w:eastAsia="zh-CN" w:bidi="ar-SA"/>
              </w:rPr>
              <w:t>0.9172</w:t>
            </w:r>
            <w:r>
              <w:rPr>
                <w:rFonts w:hint="default" w:ascii="Times New Roman" w:hAnsi="Times New Roman" w:eastAsia="宋体" w:cs="Times New Roman"/>
                <w:color w:val="auto"/>
                <w:kern w:val="2"/>
                <w:sz w:val="24"/>
                <w:szCs w:val="21"/>
                <w:highlight w:val="none"/>
                <w:lang w:val="en-US" w:eastAsia="zh-CN" w:bidi="ar-SA"/>
              </w:rPr>
              <w:t>t/a，则</w:t>
            </w:r>
            <w:r>
              <w:rPr>
                <w:rFonts w:hint="default" w:ascii="Times New Roman" w:hAnsi="Times New Roman" w:cs="Times New Roman"/>
                <w:color w:val="auto"/>
                <w:kern w:val="2"/>
                <w:sz w:val="24"/>
                <w:szCs w:val="21"/>
                <w:highlight w:val="none"/>
                <w:lang w:val="en-US" w:eastAsia="zh-CN" w:bidi="ar-SA"/>
              </w:rPr>
              <w:t>废</w:t>
            </w:r>
            <w:r>
              <w:rPr>
                <w:rFonts w:hint="default" w:ascii="Times New Roman" w:hAnsi="Times New Roman" w:eastAsia="宋体" w:cs="Times New Roman"/>
                <w:color w:val="auto"/>
                <w:kern w:val="2"/>
                <w:sz w:val="24"/>
                <w:szCs w:val="21"/>
                <w:highlight w:val="none"/>
                <w:lang w:val="en-US" w:eastAsia="zh-CN" w:bidi="ar-SA"/>
              </w:rPr>
              <w:t>活性炭产生量约为</w:t>
            </w:r>
            <w:r>
              <w:rPr>
                <w:rFonts w:hint="default" w:ascii="Times New Roman" w:hAnsi="Times New Roman" w:cs="Times New Roman"/>
                <w:color w:val="auto"/>
                <w:kern w:val="2"/>
                <w:sz w:val="24"/>
                <w:szCs w:val="21"/>
                <w:highlight w:val="none"/>
                <w:lang w:val="en-US" w:eastAsia="zh-CN" w:bidi="ar-SA"/>
              </w:rPr>
              <w:t>0.2293</w:t>
            </w:r>
            <w:r>
              <w:rPr>
                <w:rFonts w:hint="default" w:ascii="Times New Roman" w:hAnsi="Times New Roman" w:eastAsia="宋体" w:cs="Times New Roman"/>
                <w:color w:val="auto"/>
                <w:kern w:val="2"/>
                <w:sz w:val="24"/>
                <w:szCs w:val="21"/>
                <w:highlight w:val="none"/>
                <w:lang w:val="en-US" w:eastAsia="zh-CN" w:bidi="ar-SA"/>
              </w:rPr>
              <w:t>t/a</w:t>
            </w:r>
            <w:r>
              <w:rPr>
                <w:rFonts w:hint="default" w:ascii="Times New Roman" w:hAnsi="Times New Roman" w:cs="Times New Roman"/>
                <w:color w:val="auto"/>
                <w:kern w:val="2"/>
                <w:sz w:val="24"/>
                <w:szCs w:val="21"/>
                <w:highlight w:val="none"/>
                <w:lang w:val="en-US" w:eastAsia="zh-CN" w:bidi="ar-SA"/>
              </w:rPr>
              <w:t>+0.9172</w:t>
            </w:r>
            <w:r>
              <w:rPr>
                <w:rFonts w:hint="default" w:ascii="Times New Roman" w:hAnsi="Times New Roman" w:eastAsia="宋体" w:cs="Times New Roman"/>
                <w:color w:val="auto"/>
                <w:kern w:val="2"/>
                <w:sz w:val="24"/>
                <w:szCs w:val="21"/>
                <w:highlight w:val="none"/>
                <w:lang w:val="en-US" w:eastAsia="zh-CN" w:bidi="ar-SA"/>
              </w:rPr>
              <w:t>t/a</w:t>
            </w:r>
            <w:r>
              <w:rPr>
                <w:rFonts w:hint="default" w:ascii="Times New Roman" w:hAnsi="Times New Roman" w:cs="Times New Roman"/>
                <w:color w:val="auto"/>
                <w:kern w:val="2"/>
                <w:sz w:val="24"/>
                <w:szCs w:val="21"/>
                <w:highlight w:val="none"/>
                <w:lang w:val="en-US" w:eastAsia="zh-CN" w:bidi="ar-SA"/>
              </w:rPr>
              <w:t>=1.1465</w:t>
            </w:r>
            <w:r>
              <w:rPr>
                <w:rFonts w:hint="default" w:ascii="Times New Roman" w:hAnsi="Times New Roman" w:eastAsia="宋体" w:cs="Times New Roman"/>
                <w:color w:val="auto"/>
                <w:kern w:val="2"/>
                <w:sz w:val="24"/>
                <w:szCs w:val="21"/>
                <w:highlight w:val="none"/>
                <w:lang w:val="en-US" w:eastAsia="zh-CN" w:bidi="ar-SA"/>
              </w:rPr>
              <w:t>t/a。</w:t>
            </w:r>
            <w:r>
              <w:rPr>
                <w:rFonts w:hint="default" w:ascii="Times New Roman" w:hAnsi="Times New Roman" w:cs="Times New Roman"/>
                <w:color w:val="auto"/>
                <w:kern w:val="2"/>
                <w:sz w:val="24"/>
                <w:szCs w:val="21"/>
                <w:highlight w:val="none"/>
                <w:lang w:val="en-US" w:eastAsia="zh-CN" w:bidi="ar-SA"/>
              </w:rPr>
              <w:t>活性炭拟3个月更换一次，以保证废气处理效率，废</w:t>
            </w:r>
            <w:r>
              <w:rPr>
                <w:rFonts w:hint="default" w:ascii="Times New Roman" w:hAnsi="Times New Roman" w:eastAsia="宋体" w:cs="Times New Roman"/>
                <w:color w:val="auto"/>
                <w:kern w:val="2"/>
                <w:sz w:val="24"/>
                <w:szCs w:val="21"/>
                <w:highlight w:val="none"/>
                <w:lang w:val="en-US" w:eastAsia="zh-CN" w:bidi="ar-SA"/>
              </w:rPr>
              <w:t>活性炭属于《国家危险废物名录》（2021年版）中编号为</w:t>
            </w:r>
            <w:r>
              <w:rPr>
                <w:rFonts w:hint="default" w:ascii="Times New Roman" w:hAnsi="Times New Roman" w:eastAsia="宋体" w:cs="Times New Roman"/>
                <w:color w:val="auto"/>
                <w:kern w:val="2"/>
                <w:sz w:val="24"/>
                <w:szCs w:val="24"/>
                <w:lang w:val="en-US" w:eastAsia="zh-CN" w:bidi="ar-SA"/>
              </w:rPr>
              <w:t>废物类别：HW49，废物代码：900-039-49</w:t>
            </w:r>
            <w:r>
              <w:rPr>
                <w:rFonts w:hint="default" w:ascii="Times New Roman" w:hAnsi="Times New Roman" w:eastAsia="宋体" w:cs="Times New Roman"/>
                <w:color w:val="auto"/>
                <w:kern w:val="2"/>
                <w:sz w:val="24"/>
                <w:szCs w:val="21"/>
                <w:highlight w:val="none"/>
                <w:lang w:val="en-US" w:eastAsia="zh-CN" w:bidi="ar-SA"/>
              </w:rPr>
              <w:t>。</w:t>
            </w:r>
          </w:p>
          <w:p>
            <w:pPr>
              <w:spacing w:line="360" w:lineRule="auto"/>
              <w:ind w:firstLine="482" w:firstLineChars="200"/>
              <w:rPr>
                <w:rFonts w:hint="default" w:ascii="Times New Roman" w:hAnsi="Times New Roman" w:eastAsia="宋体" w:cs="Times New Roman"/>
                <w:b/>
                <w:bCs/>
                <w:color w:val="auto"/>
                <w:sz w:val="24"/>
                <w:lang w:val="en-US" w:eastAsia="zh-CN"/>
              </w:rPr>
            </w:pPr>
            <w:r>
              <w:rPr>
                <w:rFonts w:hint="default" w:ascii="Times New Roman" w:hAnsi="Times New Roman" w:cs="Times New Roman"/>
                <w:b/>
                <w:bCs/>
                <w:color w:val="auto"/>
                <w:sz w:val="24"/>
              </w:rPr>
              <w:t>④废</w:t>
            </w:r>
            <w:r>
              <w:rPr>
                <w:rFonts w:hint="default" w:ascii="Times New Roman" w:hAnsi="Times New Roman" w:cs="Times New Roman"/>
                <w:b/>
                <w:bCs/>
                <w:color w:val="auto"/>
                <w:sz w:val="24"/>
                <w:lang w:val="en-US" w:eastAsia="zh-CN"/>
              </w:rPr>
              <w:t>胶水</w:t>
            </w:r>
          </w:p>
          <w:p>
            <w:pPr>
              <w:adjustRightInd w:val="0"/>
              <w:snapToGrid w:val="0"/>
              <w:spacing w:line="360" w:lineRule="auto"/>
              <w:ind w:firstLine="480" w:firstLineChars="200"/>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eastAsia="宋体" w:cs="Times New Roman"/>
                <w:color w:val="auto"/>
                <w:kern w:val="2"/>
                <w:sz w:val="24"/>
                <w:szCs w:val="21"/>
                <w:highlight w:val="none"/>
                <w:lang w:val="en-US" w:eastAsia="zh-CN" w:bidi="ar-SA"/>
              </w:rPr>
              <w:t>本项目水性压敏胶与聚氨酯胶粘剂使用过程会产生少量废胶水，产生量按使用量的0.1%计算，本项目水性压敏胶和聚氨酯胶粘剂用量合计91.6t/a，则产生量约为0.0902t/a。属于《国家危险废物名录》（2021年版）中编号为</w:t>
            </w:r>
            <w:r>
              <w:rPr>
                <w:rFonts w:hint="default" w:ascii="Times New Roman" w:hAnsi="Times New Roman" w:eastAsia="宋体" w:cs="Times New Roman"/>
                <w:color w:val="auto"/>
                <w:kern w:val="2"/>
                <w:sz w:val="24"/>
                <w:szCs w:val="24"/>
                <w:lang w:val="en-US" w:eastAsia="zh-CN" w:bidi="ar-SA"/>
              </w:rPr>
              <w:t>废物类别：HW49，废物代码：900-039-49</w:t>
            </w:r>
            <w:r>
              <w:rPr>
                <w:rFonts w:hint="default" w:ascii="Times New Roman" w:hAnsi="Times New Roman" w:eastAsia="宋体" w:cs="Times New Roman"/>
                <w:color w:val="auto"/>
                <w:kern w:val="2"/>
                <w:sz w:val="24"/>
                <w:szCs w:val="21"/>
                <w:highlight w:val="none"/>
                <w:lang w:val="en-US" w:eastAsia="zh-CN" w:bidi="ar-SA"/>
              </w:rPr>
              <w:t>。</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⑤喷淋塔废水</w:t>
            </w:r>
          </w:p>
          <w:p>
            <w:pPr>
              <w:adjustRightInd w:val="0"/>
              <w:snapToGrid w:val="0"/>
              <w:spacing w:line="360" w:lineRule="auto"/>
              <w:ind w:firstLine="480" w:firstLineChars="200"/>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根据工程分析</w:t>
            </w:r>
            <w:r>
              <w:rPr>
                <w:rFonts w:hint="default" w:ascii="Times New Roman" w:hAnsi="Times New Roman" w:eastAsia="宋体" w:cs="Times New Roman"/>
                <w:color w:val="auto"/>
              </w:rPr>
              <w:t>，项目喷淋塔废水产生量</w:t>
            </w:r>
            <w:r>
              <w:rPr>
                <w:rFonts w:hint="default" w:ascii="Times New Roman" w:hAnsi="Times New Roman" w:eastAsia="宋体" w:cs="Times New Roman"/>
                <w:color w:val="auto"/>
                <w:highlight w:val="none"/>
              </w:rPr>
              <w:t>为</w:t>
            </w:r>
            <w:r>
              <w:rPr>
                <w:rFonts w:hint="default" w:ascii="Times New Roman" w:hAnsi="Times New Roman" w:cs="Times New Roman"/>
                <w:color w:val="auto"/>
                <w:highlight w:val="none"/>
                <w:lang w:val="en-US" w:eastAsia="zh-CN"/>
              </w:rPr>
              <w:t>5.024</w:t>
            </w:r>
            <w:r>
              <w:rPr>
                <w:rFonts w:hint="default" w:ascii="Times New Roman" w:hAnsi="Times New Roman" w:eastAsia="宋体" w:cs="Times New Roman"/>
                <w:color w:val="auto"/>
                <w:highlight w:val="none"/>
              </w:rPr>
              <w:t>t/a。参照《国家危险废物名录》（2021年版）中HW09油/水、烃/水混合物或乳化液（废物代码：900-007-09—其他工艺过程中产生的油/水、烃/水混合物或乳化液）管理，收集后交由有危险废物处理资质单位进行处置。</w:t>
            </w:r>
          </w:p>
          <w:p>
            <w:pPr>
              <w:adjustRightInd w:val="0"/>
              <w:snapToGrid w:val="0"/>
              <w:ind w:firstLine="482" w:firstLineChars="200"/>
              <w:rPr>
                <w:rFonts w:hint="default" w:ascii="Times New Roman" w:hAnsi="Times New Roman" w:cs="Times New Roman"/>
                <w:b/>
                <w:bCs w:val="0"/>
                <w:color w:val="auto"/>
                <w:szCs w:val="21"/>
                <w:highlight w:val="none"/>
                <w:lang w:val="en-US" w:eastAsia="zh-CN"/>
              </w:rPr>
            </w:pPr>
            <w:r>
              <w:rPr>
                <w:rFonts w:hint="default" w:ascii="Times New Roman" w:hAnsi="Times New Roman" w:cs="Times New Roman"/>
                <w:b/>
                <w:bCs w:val="0"/>
                <w:color w:val="auto"/>
                <w:szCs w:val="21"/>
                <w:highlight w:val="none"/>
                <w:lang w:val="en-US" w:eastAsia="zh-CN"/>
              </w:rPr>
              <w:t>⑥废UV灯管</w:t>
            </w:r>
          </w:p>
          <w:p>
            <w:pPr>
              <w:adjustRightInd w:val="0"/>
              <w:snapToGrid w:val="0"/>
              <w:spacing w:line="360" w:lineRule="auto"/>
              <w:ind w:firstLine="480" w:firstLineChars="200"/>
              <w:rPr>
                <w:rFonts w:hint="default" w:ascii="Times New Roman" w:hAnsi="Times New Roman" w:eastAsia="宋体" w:cs="Times New Roman"/>
                <w:color w:val="auto"/>
                <w:kern w:val="2"/>
                <w:sz w:val="24"/>
                <w:szCs w:val="21"/>
                <w:highlight w:val="none"/>
                <w:lang w:val="en-US" w:eastAsia="zh-CN" w:bidi="ar-SA"/>
              </w:rPr>
            </w:pPr>
            <w:r>
              <w:rPr>
                <w:rFonts w:hint="default" w:ascii="Times New Roman" w:hAnsi="Times New Roman" w:cs="Times New Roman"/>
                <w:b w:val="0"/>
                <w:bCs/>
                <w:color w:val="auto"/>
                <w:szCs w:val="21"/>
                <w:highlight w:val="none"/>
                <w:lang w:val="en-US" w:eastAsia="zh-CN"/>
              </w:rPr>
              <w:t>根据企业提供资料，UV固化工段的UV灯管需定期更换，预计产生量为0.01t/a，属于</w:t>
            </w:r>
            <w:r>
              <w:rPr>
                <w:rFonts w:hint="default" w:ascii="Times New Roman" w:hAnsi="Times New Roman" w:eastAsia="宋体" w:cs="Times New Roman"/>
                <w:color w:val="auto"/>
                <w:kern w:val="2"/>
                <w:sz w:val="24"/>
                <w:szCs w:val="21"/>
                <w:highlight w:val="none"/>
                <w:lang w:val="en-US" w:eastAsia="zh-CN" w:bidi="ar-SA"/>
              </w:rPr>
              <w:t>《国家危险废物名录》（2021年版）中编号为</w:t>
            </w:r>
            <w:r>
              <w:rPr>
                <w:rFonts w:hint="default" w:ascii="Times New Roman" w:hAnsi="Times New Roman" w:eastAsia="宋体" w:cs="Times New Roman"/>
                <w:color w:val="auto"/>
                <w:kern w:val="2"/>
                <w:sz w:val="24"/>
                <w:szCs w:val="24"/>
                <w:lang w:val="en-US" w:eastAsia="zh-CN" w:bidi="ar-SA"/>
              </w:rPr>
              <w:t>废物类别：HW29，废物代码：900-023-29</w:t>
            </w:r>
            <w:r>
              <w:rPr>
                <w:rFonts w:hint="default" w:ascii="Times New Roman" w:hAnsi="Times New Roman" w:eastAsia="宋体" w:cs="Times New Roman"/>
                <w:color w:val="auto"/>
                <w:kern w:val="2"/>
                <w:sz w:val="24"/>
                <w:szCs w:val="21"/>
                <w:highlight w:val="none"/>
                <w:lang w:val="en-US" w:eastAsia="zh-CN" w:bidi="ar-SA"/>
              </w:rPr>
              <w:t>。</w:t>
            </w:r>
          </w:p>
          <w:p>
            <w:pPr>
              <w:adjustRightInd w:val="0"/>
              <w:snapToGrid w:val="0"/>
              <w:ind w:firstLine="482" w:firstLineChars="200"/>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szCs w:val="21"/>
                <w:highlight w:val="none"/>
                <w:lang w:val="en-US" w:eastAsia="zh-CN"/>
              </w:rPr>
              <w:t>（3）</w:t>
            </w:r>
            <w:r>
              <w:rPr>
                <w:rFonts w:hint="default" w:ascii="Times New Roman" w:hAnsi="Times New Roman" w:cs="Times New Roman"/>
                <w:b/>
                <w:bCs w:val="0"/>
                <w:color w:val="auto"/>
                <w:szCs w:val="21"/>
                <w:highlight w:val="none"/>
              </w:rPr>
              <w:t>生活垃圾</w:t>
            </w:r>
          </w:p>
          <w:p>
            <w:pPr>
              <w:adjustRightInd w:val="0"/>
              <w:snapToGrid w:val="0"/>
              <w:ind w:firstLine="480" w:firstLineChars="200"/>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Cs/>
                <w:color w:val="auto"/>
                <w:szCs w:val="21"/>
                <w:highlight w:val="none"/>
                <w:lang w:eastAsia="zh-CN"/>
              </w:rPr>
              <w:t>扩建项目</w:t>
            </w:r>
            <w:r>
              <w:rPr>
                <w:rFonts w:hint="default" w:ascii="Times New Roman" w:hAnsi="Times New Roman" w:cs="Times New Roman"/>
                <w:bCs/>
                <w:color w:val="auto"/>
                <w:szCs w:val="21"/>
                <w:highlight w:val="none"/>
              </w:rPr>
              <w:t>无新增员工，故无生活垃圾产生和排放</w:t>
            </w:r>
            <w:r>
              <w:rPr>
                <w:rFonts w:hint="default" w:ascii="Times New Roman" w:hAnsi="Times New Roman" w:cs="Times New Roman"/>
                <w:bCs/>
                <w:color w:val="auto"/>
                <w:szCs w:val="21"/>
                <w:highlight w:val="none"/>
                <w:lang w:eastAsia="zh-CN"/>
              </w:rPr>
              <w:t>。</w:t>
            </w:r>
          </w:p>
          <w:p>
            <w:pPr>
              <w:pStyle w:val="45"/>
              <w:numPr>
                <w:ilvl w:val="0"/>
                <w:numId w:val="16"/>
              </w:numPr>
              <w:tabs>
                <w:tab w:val="clear" w:pos="0"/>
              </w:tabs>
              <w:bidi w:val="0"/>
              <w:ind w:left="0" w:leftChars="0" w:firstLine="403" w:firstLineChars="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项目危险废物汇总一览表</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886"/>
              <w:gridCol w:w="1020"/>
              <w:gridCol w:w="831"/>
              <w:gridCol w:w="876"/>
              <w:gridCol w:w="750"/>
              <w:gridCol w:w="778"/>
              <w:gridCol w:w="845"/>
              <w:gridCol w:w="668"/>
              <w:gridCol w:w="668"/>
              <w:gridCol w:w="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479"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551"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危废代码</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rPr>
                    <w:t>产生量</w:t>
                  </w:r>
                  <w:r>
                    <w:rPr>
                      <w:rFonts w:hint="default" w:ascii="Times New Roman" w:hAnsi="Times New Roman" w:cs="Times New Roman"/>
                      <w:b/>
                      <w:color w:val="auto"/>
                      <w:sz w:val="21"/>
                      <w:szCs w:val="21"/>
                      <w:lang w:val="en-US" w:eastAsia="zh-CN"/>
                    </w:rPr>
                    <w:t>t/a</w:t>
                  </w:r>
                </w:p>
              </w:tc>
              <w:tc>
                <w:tcPr>
                  <w:tcW w:w="47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产生工序</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形态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有害</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成分</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产废</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周期</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危险</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特性</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kern w:val="24"/>
                      <w:sz w:val="21"/>
                      <w:szCs w:val="21"/>
                    </w:rPr>
                    <w:t>储存方式</w:t>
                  </w:r>
                </w:p>
              </w:tc>
              <w:tc>
                <w:tcPr>
                  <w:tcW w:w="498" w:type="pct"/>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废抹布及手套</w:t>
                  </w:r>
                </w:p>
              </w:tc>
              <w:tc>
                <w:tcPr>
                  <w:tcW w:w="47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55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900-041-49</w:t>
                  </w:r>
                </w:p>
              </w:tc>
              <w:tc>
                <w:tcPr>
                  <w:tcW w:w="44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0.01</w:t>
                  </w:r>
                </w:p>
              </w:tc>
              <w:tc>
                <w:tcPr>
                  <w:tcW w:w="473" w:type="pct"/>
                  <w:noWrap w:val="0"/>
                  <w:vAlign w:val="center"/>
                </w:tcPr>
                <w:p>
                  <w:pPr>
                    <w:pStyle w:val="97"/>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kern w:val="2"/>
                      <w:sz w:val="21"/>
                      <w:szCs w:val="21"/>
                      <w:lang w:val="en-US" w:eastAsia="zh-CN" w:bidi="ar-SA"/>
                    </w:rPr>
                    <w:t>设备维护保养</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固态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矿物油</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三个月</w:t>
                  </w:r>
                </w:p>
              </w:tc>
              <w:tc>
                <w:tcPr>
                  <w:tcW w:w="36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T/In</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24"/>
                      <w:sz w:val="21"/>
                      <w:szCs w:val="21"/>
                      <w:lang w:val="en-US" w:eastAsia="zh-CN"/>
                    </w:rPr>
                    <w:t>袋装</w:t>
                  </w:r>
                </w:p>
              </w:tc>
              <w:tc>
                <w:tcPr>
                  <w:tcW w:w="498" w:type="pct"/>
                  <w:vMerge w:val="restart"/>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收集放置危废暂存间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废空桶</w:t>
                  </w:r>
                </w:p>
              </w:tc>
              <w:tc>
                <w:tcPr>
                  <w:tcW w:w="47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55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900-041-49</w:t>
                  </w:r>
                </w:p>
              </w:tc>
              <w:tc>
                <w:tcPr>
                  <w:tcW w:w="44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3.685</w:t>
                  </w:r>
                </w:p>
              </w:tc>
              <w:tc>
                <w:tcPr>
                  <w:tcW w:w="473"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原辅料使用</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固态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kern w:val="2"/>
                      <w:sz w:val="21"/>
                      <w:szCs w:val="21"/>
                      <w:lang w:val="en-US" w:eastAsia="zh-CN" w:bidi="ar-SA"/>
                    </w:rPr>
                    <w:t>矿物油</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每个月</w:t>
                  </w:r>
                </w:p>
              </w:tc>
              <w:tc>
                <w:tcPr>
                  <w:tcW w:w="36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T/In</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default" w:ascii="Times New Roman" w:hAnsi="Times New Roman" w:cs="Times New Roman"/>
                      <w:color w:val="auto"/>
                      <w:kern w:val="2"/>
                      <w:sz w:val="21"/>
                      <w:szCs w:val="21"/>
                      <w:lang w:val="en-US" w:eastAsia="zh-CN" w:bidi="ar-SA"/>
                    </w:rPr>
                    <w:t>/</w:t>
                  </w:r>
                </w:p>
              </w:tc>
              <w:tc>
                <w:tcPr>
                  <w:tcW w:w="498" w:type="pct"/>
                  <w:vMerge w:val="continue"/>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废活性炭</w:t>
                  </w:r>
                </w:p>
              </w:tc>
              <w:tc>
                <w:tcPr>
                  <w:tcW w:w="47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55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900-039-49</w:t>
                  </w:r>
                </w:p>
              </w:tc>
              <w:tc>
                <w:tcPr>
                  <w:tcW w:w="44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1.1465</w:t>
                  </w:r>
                </w:p>
              </w:tc>
              <w:tc>
                <w:tcPr>
                  <w:tcW w:w="473"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废气处理</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固态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有机物</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三个月</w:t>
                  </w:r>
                </w:p>
              </w:tc>
              <w:tc>
                <w:tcPr>
                  <w:tcW w:w="36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T</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default" w:ascii="Times New Roman" w:hAnsi="Times New Roman" w:cs="Times New Roman"/>
                      <w:color w:val="auto"/>
                      <w:kern w:val="2"/>
                      <w:sz w:val="21"/>
                      <w:szCs w:val="21"/>
                      <w:lang w:val="en-US" w:eastAsia="zh-CN" w:bidi="ar-SA"/>
                    </w:rPr>
                    <w:t>桶装</w:t>
                  </w:r>
                </w:p>
              </w:tc>
              <w:tc>
                <w:tcPr>
                  <w:tcW w:w="498" w:type="pct"/>
                  <w:vMerge w:val="continue"/>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废胶水</w:t>
                  </w:r>
                </w:p>
              </w:tc>
              <w:tc>
                <w:tcPr>
                  <w:tcW w:w="47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55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900-039-49</w:t>
                  </w:r>
                </w:p>
              </w:tc>
              <w:tc>
                <w:tcPr>
                  <w:tcW w:w="44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0.0902</w:t>
                  </w:r>
                </w:p>
              </w:tc>
              <w:tc>
                <w:tcPr>
                  <w:tcW w:w="473"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涂布</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kern w:val="2"/>
                      <w:sz w:val="21"/>
                      <w:szCs w:val="21"/>
                      <w:lang w:val="en-US" w:eastAsia="zh-CN" w:bidi="ar-SA"/>
                    </w:rPr>
                    <w:t>液态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有机物</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每个月</w:t>
                  </w:r>
                </w:p>
              </w:tc>
              <w:tc>
                <w:tcPr>
                  <w:tcW w:w="36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T</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default" w:ascii="Times New Roman" w:hAnsi="Times New Roman" w:cs="Times New Roman"/>
                      <w:color w:val="auto"/>
                      <w:kern w:val="2"/>
                      <w:sz w:val="21"/>
                      <w:szCs w:val="21"/>
                      <w:lang w:val="en-US" w:eastAsia="zh-CN" w:bidi="ar-SA"/>
                    </w:rPr>
                    <w:t>桶装</w:t>
                  </w:r>
                </w:p>
              </w:tc>
              <w:tc>
                <w:tcPr>
                  <w:tcW w:w="498" w:type="pct"/>
                  <w:vMerge w:val="continue"/>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喷淋塔废水</w:t>
                  </w:r>
                </w:p>
              </w:tc>
              <w:tc>
                <w:tcPr>
                  <w:tcW w:w="47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HW09</w:t>
                  </w:r>
                </w:p>
              </w:tc>
              <w:tc>
                <w:tcPr>
                  <w:tcW w:w="55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900-007-09</w:t>
                  </w:r>
                </w:p>
              </w:tc>
              <w:tc>
                <w:tcPr>
                  <w:tcW w:w="44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2.512</w:t>
                  </w:r>
                </w:p>
              </w:tc>
              <w:tc>
                <w:tcPr>
                  <w:tcW w:w="473"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废气处理</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kern w:val="2"/>
                      <w:sz w:val="21"/>
                      <w:szCs w:val="21"/>
                      <w:lang w:val="en-US" w:eastAsia="zh-CN" w:bidi="ar-SA"/>
                    </w:rPr>
                    <w:t>液态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有机物</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半年</w:t>
                  </w:r>
                </w:p>
              </w:tc>
              <w:tc>
                <w:tcPr>
                  <w:tcW w:w="36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i w:val="0"/>
                      <w:iCs w:val="0"/>
                      <w:color w:val="auto"/>
                      <w:kern w:val="0"/>
                      <w:sz w:val="21"/>
                      <w:szCs w:val="21"/>
                      <w:u w:val="none"/>
                      <w:lang w:val="en-US" w:eastAsia="zh-CN" w:bidi="ar"/>
                    </w:rPr>
                    <w:t>T</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lang w:val="en-US" w:eastAsia="zh-CN"/>
                    </w:rPr>
                  </w:pPr>
                  <w:r>
                    <w:rPr>
                      <w:rFonts w:hint="default" w:ascii="Times New Roman" w:hAnsi="Times New Roman" w:cs="Times New Roman"/>
                      <w:color w:val="auto"/>
                      <w:kern w:val="2"/>
                      <w:sz w:val="21"/>
                      <w:szCs w:val="21"/>
                      <w:lang w:val="en-US" w:eastAsia="zh-CN" w:bidi="ar-SA"/>
                    </w:rPr>
                    <w:t>桶装</w:t>
                  </w:r>
                </w:p>
              </w:tc>
              <w:tc>
                <w:tcPr>
                  <w:tcW w:w="498" w:type="pct"/>
                  <w:vMerge w:val="continue"/>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废UV灯管</w:t>
                  </w:r>
                </w:p>
              </w:tc>
              <w:tc>
                <w:tcPr>
                  <w:tcW w:w="47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HW29</w:t>
                  </w:r>
                </w:p>
              </w:tc>
              <w:tc>
                <w:tcPr>
                  <w:tcW w:w="55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900-023-29</w:t>
                  </w:r>
                </w:p>
              </w:tc>
              <w:tc>
                <w:tcPr>
                  <w:tcW w:w="449"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0.01</w:t>
                  </w:r>
                </w:p>
              </w:tc>
              <w:tc>
                <w:tcPr>
                  <w:tcW w:w="473"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生产过程</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固态</w:t>
                  </w:r>
                </w:p>
              </w:tc>
              <w:tc>
                <w:tcPr>
                  <w:tcW w:w="42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汞</w:t>
                  </w:r>
                </w:p>
              </w:tc>
              <w:tc>
                <w:tcPr>
                  <w:tcW w:w="45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一年</w:t>
                  </w:r>
                </w:p>
              </w:tc>
              <w:tc>
                <w:tcPr>
                  <w:tcW w:w="361" w:type="pct"/>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T</w:t>
                  </w:r>
                </w:p>
              </w:tc>
              <w:tc>
                <w:tcPr>
                  <w:tcW w:w="36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桶装</w:t>
                  </w:r>
                </w:p>
              </w:tc>
              <w:tc>
                <w:tcPr>
                  <w:tcW w:w="498" w:type="pct"/>
                  <w:vMerge w:val="continue"/>
                  <w:noWrap w:val="0"/>
                  <w:vAlign w:val="center"/>
                </w:tcPr>
                <w:p>
                  <w:pPr>
                    <w:keepNext w:val="0"/>
                    <w:keepLines w:val="0"/>
                    <w:pageBreakBefore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p>
              </w:tc>
            </w:tr>
          </w:tbl>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（2）处置去向及环境管理要求</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①一般固体废物</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对于一般工业废物，根据《一般工业固体废物贮存和填埋污染控制标准》(GB 18599-2020)及相关国家及地方法律法规，提出如下环保措施：</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1）为防止雨水径流进入贮存场内，避免渗滤液量增加和滑坡，贮存场周边应设置导流渠。</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2）为加强监督管理，贮存场应按GB15562.2设置环境保护图形标志。</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3）贮存场使用单位，应建立检查维护制度。定期检查维护堤、坝、挡土墙、导流渠等设施，发现有损坏可能或异常，应及时采取必要措施，以保障正常运行。</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4）贮存场的使用单位，应建立档案制度。应将入场的一般工业固体废物的种类和数量以及下列资料。详细记录在案，长期保存，供随时查阅。</w:t>
            </w:r>
          </w:p>
          <w:p>
            <w:pPr>
              <w:adjustRightInd w:val="0"/>
              <w:snapToGrid w:val="0"/>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②危险废物</w:t>
            </w:r>
          </w:p>
          <w:p>
            <w:pPr>
              <w:adjustRightInd w:val="0"/>
              <w:snapToGrid w:val="0"/>
              <w:ind w:firstLine="480" w:firstLineChars="200"/>
              <w:rPr>
                <w:rFonts w:hint="default" w:ascii="Times New Roman" w:hAnsi="Times New Roman" w:cs="Times New Roman"/>
                <w:color w:val="auto"/>
              </w:rPr>
            </w:pPr>
            <w:r>
              <w:rPr>
                <w:rFonts w:hint="default" w:ascii="Times New Roman" w:hAnsi="Times New Roman" w:cs="Times New Roman"/>
                <w:bCs/>
                <w:color w:val="auto"/>
                <w:szCs w:val="21"/>
              </w:rPr>
              <w:t>为保证固体废物暂存场内暂存的危险废物不对环境产生污染，依据《危险废物贮存污染控制标准》（GB18597-2001，2013 年修正）、《危险废物收集、贮运、运输技术规范》（HJ2025-2012）及相关国家及地方法律法规，项目危险废物的暂存场所设置情况如下表：</w:t>
            </w:r>
          </w:p>
          <w:p>
            <w:pPr>
              <w:pStyle w:val="45"/>
              <w:numPr>
                <w:ilvl w:val="0"/>
                <w:numId w:val="16"/>
              </w:numPr>
              <w:tabs>
                <w:tab w:val="clear" w:pos="0"/>
              </w:tabs>
              <w:bidi w:val="0"/>
              <w:ind w:left="0" w:leftChars="0" w:firstLine="403"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项目危险废物贮存场所（设施）基本情况表 </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1227"/>
              <w:gridCol w:w="1527"/>
              <w:gridCol w:w="927"/>
              <w:gridCol w:w="1282"/>
              <w:gridCol w:w="784"/>
              <w:gridCol w:w="800"/>
              <w:gridCol w:w="810"/>
              <w:gridCol w:w="797"/>
              <w:gridCol w:w="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238"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序号</w:t>
                  </w:r>
                </w:p>
              </w:tc>
              <w:tc>
                <w:tcPr>
                  <w:tcW w:w="663"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贮存场所（设施）</w:t>
                  </w:r>
                </w:p>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名称</w:t>
                  </w:r>
                </w:p>
              </w:tc>
              <w:tc>
                <w:tcPr>
                  <w:tcW w:w="825"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危险废物名称</w:t>
                  </w:r>
                </w:p>
              </w:tc>
              <w:tc>
                <w:tcPr>
                  <w:tcW w:w="501"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危险废物类别</w:t>
                  </w:r>
                </w:p>
              </w:tc>
              <w:tc>
                <w:tcPr>
                  <w:tcW w:w="693"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危险废物代码</w:t>
                  </w:r>
                </w:p>
              </w:tc>
              <w:tc>
                <w:tcPr>
                  <w:tcW w:w="424"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位置</w:t>
                  </w:r>
                </w:p>
              </w:tc>
              <w:tc>
                <w:tcPr>
                  <w:tcW w:w="432"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占地面积</w:t>
                  </w:r>
                </w:p>
              </w:tc>
              <w:tc>
                <w:tcPr>
                  <w:tcW w:w="438"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贮存方式</w:t>
                  </w:r>
                </w:p>
              </w:tc>
              <w:tc>
                <w:tcPr>
                  <w:tcW w:w="431" w:type="pct"/>
                  <w:tcBorders>
                    <w:tl2br w:val="nil"/>
                    <w:tr2bl w:val="nil"/>
                  </w:tcBorders>
                  <w:noWrap/>
                  <w:vAlign w:val="center"/>
                </w:tcPr>
                <w:p>
                  <w:pPr>
                    <w:pStyle w:val="75"/>
                    <w:spacing w:line="240" w:lineRule="auto"/>
                    <w:jc w:val="center"/>
                    <w:rPr>
                      <w:rFonts w:hint="default" w:ascii="Times New Roman" w:hAnsi="Times New Roman" w:eastAsia="宋体" w:cs="Times New Roman"/>
                      <w:b/>
                      <w:color w:val="auto"/>
                      <w:sz w:val="21"/>
                      <w:lang w:eastAsia="zh-CN"/>
                    </w:rPr>
                  </w:pPr>
                  <w:r>
                    <w:rPr>
                      <w:rFonts w:hint="default" w:ascii="Times New Roman" w:hAnsi="Times New Roman" w:cs="Times New Roman"/>
                      <w:b/>
                      <w:color w:val="auto"/>
                      <w:sz w:val="21"/>
                    </w:rPr>
                    <w:t>贮存能力</w:t>
                  </w:r>
                  <w:r>
                    <w:rPr>
                      <w:rFonts w:hint="default" w:ascii="Times New Roman" w:hAnsi="Times New Roman" w:cs="Times New Roman"/>
                      <w:b/>
                      <w:color w:val="auto"/>
                      <w:sz w:val="21"/>
                      <w:lang w:eastAsia="zh-CN"/>
                    </w:rPr>
                    <w:t>（</w:t>
                  </w:r>
                  <w:r>
                    <w:rPr>
                      <w:rFonts w:hint="default" w:ascii="Times New Roman" w:hAnsi="Times New Roman" w:cs="Times New Roman"/>
                      <w:b/>
                      <w:color w:val="auto"/>
                      <w:sz w:val="21"/>
                      <w:lang w:val="en-US" w:eastAsia="zh-CN"/>
                    </w:rPr>
                    <w:t>t</w:t>
                  </w:r>
                  <w:r>
                    <w:rPr>
                      <w:rFonts w:hint="default" w:ascii="Times New Roman" w:hAnsi="Times New Roman" w:cs="Times New Roman"/>
                      <w:b/>
                      <w:color w:val="auto"/>
                      <w:sz w:val="21"/>
                      <w:lang w:eastAsia="zh-CN"/>
                    </w:rPr>
                    <w:t>）</w:t>
                  </w:r>
                </w:p>
              </w:tc>
              <w:tc>
                <w:tcPr>
                  <w:tcW w:w="351" w:type="pct"/>
                  <w:tcBorders>
                    <w:tl2br w:val="nil"/>
                    <w:tr2bl w:val="nil"/>
                  </w:tcBorders>
                  <w:noWrap/>
                  <w:vAlign w:val="center"/>
                </w:tcPr>
                <w:p>
                  <w:pPr>
                    <w:pStyle w:val="75"/>
                    <w:spacing w:line="240" w:lineRule="auto"/>
                    <w:jc w:val="center"/>
                    <w:rPr>
                      <w:rFonts w:hint="default" w:ascii="Times New Roman" w:hAnsi="Times New Roman" w:cs="Times New Roman"/>
                      <w:b/>
                      <w:color w:val="auto"/>
                      <w:sz w:val="21"/>
                    </w:rPr>
                  </w:pPr>
                  <w:r>
                    <w:rPr>
                      <w:rFonts w:hint="default" w:ascii="Times New Roman" w:hAnsi="Times New Roman" w:cs="Times New Roman"/>
                      <w:b/>
                      <w:color w:val="auto"/>
                      <w:sz w:val="21"/>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8" w:type="pct"/>
                  <w:tcBorders>
                    <w:tl2br w:val="nil"/>
                    <w:tr2bl w:val="nil"/>
                  </w:tcBorders>
                  <w:noWrap/>
                  <w:vAlign w:val="center"/>
                </w:tcPr>
                <w:p>
                  <w:pPr>
                    <w:pStyle w:val="75"/>
                    <w:spacing w:line="240" w:lineRule="auto"/>
                    <w:jc w:val="center"/>
                    <w:rPr>
                      <w:rFonts w:hint="default" w:ascii="Times New Roman" w:hAnsi="Times New Roman" w:cs="Times New Roman"/>
                      <w:color w:val="auto"/>
                      <w:sz w:val="21"/>
                    </w:rPr>
                  </w:pPr>
                  <w:r>
                    <w:rPr>
                      <w:rFonts w:hint="default" w:ascii="Times New Roman" w:hAnsi="Times New Roman" w:cs="Times New Roman"/>
                      <w:color w:val="auto"/>
                      <w:sz w:val="21"/>
                    </w:rPr>
                    <w:t>1</w:t>
                  </w:r>
                </w:p>
              </w:tc>
              <w:tc>
                <w:tcPr>
                  <w:tcW w:w="663" w:type="pct"/>
                  <w:vMerge w:val="restart"/>
                  <w:tcBorders>
                    <w:tl2br w:val="nil"/>
                    <w:tr2bl w:val="nil"/>
                  </w:tcBorders>
                  <w:noWrap/>
                  <w:vAlign w:val="center"/>
                </w:tcPr>
                <w:p>
                  <w:pPr>
                    <w:pStyle w:val="75"/>
                    <w:spacing w:line="240" w:lineRule="auto"/>
                    <w:jc w:val="center"/>
                    <w:rPr>
                      <w:rFonts w:hint="default" w:ascii="Times New Roman" w:hAnsi="Times New Roman" w:eastAsia="宋体" w:cs="Times New Roman"/>
                      <w:color w:val="auto"/>
                      <w:sz w:val="21"/>
                      <w:lang w:val="en-US" w:eastAsia="zh-CN"/>
                    </w:rPr>
                  </w:pPr>
                  <w:r>
                    <w:rPr>
                      <w:rFonts w:hint="default" w:ascii="Times New Roman" w:hAnsi="Times New Roman" w:cs="Times New Roman"/>
                      <w:color w:val="auto"/>
                      <w:sz w:val="21"/>
                    </w:rPr>
                    <w:t>危险废物</w:t>
                  </w:r>
                  <w:r>
                    <w:rPr>
                      <w:rFonts w:hint="default" w:ascii="Times New Roman" w:hAnsi="Times New Roman" w:cs="Times New Roman"/>
                      <w:color w:val="auto"/>
                      <w:sz w:val="21"/>
                      <w:lang w:val="en-US" w:eastAsia="zh-CN"/>
                    </w:rPr>
                    <w:t>暂存间</w:t>
                  </w:r>
                </w:p>
              </w:tc>
              <w:tc>
                <w:tcPr>
                  <w:tcW w:w="825"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废抹布及手套</w:t>
                  </w:r>
                </w:p>
              </w:tc>
              <w:tc>
                <w:tcPr>
                  <w:tcW w:w="50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693"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kern w:val="0"/>
                      <w:sz w:val="21"/>
                      <w:szCs w:val="21"/>
                    </w:rPr>
                  </w:pPr>
                  <w:r>
                    <w:rPr>
                      <w:rFonts w:hint="default" w:ascii="Times New Roman" w:hAnsi="Times New Roman" w:eastAsia="宋体" w:cs="Times New Roman"/>
                      <w:i w:val="0"/>
                      <w:iCs w:val="0"/>
                      <w:color w:val="auto"/>
                      <w:kern w:val="0"/>
                      <w:sz w:val="21"/>
                      <w:szCs w:val="21"/>
                      <w:u w:val="none"/>
                      <w:lang w:val="en-US" w:eastAsia="zh-CN" w:bidi="ar"/>
                    </w:rPr>
                    <w:t>900-041-49</w:t>
                  </w:r>
                </w:p>
              </w:tc>
              <w:tc>
                <w:tcPr>
                  <w:tcW w:w="424" w:type="pct"/>
                  <w:vMerge w:val="restart"/>
                  <w:tcBorders>
                    <w:tl2br w:val="nil"/>
                    <w:tr2bl w:val="nil"/>
                  </w:tcBorders>
                  <w:noWrap/>
                  <w:vAlign w:val="center"/>
                </w:tcPr>
                <w:p>
                  <w:pPr>
                    <w:pStyle w:val="75"/>
                    <w:spacing w:line="240" w:lineRule="auto"/>
                    <w:jc w:val="center"/>
                    <w:rPr>
                      <w:rFonts w:hint="default" w:ascii="Times New Roman" w:hAnsi="Times New Roman" w:eastAsia="宋体" w:cs="Times New Roman"/>
                      <w:color w:val="auto"/>
                      <w:sz w:val="21"/>
                      <w:lang w:val="en-US" w:eastAsia="zh-CN"/>
                    </w:rPr>
                  </w:pPr>
                  <w:r>
                    <w:rPr>
                      <w:rFonts w:hint="default" w:ascii="Times New Roman" w:hAnsi="Times New Roman" w:cs="Times New Roman"/>
                      <w:color w:val="auto"/>
                      <w:sz w:val="21"/>
                      <w:szCs w:val="21"/>
                      <w:lang w:val="en-US" w:eastAsia="zh-CN"/>
                    </w:rPr>
                    <w:t>位于厂区南侧</w:t>
                  </w:r>
                </w:p>
              </w:tc>
              <w:tc>
                <w:tcPr>
                  <w:tcW w:w="432" w:type="pct"/>
                  <w:vMerge w:val="restart"/>
                  <w:tcBorders>
                    <w:tl2br w:val="nil"/>
                    <w:tr2bl w:val="nil"/>
                  </w:tcBorders>
                  <w:noWrap/>
                  <w:vAlign w:val="center"/>
                </w:tcPr>
                <w:p>
                  <w:pPr>
                    <w:pStyle w:val="75"/>
                    <w:spacing w:line="240" w:lineRule="auto"/>
                    <w:jc w:val="center"/>
                    <w:rPr>
                      <w:rFonts w:hint="default" w:ascii="Times New Roman" w:hAnsi="Times New Roman" w:cs="Times New Roman"/>
                      <w:color w:val="auto"/>
                      <w:sz w:val="21"/>
                    </w:rPr>
                  </w:pPr>
                  <w:r>
                    <w:rPr>
                      <w:rFonts w:hint="default" w:ascii="Times New Roman" w:hAnsi="Times New Roman" w:cs="Times New Roman"/>
                      <w:color w:val="auto"/>
                      <w:sz w:val="21"/>
                      <w:highlight w:val="none"/>
                    </w:rPr>
                    <w:t>约</w:t>
                  </w:r>
                  <w:r>
                    <w:rPr>
                      <w:rFonts w:hint="default" w:ascii="Times New Roman" w:hAnsi="Times New Roman" w:cs="Times New Roman"/>
                      <w:color w:val="auto"/>
                      <w:sz w:val="21"/>
                      <w:highlight w:val="none"/>
                      <w:lang w:val="en-US" w:eastAsia="zh-CN"/>
                    </w:rPr>
                    <w:t>30m</w:t>
                  </w:r>
                  <w:r>
                    <w:rPr>
                      <w:rFonts w:hint="default" w:ascii="Times New Roman" w:hAnsi="Times New Roman" w:cs="Times New Roman"/>
                      <w:color w:val="auto"/>
                      <w:sz w:val="21"/>
                      <w:highlight w:val="none"/>
                      <w:vertAlign w:val="superscript"/>
                    </w:rPr>
                    <w:t>2</w:t>
                  </w:r>
                </w:p>
              </w:tc>
              <w:tc>
                <w:tcPr>
                  <w:tcW w:w="43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default" w:ascii="Times New Roman" w:hAnsi="Times New Roman" w:cs="Times New Roman"/>
                      <w:color w:val="auto"/>
                      <w:kern w:val="24"/>
                      <w:sz w:val="21"/>
                      <w:szCs w:val="21"/>
                      <w:lang w:val="en-US" w:eastAsia="zh-CN"/>
                    </w:rPr>
                    <w:t>袋装</w:t>
                  </w:r>
                </w:p>
              </w:tc>
              <w:tc>
                <w:tcPr>
                  <w:tcW w:w="4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w:t>
                  </w:r>
                </w:p>
              </w:tc>
              <w:tc>
                <w:tcPr>
                  <w:tcW w:w="351" w:type="pct"/>
                  <w:tcBorders>
                    <w:tl2br w:val="nil"/>
                    <w:tr2bl w:val="nil"/>
                  </w:tcBorders>
                  <w:noWrap/>
                  <w:vAlign w:val="center"/>
                </w:tcPr>
                <w:p>
                  <w:pPr>
                    <w:pStyle w:val="75"/>
                    <w:widowControl w:val="0"/>
                    <w:adjustRightInd w:val="0"/>
                    <w:snapToGrid w:val="0"/>
                    <w:spacing w:line="240" w:lineRule="auto"/>
                    <w:jc w:val="center"/>
                    <w:textAlignment w:val="baseline"/>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jc w:val="center"/>
              </w:trPr>
              <w:tc>
                <w:tcPr>
                  <w:tcW w:w="238" w:type="pct"/>
                  <w:tcBorders>
                    <w:tl2br w:val="nil"/>
                    <w:tr2bl w:val="nil"/>
                  </w:tcBorders>
                  <w:noWrap/>
                  <w:vAlign w:val="center"/>
                </w:tcPr>
                <w:p>
                  <w:pPr>
                    <w:pStyle w:val="75"/>
                    <w:spacing w:line="240" w:lineRule="auto"/>
                    <w:jc w:val="center"/>
                    <w:rPr>
                      <w:rFonts w:hint="default" w:ascii="Times New Roman" w:hAnsi="Times New Roman" w:cs="Times New Roman"/>
                      <w:color w:val="auto"/>
                      <w:sz w:val="21"/>
                    </w:rPr>
                  </w:pPr>
                  <w:r>
                    <w:rPr>
                      <w:rFonts w:hint="default" w:ascii="Times New Roman" w:hAnsi="Times New Roman" w:cs="Times New Roman"/>
                      <w:color w:val="auto"/>
                      <w:sz w:val="21"/>
                    </w:rPr>
                    <w:t>2</w:t>
                  </w:r>
                </w:p>
              </w:tc>
              <w:tc>
                <w:tcPr>
                  <w:tcW w:w="663" w:type="pct"/>
                  <w:vMerge w:val="continue"/>
                  <w:tcBorders>
                    <w:tl2br w:val="nil"/>
                    <w:tr2bl w:val="nil"/>
                  </w:tcBorders>
                  <w:noWrap/>
                  <w:vAlign w:val="center"/>
                </w:tcPr>
                <w:p>
                  <w:pPr>
                    <w:pStyle w:val="75"/>
                    <w:spacing w:line="240" w:lineRule="auto"/>
                    <w:jc w:val="center"/>
                    <w:rPr>
                      <w:rFonts w:hint="default" w:ascii="Times New Roman" w:hAnsi="Times New Roman" w:cs="Times New Roman"/>
                      <w:color w:val="auto"/>
                      <w:sz w:val="21"/>
                    </w:rPr>
                  </w:pPr>
                </w:p>
              </w:tc>
              <w:tc>
                <w:tcPr>
                  <w:tcW w:w="825"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废空桶</w:t>
                  </w:r>
                </w:p>
              </w:tc>
              <w:tc>
                <w:tcPr>
                  <w:tcW w:w="50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693"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900-041-49</w:t>
                  </w:r>
                </w:p>
              </w:tc>
              <w:tc>
                <w:tcPr>
                  <w:tcW w:w="424" w:type="pct"/>
                  <w:vMerge w:val="continue"/>
                  <w:tcBorders>
                    <w:tl2br w:val="nil"/>
                    <w:tr2bl w:val="nil"/>
                  </w:tcBorders>
                  <w:noWrap/>
                  <w:vAlign w:val="center"/>
                </w:tcPr>
                <w:p>
                  <w:pPr>
                    <w:pStyle w:val="75"/>
                    <w:spacing w:line="240" w:lineRule="auto"/>
                    <w:jc w:val="center"/>
                    <w:rPr>
                      <w:rFonts w:hint="default" w:ascii="Times New Roman" w:hAnsi="Times New Roman" w:cs="Times New Roman"/>
                      <w:color w:val="auto"/>
                      <w:sz w:val="21"/>
                    </w:rPr>
                  </w:pPr>
                </w:p>
              </w:tc>
              <w:tc>
                <w:tcPr>
                  <w:tcW w:w="432" w:type="pct"/>
                  <w:vMerge w:val="continue"/>
                  <w:tcBorders>
                    <w:tl2br w:val="nil"/>
                    <w:tr2bl w:val="nil"/>
                  </w:tcBorders>
                  <w:noWrap/>
                  <w:vAlign w:val="center"/>
                </w:tcPr>
                <w:p>
                  <w:pPr>
                    <w:pStyle w:val="75"/>
                    <w:spacing w:line="240" w:lineRule="auto"/>
                    <w:jc w:val="center"/>
                    <w:rPr>
                      <w:rFonts w:hint="default" w:ascii="Times New Roman" w:hAnsi="Times New Roman" w:cs="Times New Roman"/>
                      <w:color w:val="auto"/>
                      <w:sz w:val="21"/>
                    </w:rPr>
                  </w:pPr>
                </w:p>
              </w:tc>
              <w:tc>
                <w:tcPr>
                  <w:tcW w:w="43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rPr>
                  </w:pPr>
                  <w:r>
                    <w:rPr>
                      <w:rFonts w:hint="default" w:ascii="Times New Roman" w:hAnsi="Times New Roman" w:cs="Times New Roman"/>
                      <w:color w:val="auto"/>
                      <w:kern w:val="2"/>
                      <w:sz w:val="21"/>
                      <w:szCs w:val="21"/>
                      <w:lang w:val="en-US" w:eastAsia="zh-CN" w:bidi="ar-SA"/>
                    </w:rPr>
                    <w:t>/</w:t>
                  </w:r>
                </w:p>
              </w:tc>
              <w:tc>
                <w:tcPr>
                  <w:tcW w:w="4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color w:val="auto"/>
                      <w:sz w:val="21"/>
                      <w:lang w:val="en-US"/>
                    </w:rPr>
                  </w:pPr>
                  <w:r>
                    <w:rPr>
                      <w:rFonts w:hint="default" w:ascii="Times New Roman" w:hAnsi="Times New Roman" w:eastAsia="宋体" w:cs="Times New Roman"/>
                      <w:i w:val="0"/>
                      <w:iCs w:val="0"/>
                      <w:color w:val="auto"/>
                      <w:kern w:val="0"/>
                      <w:sz w:val="21"/>
                      <w:szCs w:val="21"/>
                      <w:u w:val="none"/>
                      <w:lang w:val="en-US" w:eastAsia="zh-CN" w:bidi="ar"/>
                    </w:rPr>
                    <w:t>2</w:t>
                  </w:r>
                </w:p>
              </w:tc>
              <w:tc>
                <w:tcPr>
                  <w:tcW w:w="351" w:type="pct"/>
                  <w:tcBorders>
                    <w:tl2br w:val="nil"/>
                    <w:tr2bl w:val="nil"/>
                  </w:tcBorders>
                  <w:noWrap/>
                  <w:vAlign w:val="center"/>
                </w:tcPr>
                <w:p>
                  <w:pPr>
                    <w:pStyle w:val="75"/>
                    <w:widowControl w:val="0"/>
                    <w:adjustRightInd w:val="0"/>
                    <w:snapToGrid w:val="0"/>
                    <w:spacing w:line="240" w:lineRule="auto"/>
                    <w:jc w:val="center"/>
                    <w:textAlignment w:val="baseline"/>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8"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lang w:eastAsia="zh-CN"/>
                    </w:rPr>
                  </w:pPr>
                  <w:r>
                    <w:rPr>
                      <w:rFonts w:hint="default" w:ascii="Times New Roman" w:hAnsi="Times New Roman" w:cs="Times New Roman"/>
                      <w:color w:val="auto"/>
                      <w:sz w:val="21"/>
                      <w:lang w:val="en-US" w:eastAsia="zh-CN"/>
                    </w:rPr>
                    <w:t>3</w:t>
                  </w:r>
                </w:p>
              </w:tc>
              <w:tc>
                <w:tcPr>
                  <w:tcW w:w="66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825"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废活性炭</w:t>
                  </w:r>
                </w:p>
              </w:tc>
              <w:tc>
                <w:tcPr>
                  <w:tcW w:w="50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693"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900-039-49</w:t>
                  </w:r>
                </w:p>
              </w:tc>
              <w:tc>
                <w:tcPr>
                  <w:tcW w:w="424"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2"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lang w:val="en-US" w:eastAsia="zh-CN"/>
                    </w:rPr>
                  </w:pPr>
                  <w:r>
                    <w:rPr>
                      <w:rFonts w:hint="default" w:ascii="Times New Roman" w:hAnsi="Times New Roman" w:cs="Times New Roman"/>
                      <w:color w:val="auto"/>
                      <w:kern w:val="2"/>
                      <w:sz w:val="21"/>
                      <w:szCs w:val="21"/>
                      <w:lang w:val="en-US" w:eastAsia="zh-CN" w:bidi="ar-SA"/>
                    </w:rPr>
                    <w:t>桶装</w:t>
                  </w:r>
                </w:p>
              </w:tc>
              <w:tc>
                <w:tcPr>
                  <w:tcW w:w="4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p>
              </w:tc>
              <w:tc>
                <w:tcPr>
                  <w:tcW w:w="351" w:type="pct"/>
                  <w:tcBorders>
                    <w:tl2br w:val="nil"/>
                    <w:tr2bl w:val="nil"/>
                  </w:tcBorders>
                  <w:noWrap/>
                  <w:vAlign w:val="center"/>
                </w:tcPr>
                <w:p>
                  <w:pPr>
                    <w:pStyle w:val="7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jc w:val="center"/>
              </w:trPr>
              <w:tc>
                <w:tcPr>
                  <w:tcW w:w="238"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4</w:t>
                  </w:r>
                </w:p>
              </w:tc>
              <w:tc>
                <w:tcPr>
                  <w:tcW w:w="66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825"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废胶水</w:t>
                  </w:r>
                </w:p>
              </w:tc>
              <w:tc>
                <w:tcPr>
                  <w:tcW w:w="50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HW49</w:t>
                  </w:r>
                </w:p>
              </w:tc>
              <w:tc>
                <w:tcPr>
                  <w:tcW w:w="693"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900-039-49</w:t>
                  </w:r>
                </w:p>
              </w:tc>
              <w:tc>
                <w:tcPr>
                  <w:tcW w:w="424"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2"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lang w:val="en-US" w:eastAsia="zh-CN"/>
                    </w:rPr>
                  </w:pPr>
                  <w:r>
                    <w:rPr>
                      <w:rFonts w:hint="default" w:ascii="Times New Roman" w:hAnsi="Times New Roman" w:cs="Times New Roman"/>
                      <w:color w:val="auto"/>
                      <w:kern w:val="2"/>
                      <w:sz w:val="21"/>
                      <w:szCs w:val="21"/>
                      <w:lang w:val="en-US" w:eastAsia="zh-CN" w:bidi="ar-SA"/>
                    </w:rPr>
                    <w:t>桶装</w:t>
                  </w:r>
                </w:p>
              </w:tc>
              <w:tc>
                <w:tcPr>
                  <w:tcW w:w="4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w:t>
                  </w:r>
                </w:p>
              </w:tc>
              <w:tc>
                <w:tcPr>
                  <w:tcW w:w="351" w:type="pct"/>
                  <w:tcBorders>
                    <w:tl2br w:val="nil"/>
                    <w:tr2bl w:val="nil"/>
                  </w:tcBorders>
                  <w:noWrap/>
                  <w:vAlign w:val="center"/>
                </w:tcPr>
                <w:p>
                  <w:pPr>
                    <w:pStyle w:val="7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238"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5</w:t>
                  </w:r>
                </w:p>
              </w:tc>
              <w:tc>
                <w:tcPr>
                  <w:tcW w:w="66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825"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喷淋塔废水</w:t>
                  </w:r>
                </w:p>
              </w:tc>
              <w:tc>
                <w:tcPr>
                  <w:tcW w:w="50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HW09</w:t>
                  </w:r>
                </w:p>
              </w:tc>
              <w:tc>
                <w:tcPr>
                  <w:tcW w:w="693"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900-007-09</w:t>
                  </w:r>
                </w:p>
              </w:tc>
              <w:tc>
                <w:tcPr>
                  <w:tcW w:w="424"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2"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sz w:val="21"/>
                      <w:lang w:val="en-US" w:eastAsia="zh-CN"/>
                    </w:rPr>
                  </w:pPr>
                  <w:r>
                    <w:rPr>
                      <w:rFonts w:hint="default" w:ascii="Times New Roman" w:hAnsi="Times New Roman" w:cs="Times New Roman"/>
                      <w:color w:val="auto"/>
                      <w:kern w:val="2"/>
                      <w:sz w:val="21"/>
                      <w:szCs w:val="21"/>
                      <w:lang w:val="en-US" w:eastAsia="zh-CN" w:bidi="ar-SA"/>
                    </w:rPr>
                    <w:t>桶装</w:t>
                  </w:r>
                </w:p>
              </w:tc>
              <w:tc>
                <w:tcPr>
                  <w:tcW w:w="4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1.5</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color w:val="auto"/>
                      <w:sz w:val="21"/>
                    </w:rPr>
                  </w:pPr>
                  <w:r>
                    <w:rPr>
                      <w:rFonts w:hint="default" w:ascii="Times New Roman" w:hAnsi="Times New Roman" w:cs="Times New Roman"/>
                      <w:color w:val="auto"/>
                      <w:sz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238"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6</w:t>
                  </w:r>
                </w:p>
              </w:tc>
              <w:tc>
                <w:tcPr>
                  <w:tcW w:w="66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825"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废UV灯管</w:t>
                  </w:r>
                </w:p>
              </w:tc>
              <w:tc>
                <w:tcPr>
                  <w:tcW w:w="50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HW29</w:t>
                  </w:r>
                </w:p>
              </w:tc>
              <w:tc>
                <w:tcPr>
                  <w:tcW w:w="693"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900-023-29</w:t>
                  </w:r>
                </w:p>
              </w:tc>
              <w:tc>
                <w:tcPr>
                  <w:tcW w:w="424"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2"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rPr>
                  </w:pPr>
                </w:p>
              </w:tc>
              <w:tc>
                <w:tcPr>
                  <w:tcW w:w="438"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桶装</w:t>
                  </w:r>
                </w:p>
              </w:tc>
              <w:tc>
                <w:tcPr>
                  <w:tcW w:w="4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0.01</w:t>
                  </w:r>
                </w:p>
              </w:tc>
              <w:tc>
                <w:tcPr>
                  <w:tcW w:w="35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color w:val="auto"/>
                      <w:sz w:val="21"/>
                      <w:lang w:val="en-US" w:eastAsia="zh-CN"/>
                    </w:rPr>
                  </w:pPr>
                  <w:r>
                    <w:rPr>
                      <w:rFonts w:hint="default" w:ascii="Times New Roman" w:hAnsi="Times New Roman" w:cs="Times New Roman"/>
                      <w:color w:val="auto"/>
                      <w:sz w:val="21"/>
                      <w:lang w:val="en-US" w:eastAsia="zh-CN"/>
                    </w:rPr>
                    <w:t>半年</w:t>
                  </w:r>
                </w:p>
              </w:tc>
            </w:tr>
          </w:tbl>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为保证固体废物暂存场内暂存的危险废物不对环境产生污染，依据《危险废物贮存污染控制标准》（GB18597-2001，2013 年修正）、《危险废物收集、贮运、运输技术规范》（HJ2025-2012）及相关国家及地方法律法规，提出如下环保措施：</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①采取室内贮存方式，设置环境保护图形标志和警示标志。房屋上设坡屋顶防雨。为防止暴雨径流进入室内，周边设置导流渠，室内地坪高出室外地坪。</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②固体废物袋装收集后，按类别放入相应的容器内，禁止一般废物与危险废物混放，不相容的危险废物分开存放并设有隔离间隔断。</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③收集固体废物的容器放置在隔架上，其底部与地面相距一定距离，以保持地面干燥，盛装在容器内的同类危险废物可以堆叠存放，每个堆间应留有搬运通道。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④</w:t>
            </w:r>
            <w:r>
              <w:rPr>
                <w:rFonts w:hint="default" w:ascii="Times New Roman" w:hAnsi="Times New Roman" w:cs="Times New Roman"/>
                <w:color w:val="auto"/>
                <w:sz w:val="24"/>
                <w:szCs w:val="24"/>
                <w:highlight w:val="none"/>
                <w:lang w:val="en-US" w:eastAsia="zh-CN"/>
              </w:rPr>
              <w:t>危险废物暂存间</w:t>
            </w:r>
            <w:r>
              <w:rPr>
                <w:rFonts w:hint="default" w:ascii="Times New Roman" w:hAnsi="Times New Roman" w:eastAsia="宋体" w:cs="Times New Roman"/>
                <w:color w:val="auto"/>
                <w:sz w:val="24"/>
                <w:szCs w:val="24"/>
                <w:highlight w:val="none"/>
              </w:rPr>
              <w:t>室内地面做耐腐蚀硬化处理，且表面无裂隙。</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⑤固体废物</w:t>
            </w:r>
            <w:r>
              <w:rPr>
                <w:rFonts w:hint="default" w:ascii="Times New Roman" w:hAnsi="Times New Roman" w:cs="Times New Roman"/>
                <w:color w:val="auto"/>
                <w:lang w:val="en-US" w:eastAsia="zh-CN"/>
              </w:rPr>
              <w:t>间</w:t>
            </w:r>
            <w:r>
              <w:rPr>
                <w:rFonts w:hint="default" w:ascii="Times New Roman" w:hAnsi="Times New Roman" w:eastAsia="宋体" w:cs="Times New Roman"/>
                <w:color w:val="auto"/>
                <w:sz w:val="24"/>
                <w:szCs w:val="24"/>
                <w:highlight w:val="none"/>
              </w:rPr>
              <w:t>内暂存的固体废物定期运至有关部门处置。</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⑥室内做</w:t>
            </w:r>
            <w:r>
              <w:rPr>
                <w:rFonts w:hint="default" w:ascii="Times New Roman" w:hAnsi="Times New Roman" w:cs="Times New Roman"/>
                <w:color w:val="auto"/>
                <w:sz w:val="24"/>
                <w:szCs w:val="24"/>
                <w:highlight w:val="none"/>
                <w:lang w:val="en-US" w:eastAsia="zh-CN"/>
              </w:rPr>
              <w:t>集水</w:t>
            </w:r>
            <w:r>
              <w:rPr>
                <w:rFonts w:hint="default" w:ascii="Times New Roman" w:hAnsi="Times New Roman" w:eastAsia="宋体" w:cs="Times New Roman"/>
                <w:color w:val="auto"/>
                <w:sz w:val="24"/>
                <w:szCs w:val="24"/>
                <w:highlight w:val="none"/>
              </w:rPr>
              <w:t>沟收集渗漏液，</w:t>
            </w:r>
            <w:r>
              <w:rPr>
                <w:rFonts w:hint="default" w:ascii="Times New Roman" w:hAnsi="Times New Roman"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水沟设排</w:t>
            </w:r>
            <w:r>
              <w:rPr>
                <w:rFonts w:hint="default" w:ascii="Times New Roman" w:hAnsi="Times New Roman"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水泵坑。</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⑦固体废物置场室内地面、裙脚和积水沟做防渗漏处理，所使用的材料要与危险废物相容。</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⑧建立档案制度，对暂存的废物种类、数量、特性、包装容器类别、存放库位、存入日期、运出日期等详细记录在案并长期保存。建立定期巡查、维护制度。</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期产生的危险废物应委托具有危险废物经营资质的单位统一收集并妥善处置；同时，项目需设置专门的危险固废收集设施，与普通的城市生活垃圾区别开来。危险废物临时贮存设施要符合《危险废物贮存污染控制标准》（GB18597－2001）的有关规定。且严格按《国家危险废物名录（2021年版）》、《中华人民共和国固体废物污染防治法》和《广东省危险废物转移报告联单管理暂行规定》中的有关要求实施。加强对危险废物的管理，对危险废物的产生、利用、收集、运输、贮存、处置等环节建立追踪性的帐目和手续，并纳入环保部门的监督管理。</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根据《危险废物产生单位危险废物规范化管理工作指引》，危险废物转移报批程序如下：</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①危险废物申报登记。每年3月31日前，危险废物产生单位必须将上年度危险废物的种类、产生量、流向、贮存、处置等有关资料向所在县级以上环保部门申报登记。</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危险废物管理台帐和危险废物管理计划的登记备案。通过广东省固体废物管理平台提供的危险废物转移管理台帐登记功能进行登记以及根据管理台帐和近年生产计划，制订危险废物管理计划，并报所在地县级以上地方环保部门备案。</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③危险废物产生单位委托有资质单位处理处置危险废物时，必须严格执行危险废物转移计划报批和依法运行危险废物转移联单。</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项目运营后产生的固体废物种类明确，各类固体废物处置去向明确，切实可行，不会造成二次污染。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总之，本项目实施后对固体废物的处置应本着减量化、资源化、无害化的原则，进行妥善处理，预计可以避免对环境造成二次污染，不会对环境造成不利影响。</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highlight w:val="none"/>
              </w:rPr>
              <w:t>通过以上处理措施，项目营运期产生的固体废物不直接外排入环境，因此，对环境的影响较小</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val="en-US" w:eastAsia="zh-CN"/>
              </w:rPr>
              <w:t>五</w:t>
            </w:r>
            <w:r>
              <w:rPr>
                <w:rFonts w:hint="default" w:ascii="Times New Roman" w:hAnsi="Times New Roman" w:cs="Times New Roman"/>
                <w:b/>
                <w:color w:val="auto"/>
                <w:szCs w:val="21"/>
                <w:highlight w:val="none"/>
                <w:lang w:eastAsia="zh-CN"/>
              </w:rPr>
              <w:t>、</w:t>
            </w:r>
            <w:r>
              <w:rPr>
                <w:rFonts w:hint="default" w:ascii="Times New Roman" w:hAnsi="Times New Roman" w:cs="Times New Roman"/>
                <w:b/>
                <w:color w:val="auto"/>
                <w:szCs w:val="21"/>
                <w:highlight w:val="none"/>
              </w:rPr>
              <w:t>地下水、土壤</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 土壤环境》（HJ964-2018），污染类项目土壤环境影响的途径有三种：“大气沉降”，“地表漫流”，“垂直入渗”。根据《农用地土壤污染状况详查点位布设技术规定》的附表1，本项目不属于“需考虑大气沉降影响的行业”，也不属于“需考虑地表产流的行业”，因此本项目不</w:t>
            </w:r>
            <w:r>
              <w:rPr>
                <w:rFonts w:hint="default" w:ascii="Times New Roman" w:hAnsi="Times New Roman" w:cs="Times New Roman"/>
                <w:color w:val="auto"/>
                <w:sz w:val="24"/>
                <w:szCs w:val="24"/>
                <w:highlight w:val="none"/>
                <w:lang w:val="en-US" w:eastAsia="zh-CN"/>
              </w:rPr>
              <w:t>存在</w:t>
            </w:r>
            <w:r>
              <w:rPr>
                <w:rFonts w:hint="default" w:ascii="Times New Roman" w:hAnsi="Times New Roman" w:eastAsia="宋体" w:cs="Times New Roman"/>
                <w:color w:val="auto"/>
                <w:sz w:val="24"/>
                <w:szCs w:val="24"/>
                <w:highlight w:val="none"/>
              </w:rPr>
              <w:t>大气沉降和地表漫流这两个土壤污染途径。</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rPr>
              <w:t>项目</w:t>
            </w:r>
            <w:r>
              <w:rPr>
                <w:rFonts w:hint="default" w:ascii="Times New Roman" w:hAnsi="Times New Roman" w:cs="Times New Roman"/>
                <w:color w:val="auto"/>
                <w:sz w:val="24"/>
                <w:szCs w:val="24"/>
                <w:highlight w:val="none"/>
                <w:lang w:val="en-US" w:eastAsia="zh-CN"/>
              </w:rPr>
              <w:t>利用</w:t>
            </w:r>
            <w:r>
              <w:rPr>
                <w:rFonts w:hint="default" w:ascii="Times New Roman" w:hAnsi="Times New Roman" w:eastAsia="宋体" w:cs="Times New Roman"/>
                <w:color w:val="auto"/>
                <w:sz w:val="24"/>
                <w:szCs w:val="24"/>
                <w:highlight w:val="none"/>
              </w:rPr>
              <w:t>现有厂房进行生产，用地范围内均</w:t>
            </w:r>
            <w:r>
              <w:rPr>
                <w:rFonts w:hint="default" w:ascii="Times New Roman" w:hAnsi="Times New Roman" w:cs="Times New Roman"/>
                <w:color w:val="auto"/>
                <w:sz w:val="24"/>
                <w:szCs w:val="24"/>
                <w:highlight w:val="none"/>
                <w:lang w:val="en-US" w:eastAsia="zh-CN"/>
              </w:rPr>
              <w:t>已</w:t>
            </w:r>
            <w:r>
              <w:rPr>
                <w:rFonts w:hint="default" w:ascii="Times New Roman" w:hAnsi="Times New Roman" w:eastAsia="宋体" w:cs="Times New Roman"/>
                <w:color w:val="auto"/>
                <w:sz w:val="24"/>
                <w:szCs w:val="24"/>
                <w:highlight w:val="none"/>
              </w:rPr>
              <w:t>硬底化，不存在土壤、地下水污染途径，不会对土壤及地下水环境产生影响。</w:t>
            </w:r>
          </w:p>
          <w:p>
            <w:pPr>
              <w:pStyle w:val="64"/>
              <w:adjustRightInd w:val="0"/>
              <w:snapToGrid w:val="0"/>
              <w:spacing w:line="360" w:lineRule="auto"/>
              <w:ind w:firstLine="42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为确保本项目不会对周围的土壤、地下水环境造成污染，</w:t>
            </w:r>
            <w:r>
              <w:rPr>
                <w:rFonts w:hint="default" w:ascii="Times New Roman" w:hAnsi="Times New Roman" w:eastAsia="宋体" w:cs="Times New Roman"/>
                <w:color w:val="auto"/>
                <w:sz w:val="24"/>
                <w:szCs w:val="24"/>
                <w:highlight w:val="none"/>
              </w:rPr>
              <w:t>根据《环境影响评价技术导则</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土壤环境》（HJ964-2018）要求，</w:t>
            </w:r>
            <w:r>
              <w:rPr>
                <w:rFonts w:hint="default" w:ascii="Times New Roman" w:hAnsi="Times New Roman" w:cs="Times New Roman"/>
                <w:color w:val="auto"/>
                <w:sz w:val="24"/>
                <w:szCs w:val="24"/>
                <w:highlight w:val="none"/>
                <w:lang w:val="en-US" w:eastAsia="zh-CN"/>
              </w:rPr>
              <w:t>对本项目提出防控措施：</w:t>
            </w:r>
          </w:p>
          <w:p>
            <w:pPr>
              <w:autoSpaceDE w:val="0"/>
              <w:autoSpaceDN w:val="0"/>
              <w:adjustRightInd w:val="0"/>
              <w:snapToGrid w:val="0"/>
              <w:spacing w:line="360" w:lineRule="auto"/>
              <w:ind w:firstLine="482" w:firstLineChars="200"/>
              <w:jc w:val="left"/>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eastAsia="zh-CN"/>
              </w:rPr>
              <w:t>（</w:t>
            </w:r>
            <w:r>
              <w:rPr>
                <w:rFonts w:hint="default" w:ascii="Times New Roman" w:hAnsi="Times New Roman" w:cs="Times New Roman"/>
                <w:b/>
                <w:color w:val="auto"/>
                <w:szCs w:val="21"/>
                <w:highlight w:val="none"/>
                <w:lang w:val="en-US" w:eastAsia="zh-CN"/>
              </w:rPr>
              <w:t>1</w:t>
            </w:r>
            <w:r>
              <w:rPr>
                <w:rFonts w:hint="default" w:ascii="Times New Roman" w:hAnsi="Times New Roman" w:cs="Times New Roman"/>
                <w:b/>
                <w:color w:val="auto"/>
                <w:szCs w:val="21"/>
                <w:highlight w:val="none"/>
                <w:lang w:eastAsia="zh-CN"/>
              </w:rPr>
              <w:t>）</w:t>
            </w:r>
            <w:r>
              <w:rPr>
                <w:rFonts w:hint="default" w:ascii="Times New Roman" w:hAnsi="Times New Roman" w:cs="Times New Roman"/>
                <w:b/>
                <w:color w:val="auto"/>
                <w:szCs w:val="21"/>
                <w:highlight w:val="none"/>
              </w:rPr>
              <w:t>源头控制措施</w:t>
            </w:r>
          </w:p>
          <w:p>
            <w:pPr>
              <w:autoSpaceDE w:val="0"/>
              <w:autoSpaceDN w:val="0"/>
              <w:adjustRightInd w:val="0"/>
              <w:snapToGrid w:val="0"/>
              <w:spacing w:line="360" w:lineRule="auto"/>
              <w:ind w:firstLine="48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在源头上采取措施进行控制，主要包括</w:t>
            </w:r>
            <w:r>
              <w:rPr>
                <w:rFonts w:hint="default" w:ascii="Times New Roman" w:hAnsi="Times New Roman" w:cs="Times New Roman"/>
                <w:color w:val="auto"/>
                <w:szCs w:val="21"/>
                <w:highlight w:val="none"/>
                <w:lang w:val="en-US" w:eastAsia="zh-CN"/>
              </w:rPr>
              <w:t>对</w:t>
            </w:r>
            <w:r>
              <w:rPr>
                <w:rFonts w:hint="default" w:ascii="Times New Roman" w:hAnsi="Times New Roman" w:cs="Times New Roman"/>
                <w:color w:val="auto"/>
                <w:szCs w:val="21"/>
                <w:highlight w:val="none"/>
              </w:rPr>
              <w:t>工艺、管道、设备</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废物储存</w:t>
            </w:r>
            <w:r>
              <w:rPr>
                <w:rFonts w:hint="default" w:ascii="Times New Roman" w:hAnsi="Times New Roman" w:cs="Times New Roman"/>
                <w:color w:val="auto"/>
                <w:szCs w:val="21"/>
                <w:highlight w:val="none"/>
                <w:lang w:val="en-US" w:eastAsia="zh-CN"/>
              </w:rPr>
              <w:t>和</w:t>
            </w:r>
            <w:r>
              <w:rPr>
                <w:rFonts w:hint="default" w:ascii="Times New Roman" w:hAnsi="Times New Roman" w:cs="Times New Roman"/>
                <w:color w:val="auto"/>
                <w:szCs w:val="21"/>
                <w:highlight w:val="none"/>
              </w:rPr>
              <w:t>处理构筑物采取相应措施，防止和降低污染物跑、冒、滴、漏，将污染物泄漏的环境风险事故降到最低程度。加强对</w:t>
            </w:r>
            <w:r>
              <w:rPr>
                <w:rFonts w:hint="default" w:ascii="Times New Roman" w:hAnsi="Times New Roman" w:cs="Times New Roman"/>
                <w:color w:val="auto"/>
                <w:szCs w:val="21"/>
                <w:highlight w:val="none"/>
                <w:lang w:val="en-US" w:eastAsia="zh-CN"/>
              </w:rPr>
              <w:t>化学品仓库及预搅拌罐区</w:t>
            </w:r>
            <w:r>
              <w:rPr>
                <w:rFonts w:hint="default" w:ascii="Times New Roman" w:hAnsi="Times New Roman" w:cs="Times New Roman"/>
                <w:color w:val="auto"/>
                <w:szCs w:val="21"/>
                <w:highlight w:val="none"/>
              </w:rPr>
              <w:t>等的巡视、管理监测，及时发现渗漏</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做出判断并采取相应措施，做到污染物</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早发现、早处理</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，减少由于管道泄漏而造成的地下水、土壤污染。</w:t>
            </w:r>
          </w:p>
          <w:p>
            <w:pPr>
              <w:autoSpaceDE w:val="0"/>
              <w:autoSpaceDN w:val="0"/>
              <w:adjustRightInd w:val="0"/>
              <w:snapToGrid w:val="0"/>
              <w:spacing w:line="360" w:lineRule="auto"/>
              <w:ind w:firstLine="482" w:firstLineChars="200"/>
              <w:jc w:val="left"/>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lang w:val="en-US" w:eastAsia="zh-CN"/>
              </w:rPr>
              <w:t>2</w:t>
            </w:r>
            <w:r>
              <w:rPr>
                <w:rFonts w:hint="default"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rPr>
              <w:t>分区防治措施</w:t>
            </w:r>
          </w:p>
          <w:p>
            <w:pPr>
              <w:autoSpaceDE w:val="0"/>
              <w:autoSpaceDN w:val="0"/>
              <w:adjustRightInd w:val="0"/>
              <w:snapToGrid w:val="0"/>
              <w:spacing w:line="360" w:lineRule="auto"/>
              <w:ind w:firstLine="48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按照场地天然包气带防污性能、污染控制难易程度及污染物类型，将全场进行分区防治，分别是：简单防渗区、一般防渗区及重点防渗区。</w:t>
            </w:r>
            <w:r>
              <w:rPr>
                <w:rFonts w:hint="default" w:ascii="Times New Roman" w:hAnsi="Times New Roman" w:cs="Times New Roman"/>
                <w:color w:val="auto"/>
                <w:szCs w:val="21"/>
                <w:highlight w:val="none"/>
                <w:lang w:val="en-US" w:eastAsia="zh-CN"/>
              </w:rPr>
              <w:t>本</w:t>
            </w:r>
            <w:r>
              <w:rPr>
                <w:rFonts w:hint="default" w:ascii="Times New Roman" w:hAnsi="Times New Roman" w:cs="Times New Roman"/>
                <w:color w:val="auto"/>
                <w:szCs w:val="21"/>
                <w:highlight w:val="none"/>
              </w:rPr>
              <w:t>项目重点防渗区包括</w:t>
            </w:r>
            <w:r>
              <w:rPr>
                <w:rFonts w:hint="default" w:ascii="Times New Roman" w:hAnsi="Times New Roman" w:cs="Times New Roman"/>
                <w:color w:val="auto"/>
                <w:szCs w:val="21"/>
                <w:highlight w:val="none"/>
                <w:lang w:val="en-US" w:eastAsia="zh-CN"/>
              </w:rPr>
              <w:t>生活污水</w:t>
            </w:r>
            <w:r>
              <w:rPr>
                <w:rFonts w:hint="default" w:ascii="Times New Roman" w:hAnsi="Times New Roman" w:cs="Times New Roman"/>
                <w:color w:val="auto"/>
                <w:szCs w:val="21"/>
                <w:highlight w:val="none"/>
              </w:rPr>
              <w:t>处理</w:t>
            </w:r>
            <w:r>
              <w:rPr>
                <w:rFonts w:hint="default" w:ascii="Times New Roman" w:hAnsi="Times New Roman" w:cs="Times New Roman"/>
                <w:color w:val="auto"/>
                <w:szCs w:val="21"/>
                <w:highlight w:val="none"/>
                <w:lang w:val="en-US" w:eastAsia="zh-CN"/>
              </w:rPr>
              <w:t>设施</w:t>
            </w:r>
            <w:r>
              <w:rPr>
                <w:rFonts w:hint="default" w:ascii="Times New Roman" w:hAnsi="Times New Roman" w:cs="Times New Roman"/>
                <w:color w:val="auto"/>
                <w:szCs w:val="21"/>
                <w:highlight w:val="none"/>
              </w:rPr>
              <w:t>、危废暂存间、化学品仓库、</w:t>
            </w:r>
            <w:r>
              <w:rPr>
                <w:rFonts w:hint="default" w:ascii="Times New Roman" w:hAnsi="Times New Roman" w:cs="Times New Roman"/>
                <w:color w:val="auto"/>
                <w:szCs w:val="21"/>
                <w:highlight w:val="none"/>
                <w:lang w:val="en-US" w:eastAsia="zh-CN"/>
              </w:rPr>
              <w:t>预搅拌罐区</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kern w:val="2"/>
                <w:sz w:val="24"/>
                <w:szCs w:val="24"/>
                <w:highlight w:val="none"/>
                <w:lang w:val="en-US" w:eastAsia="zh-CN" w:bidi="ar-SA"/>
              </w:rPr>
              <w:t>一般防渗区包括原料仓库、成品仓库和一般固废仓库</w:t>
            </w:r>
            <w:r>
              <w:rPr>
                <w:rFonts w:hint="default" w:ascii="Times New Roman" w:hAnsi="Times New Roman" w:cs="Times New Roman"/>
                <w:color w:val="auto"/>
                <w:szCs w:val="21"/>
                <w:highlight w:val="none"/>
              </w:rPr>
              <w:t xml:space="preserve">； </w:t>
            </w:r>
          </w:p>
          <w:p>
            <w:pPr>
              <w:autoSpaceDE w:val="0"/>
              <w:autoSpaceDN w:val="0"/>
              <w:adjustRightInd w:val="0"/>
              <w:snapToGrid w:val="0"/>
              <w:spacing w:line="360" w:lineRule="auto"/>
              <w:ind w:firstLine="482" w:firstLineChars="200"/>
              <w:jc w:val="left"/>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val="en-US" w:eastAsia="zh-CN"/>
              </w:rPr>
              <w:t>1）</w:t>
            </w:r>
            <w:r>
              <w:rPr>
                <w:rFonts w:hint="default" w:ascii="Times New Roman" w:hAnsi="Times New Roman" w:cs="Times New Roman"/>
                <w:b/>
                <w:bCs/>
                <w:color w:val="auto"/>
                <w:szCs w:val="21"/>
                <w:highlight w:val="none"/>
              </w:rPr>
              <w:t>重点防渗区</w:t>
            </w:r>
          </w:p>
          <w:p>
            <w:pPr>
              <w:autoSpaceDE w:val="0"/>
              <w:autoSpaceDN w:val="0"/>
              <w:adjustRightInd w:val="0"/>
              <w:snapToGrid w:val="0"/>
              <w:spacing w:line="360" w:lineRule="auto"/>
              <w:ind w:firstLine="48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重点防渗区要求有耐腐蚀的硬化地面，且表面无裂隙。铺砌地坪地基必须采用粘土材料，且厚度不得低于100cm。等效黏土防渗层Mb≥6.0m，K≤1×10</w:t>
            </w:r>
            <w:r>
              <w:rPr>
                <w:rFonts w:hint="default" w:ascii="Times New Roman" w:hAnsi="Times New Roman" w:cs="Times New Roman"/>
                <w:color w:val="auto"/>
                <w:szCs w:val="21"/>
                <w:highlight w:val="none"/>
                <w:vertAlign w:val="superscript"/>
              </w:rPr>
              <w:t>-7</w:t>
            </w:r>
            <w:r>
              <w:rPr>
                <w:rFonts w:hint="default" w:ascii="Times New Roman" w:hAnsi="Times New Roman" w:cs="Times New Roman"/>
                <w:color w:val="auto"/>
                <w:szCs w:val="21"/>
                <w:highlight w:val="none"/>
              </w:rPr>
              <w:t>cm/s，在无法满足100cm厚粘土基础垫层的情况下，可采用30cm厚普通粘土垫层并加铺2mm厚高密度聚乙烯或至少2mm厚的其它人工防渗材料，渗透系数≤10</w:t>
            </w:r>
            <w:r>
              <w:rPr>
                <w:rFonts w:hint="default" w:ascii="Times New Roman" w:hAnsi="Times New Roman" w:cs="Times New Roman"/>
                <w:color w:val="auto"/>
                <w:szCs w:val="21"/>
                <w:highlight w:val="none"/>
                <w:vertAlign w:val="superscript"/>
              </w:rPr>
              <w:t>-10</w:t>
            </w:r>
            <w:r>
              <w:rPr>
                <w:rFonts w:hint="default" w:ascii="Times New Roman" w:hAnsi="Times New Roman" w:cs="Times New Roman"/>
                <w:color w:val="auto"/>
                <w:szCs w:val="21"/>
                <w:highlight w:val="none"/>
              </w:rPr>
              <w:t>cm/s。</w:t>
            </w:r>
          </w:p>
          <w:p>
            <w:pPr>
              <w:autoSpaceDE w:val="0"/>
              <w:autoSpaceDN w:val="0"/>
              <w:adjustRightInd w:val="0"/>
              <w:snapToGrid w:val="0"/>
              <w:spacing w:line="360" w:lineRule="auto"/>
              <w:ind w:firstLine="482" w:firstLineChars="200"/>
              <w:jc w:val="left"/>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val="en-US" w:eastAsia="zh-CN"/>
              </w:rPr>
              <w:t>2）</w:t>
            </w:r>
            <w:r>
              <w:rPr>
                <w:rFonts w:hint="default" w:ascii="Times New Roman" w:hAnsi="Times New Roman" w:cs="Times New Roman"/>
                <w:b/>
                <w:bCs/>
                <w:color w:val="auto"/>
                <w:szCs w:val="21"/>
                <w:highlight w:val="none"/>
              </w:rPr>
              <w:t>一般防渗区</w:t>
            </w:r>
          </w:p>
          <w:p>
            <w:pPr>
              <w:autoSpaceDE w:val="0"/>
              <w:autoSpaceDN w:val="0"/>
              <w:adjustRightInd w:val="0"/>
              <w:snapToGrid w:val="0"/>
              <w:spacing w:line="360" w:lineRule="auto"/>
              <w:ind w:firstLine="480" w:firstLineChars="20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一般防渗区采用抗渗等级不低于P1级的抗渗混凝土（等效黏土防渗层 Mb≥1.5m，K≤1×10</w:t>
            </w:r>
            <w:r>
              <w:rPr>
                <w:rFonts w:hint="default" w:ascii="Times New Roman" w:hAnsi="Times New Roman" w:cs="Times New Roman"/>
                <w:color w:val="auto"/>
                <w:szCs w:val="21"/>
                <w:highlight w:val="none"/>
                <w:vertAlign w:val="superscript"/>
              </w:rPr>
              <w:t>-7</w:t>
            </w:r>
            <w:r>
              <w:rPr>
                <w:rFonts w:hint="default" w:ascii="Times New Roman" w:hAnsi="Times New Roman" w:cs="Times New Roman"/>
                <w:color w:val="auto"/>
                <w:szCs w:val="21"/>
                <w:highlight w:val="none"/>
              </w:rPr>
              <w:t>cm/s，厚度不低于20cm）硬化地面。</w:t>
            </w:r>
          </w:p>
          <w:p>
            <w:pPr>
              <w:adjustRightInd w:val="0"/>
              <w:snapToGrid w:val="0"/>
              <w:ind w:firstLine="48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val="en-US" w:eastAsia="zh-CN"/>
              </w:rPr>
              <w:t>六</w:t>
            </w:r>
            <w:r>
              <w:rPr>
                <w:rFonts w:hint="default" w:ascii="Times New Roman" w:hAnsi="Times New Roman" w:cs="Times New Roman"/>
                <w:b/>
                <w:color w:val="auto"/>
                <w:szCs w:val="21"/>
                <w:highlight w:val="none"/>
                <w:lang w:eastAsia="zh-CN"/>
              </w:rPr>
              <w:t>、</w:t>
            </w:r>
            <w:r>
              <w:rPr>
                <w:rFonts w:hint="default" w:ascii="Times New Roman" w:hAnsi="Times New Roman" w:cs="Times New Roman"/>
                <w:b/>
                <w:color w:val="auto"/>
                <w:szCs w:val="21"/>
                <w:highlight w:val="none"/>
              </w:rPr>
              <w:t>生态</w:t>
            </w:r>
          </w:p>
          <w:p>
            <w:pPr>
              <w:adjustRightInd w:val="0"/>
              <w:snapToGrid w:val="0"/>
              <w:ind w:firstLine="480" w:firstLineChars="200"/>
              <w:rPr>
                <w:rFonts w:hint="default" w:ascii="Times New Roman" w:hAnsi="Times New Roman" w:cs="Times New Roman"/>
                <w:b/>
                <w:color w:val="auto"/>
                <w:szCs w:val="21"/>
                <w:highlight w:val="none"/>
              </w:rPr>
            </w:pPr>
            <w:r>
              <w:rPr>
                <w:rFonts w:hint="default" w:ascii="Times New Roman" w:hAnsi="Times New Roman" w:cs="Times New Roman"/>
                <w:bCs/>
                <w:color w:val="auto"/>
                <w:szCs w:val="21"/>
                <w:highlight w:val="none"/>
                <w:lang w:eastAsia="zh-CN"/>
              </w:rPr>
              <w:t>扩建项目</w:t>
            </w:r>
            <w:r>
              <w:rPr>
                <w:rFonts w:hint="default" w:ascii="Times New Roman" w:hAnsi="Times New Roman" w:eastAsia="宋体" w:cs="Times New Roman"/>
                <w:bCs/>
                <w:color w:val="auto"/>
                <w:szCs w:val="21"/>
                <w:highlight w:val="none"/>
              </w:rPr>
              <w:t>位于</w:t>
            </w:r>
            <w:r>
              <w:rPr>
                <w:rFonts w:hint="default" w:ascii="Times New Roman" w:hAnsi="Times New Roman" w:cs="Times New Roman"/>
                <w:color w:val="auto"/>
                <w:highlight w:val="none"/>
                <w:lang w:val="en-US" w:eastAsia="zh-CN"/>
              </w:rPr>
              <w:t>现有项目厂区内</w:t>
            </w:r>
            <w:r>
              <w:rPr>
                <w:rFonts w:hint="default" w:ascii="Times New Roman" w:hAnsi="Times New Roman" w:eastAsia="宋体" w:cs="Times New Roman"/>
                <w:bCs/>
                <w:color w:val="auto"/>
                <w:szCs w:val="21"/>
                <w:highlight w:val="none"/>
              </w:rPr>
              <w:t>，无</w:t>
            </w:r>
            <w:r>
              <w:rPr>
                <w:rFonts w:hint="default" w:ascii="Times New Roman" w:hAnsi="Times New Roman" w:cs="Times New Roman"/>
                <w:bCs/>
                <w:color w:val="auto"/>
                <w:szCs w:val="21"/>
                <w:highlight w:val="none"/>
              </w:rPr>
              <w:t>新增用地，项目建设对生态环境影响较小。</w:t>
            </w:r>
          </w:p>
          <w:p>
            <w:pPr>
              <w:adjustRightInd w:val="0"/>
              <w:snapToGrid w:val="0"/>
              <w:ind w:firstLine="48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lang w:val="en-US" w:eastAsia="zh-CN"/>
              </w:rPr>
              <w:t>七</w:t>
            </w:r>
            <w:r>
              <w:rPr>
                <w:rFonts w:hint="default" w:ascii="Times New Roman" w:hAnsi="Times New Roman" w:cs="Times New Roman"/>
                <w:b/>
                <w:color w:val="auto"/>
                <w:szCs w:val="21"/>
                <w:highlight w:val="none"/>
              </w:rPr>
              <w:t>、环境风险</w:t>
            </w:r>
          </w:p>
          <w:p>
            <w:pPr>
              <w:pStyle w:val="41"/>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（1）重大危险源判定</w:t>
            </w:r>
          </w:p>
          <w:p>
            <w:pPr>
              <w:adjustRightInd w:val="0"/>
              <w:snapToGrid w:val="0"/>
              <w:ind w:firstLine="480" w:firstLineChars="200"/>
              <w:jc w:val="both"/>
              <w:rPr>
                <w:rFonts w:hint="eastAsia" w:cs="Times New Roman"/>
                <w:b/>
                <w:bCs/>
                <w:color w:val="auto"/>
                <w:highlight w:val="none"/>
                <w:lang w:eastAsia="zh-CN"/>
              </w:rPr>
            </w:pPr>
            <w:r>
              <w:rPr>
                <w:rFonts w:hint="eastAsia"/>
                <w:color w:val="auto"/>
                <w:szCs w:val="24"/>
                <w:highlight w:val="none"/>
                <w:lang w:val="en-US" w:eastAsia="zh-CN"/>
              </w:rPr>
              <w:t>根据</w:t>
            </w:r>
            <w:r>
              <w:rPr>
                <w:color w:val="auto"/>
                <w:szCs w:val="24"/>
                <w:highlight w:val="none"/>
              </w:rPr>
              <w:t>《建设项目环境风险评价技术导则》（HJ169-2018）附录B</w:t>
            </w:r>
            <w:r>
              <w:rPr>
                <w:rFonts w:hint="eastAsia"/>
                <w:color w:val="auto"/>
                <w:szCs w:val="24"/>
                <w:highlight w:val="none"/>
                <w:lang w:eastAsia="zh-CN"/>
              </w:rPr>
              <w:t>，</w:t>
            </w:r>
            <w:r>
              <w:rPr>
                <w:rFonts w:hint="eastAsia"/>
                <w:color w:val="auto"/>
                <w:szCs w:val="24"/>
                <w:highlight w:val="none"/>
                <w:lang w:val="en-US" w:eastAsia="zh-CN"/>
              </w:rPr>
              <w:t>本项目涉及风险物质</w:t>
            </w:r>
            <w:r>
              <w:rPr>
                <w:rFonts w:hint="eastAsia"/>
                <w:color w:val="auto"/>
                <w:sz w:val="24"/>
                <w:szCs w:val="24"/>
                <w:highlight w:val="none"/>
                <w:lang w:val="en-US" w:eastAsia="zh-CN"/>
              </w:rPr>
              <w:t>为</w:t>
            </w:r>
            <w:r>
              <w:rPr>
                <w:rFonts w:hint="eastAsia" w:cs="Times New Roman"/>
                <w:color w:val="auto"/>
                <w:sz w:val="24"/>
                <w:szCs w:val="24"/>
                <w:highlight w:val="none"/>
                <w:lang w:val="en-US" w:eastAsia="zh-CN"/>
              </w:rPr>
              <w:t>聚醚多元醇、改性异氰酸酯、硅油</w:t>
            </w:r>
            <w:r>
              <w:rPr>
                <w:rFonts w:hint="eastAsia" w:ascii="Times New Roman" w:hAnsi="Times New Roman" w:cs="Times New Roman"/>
                <w:bCs/>
                <w:color w:val="auto"/>
                <w:szCs w:val="21"/>
                <w:highlight w:val="none"/>
                <w:lang w:eastAsia="zh-CN"/>
              </w:rPr>
              <w:t>。</w:t>
            </w:r>
          </w:p>
          <w:p>
            <w:pPr>
              <w:pStyle w:val="45"/>
              <w:numPr>
                <w:ilvl w:val="0"/>
                <w:numId w:val="16"/>
              </w:numPr>
              <w:tabs>
                <w:tab w:val="clear" w:pos="0"/>
              </w:tabs>
              <w:bidi w:val="0"/>
              <w:ind w:left="0" w:leftChars="0" w:firstLine="403" w:firstLineChars="0"/>
              <w:rPr>
                <w:rFonts w:hint="eastAsia"/>
                <w:color w:val="auto"/>
                <w:highlight w:val="none"/>
                <w:lang w:val="en-US" w:eastAsia="zh-CN"/>
              </w:rPr>
            </w:pPr>
            <w:r>
              <w:rPr>
                <w:rFonts w:hint="eastAsia"/>
                <w:color w:val="auto"/>
                <w:highlight w:val="none"/>
                <w:lang w:val="en-US" w:eastAsia="zh-CN"/>
              </w:rPr>
              <w:t>项目涉及的物质Q值确定表</w:t>
            </w:r>
          </w:p>
          <w:tbl>
            <w:tblPr>
              <w:tblStyle w:val="32"/>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207"/>
              <w:gridCol w:w="1426"/>
              <w:gridCol w:w="1367"/>
              <w:gridCol w:w="1716"/>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pStyle w:val="60"/>
                    <w:widowControl w:val="0"/>
                    <w:spacing w:line="240" w:lineRule="auto"/>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物质名称</w:t>
                  </w:r>
                </w:p>
              </w:tc>
              <w:tc>
                <w:tcPr>
                  <w:tcW w:w="656" w:type="pct"/>
                  <w:noWrap w:val="0"/>
                  <w:vAlign w:val="center"/>
                </w:tcPr>
                <w:p>
                  <w:pPr>
                    <w:pStyle w:val="60"/>
                    <w:widowControl w:val="0"/>
                    <w:spacing w:line="240" w:lineRule="auto"/>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状态</w:t>
                  </w:r>
                </w:p>
              </w:tc>
              <w:tc>
                <w:tcPr>
                  <w:tcW w:w="775" w:type="pct"/>
                  <w:noWrap w:val="0"/>
                  <w:vAlign w:val="center"/>
                </w:tcPr>
                <w:p>
                  <w:pPr>
                    <w:pStyle w:val="60"/>
                    <w:widowControl w:val="0"/>
                    <w:spacing w:line="240" w:lineRule="auto"/>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CAS号</w:t>
                  </w:r>
                </w:p>
              </w:tc>
              <w:tc>
                <w:tcPr>
                  <w:tcW w:w="743" w:type="pct"/>
                  <w:noWrap w:val="0"/>
                  <w:vAlign w:val="center"/>
                </w:tcPr>
                <w:p>
                  <w:pPr>
                    <w:pStyle w:val="60"/>
                    <w:widowControl w:val="0"/>
                    <w:spacing w:line="240" w:lineRule="auto"/>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最大存在总量t</w:t>
                  </w:r>
                </w:p>
              </w:tc>
              <w:tc>
                <w:tcPr>
                  <w:tcW w:w="932" w:type="pct"/>
                  <w:noWrap w:val="0"/>
                  <w:vAlign w:val="center"/>
                </w:tcPr>
                <w:p>
                  <w:pPr>
                    <w:pStyle w:val="60"/>
                    <w:widowControl w:val="0"/>
                    <w:spacing w:line="240" w:lineRule="auto"/>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临界量/t</w:t>
                  </w:r>
                </w:p>
              </w:tc>
              <w:tc>
                <w:tcPr>
                  <w:tcW w:w="991" w:type="pct"/>
                  <w:noWrap w:val="0"/>
                  <w:vAlign w:val="center"/>
                </w:tcPr>
                <w:p>
                  <w:pPr>
                    <w:pStyle w:val="60"/>
                    <w:widowControl w:val="0"/>
                    <w:spacing w:line="240" w:lineRule="auto"/>
                    <w:jc w:val="center"/>
                    <w:textAlignment w:val="baseline"/>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656"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液态</w:t>
                  </w:r>
                </w:p>
              </w:tc>
              <w:tc>
                <w:tcPr>
                  <w:tcW w:w="775"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w:t>
                  </w:r>
                </w:p>
              </w:tc>
              <w:tc>
                <w:tcPr>
                  <w:tcW w:w="13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2.2</w:t>
                  </w:r>
                </w:p>
              </w:tc>
              <w:tc>
                <w:tcPr>
                  <w:tcW w:w="171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82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0"/>
                      <w:szCs w:val="20"/>
                      <w:u w:val="none"/>
                      <w:lang w:val="en-US" w:eastAsia="zh-CN" w:bidi="ar"/>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2</w:t>
                  </w:r>
                </w:p>
              </w:tc>
              <w:tc>
                <w:tcPr>
                  <w:tcW w:w="171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0.5</w:t>
                  </w:r>
                </w:p>
              </w:tc>
              <w:tc>
                <w:tcPr>
                  <w:tcW w:w="182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0"/>
                      <w:szCs w:val="20"/>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硅油</w:t>
                  </w:r>
                </w:p>
              </w:tc>
              <w:tc>
                <w:tcPr>
                  <w:tcW w:w="656"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液态</w:t>
                  </w:r>
                </w:p>
              </w:tc>
              <w:tc>
                <w:tcPr>
                  <w:tcW w:w="775" w:type="pct"/>
                  <w:noWrap w:val="0"/>
                  <w:vAlign w:val="center"/>
                </w:tcPr>
                <w:p>
                  <w:pPr>
                    <w:widowControl w:val="0"/>
                    <w:spacing w:line="240" w:lineRule="auto"/>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36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0.4</w:t>
                  </w:r>
                </w:p>
              </w:tc>
              <w:tc>
                <w:tcPr>
                  <w:tcW w:w="1716"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824"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0"/>
                      <w:szCs w:val="20"/>
                      <w:u w:val="none"/>
                      <w:lang w:val="en-US" w:eastAsia="zh-CN" w:bidi="ar"/>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8" w:type="pct"/>
                  <w:gridSpan w:val="5"/>
                  <w:noWrap w:val="0"/>
                  <w:vAlign w:val="center"/>
                </w:tcPr>
                <w:p>
                  <w:pPr>
                    <w:pStyle w:val="60"/>
                    <w:widowControl w:val="0"/>
                    <w:spacing w:line="240" w:lineRule="auto"/>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1824"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0"/>
                      <w:szCs w:val="20"/>
                      <w:u w:val="none"/>
                      <w:lang w:val="en-US" w:eastAsia="zh-CN" w:bidi="ar"/>
                    </w:rPr>
                    <w:t>4.026</w:t>
                  </w:r>
                </w:p>
              </w:tc>
            </w:tr>
          </w:tbl>
          <w:p>
            <w:pPr>
              <w:adjustRightInd w:val="0"/>
              <w:snapToGrid w:val="0"/>
              <w:spacing w:line="360" w:lineRule="auto"/>
              <w:ind w:firstLine="480" w:firstLineChars="200"/>
              <w:rPr>
                <w:rFonts w:hint="default" w:ascii="Times New Roman" w:hAnsi="Times New Roman" w:cs="Times New Roman"/>
                <w:b/>
                <w:bCs/>
                <w:color w:val="auto"/>
                <w:highlight w:val="none"/>
              </w:rPr>
            </w:pPr>
            <w:r>
              <w:rPr>
                <w:rFonts w:hint="default" w:ascii="Times New Roman" w:hAnsi="Times New Roman" w:eastAsia="宋体" w:cs="Times New Roman"/>
                <w:color w:val="auto"/>
                <w:szCs w:val="21"/>
                <w:highlight w:val="none"/>
                <w:lang w:bidi="ar"/>
              </w:rPr>
              <w:t>由此可知项目</w:t>
            </w:r>
            <w:r>
              <w:rPr>
                <w:rFonts w:hint="eastAsia" w:ascii="Times New Roman" w:hAnsi="Times New Roman" w:eastAsia="宋体" w:cs="Times New Roman"/>
                <w:color w:val="auto"/>
                <w:szCs w:val="21"/>
                <w:highlight w:val="none"/>
                <w:lang w:val="en-US" w:eastAsia="zh-CN" w:bidi="ar"/>
              </w:rPr>
              <w:t>1≤</w:t>
            </w:r>
            <w:r>
              <w:rPr>
                <w:rFonts w:hint="default" w:ascii="Times New Roman" w:hAnsi="Times New Roman" w:eastAsia="宋体" w:cs="Times New Roman"/>
                <w:color w:val="auto"/>
                <w:szCs w:val="21"/>
                <w:highlight w:val="none"/>
                <w:lang w:bidi="ar"/>
              </w:rPr>
              <w:t>Q=</w:t>
            </w:r>
            <w:r>
              <w:rPr>
                <w:rFonts w:hint="eastAsia" w:ascii="Times New Roman" w:hAnsi="Times New Roman" w:eastAsia="宋体" w:cs="Times New Roman"/>
                <w:color w:val="auto"/>
                <w:szCs w:val="21"/>
                <w:highlight w:val="none"/>
                <w:lang w:val="en-US" w:eastAsia="zh-CN" w:bidi="ar"/>
              </w:rPr>
              <w:t>4.026</w:t>
            </w:r>
            <w:r>
              <w:rPr>
                <w:rFonts w:hint="default" w:ascii="Times New Roman" w:hAnsi="Times New Roman" w:eastAsia="宋体" w:cs="Times New Roman"/>
                <w:color w:val="auto"/>
                <w:szCs w:val="21"/>
                <w:highlight w:val="none"/>
                <w:lang w:bidi="ar"/>
              </w:rPr>
              <w:t>＜</w:t>
            </w:r>
            <w:r>
              <w:rPr>
                <w:rFonts w:hint="eastAsia" w:ascii="Times New Roman" w:hAnsi="Times New Roman" w:eastAsia="宋体" w:cs="Times New Roman"/>
                <w:color w:val="auto"/>
                <w:szCs w:val="21"/>
                <w:highlight w:val="none"/>
                <w:lang w:val="en-US" w:eastAsia="zh-CN" w:bidi="ar"/>
              </w:rPr>
              <w:t>10</w:t>
            </w:r>
            <w:r>
              <w:rPr>
                <w:rFonts w:ascii="Times New Roman" w:cs="Times New Roman"/>
                <w:color w:val="auto"/>
                <w:highlight w:val="none"/>
              </w:rPr>
              <w:t>。</w:t>
            </w:r>
            <w:r>
              <w:rPr>
                <w:rFonts w:hint="default" w:ascii="Times New Roman" w:hAnsi="Times New Roman" w:cs="Times New Roman"/>
                <w:b/>
                <w:bCs/>
                <w:color w:val="auto"/>
                <w:highlight w:val="none"/>
                <w:lang w:val="en-US" w:eastAsia="zh-CN"/>
              </w:rPr>
              <w:t>根据</w:t>
            </w:r>
            <w:r>
              <w:rPr>
                <w:rFonts w:hint="default" w:ascii="Times New Roman" w:hAnsi="Times New Roman" w:cs="Times New Roman"/>
                <w:b/>
                <w:bCs/>
                <w:color w:val="auto"/>
                <w:highlight w:val="none"/>
              </w:rPr>
              <w:t>环境风险专项评价</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lang w:val="en-US" w:eastAsia="zh-CN"/>
              </w:rPr>
              <w:t>本项目环境风险评价等级为二级</w:t>
            </w:r>
            <w:r>
              <w:rPr>
                <w:rFonts w:hint="default" w:ascii="Times New Roman" w:hAnsi="Times New Roman" w:cs="Times New Roman"/>
                <w:b/>
                <w:bCs/>
                <w:color w:val="auto"/>
                <w:highlight w:val="none"/>
              </w:rPr>
              <w:t>。</w:t>
            </w:r>
          </w:p>
          <w:p>
            <w:pPr>
              <w:pStyle w:val="41"/>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（2）危险物质和风险源分布情况及可能影响途径</w:t>
            </w:r>
          </w:p>
          <w:p>
            <w:pPr>
              <w:keepNext w:val="0"/>
              <w:keepLines w:val="0"/>
              <w:pageBreakBefore w:val="0"/>
              <w:wordWrap/>
              <w:overflowPunct/>
              <w:topLinePunct w:val="0"/>
              <w:bidi w:val="0"/>
              <w:spacing w:line="360" w:lineRule="auto"/>
              <w:ind w:firstLine="480" w:firstLineChars="200"/>
              <w:jc w:val="left"/>
              <w:rPr>
                <w:rFonts w:hint="default" w:eastAsia="宋体"/>
                <w:color w:val="auto"/>
                <w:szCs w:val="21"/>
                <w:highlight w:val="none"/>
                <w:lang w:val="en-US" w:eastAsia="zh-CN" w:bidi="ar"/>
              </w:rPr>
            </w:pPr>
            <w:r>
              <w:rPr>
                <w:rFonts w:hint="default" w:ascii="Times New Roman" w:hAnsi="Times New Roman" w:eastAsia="宋体" w:cs="Times New Roman"/>
                <w:color w:val="auto"/>
                <w:szCs w:val="21"/>
                <w:highlight w:val="none"/>
                <w:lang w:bidi="ar"/>
              </w:rPr>
              <w:t>根据国内外同行业事故统计分析及典型事故案例资料，主要生产装置、贮运系统、公用工程系统、环保工程设施及辅助生产设施等中的风险源项为贮运系统、环保工程设施、公用工程系统，风险类型为化学品及危险废物泄漏事故、废气处理系统事故、废水处理系统事故、火灾事故。本项目风险</w:t>
            </w:r>
            <w:r>
              <w:rPr>
                <w:rFonts w:hint="eastAsia" w:ascii="Times New Roman" w:hAnsi="Times New Roman" w:eastAsia="宋体" w:cs="Times New Roman"/>
                <w:color w:val="auto"/>
                <w:szCs w:val="21"/>
                <w:highlight w:val="none"/>
                <w:lang w:val="en-US" w:eastAsia="zh-CN" w:bidi="ar"/>
              </w:rPr>
              <w:t>区域主要有生产车间及预搅拌罐区、化学品仓库、危废暂存间、废气处理系统、事故应急池等。</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（3）风险防范措施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b w:val="0"/>
                <w:bCs w:val="0"/>
                <w:color w:val="auto"/>
                <w:highlight w:val="none"/>
                <w:lang w:val="en-US" w:eastAsia="zh-CN"/>
              </w:rPr>
            </w:pPr>
            <w:r>
              <w:rPr>
                <w:rFonts w:hint="eastAsia" w:ascii="Times New Roman" w:hAnsi="Times New Roman" w:eastAsia="宋体" w:cs="Times New Roman"/>
                <w:b w:val="0"/>
                <w:bCs w:val="0"/>
                <w:color w:val="auto"/>
                <w:highlight w:val="none"/>
                <w:lang w:val="en-US" w:eastAsia="zh-CN"/>
              </w:rPr>
              <w:t>本项目风险防范措施详见环境风险评价专题中第7小节。</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（4）风险分析结论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highlight w:val="none"/>
              </w:rPr>
              <w:t>建设单位将严格采取实施提出的要求措施后，可有效防止项目产生的污染物进入环境，有效降低了对周围环境存在的风险影响。并且通过上述措施，建设单位可将生物危害和毒性危害控制在可接受的范围内，不会人体、周围敏感点及水体、大气、土壤等造成明显危害。项目运营期厂区内不存在重大风险源，控制措</w:t>
            </w:r>
            <w:r>
              <w:rPr>
                <w:rFonts w:hint="default" w:ascii="Times New Roman" w:hAnsi="Times New Roman" w:eastAsia="宋体" w:cs="Times New Roman"/>
                <w:color w:val="auto"/>
              </w:rPr>
              <w:t>施有效，环境风险可接受。</w:t>
            </w:r>
          </w:p>
        </w:tc>
      </w:tr>
    </w:tbl>
    <w:p>
      <w:pPr>
        <w:rPr>
          <w:rFonts w:hint="default" w:ascii="Times New Roman" w:hAnsi="Times New Roman" w:cs="Times New Roman"/>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4"/>
        <w:numPr>
          <w:ilvl w:val="2"/>
          <w:numId w:val="0"/>
        </w:numPr>
        <w:bidi w:val="0"/>
        <w:ind w:left="397" w:leftChars="0"/>
        <w:jc w:val="center"/>
        <w:rPr>
          <w:rFonts w:hint="default" w:ascii="Times New Roman" w:hAnsi="Times New Roman" w:eastAsia="宋体" w:cs="Times New Roman"/>
          <w:b/>
          <w:bCs/>
          <w:color w:val="auto"/>
          <w:lang w:eastAsia="zh-CN"/>
        </w:rPr>
      </w:pPr>
      <w:bookmarkStart w:id="7" w:name="_Toc28616"/>
      <w:r>
        <w:rPr>
          <w:rFonts w:hint="default" w:ascii="Times New Roman" w:hAnsi="Times New Roman" w:eastAsia="宋体" w:cs="Times New Roman"/>
          <w:b/>
          <w:bCs/>
          <w:color w:val="auto"/>
          <w:kern w:val="2"/>
          <w:sz w:val="24"/>
          <w:szCs w:val="24"/>
          <w:lang w:val="en-US" w:eastAsia="zh-CN" w:bidi="ar-SA"/>
        </w:rPr>
        <w:t>五、环境保护</w:t>
      </w:r>
      <w:r>
        <w:rPr>
          <w:rFonts w:hint="default" w:ascii="Times New Roman" w:hAnsi="Times New Roman" w:cs="Times New Roman"/>
          <w:color w:val="auto"/>
          <w:lang w:val="en-US" w:eastAsia="zh-CN"/>
        </w:rPr>
        <w:t>措施</w:t>
      </w:r>
      <w:r>
        <w:rPr>
          <w:rFonts w:hint="default" w:ascii="Times New Roman" w:hAnsi="Times New Roman" w:eastAsia="宋体" w:cs="Times New Roman"/>
          <w:b/>
          <w:bCs/>
          <w:color w:val="auto"/>
          <w:kern w:val="2"/>
          <w:sz w:val="24"/>
          <w:szCs w:val="24"/>
          <w:lang w:val="en-US" w:eastAsia="zh-CN" w:bidi="ar-SA"/>
        </w:rPr>
        <w:t>监督检查清单</w:t>
      </w:r>
      <w:bookmarkEnd w:id="7"/>
    </w:p>
    <w:tbl>
      <w:tblPr>
        <w:tblStyle w:val="32"/>
        <w:tblW w:w="498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1040"/>
        <w:gridCol w:w="524"/>
        <w:gridCol w:w="1483"/>
        <w:gridCol w:w="1434"/>
        <w:gridCol w:w="40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58" w:type="pct"/>
            <w:tcBorders>
              <w:tl2br w:val="single" w:color="auto" w:sz="4" w:space="0"/>
            </w:tcBorders>
            <w:noWrap/>
          </w:tcPr>
          <w:p>
            <w:pPr>
              <w:adjustRightInd w:val="0"/>
              <w:snapToGrid w:val="0"/>
              <w:spacing w:line="240" w:lineRule="auto"/>
              <w:ind w:firstLine="840"/>
              <w:rPr>
                <w:rFonts w:hint="default" w:ascii="Times New Roman" w:hAnsi="Times New Roman" w:cs="Times New Roman"/>
                <w:color w:val="auto"/>
                <w:szCs w:val="21"/>
              </w:rPr>
            </w:pPr>
            <w:r>
              <w:rPr>
                <w:rFonts w:hint="default" w:ascii="Times New Roman" w:hAnsi="Times New Roman" w:cs="Times New Roman"/>
                <w:color w:val="auto"/>
                <w:szCs w:val="21"/>
              </w:rPr>
              <w:t>内容</w:t>
            </w:r>
          </w:p>
          <w:p>
            <w:pPr>
              <w:adjustRightInd w:val="0"/>
              <w:snapToGrid w:val="0"/>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要素</w:t>
            </w:r>
          </w:p>
        </w:tc>
        <w:tc>
          <w:tcPr>
            <w:tcW w:w="796" w:type="pct"/>
            <w:gridSpan w:val="2"/>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排放口(编号、</w:t>
            </w:r>
          </w:p>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名称)/污染源</w:t>
            </w:r>
          </w:p>
        </w:tc>
        <w:tc>
          <w:tcPr>
            <w:tcW w:w="755"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730"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环境保护措施</w:t>
            </w:r>
          </w:p>
        </w:tc>
        <w:tc>
          <w:tcPr>
            <w:tcW w:w="2059"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58" w:type="pct"/>
            <w:vMerge w:val="restar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大气环境</w:t>
            </w:r>
          </w:p>
        </w:tc>
        <w:tc>
          <w:tcPr>
            <w:tcW w:w="796" w:type="pct"/>
            <w:gridSpan w:val="2"/>
            <w:vMerge w:val="restar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color w:val="auto"/>
                <w:sz w:val="24"/>
                <w:szCs w:val="24"/>
                <w:highlight w:val="none"/>
                <w:lang w:val="en-US" w:eastAsia="zh-CN"/>
              </w:rPr>
              <w:t>DA00</w:t>
            </w:r>
            <w:r>
              <w:rPr>
                <w:rFonts w:hint="default" w:ascii="Times New Roman" w:hAnsi="Times New Roman" w:cs="Times New Roman"/>
                <w:color w:val="auto"/>
                <w:sz w:val="24"/>
                <w:szCs w:val="24"/>
                <w:highlight w:val="none"/>
                <w:lang w:val="en-US" w:eastAsia="zh-CN"/>
              </w:rPr>
              <w:t>4有机</w:t>
            </w:r>
            <w:r>
              <w:rPr>
                <w:rFonts w:hint="default" w:ascii="Times New Roman" w:hAnsi="Times New Roman" w:eastAsia="宋体" w:cs="Times New Roman"/>
                <w:color w:val="auto"/>
                <w:sz w:val="24"/>
                <w:szCs w:val="24"/>
                <w:highlight w:val="none"/>
                <w:lang w:val="en-US" w:eastAsia="zh-CN"/>
              </w:rPr>
              <w:t>废气</w:t>
            </w:r>
            <w:r>
              <w:rPr>
                <w:rFonts w:hint="default" w:ascii="Times New Roman" w:hAnsi="Times New Roman" w:cs="Times New Roman"/>
                <w:color w:val="auto"/>
                <w:sz w:val="24"/>
                <w:szCs w:val="24"/>
                <w:highlight w:val="none"/>
                <w:lang w:eastAsia="zh-CN"/>
              </w:rPr>
              <w:t>排放口</w:t>
            </w:r>
          </w:p>
        </w:tc>
        <w:tc>
          <w:tcPr>
            <w:tcW w:w="755" w:type="pct"/>
            <w:noWrap/>
            <w:vAlign w:val="center"/>
          </w:tcPr>
          <w:p>
            <w:pPr>
              <w:adjustRightInd w:val="0"/>
              <w:snapToGrid w:val="0"/>
              <w:spacing w:line="240" w:lineRule="auto"/>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highlight w:val="none"/>
                <w:lang w:val="en-US" w:eastAsia="zh-CN"/>
              </w:rPr>
              <w:t>非甲烷总烃</w:t>
            </w:r>
          </w:p>
        </w:tc>
        <w:tc>
          <w:tcPr>
            <w:tcW w:w="730" w:type="pct"/>
            <w:vMerge w:val="restar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sz w:val="24"/>
                <w:szCs w:val="24"/>
              </w:rPr>
              <w:t>集气装置+“</w:t>
            </w:r>
            <w:r>
              <w:rPr>
                <w:rFonts w:hint="default" w:ascii="Times New Roman" w:hAnsi="Times New Roman" w:eastAsia="宋体" w:cs="Times New Roman"/>
                <w:bCs/>
                <w:color w:val="auto"/>
                <w:sz w:val="24"/>
                <w:szCs w:val="24"/>
                <w:lang w:val="en-US" w:eastAsia="zh-CN"/>
              </w:rPr>
              <w:t>水喷淋+干式过滤器+</w:t>
            </w:r>
            <w:r>
              <w:rPr>
                <w:rFonts w:hint="default" w:ascii="Times New Roman" w:hAnsi="Times New Roman" w:cs="Times New Roman"/>
                <w:bCs/>
                <w:color w:val="auto"/>
                <w:sz w:val="24"/>
                <w:szCs w:val="24"/>
                <w:lang w:val="en-US" w:eastAsia="zh-CN"/>
              </w:rPr>
              <w:t>二级活性炭装置</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val="en-US" w:eastAsia="zh-CN"/>
              </w:rPr>
              <w:t>15m</w:t>
            </w:r>
            <w:r>
              <w:rPr>
                <w:rFonts w:hint="default" w:ascii="Times New Roman" w:hAnsi="Times New Roman" w:eastAsia="宋体" w:cs="Times New Roman"/>
                <w:bCs/>
                <w:color w:val="auto"/>
                <w:sz w:val="24"/>
                <w:szCs w:val="24"/>
              </w:rPr>
              <w:t>排气筒</w:t>
            </w:r>
          </w:p>
        </w:tc>
        <w:tc>
          <w:tcPr>
            <w:tcW w:w="2059" w:type="pct"/>
            <w:vMerge w:val="restart"/>
            <w:noWrap/>
            <w:vAlign w:val="center"/>
          </w:tcPr>
          <w:p>
            <w:pPr>
              <w:spacing w:line="240" w:lineRule="auto"/>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rPr>
              <w:t>《合成树脂工业污染物排放标准》（GB31572-2015）中表5污染物特别排放限值与广东省地方标准《固定污染源挥发性有机物综合排放标准》（DB44/2367—2022）表1挥发性有机物排放限值排放限值两者较严值</w:t>
            </w:r>
          </w:p>
          <w:p>
            <w:pPr>
              <w:adjustRightInd w:val="0"/>
              <w:snapToGrid w:val="0"/>
              <w:spacing w:line="240" w:lineRule="auto"/>
              <w:jc w:val="center"/>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color w:val="auto"/>
                <w:sz w:val="24"/>
                <w:szCs w:val="24"/>
                <w:lang w:val="en-US" w:eastAsia="zh-CN"/>
              </w:rPr>
              <w:t>广东省地方标准《固定污染源挥发性有机物综合排放标准》（DB44/2367—2022）表1挥发性有机物排放限值排放限值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p>
        </w:tc>
        <w:tc>
          <w:tcPr>
            <w:tcW w:w="755" w:type="pct"/>
            <w:noWrap/>
            <w:vAlign w:val="center"/>
          </w:tcPr>
          <w:p>
            <w:pPr>
              <w:adjustRightInd w:val="0"/>
              <w:snapToGrid w:val="0"/>
              <w:spacing w:line="240" w:lineRule="auto"/>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szCs w:val="24"/>
                <w:highlight w:val="none"/>
                <w:lang w:val="en-US" w:eastAsia="zh-CN"/>
              </w:rPr>
              <w:t>TVOC</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vMerge w:val="continue"/>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4"/>
                <w:szCs w:val="24"/>
                <w:lang w:val="en-US" w:eastAsia="zh-CN" w:bidi="ar-SA"/>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p>
        </w:tc>
        <w:tc>
          <w:tcPr>
            <w:tcW w:w="755" w:type="pct"/>
            <w:noWrap/>
            <w:vAlign w:val="center"/>
          </w:tcPr>
          <w:p>
            <w:pPr>
              <w:adjustRightInd w:val="0"/>
              <w:snapToGrid w:val="0"/>
              <w:spacing w:line="240" w:lineRule="auto"/>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highlight w:val="none"/>
                <w:lang w:val="en-US" w:eastAsia="zh-CN"/>
              </w:rPr>
              <w:t>MDI</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highlight w:val="none"/>
                <w:vertAlign w:val="baseline"/>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p>
        </w:tc>
        <w:tc>
          <w:tcPr>
            <w:tcW w:w="755" w:type="pct"/>
            <w:noWrap/>
            <w:vAlign w:val="center"/>
          </w:tcPr>
          <w:p>
            <w:pPr>
              <w:spacing w:line="240" w:lineRule="auto"/>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highlight w:val="none"/>
                <w:lang w:val="en-US" w:eastAsia="zh-CN"/>
              </w:rPr>
              <w:t>臭气浓度</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eastAsia="zh-CN"/>
              </w:rPr>
              <w:t>《恶臭污染物排放标准》（GB14554-1993 ）</w:t>
            </w:r>
            <w:r>
              <w:rPr>
                <w:rFonts w:hint="default" w:ascii="Times New Roman" w:hAnsi="Times New Roman" w:cs="Times New Roman"/>
                <w:color w:val="auto"/>
                <w:sz w:val="24"/>
                <w:szCs w:val="24"/>
                <w:lang w:val="en-US" w:eastAsia="zh-CN"/>
              </w:rPr>
              <w:t>表2中二级标准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restart"/>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DA00</w:t>
            </w:r>
            <w:r>
              <w:rPr>
                <w:rFonts w:hint="default" w:ascii="Times New Roman" w:hAnsi="Times New Roman" w:cs="Times New Roman"/>
                <w:color w:val="auto"/>
                <w:sz w:val="24"/>
                <w:szCs w:val="24"/>
                <w:highlight w:val="none"/>
                <w:lang w:val="en-US" w:eastAsia="zh-CN"/>
              </w:rPr>
              <w:t>3有机</w:t>
            </w:r>
            <w:r>
              <w:rPr>
                <w:rFonts w:hint="default" w:ascii="Times New Roman" w:hAnsi="Times New Roman" w:eastAsia="宋体" w:cs="Times New Roman"/>
                <w:color w:val="auto"/>
                <w:sz w:val="24"/>
                <w:szCs w:val="24"/>
                <w:highlight w:val="none"/>
                <w:lang w:val="en-US" w:eastAsia="zh-CN"/>
              </w:rPr>
              <w:t>废气</w:t>
            </w:r>
            <w:r>
              <w:rPr>
                <w:rFonts w:hint="default" w:ascii="Times New Roman" w:hAnsi="Times New Roman" w:cs="Times New Roman"/>
                <w:color w:val="auto"/>
                <w:sz w:val="24"/>
                <w:szCs w:val="24"/>
                <w:highlight w:val="none"/>
                <w:lang w:eastAsia="zh-CN"/>
              </w:rPr>
              <w:t>排放口</w:t>
            </w:r>
          </w:p>
        </w:tc>
        <w:tc>
          <w:tcPr>
            <w:tcW w:w="755" w:type="pct"/>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r>
              <w:rPr>
                <w:rFonts w:hint="default" w:ascii="Times New Roman" w:hAnsi="Times New Roman" w:cs="Times New Roman"/>
                <w:color w:val="auto"/>
                <w:sz w:val="24"/>
                <w:szCs w:val="24"/>
                <w:highlight w:val="none"/>
                <w:lang w:val="en-US" w:eastAsia="zh-CN"/>
              </w:rPr>
              <w:t>TVOC</w:t>
            </w:r>
          </w:p>
        </w:tc>
        <w:tc>
          <w:tcPr>
            <w:tcW w:w="730" w:type="pct"/>
            <w:vMerge w:val="restart"/>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集气装置+“</w:t>
            </w:r>
            <w:r>
              <w:rPr>
                <w:rFonts w:hint="default" w:ascii="Times New Roman" w:hAnsi="Times New Roman" w:eastAsia="宋体" w:cs="Times New Roman"/>
                <w:bCs/>
                <w:color w:val="auto"/>
                <w:sz w:val="24"/>
                <w:szCs w:val="24"/>
                <w:lang w:val="en-US" w:eastAsia="zh-CN"/>
              </w:rPr>
              <w:t>水喷淋+干式过滤器+</w:t>
            </w:r>
            <w:r>
              <w:rPr>
                <w:rFonts w:hint="default" w:ascii="Times New Roman" w:hAnsi="Times New Roman" w:cs="Times New Roman"/>
                <w:bCs/>
                <w:color w:val="auto"/>
                <w:sz w:val="24"/>
                <w:szCs w:val="24"/>
                <w:lang w:val="en-US" w:eastAsia="zh-CN"/>
              </w:rPr>
              <w:t>二级活性炭装置</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val="en-US" w:eastAsia="zh-CN"/>
              </w:rPr>
              <w:t>15m</w:t>
            </w:r>
            <w:r>
              <w:rPr>
                <w:rFonts w:hint="default" w:ascii="Times New Roman" w:hAnsi="Times New Roman" w:eastAsia="宋体" w:cs="Times New Roman"/>
                <w:bCs/>
                <w:color w:val="auto"/>
                <w:sz w:val="24"/>
                <w:szCs w:val="24"/>
              </w:rPr>
              <w:t>排气筒</w:t>
            </w:r>
          </w:p>
        </w:tc>
        <w:tc>
          <w:tcPr>
            <w:tcW w:w="2059" w:type="pct"/>
            <w:vMerge w:val="restart"/>
            <w:noWrap/>
            <w:vAlign w:val="center"/>
          </w:tcPr>
          <w:p>
            <w:pPr>
              <w:spacing w:line="240" w:lineRule="auto"/>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cs="Times New Roman"/>
                <w:color w:val="auto"/>
                <w:sz w:val="24"/>
                <w:szCs w:val="24"/>
              </w:rPr>
              <w:t>广东省地方标准《固定污染源挥发性有机物综合排放标准》（DB44/2367—2022）表1挥发性有机物排放限值</w:t>
            </w:r>
          </w:p>
          <w:p>
            <w:pPr>
              <w:adjustRightInd w:val="0"/>
              <w:snapToGrid w:val="0"/>
              <w:spacing w:line="240" w:lineRule="auto"/>
              <w:jc w:val="center"/>
              <w:rPr>
                <w:rFonts w:hint="default" w:ascii="Times New Roman" w:hAnsi="Times New Roman" w:eastAsia="宋体" w:cs="Times New Roman"/>
                <w:bCs/>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eastAsia="宋体" w:cs="Times New Roman"/>
                <w:color w:val="auto"/>
                <w:sz w:val="24"/>
                <w:szCs w:val="24"/>
                <w:highlight w:val="none"/>
                <w:lang w:val="en-US" w:eastAsia="zh-CN"/>
              </w:rPr>
            </w:pPr>
          </w:p>
        </w:tc>
        <w:tc>
          <w:tcPr>
            <w:tcW w:w="755" w:type="pct"/>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r>
              <w:rPr>
                <w:rFonts w:hint="default" w:ascii="Times New Roman" w:hAnsi="Times New Roman" w:cs="Times New Roman"/>
                <w:color w:val="auto"/>
                <w:sz w:val="24"/>
                <w:szCs w:val="24"/>
                <w:highlight w:val="none"/>
                <w:lang w:val="en-US" w:eastAsia="zh-CN"/>
              </w:rPr>
              <w:t>非甲烷总烃</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restart"/>
            <w:noWrap/>
            <w:vAlign w:val="center"/>
          </w:tcPr>
          <w:p>
            <w:pPr>
              <w:adjustRightInd w:val="0"/>
              <w:snapToGrid w:val="0"/>
              <w:spacing w:line="240" w:lineRule="auto"/>
              <w:jc w:val="center"/>
              <w:rPr>
                <w:rFonts w:hint="default" w:ascii="Times New Roman" w:hAnsi="Times New Roman" w:cs="Times New Roman"/>
                <w:bCs/>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DA00</w:t>
            </w:r>
            <w:r>
              <w:rPr>
                <w:rFonts w:hint="default" w:ascii="Times New Roman" w:hAnsi="Times New Roman" w:cs="Times New Roman"/>
                <w:color w:val="auto"/>
                <w:sz w:val="24"/>
                <w:szCs w:val="24"/>
                <w:highlight w:val="none"/>
                <w:lang w:val="en-US" w:eastAsia="zh-CN"/>
              </w:rPr>
              <w:t>5燃烧</w:t>
            </w:r>
            <w:r>
              <w:rPr>
                <w:rFonts w:hint="default" w:ascii="Times New Roman" w:hAnsi="Times New Roman" w:eastAsia="宋体" w:cs="Times New Roman"/>
                <w:color w:val="auto"/>
                <w:sz w:val="24"/>
                <w:szCs w:val="24"/>
                <w:highlight w:val="none"/>
                <w:lang w:val="en-US" w:eastAsia="zh-CN"/>
              </w:rPr>
              <w:t>废气</w:t>
            </w:r>
            <w:r>
              <w:rPr>
                <w:rFonts w:hint="default" w:ascii="Times New Roman" w:hAnsi="Times New Roman" w:cs="Times New Roman"/>
                <w:color w:val="auto"/>
                <w:sz w:val="24"/>
                <w:szCs w:val="24"/>
                <w:highlight w:val="none"/>
                <w:lang w:eastAsia="zh-CN"/>
              </w:rPr>
              <w:t>排放口</w:t>
            </w:r>
          </w:p>
        </w:tc>
        <w:tc>
          <w:tcPr>
            <w:tcW w:w="755" w:type="pct"/>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position w:val="2"/>
                <w:sz w:val="24"/>
                <w:szCs w:val="24"/>
                <w:highlight w:val="none"/>
                <w:lang w:val="en-US" w:eastAsia="en-US" w:bidi="ar-SA"/>
              </w:rPr>
              <w:t>SO</w:t>
            </w:r>
            <w:r>
              <w:rPr>
                <w:rFonts w:hint="default" w:ascii="Times New Roman" w:hAnsi="Times New Roman" w:eastAsia="宋体" w:cs="Times New Roman"/>
                <w:color w:val="auto"/>
                <w:kern w:val="0"/>
                <w:position w:val="2"/>
                <w:sz w:val="24"/>
                <w:szCs w:val="24"/>
                <w:highlight w:val="none"/>
                <w:vertAlign w:val="subscript"/>
                <w:lang w:val="en-US" w:eastAsia="en-US" w:bidi="ar-SA"/>
              </w:rPr>
              <w:t>2</w:t>
            </w:r>
          </w:p>
        </w:tc>
        <w:tc>
          <w:tcPr>
            <w:tcW w:w="730" w:type="pct"/>
            <w:vMerge w:val="restart"/>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val="en-US" w:eastAsia="zh-CN"/>
              </w:rPr>
              <w:t>低氮燃烧装置</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val="en-US" w:eastAsia="zh-CN"/>
              </w:rPr>
              <w:t>22m</w:t>
            </w:r>
            <w:r>
              <w:rPr>
                <w:rFonts w:hint="default" w:ascii="Times New Roman" w:hAnsi="Times New Roman" w:eastAsia="宋体" w:cs="Times New Roman"/>
                <w:bCs/>
                <w:color w:val="auto"/>
                <w:sz w:val="24"/>
                <w:szCs w:val="24"/>
              </w:rPr>
              <w:t>排气筒</w:t>
            </w:r>
          </w:p>
        </w:tc>
        <w:tc>
          <w:tcPr>
            <w:tcW w:w="2059" w:type="pct"/>
            <w:vMerge w:val="restart"/>
            <w:noWrap/>
            <w:vAlign w:val="center"/>
          </w:tcPr>
          <w:p>
            <w:pPr>
              <w:spacing w:line="240" w:lineRule="auto"/>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rPr>
              <w:t>广东省地方标准《锅炉大气污染物排放标准》（DB44/765-2019）表2燃气锅炉排放标准</w:t>
            </w:r>
          </w:p>
          <w:p>
            <w:pPr>
              <w:adjustRightInd w:val="0"/>
              <w:snapToGrid w:val="0"/>
              <w:spacing w:line="240" w:lineRule="auto"/>
              <w:jc w:val="center"/>
              <w:rPr>
                <w:rFonts w:hint="default" w:ascii="Times New Roman" w:hAnsi="Times New Roman" w:eastAsia="宋体" w:cs="Times New Roman"/>
                <w:bCs/>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eastAsia="宋体" w:cs="Times New Roman"/>
                <w:color w:val="auto"/>
                <w:sz w:val="24"/>
                <w:szCs w:val="24"/>
                <w:highlight w:val="none"/>
                <w:lang w:val="en-US" w:eastAsia="zh-CN"/>
              </w:rPr>
            </w:pPr>
          </w:p>
        </w:tc>
        <w:tc>
          <w:tcPr>
            <w:tcW w:w="755" w:type="pct"/>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en-US" w:bidi="ar-SA"/>
              </w:rPr>
              <w:t>颗粒物</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eastAsia="宋体" w:cs="Times New Roman"/>
                <w:color w:val="auto"/>
                <w:sz w:val="24"/>
                <w:szCs w:val="24"/>
                <w:highlight w:val="none"/>
                <w:lang w:val="en-US" w:eastAsia="zh-CN"/>
              </w:rPr>
            </w:pPr>
          </w:p>
        </w:tc>
        <w:tc>
          <w:tcPr>
            <w:tcW w:w="755" w:type="pct"/>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en-US" w:bidi="ar-SA"/>
              </w:rPr>
              <w:t>烟气黑度</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796" w:type="pct"/>
            <w:gridSpan w:val="2"/>
            <w:vMerge w:val="continue"/>
            <w:noWrap/>
            <w:vAlign w:val="center"/>
          </w:tcPr>
          <w:p>
            <w:pPr>
              <w:adjustRightInd w:val="0"/>
              <w:snapToGrid w:val="0"/>
              <w:spacing w:line="240" w:lineRule="auto"/>
              <w:jc w:val="center"/>
              <w:rPr>
                <w:rFonts w:hint="default" w:ascii="Times New Roman" w:hAnsi="Times New Roman" w:eastAsia="宋体" w:cs="Times New Roman"/>
                <w:color w:val="auto"/>
                <w:sz w:val="24"/>
                <w:szCs w:val="24"/>
                <w:highlight w:val="none"/>
                <w:lang w:val="en-US" w:eastAsia="zh-CN"/>
              </w:rPr>
            </w:pPr>
          </w:p>
        </w:tc>
        <w:tc>
          <w:tcPr>
            <w:tcW w:w="755" w:type="pct"/>
            <w:noWrap/>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leftChars="0"/>
              <w:jc w:val="center"/>
              <w:textAlignment w:val="auto"/>
              <w:rPr>
                <w:rFonts w:hint="default" w:ascii="Times New Roman" w:hAnsi="Times New Roman" w:eastAsia="宋体" w:cs="Times New Roman"/>
                <w:color w:val="auto"/>
                <w:kern w:val="0"/>
                <w:sz w:val="24"/>
                <w:szCs w:val="24"/>
                <w:highlight w:val="none"/>
                <w:lang w:val="en-US" w:eastAsia="en-US" w:bidi="ar-SA"/>
              </w:rPr>
            </w:pPr>
            <w:r>
              <w:rPr>
                <w:rFonts w:hint="default" w:ascii="Times New Roman" w:hAnsi="Times New Roman" w:eastAsia="宋体" w:cs="Times New Roman"/>
                <w:color w:val="auto"/>
                <w:kern w:val="0"/>
                <w:sz w:val="24"/>
                <w:szCs w:val="24"/>
                <w:highlight w:val="none"/>
                <w:lang w:val="en-US" w:eastAsia="en-US" w:bidi="ar-SA"/>
              </w:rPr>
              <w:t>NOx</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sz w:val="24"/>
                <w:szCs w:val="24"/>
              </w:rPr>
            </w:pPr>
          </w:p>
        </w:tc>
        <w:tc>
          <w:tcPr>
            <w:tcW w:w="2059" w:type="pct"/>
            <w:noWrap/>
            <w:vAlign w:val="center"/>
          </w:tcPr>
          <w:p>
            <w:pPr>
              <w:spacing w:line="240" w:lineRule="auto"/>
              <w:jc w:val="center"/>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rPr>
              <w:t>《锅炉大气污染物排放标准》（DB44/765-2019）的表3特别排放限值的要求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1"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szCs w:val="21"/>
              </w:rPr>
            </w:pPr>
          </w:p>
        </w:tc>
        <w:tc>
          <w:tcPr>
            <w:tcW w:w="529" w:type="pct"/>
            <w:vMerge w:val="restar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无组织排放</w:t>
            </w:r>
          </w:p>
        </w:tc>
        <w:tc>
          <w:tcPr>
            <w:tcW w:w="266" w:type="pct"/>
            <w:vMerge w:val="restar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厂界</w:t>
            </w:r>
          </w:p>
        </w:tc>
        <w:tc>
          <w:tcPr>
            <w:tcW w:w="755"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非甲烷总烃</w:t>
            </w:r>
          </w:p>
        </w:tc>
        <w:tc>
          <w:tcPr>
            <w:tcW w:w="730" w:type="pct"/>
            <w:vMerge w:val="restar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加强车间通风</w:t>
            </w:r>
          </w:p>
        </w:tc>
        <w:tc>
          <w:tcPr>
            <w:tcW w:w="2059"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《合成树脂工业污染物排放标准》（GB31572-2015）中表9企业边界大气污染物浓度限值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rPr>
            </w:pPr>
          </w:p>
        </w:tc>
        <w:tc>
          <w:tcPr>
            <w:tcW w:w="529" w:type="pct"/>
            <w:vMerge w:val="continue"/>
            <w:noWrap/>
            <w:vAlign w:val="center"/>
          </w:tcPr>
          <w:p>
            <w:pPr>
              <w:adjustRightInd w:val="0"/>
              <w:snapToGrid w:val="0"/>
              <w:spacing w:line="240" w:lineRule="auto"/>
              <w:jc w:val="center"/>
              <w:rPr>
                <w:rFonts w:hint="default" w:ascii="Times New Roman" w:hAnsi="Times New Roman" w:cs="Times New Roman"/>
                <w:color w:val="auto"/>
              </w:rPr>
            </w:pPr>
          </w:p>
        </w:tc>
        <w:tc>
          <w:tcPr>
            <w:tcW w:w="266"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p>
        </w:tc>
        <w:tc>
          <w:tcPr>
            <w:tcW w:w="755" w:type="pc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lang w:val="en-US" w:eastAsia="zh-CN"/>
              </w:rPr>
              <w:t>总VOCs</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2059" w:type="pc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《家具制造行业挥发性有机化合物排放标准》（DB44/814-2010）中的表2无组织排放监控点浓度限值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rPr>
            </w:pPr>
          </w:p>
        </w:tc>
        <w:tc>
          <w:tcPr>
            <w:tcW w:w="529" w:type="pct"/>
            <w:vMerge w:val="continue"/>
            <w:noWrap/>
            <w:vAlign w:val="center"/>
          </w:tcPr>
          <w:p>
            <w:pPr>
              <w:adjustRightInd w:val="0"/>
              <w:snapToGrid w:val="0"/>
              <w:spacing w:line="240" w:lineRule="auto"/>
              <w:jc w:val="center"/>
              <w:rPr>
                <w:rFonts w:hint="default" w:ascii="Times New Roman" w:hAnsi="Times New Roman" w:cs="Times New Roman"/>
                <w:color w:val="auto"/>
              </w:rPr>
            </w:pPr>
          </w:p>
        </w:tc>
        <w:tc>
          <w:tcPr>
            <w:tcW w:w="266"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p>
        </w:tc>
        <w:tc>
          <w:tcPr>
            <w:tcW w:w="755"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臭气浓度</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2059" w:type="pc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lang w:val="en-US" w:eastAsia="zh-CN"/>
              </w:rPr>
              <w:t>《恶臭污染物排放标准》</w:t>
            </w:r>
            <w:r>
              <w:rPr>
                <w:rFonts w:hint="default" w:ascii="Times New Roman" w:hAnsi="Times New Roman" w:cs="Times New Roman"/>
                <w:bCs/>
                <w:color w:val="auto"/>
                <w:lang w:val="en-US" w:eastAsia="zh-CN"/>
              </w:rPr>
              <w:t>（</w:t>
            </w:r>
            <w:r>
              <w:rPr>
                <w:rFonts w:hint="default" w:ascii="Times New Roman" w:hAnsi="Times New Roman" w:eastAsia="宋体" w:cs="Times New Roman"/>
                <w:bCs/>
                <w:color w:val="auto"/>
                <w:lang w:val="en-US" w:eastAsia="zh-CN"/>
              </w:rPr>
              <w:t>GB14554-93</w:t>
            </w:r>
            <w:r>
              <w:rPr>
                <w:rFonts w:hint="default" w:ascii="Times New Roman" w:hAnsi="Times New Roman" w:cs="Times New Roman"/>
                <w:bCs/>
                <w:color w:val="auto"/>
                <w:lang w:val="en-US" w:eastAsia="zh-CN"/>
              </w:rPr>
              <w:t>）表1厂界排放标准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658" w:type="pct"/>
            <w:vMerge w:val="continue"/>
            <w:noWrap/>
            <w:vAlign w:val="center"/>
          </w:tcPr>
          <w:p>
            <w:pPr>
              <w:adjustRightInd w:val="0"/>
              <w:snapToGrid w:val="0"/>
              <w:spacing w:line="240" w:lineRule="auto"/>
              <w:jc w:val="center"/>
              <w:rPr>
                <w:rFonts w:hint="default" w:ascii="Times New Roman" w:hAnsi="Times New Roman" w:cs="Times New Roman"/>
                <w:color w:val="auto"/>
              </w:rPr>
            </w:pPr>
          </w:p>
        </w:tc>
        <w:tc>
          <w:tcPr>
            <w:tcW w:w="529" w:type="pct"/>
            <w:vMerge w:val="continue"/>
            <w:noWrap/>
            <w:vAlign w:val="center"/>
          </w:tcPr>
          <w:p>
            <w:pPr>
              <w:adjustRightInd w:val="0"/>
              <w:snapToGrid w:val="0"/>
              <w:spacing w:line="240" w:lineRule="auto"/>
              <w:jc w:val="center"/>
              <w:rPr>
                <w:rFonts w:hint="default" w:ascii="Times New Roman" w:hAnsi="Times New Roman" w:cs="Times New Roman"/>
                <w:color w:val="auto"/>
              </w:rPr>
            </w:pPr>
          </w:p>
        </w:tc>
        <w:tc>
          <w:tcPr>
            <w:tcW w:w="266"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厂区内</w:t>
            </w:r>
          </w:p>
        </w:tc>
        <w:tc>
          <w:tcPr>
            <w:tcW w:w="755"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cs="Times New Roman"/>
                <w:bCs/>
                <w:color w:val="auto"/>
                <w:lang w:val="en-US" w:eastAsia="zh-CN"/>
              </w:rPr>
              <w:t>NMHC</w:t>
            </w:r>
          </w:p>
        </w:tc>
        <w:tc>
          <w:tcPr>
            <w:tcW w:w="730"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p>
        </w:tc>
        <w:tc>
          <w:tcPr>
            <w:tcW w:w="2059"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default" w:ascii="Times New Roman" w:hAnsi="Times New Roman" w:eastAsia="宋体" w:cs="Times New Roman"/>
                <w:bCs/>
                <w:color w:val="auto"/>
                <w:lang w:val="en-US" w:eastAsia="zh-CN"/>
              </w:rPr>
              <w:t>广东省地方标准《固定污染源挥发性有机物综合排放标准》（DB44/2367-2022）中的表3厂区内无组织排放限值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8" w:type="pct"/>
            <w:noWrap/>
            <w:vAlign w:val="center"/>
          </w:tcPr>
          <w:p>
            <w:pPr>
              <w:adjustRightInd w:val="0"/>
              <w:snapToGrid w:val="0"/>
              <w:spacing w:line="240" w:lineRule="auto"/>
              <w:jc w:val="center"/>
              <w:rPr>
                <w:rFonts w:hint="default" w:ascii="Times New Roman" w:hAnsi="Times New Roman" w:eastAsia="宋体" w:cs="Times New Roman"/>
                <w:color w:val="auto"/>
                <w:kern w:val="2"/>
                <w:sz w:val="24"/>
                <w:szCs w:val="21"/>
                <w:lang w:val="en-US" w:eastAsia="zh-CN" w:bidi="ar-SA"/>
              </w:rPr>
            </w:pPr>
            <w:r>
              <w:rPr>
                <w:rFonts w:hint="default" w:ascii="Times New Roman" w:hAnsi="Times New Roman" w:cs="Times New Roman"/>
                <w:color w:val="auto"/>
                <w:szCs w:val="21"/>
              </w:rPr>
              <w:t>地表水环境</w:t>
            </w:r>
          </w:p>
        </w:tc>
        <w:tc>
          <w:tcPr>
            <w:tcW w:w="796" w:type="pct"/>
            <w:gridSpan w:val="2"/>
            <w:noWrap/>
            <w:vAlign w:val="center"/>
          </w:tcPr>
          <w:p>
            <w:pPr>
              <w:adjustRightInd w:val="0"/>
              <w:snapToGrid w:val="0"/>
              <w:spacing w:line="240" w:lineRule="auto"/>
              <w:jc w:val="center"/>
              <w:rPr>
                <w:rFonts w:hint="default" w:ascii="Times New Roman" w:hAnsi="Times New Roman" w:eastAsia="宋体" w:cs="Times New Roman"/>
                <w:color w:val="auto"/>
                <w:kern w:val="2"/>
                <w:sz w:val="24"/>
                <w:szCs w:val="21"/>
                <w:lang w:val="en-US" w:eastAsia="zh-CN" w:bidi="ar-SA"/>
              </w:rPr>
            </w:pPr>
            <w:r>
              <w:rPr>
                <w:rFonts w:hint="default" w:ascii="Times New Roman" w:hAnsi="Times New Roman" w:cs="Times New Roman"/>
                <w:color w:val="auto"/>
                <w:szCs w:val="21"/>
              </w:rPr>
              <w:t>生活污水</w:t>
            </w:r>
          </w:p>
        </w:tc>
        <w:tc>
          <w:tcPr>
            <w:tcW w:w="755" w:type="pct"/>
            <w:noWrap/>
            <w:vAlign w:val="center"/>
          </w:tcPr>
          <w:p>
            <w:pPr>
              <w:adjustRightInd w:val="0"/>
              <w:snapToGrid w:val="0"/>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不新增生活污水</w:t>
            </w:r>
          </w:p>
        </w:tc>
        <w:tc>
          <w:tcPr>
            <w:tcW w:w="730" w:type="pct"/>
            <w:noWrap/>
            <w:vAlign w:val="center"/>
          </w:tcPr>
          <w:p>
            <w:pPr>
              <w:adjustRightInd w:val="0"/>
              <w:snapToGrid w:val="0"/>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2059" w:type="pct"/>
            <w:noWrap/>
            <w:vAlign w:val="center"/>
          </w:tcPr>
          <w:p>
            <w:pPr>
              <w:adjustRightInd w:val="0"/>
              <w:snapToGrid w:val="0"/>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声环境</w:t>
            </w:r>
          </w:p>
        </w:tc>
        <w:tc>
          <w:tcPr>
            <w:tcW w:w="796" w:type="pct"/>
            <w:gridSpan w:val="2"/>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设备运行</w:t>
            </w:r>
          </w:p>
        </w:tc>
        <w:tc>
          <w:tcPr>
            <w:tcW w:w="755"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噪声</w:t>
            </w:r>
          </w:p>
        </w:tc>
        <w:tc>
          <w:tcPr>
            <w:tcW w:w="730"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采取减震、隔声等措施</w:t>
            </w:r>
          </w:p>
        </w:tc>
        <w:tc>
          <w:tcPr>
            <w:tcW w:w="2059"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w:t>
            </w:r>
          </w:p>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（GB12348-2008）中</w:t>
            </w: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电磁辐射</w:t>
            </w:r>
          </w:p>
        </w:tc>
        <w:tc>
          <w:tcPr>
            <w:tcW w:w="796" w:type="pct"/>
            <w:gridSpan w:val="2"/>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755"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730"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2059"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固体废物</w:t>
            </w:r>
          </w:p>
        </w:tc>
        <w:tc>
          <w:tcPr>
            <w:tcW w:w="4341" w:type="pct"/>
            <w:gridSpan w:val="5"/>
            <w:noWrap/>
          </w:tcPr>
          <w:p>
            <w:pPr>
              <w:adjustRightInd w:val="0"/>
              <w:snapToGrid w:val="0"/>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生活垃圾定点、集中收集后由当地环卫部门定期清运；一般工业固体废物应集中收集后由专业回收公司回收处理；危险废物经分类收集后委托有危险废物处理资质的单位处理；危废暂存间地面做好防腐防渗措施，贮存不同危险废物时应做好分类、分区措施，存放点应做好缓坡，并设置相应警示标志及危险废物标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土壤及地下水</w:t>
            </w:r>
          </w:p>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污染防治措施</w:t>
            </w:r>
          </w:p>
        </w:tc>
        <w:tc>
          <w:tcPr>
            <w:tcW w:w="4341" w:type="pct"/>
            <w:gridSpan w:val="5"/>
            <w:noWrap/>
            <w:vAlign w:val="center"/>
          </w:tcPr>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①源头控制</w:t>
            </w:r>
          </w:p>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A. 针对可能造成地下水污染的污染源，定期排查。</w:t>
            </w:r>
          </w:p>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B. 定期对污染防治区生产装置、阀门、管道等进行检查。</w:t>
            </w:r>
          </w:p>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C. 定期检查各区域防渗层情况。</w:t>
            </w:r>
          </w:p>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②地下水污染分区防渗措施</w:t>
            </w:r>
          </w:p>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③废气及废水治理设施运行保障措施。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生态保护措施</w:t>
            </w:r>
          </w:p>
        </w:tc>
        <w:tc>
          <w:tcPr>
            <w:tcW w:w="4341" w:type="pct"/>
            <w:gridSpan w:val="5"/>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环境风险</w:t>
            </w:r>
          </w:p>
          <w:p>
            <w:pPr>
              <w:adjustRightInd w:val="0"/>
              <w:snapToGrid w:val="0"/>
              <w:spacing w:line="240" w:lineRule="auto"/>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防范措施</w:t>
            </w:r>
          </w:p>
        </w:tc>
        <w:tc>
          <w:tcPr>
            <w:tcW w:w="4341" w:type="pct"/>
            <w:gridSpan w:val="5"/>
            <w:noWrap/>
            <w:vAlign w:val="center"/>
          </w:tcPr>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运营期间，危险废物储存点应严格按建筑规范要求做好防渗、硬底化工程，做好危险废物储存场所的风险防范。危险废物储存点应严格按照《危险废物贮存污染控制标准》（GB18597-2001）及其修改单对进行设计和建设，同时按相关法律法规将危险废物交有相关资质单位处理，做好供应商的管理，并且严格按《危险废物转移联单管理办法》做好转移记录。</w:t>
            </w:r>
          </w:p>
          <w:p>
            <w:pPr>
              <w:adjustRightInd w:val="0"/>
              <w:snapToGrid w:val="0"/>
              <w:spacing w:line="240" w:lineRule="auto"/>
              <w:jc w:val="left"/>
              <w:rPr>
                <w:rFonts w:hint="default" w:ascii="Times New Roman" w:hAnsi="Times New Roman" w:cs="Times New Roman"/>
                <w:color w:val="auto"/>
                <w:szCs w:val="21"/>
              </w:rPr>
            </w:pPr>
            <w:r>
              <w:rPr>
                <w:rFonts w:hint="default" w:ascii="Times New Roman" w:hAnsi="Times New Roman" w:cs="Times New Roman"/>
                <w:color w:val="auto"/>
                <w:szCs w:val="21"/>
              </w:rPr>
              <w:t>废气治理设施如发生设施故障，应立即停止生产，维修或更换设备后方可继续运行。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658" w:type="pct"/>
            <w:noWrap/>
            <w:vAlign w:val="center"/>
          </w:tcPr>
          <w:p>
            <w:pPr>
              <w:adjustRightInd w:val="0"/>
              <w:snapToGrid w:val="0"/>
              <w:spacing w:line="240" w:lineRule="auto"/>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其他环境</w:t>
            </w:r>
          </w:p>
          <w:p>
            <w:pPr>
              <w:adjustRightInd w:val="0"/>
              <w:snapToGrid w:val="0"/>
              <w:spacing w:line="240" w:lineRule="auto"/>
              <w:jc w:val="center"/>
              <w:rPr>
                <w:rFonts w:hint="default" w:ascii="Times New Roman" w:hAnsi="Times New Roman" w:cs="Times New Roman"/>
                <w:color w:val="auto"/>
                <w:spacing w:val="-8"/>
                <w:szCs w:val="21"/>
              </w:rPr>
            </w:pPr>
            <w:r>
              <w:rPr>
                <w:rFonts w:hint="default" w:ascii="Times New Roman" w:hAnsi="Times New Roman" w:cs="Times New Roman"/>
                <w:color w:val="auto"/>
                <w:spacing w:val="-8"/>
                <w:szCs w:val="21"/>
              </w:rPr>
              <w:t>管理要求</w:t>
            </w:r>
          </w:p>
        </w:tc>
        <w:tc>
          <w:tcPr>
            <w:tcW w:w="4341" w:type="pct"/>
            <w:gridSpan w:val="5"/>
            <w:noWrap/>
            <w:vAlign w:val="center"/>
          </w:tcPr>
          <w:p>
            <w:pPr>
              <w:adjustRightInd w:val="0"/>
              <w:snapToGrid w:val="0"/>
              <w:spacing w:line="24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r>
    </w:tbl>
    <w:p>
      <w:pPr>
        <w:rPr>
          <w:rFonts w:hint="default" w:ascii="Times New Roman" w:hAnsi="Times New Roman" w:cs="Times New Roman"/>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4"/>
        <w:numPr>
          <w:ilvl w:val="2"/>
          <w:numId w:val="0"/>
        </w:numPr>
        <w:bidi w:val="0"/>
        <w:ind w:left="397" w:leftChars="0"/>
        <w:jc w:val="center"/>
        <w:rPr>
          <w:rFonts w:hint="default" w:ascii="Times New Roman" w:hAnsi="Times New Roman" w:cs="Times New Roman"/>
          <w:color w:val="auto"/>
        </w:rPr>
      </w:pPr>
      <w:bookmarkStart w:id="8" w:name="_Toc22472"/>
      <w:r>
        <w:rPr>
          <w:rFonts w:hint="default" w:ascii="Times New Roman" w:hAnsi="Times New Roman" w:cs="Times New Roman"/>
          <w:color w:val="auto"/>
        </w:rPr>
        <w:t>六、结论</w:t>
      </w:r>
      <w:bookmarkEnd w:id="8"/>
    </w:p>
    <w:tbl>
      <w:tblPr>
        <w:tblStyle w:val="3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5000" w:type="pct"/>
            <w:noWrap/>
            <w:vAlign w:val="center"/>
          </w:tcPr>
          <w:p>
            <w:pPr>
              <w:ind w:firstLine="480" w:firstLineChars="200"/>
              <w:jc w:val="left"/>
              <w:rPr>
                <w:rFonts w:hint="default" w:ascii="Times New Roman" w:hAnsi="Times New Roman" w:cs="Times New Roman"/>
                <w:color w:val="auto"/>
                <w:szCs w:val="21"/>
              </w:rPr>
            </w:pPr>
          </w:p>
          <w:p>
            <w:pPr>
              <w:pStyle w:val="2"/>
              <w:numPr>
                <w:ilvl w:val="0"/>
                <w:numId w:val="0"/>
              </w:numPr>
              <w:ind w:leftChars="0"/>
              <w:outlineLvl w:val="9"/>
              <w:rPr>
                <w:rFonts w:hint="default" w:ascii="Times New Roman" w:hAnsi="Times New Roman" w:cs="Times New Roman"/>
                <w:color w:val="auto"/>
                <w:szCs w:val="21"/>
              </w:rPr>
            </w:pPr>
          </w:p>
          <w:p>
            <w:pPr>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p>
          <w:p>
            <w:pPr>
              <w:ind w:firstLine="480" w:firstLineChars="200"/>
              <w:jc w:val="left"/>
              <w:rPr>
                <w:rFonts w:hint="default" w:ascii="Times New Roman" w:hAnsi="Times New Roman" w:cs="Times New Roman"/>
                <w:color w:val="auto"/>
                <w:szCs w:val="21"/>
              </w:rPr>
            </w:pPr>
            <w:r>
              <w:rPr>
                <w:rFonts w:hint="default" w:ascii="Times New Roman" w:hAnsi="Times New Roman" w:cs="Times New Roman"/>
                <w:color w:val="auto"/>
                <w:szCs w:val="21"/>
              </w:rPr>
              <w:t>综上所述，从环境保护角度分析，本项目建设具有可行性</w:t>
            </w:r>
            <w:r>
              <w:rPr>
                <w:rFonts w:hint="default" w:ascii="Times New Roman" w:hAnsi="Times New Roman" w:cs="Times New Roman"/>
                <w:color w:val="auto"/>
                <w:szCs w:val="21"/>
                <w:lang w:eastAsia="zh-CN"/>
              </w:rPr>
              <w:t>。</w:t>
            </w: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pStyle w:val="41"/>
              <w:rPr>
                <w:rFonts w:hint="default" w:ascii="Times New Roman" w:hAnsi="Times New Roman" w:cs="Times New Roman"/>
                <w:color w:val="auto"/>
                <w:szCs w:val="21"/>
              </w:rPr>
            </w:pPr>
          </w:p>
          <w:p>
            <w:pPr>
              <w:pStyle w:val="7"/>
              <w:rPr>
                <w:rFonts w:hint="default" w:ascii="Times New Roman" w:hAnsi="Times New Roman" w:cs="Times New Roman"/>
                <w:color w:val="auto"/>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p>
            <w:pPr>
              <w:adjustRightInd w:val="0"/>
              <w:snapToGrid w:val="0"/>
              <w:jc w:val="left"/>
              <w:rPr>
                <w:rFonts w:hint="default" w:ascii="Times New Roman" w:hAnsi="Times New Roman" w:cs="Times New Roman"/>
                <w:color w:val="auto"/>
                <w:szCs w:val="21"/>
              </w:rPr>
            </w:pPr>
          </w:p>
        </w:tc>
      </w:tr>
    </w:tbl>
    <w:p>
      <w:pPr>
        <w:rPr>
          <w:rFonts w:hint="default" w:ascii="Times New Roman" w:hAnsi="Times New Roman" w:cs="Times New Roman"/>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28"/>
        <w:adjustRightInd w:val="0"/>
        <w:snapToGrid w:val="0"/>
        <w:spacing w:before="0" w:beforeAutospacing="0" w:after="0" w:afterAutospacing="0"/>
        <w:outlineLvl w:val="9"/>
        <w:rPr>
          <w:rFonts w:hint="default" w:ascii="Times New Roman" w:hAnsi="Times New Roman" w:cs="Times New Roman"/>
          <w:b/>
          <w:bCs/>
          <w:snapToGrid w:val="0"/>
          <w:color w:val="auto"/>
          <w:kern w:val="21"/>
          <w:sz w:val="21"/>
          <w:szCs w:val="21"/>
        </w:rPr>
      </w:pPr>
      <w:bookmarkStart w:id="9" w:name="_Toc16732"/>
      <w:r>
        <w:rPr>
          <w:rFonts w:hint="default" w:ascii="Times New Roman" w:hAnsi="Times New Roman" w:cs="Times New Roman"/>
          <w:b/>
          <w:bCs/>
          <w:snapToGrid w:val="0"/>
          <w:color w:val="auto"/>
          <w:kern w:val="21"/>
          <w:sz w:val="32"/>
          <w:szCs w:val="32"/>
        </w:rPr>
        <w:t>附表</w:t>
      </w:r>
      <w:bookmarkEnd w:id="9"/>
    </w:p>
    <w:p>
      <w:pPr>
        <w:jc w:val="center"/>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建设项目污染物排放量汇总表</w:t>
      </w:r>
    </w:p>
    <w:tbl>
      <w:tblPr>
        <w:tblStyle w:val="32"/>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1"/>
        <w:gridCol w:w="773"/>
        <w:gridCol w:w="1704"/>
        <w:gridCol w:w="1475"/>
        <w:gridCol w:w="1267"/>
        <w:gridCol w:w="1800"/>
        <w:gridCol w:w="1930"/>
        <w:gridCol w:w="1564"/>
        <w:gridCol w:w="1987"/>
        <w:gridCol w:w="10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5" w:type="pct"/>
            <w:tcBorders>
              <w:tl2br w:val="single" w:color="auto" w:sz="4" w:space="0"/>
            </w:tcBorders>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jc w:val="righ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项目</w:t>
            </w:r>
          </w:p>
          <w:p>
            <w:pPr>
              <w:pStyle w:val="76"/>
              <w:keepNext w:val="0"/>
              <w:keepLines w:val="0"/>
              <w:pageBreakBefore w:val="0"/>
              <w:kinsoku/>
              <w:wordWrap/>
              <w:overflowPunct/>
              <w:topLinePunct w:val="0"/>
              <w:autoSpaceDE/>
              <w:autoSpaceDN/>
              <w:bidi w:val="0"/>
              <w:spacing w:beforeLines="0" w:afterLines="0" w:line="240" w:lineRule="auto"/>
              <w:jc w:val="lef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分类</w:t>
            </w:r>
          </w:p>
        </w:tc>
        <w:tc>
          <w:tcPr>
            <w:tcW w:w="860" w:type="pct"/>
            <w:gridSpan w:val="2"/>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污染物名称</w:t>
            </w:r>
          </w:p>
        </w:tc>
        <w:tc>
          <w:tcPr>
            <w:tcW w:w="512"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1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①</w:t>
            </w:r>
            <w:r>
              <w:rPr>
                <w:rFonts w:hint="default" w:ascii="Times New Roman" w:hAnsi="Times New Roman" w:cs="Times New Roman"/>
                <w:b/>
                <w:bCs/>
                <w:snapToGrid w:val="0"/>
                <w:color w:val="auto"/>
                <w:kern w:val="21"/>
                <w:sz w:val="21"/>
                <w:szCs w:val="21"/>
              </w:rPr>
              <w:fldChar w:fldCharType="end"/>
            </w:r>
          </w:p>
        </w:tc>
        <w:tc>
          <w:tcPr>
            <w:tcW w:w="439"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许可排放量</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2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snapToGrid w:val="0"/>
                <w:color w:val="auto"/>
                <w:kern w:val="21"/>
                <w:sz w:val="21"/>
                <w:szCs w:val="21"/>
              </w:rPr>
              <w:t>②</w:t>
            </w:r>
            <w:r>
              <w:rPr>
                <w:rFonts w:hint="default" w:ascii="Times New Roman" w:hAnsi="Times New Roman" w:cs="Times New Roman"/>
                <w:b/>
                <w:bCs/>
                <w:snapToGrid w:val="0"/>
                <w:color w:val="auto"/>
                <w:kern w:val="21"/>
                <w:sz w:val="21"/>
                <w:szCs w:val="21"/>
              </w:rPr>
              <w:fldChar w:fldCharType="end"/>
            </w:r>
          </w:p>
        </w:tc>
        <w:tc>
          <w:tcPr>
            <w:tcW w:w="625"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在建工程</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3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③</w:t>
            </w:r>
            <w:r>
              <w:rPr>
                <w:rFonts w:hint="default" w:ascii="Times New Roman" w:hAnsi="Times New Roman" w:cs="Times New Roman"/>
                <w:b/>
                <w:bCs/>
                <w:snapToGrid w:val="0"/>
                <w:color w:val="auto"/>
                <w:kern w:val="21"/>
                <w:sz w:val="21"/>
                <w:szCs w:val="21"/>
              </w:rPr>
              <w:fldChar w:fldCharType="end"/>
            </w:r>
          </w:p>
        </w:tc>
        <w:tc>
          <w:tcPr>
            <w:tcW w:w="670"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4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④</w:t>
            </w:r>
            <w:r>
              <w:rPr>
                <w:rFonts w:hint="default" w:ascii="Times New Roman" w:hAnsi="Times New Roman" w:cs="Times New Roman"/>
                <w:b/>
                <w:bCs/>
                <w:snapToGrid w:val="0"/>
                <w:color w:val="auto"/>
                <w:kern w:val="21"/>
                <w:sz w:val="21"/>
                <w:szCs w:val="21"/>
              </w:rPr>
              <w:fldChar w:fldCharType="end"/>
            </w:r>
          </w:p>
        </w:tc>
        <w:tc>
          <w:tcPr>
            <w:tcW w:w="543"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以新带老削减量</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（新建项目不填）</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5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⑤</w:t>
            </w:r>
            <w:r>
              <w:rPr>
                <w:rFonts w:hint="default" w:ascii="Times New Roman" w:hAnsi="Times New Roman" w:cs="Times New Roman"/>
                <w:b/>
                <w:bCs/>
                <w:snapToGrid w:val="0"/>
                <w:color w:val="auto"/>
                <w:kern w:val="21"/>
                <w:sz w:val="21"/>
                <w:szCs w:val="21"/>
              </w:rPr>
              <w:fldChar w:fldCharType="end"/>
            </w:r>
          </w:p>
        </w:tc>
        <w:tc>
          <w:tcPr>
            <w:tcW w:w="689"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本项目建成后</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全厂排放量（固体废物产生量）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6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⑥</w:t>
            </w:r>
            <w:r>
              <w:rPr>
                <w:rFonts w:hint="default" w:ascii="Times New Roman" w:hAnsi="Times New Roman" w:cs="Times New Roman"/>
                <w:b/>
                <w:bCs/>
                <w:snapToGrid w:val="0"/>
                <w:color w:val="auto"/>
                <w:kern w:val="21"/>
                <w:sz w:val="21"/>
                <w:szCs w:val="21"/>
              </w:rPr>
              <w:fldChar w:fldCharType="end"/>
            </w:r>
          </w:p>
        </w:tc>
        <w:tc>
          <w:tcPr>
            <w:tcW w:w="374" w:type="pct"/>
            <w:noWrap/>
            <w:tcMar>
              <w:left w:w="28" w:type="dxa"/>
              <w:right w:w="28" w:type="dxa"/>
            </w:tcMar>
            <w:vAlign w:val="center"/>
          </w:tcPr>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变化量</w:t>
            </w:r>
          </w:p>
          <w:p>
            <w:pPr>
              <w:pStyle w:val="76"/>
              <w:keepNext w:val="0"/>
              <w:keepLines w:val="0"/>
              <w:pageBreakBefore w:val="0"/>
              <w:kinsoku/>
              <w:wordWrap/>
              <w:overflowPunct/>
              <w:topLinePunct w:val="0"/>
              <w:autoSpaceDE/>
              <w:autoSpaceDN/>
              <w:bidi w:val="0"/>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7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⑦</w:t>
            </w:r>
            <w:r>
              <w:rPr>
                <w:rFonts w:hint="default" w:ascii="Times New Roman" w:hAnsi="Times New Roman" w:cs="Times New Roman"/>
                <w:b/>
                <w:bCs/>
                <w:snapToGrid w:val="0"/>
                <w:color w:val="auto"/>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85" w:type="pct"/>
            <w:vMerge w:val="restart"/>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废气</w:t>
            </w:r>
          </w:p>
        </w:tc>
        <w:tc>
          <w:tcPr>
            <w:tcW w:w="860" w:type="pct"/>
            <w:gridSpan w:val="2"/>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i w:val="0"/>
                <w:iCs w:val="0"/>
                <w:color w:val="auto"/>
                <w:kern w:val="0"/>
                <w:sz w:val="21"/>
                <w:szCs w:val="21"/>
                <w:u w:val="none"/>
                <w:lang w:val="en-US" w:eastAsia="zh-CN" w:bidi="ar"/>
              </w:rPr>
              <w:t>挥发性有机物（t/a）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0.67</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0.0892</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0.7592</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0.0892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860" w:type="pct"/>
            <w:gridSpan w:val="2"/>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i w:val="0"/>
                <w:iCs w:val="0"/>
                <w:color w:val="auto"/>
                <w:kern w:val="0"/>
                <w:sz w:val="21"/>
                <w:szCs w:val="21"/>
                <w:u w:val="none"/>
                <w:lang w:val="en-US" w:eastAsia="zh-CN" w:bidi="ar"/>
              </w:rPr>
              <w:t>二氧化硫（t/a）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0.012</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0.012</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0.1254</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0.1374</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0.1254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860" w:type="pct"/>
            <w:gridSpan w:val="2"/>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rPr>
            </w:pPr>
            <w:r>
              <w:rPr>
                <w:rFonts w:hint="default" w:ascii="Times New Roman" w:hAnsi="Times New Roman" w:eastAsia="宋体" w:cs="Times New Roman"/>
                <w:i w:val="0"/>
                <w:iCs w:val="0"/>
                <w:color w:val="auto"/>
                <w:kern w:val="0"/>
                <w:sz w:val="21"/>
                <w:szCs w:val="21"/>
                <w:u w:val="none"/>
                <w:lang w:val="en-US" w:eastAsia="zh-CN" w:bidi="ar"/>
              </w:rPr>
              <w:t>氮氧化物（t/a）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0.11</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snapToGrid w:val="0"/>
                <w:color w:val="auto"/>
                <w:kern w:val="21"/>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0.11</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0.095</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0.205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85" w:type="pct"/>
            <w:vMerge w:val="restart"/>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废水</w:t>
            </w:r>
          </w:p>
        </w:tc>
        <w:tc>
          <w:tcPr>
            <w:tcW w:w="268" w:type="pct"/>
            <w:vMerge w:val="restart"/>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eastAsia="宋体" w:cs="Times New Roman"/>
                <w:snapToGrid w:val="0"/>
                <w:color w:val="auto"/>
                <w:kern w:val="21"/>
                <w:sz w:val="21"/>
                <w:szCs w:val="21"/>
                <w:lang w:val="en-US" w:eastAsia="zh-CN"/>
              </w:rPr>
            </w:pPr>
            <w:r>
              <w:rPr>
                <w:rFonts w:hint="default" w:ascii="Times New Roman" w:hAnsi="Times New Roman" w:cs="Times New Roman"/>
                <w:color w:val="auto"/>
                <w:sz w:val="21"/>
                <w:szCs w:val="21"/>
                <w:lang w:val="en-US" w:eastAsia="zh-CN"/>
              </w:rPr>
              <w:t>生活污水</w:t>
            </w:r>
          </w:p>
        </w:tc>
        <w:tc>
          <w:tcPr>
            <w:tcW w:w="591" w:type="pct"/>
            <w:noWrap/>
            <w:vAlign w:val="center"/>
          </w:tcPr>
          <w:p>
            <w:pPr>
              <w:pStyle w:val="7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废水量</w:t>
            </w:r>
            <w:r>
              <w:rPr>
                <w:rFonts w:hint="default" w:ascii="Times New Roman" w:hAnsi="Times New Roman" w:cs="Times New Roman"/>
                <w:snapToGrid w:val="0"/>
                <w:color w:val="auto"/>
                <w:kern w:val="21"/>
                <w:sz w:val="21"/>
                <w:szCs w:val="21"/>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7290</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cs="Times New Roman"/>
                <w:snapToGrid w:val="0"/>
                <w:color w:val="auto"/>
                <w:kern w:val="21"/>
                <w:sz w:val="21"/>
                <w:szCs w:val="21"/>
              </w:rPr>
            </w:pPr>
          </w:p>
        </w:tc>
        <w:tc>
          <w:tcPr>
            <w:tcW w:w="591" w:type="pct"/>
            <w:noWrap/>
            <w:vAlign w:val="center"/>
          </w:tcPr>
          <w:p>
            <w:pPr>
              <w:pStyle w:val="7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COD</w:t>
            </w:r>
            <w:r>
              <w:rPr>
                <w:rFonts w:hint="default" w:ascii="Times New Roman" w:hAnsi="Times New Roman" w:eastAsia="宋体" w:cs="Times New Roman"/>
                <w:color w:val="auto"/>
                <w:kern w:val="2"/>
                <w:sz w:val="21"/>
                <w:szCs w:val="21"/>
                <w:vertAlign w:val="subscript"/>
                <w:lang w:val="en-US" w:eastAsia="zh-CN"/>
              </w:rPr>
              <w:t>Cr</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0.57</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0.66</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0.57</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cs="Times New Roman"/>
                <w:snapToGrid w:val="0"/>
                <w:color w:val="auto"/>
                <w:kern w:val="21"/>
                <w:sz w:val="21"/>
                <w:szCs w:val="21"/>
              </w:rPr>
            </w:pPr>
          </w:p>
        </w:tc>
        <w:tc>
          <w:tcPr>
            <w:tcW w:w="591" w:type="pct"/>
            <w:noWrap/>
            <w:vAlign w:val="center"/>
          </w:tcPr>
          <w:p>
            <w:pPr>
              <w:pStyle w:val="7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NH</w:t>
            </w:r>
            <w:r>
              <w:rPr>
                <w:rFonts w:hint="default" w:ascii="Times New Roman" w:hAnsi="Times New Roman" w:eastAsia="宋体" w:cs="Times New Roman"/>
                <w:color w:val="auto"/>
                <w:kern w:val="2"/>
                <w:sz w:val="21"/>
                <w:szCs w:val="21"/>
                <w:vertAlign w:val="subscript"/>
                <w:lang w:val="en-US" w:eastAsia="zh-CN"/>
              </w:rPr>
              <w:t>3</w:t>
            </w:r>
            <w:r>
              <w:rPr>
                <w:rFonts w:hint="default" w:ascii="Times New Roman" w:hAnsi="Times New Roman" w:eastAsia="宋体" w:cs="Times New Roman"/>
                <w:color w:val="auto"/>
                <w:kern w:val="2"/>
                <w:sz w:val="21"/>
                <w:szCs w:val="21"/>
                <w:lang w:val="en-US" w:eastAsia="zh-CN"/>
              </w:rPr>
              <w:t>-N（t/a）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0.073</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restart"/>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r>
              <w:rPr>
                <w:rFonts w:hint="default" w:ascii="Times New Roman" w:hAnsi="Times New Roman" w:cs="Times New Roman"/>
                <w:snapToGrid w:val="0"/>
                <w:color w:val="auto"/>
                <w:kern w:val="21"/>
                <w:sz w:val="21"/>
                <w:szCs w:val="21"/>
              </w:rPr>
              <w:t>固体废物</w:t>
            </w:r>
          </w:p>
        </w:tc>
        <w:tc>
          <w:tcPr>
            <w:tcW w:w="268" w:type="pct"/>
            <w:vMerge w:val="restart"/>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一般固体废物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rPr>
              <w:t>边角料</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0.2</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1.685</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1.885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1.685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cs="Times New Roman"/>
                <w:color w:val="auto"/>
                <w:sz w:val="21"/>
                <w:szCs w:val="21"/>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rPr>
            </w:pPr>
            <w:r>
              <w:rPr>
                <w:rFonts w:hint="default" w:ascii="Times New Roman" w:hAnsi="Times New Roman" w:eastAsia="宋体" w:cs="Times New Roman"/>
                <w:i w:val="0"/>
                <w:iCs w:val="0"/>
                <w:color w:val="auto"/>
                <w:kern w:val="0"/>
                <w:sz w:val="21"/>
                <w:szCs w:val="21"/>
                <w:u w:val="none"/>
                <w:lang w:val="en-US" w:eastAsia="zh-CN" w:bidi="ar"/>
              </w:rPr>
              <w:t>废包装材料</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0.1</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2</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2.1</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66"/>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2"/>
                <w:position w:val="0"/>
                <w:sz w:val="21"/>
                <w:szCs w:val="21"/>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污泥</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1.2</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1.2</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restart"/>
            <w:noWrap/>
            <w:vAlign w:val="center"/>
          </w:tcPr>
          <w:p>
            <w:pPr>
              <w:pStyle w:val="7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rPr>
            </w:pPr>
            <w:r>
              <w:rPr>
                <w:rFonts w:hint="default" w:ascii="Times New Roman" w:hAnsi="Times New Roman" w:cs="Times New Roman"/>
                <w:color w:val="auto"/>
                <w:kern w:val="2"/>
                <w:sz w:val="21"/>
                <w:szCs w:val="21"/>
                <w:lang w:val="en-US" w:eastAsia="zh-CN"/>
              </w:rPr>
              <w:t>危险废物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废润滑油</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0.005</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0.01</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5"/>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kern w:val="2"/>
                <w:sz w:val="21"/>
                <w:szCs w:val="21"/>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废抹布及手套</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0.005</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0.01</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废空桶</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0.01</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3.685</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3.695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3.685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废活性炭</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0.2</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1.1465</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1.3465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1.1465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widowControl/>
              <w:kinsoku/>
              <w:wordWrap/>
              <w:overflowPunct/>
              <w:topLinePunct w:val="0"/>
              <w:autoSpaceDE/>
              <w:autoSpaceDN/>
              <w:bidi w:val="0"/>
              <w:adjustRightInd/>
              <w:snapToGrid/>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废胶水</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0.34</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0.0902</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0.4302</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0.0902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268"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喷淋塔废水</w:t>
            </w:r>
            <w:r>
              <w:rPr>
                <w:rFonts w:hint="default" w:ascii="Times New Roman" w:hAnsi="Times New Roman" w:eastAsia="宋体" w:cs="Times New Roman"/>
                <w:color w:val="auto"/>
                <w:kern w:val="2"/>
                <w:sz w:val="21"/>
                <w:szCs w:val="21"/>
                <w:lang w:val="en-US" w:eastAsia="zh-CN"/>
              </w:rPr>
              <w:t>（t/a）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0</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5.024</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5.024</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i w:val="0"/>
                <w:iCs w:val="0"/>
                <w:color w:val="auto"/>
                <w:kern w:val="0"/>
                <w:sz w:val="21"/>
                <w:szCs w:val="21"/>
                <w:u w:val="none"/>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5.024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85" w:type="pct"/>
            <w:vMerge w:val="continue"/>
            <w:noWrap/>
            <w:vAlign w:val="center"/>
          </w:tcPr>
          <w:p>
            <w:pPr>
              <w:pStyle w:val="76"/>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rPr>
            </w:pPr>
          </w:p>
        </w:tc>
        <w:tc>
          <w:tcPr>
            <w:tcW w:w="860" w:type="pct"/>
            <w:gridSpan w:val="2"/>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生活垃圾（t/a）</w:t>
            </w:r>
          </w:p>
        </w:tc>
        <w:tc>
          <w:tcPr>
            <w:tcW w:w="512"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45</w:t>
            </w:r>
          </w:p>
        </w:tc>
        <w:tc>
          <w:tcPr>
            <w:tcW w:w="43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25"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7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543"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c>
          <w:tcPr>
            <w:tcW w:w="689"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45</w:t>
            </w:r>
          </w:p>
        </w:tc>
        <w:tc>
          <w:tcPr>
            <w:tcW w:w="374"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p>
        </w:tc>
      </w:tr>
    </w:tbl>
    <w:p>
      <w:pPr>
        <w:rPr>
          <w:rFonts w:hint="default" w:ascii="Times New Roman" w:hAnsi="Times New Roman" w:cs="Times New Roman"/>
          <w:color w:val="auto"/>
          <w:lang w:eastAsia="zh-CN"/>
        </w:rPr>
        <w:sectPr>
          <w:footerReference r:id="rId10" w:type="default"/>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6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⑥</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1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①</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3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③</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4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④</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5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⑤</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7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⑦</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6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⑥</w:t>
      </w:r>
      <w:r>
        <w:rPr>
          <w:rFonts w:hint="default" w:ascii="Times New Roman" w:hAnsi="Times New Roman" w:cs="Times New Roman"/>
          <w:snapToGrid w:val="0"/>
          <w:color w:val="auto"/>
          <w:kern w:val="21"/>
          <w:szCs w:val="21"/>
        </w:rPr>
        <w:fldChar w:fldCharType="end"/>
      </w:r>
      <w:r>
        <w:rPr>
          <w:rFonts w:hint="default" w:ascii="Times New Roman" w:hAnsi="Times New Roman" w:cs="Times New Roman"/>
          <w:snapToGrid w:val="0"/>
          <w:color w:val="auto"/>
          <w:kern w:val="21"/>
          <w:szCs w:val="21"/>
        </w:rPr>
        <w:t>-</w:t>
      </w:r>
      <w:r>
        <w:rPr>
          <w:rFonts w:hint="default" w:ascii="Times New Roman" w:hAnsi="Times New Roman" w:cs="Times New Roman"/>
          <w:snapToGrid w:val="0"/>
          <w:color w:val="auto"/>
          <w:kern w:val="21"/>
          <w:szCs w:val="21"/>
        </w:rPr>
        <w:fldChar w:fldCharType="begin"/>
      </w:r>
      <w:r>
        <w:rPr>
          <w:rFonts w:hint="default" w:ascii="Times New Roman" w:hAnsi="Times New Roman" w:cs="Times New Roman"/>
          <w:snapToGrid w:val="0"/>
          <w:color w:val="auto"/>
          <w:kern w:val="21"/>
          <w:szCs w:val="21"/>
        </w:rPr>
        <w:instrText xml:space="preserve"> = 1 \* GB3 \* MERGEFORMAT </w:instrText>
      </w:r>
      <w:r>
        <w:rPr>
          <w:rFonts w:hint="default" w:ascii="Times New Roman" w:hAnsi="Times New Roman" w:cs="Times New Roman"/>
          <w:snapToGrid w:val="0"/>
          <w:color w:val="auto"/>
          <w:kern w:val="21"/>
          <w:szCs w:val="21"/>
        </w:rPr>
        <w:fldChar w:fldCharType="separate"/>
      </w:r>
      <w:r>
        <w:rPr>
          <w:rFonts w:hint="default" w:ascii="Times New Roman" w:hAnsi="Times New Roman" w:cs="Times New Roman"/>
          <w:color w:val="auto"/>
          <w:kern w:val="21"/>
          <w:szCs w:val="21"/>
        </w:rPr>
        <w:t>①</w:t>
      </w:r>
      <w:r>
        <w:rPr>
          <w:rFonts w:hint="default" w:ascii="Times New Roman" w:hAnsi="Times New Roman" w:cs="Times New Roman"/>
          <w:snapToGrid w:val="0"/>
          <w:color w:val="auto"/>
          <w:kern w:val="21"/>
          <w:szCs w:val="21"/>
        </w:rPr>
        <w:fldChar w:fldCharType="end"/>
      </w:r>
    </w:p>
    <w:p>
      <w:pPr>
        <w:pStyle w:val="4"/>
        <w:numPr>
          <w:ilvl w:val="2"/>
          <w:numId w:val="0"/>
        </w:numPr>
        <w:bidi w:val="0"/>
        <w:ind w:leftChars="0"/>
        <w:jc w:val="both"/>
        <w:outlineLvl w:val="9"/>
        <w:rPr>
          <w:rFonts w:hint="default" w:ascii="Times New Roman" w:hAnsi="Times New Roman" w:cs="Times New Roman"/>
          <w:b/>
          <w:bCs/>
          <w:color w:val="auto"/>
          <w:lang w:val="en-US" w:eastAsia="zh-CN"/>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r>
        <w:rPr>
          <w:rFonts w:hint="default" w:ascii="Times New Roman" w:hAnsi="Times New Roman" w:cs="Times New Roman"/>
          <w:color w:val="auto"/>
        </w:rPr>
        <mc:AlternateContent>
          <mc:Choice Requires="wps">
            <w:drawing>
              <wp:anchor distT="0" distB="0" distL="114300" distR="114300" simplePos="0" relativeHeight="251681792" behindDoc="0" locked="0" layoutInCell="1" allowOverlap="1">
                <wp:simplePos x="0" y="0"/>
                <wp:positionH relativeFrom="column">
                  <wp:posOffset>1624330</wp:posOffset>
                </wp:positionH>
                <wp:positionV relativeFrom="paragraph">
                  <wp:posOffset>3013075</wp:posOffset>
                </wp:positionV>
                <wp:extent cx="1562735" cy="71374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1562735" cy="7137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FFFF00"/>
                                <w:highlight w:val="no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9pt;margin-top:237.25pt;height:56.2pt;width:123.05pt;z-index:251681792;mso-width-relative:page;mso-height-relative:page;" filled="f" stroked="f" coordsize="21600,21600" o:gfxdata="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lMZHB3QAAAAsBAAAPAAAAAAAAAAEAIAAAACIA&#10;AABkcnMvZG93bnJldi54bWxQSwECFAAUAAAACACHTuJAD7mpVT0CAABqBAAADgAAAAAAAAABACAA&#10;AAAsAQAAZHJzL2Uyb0RvYy54bWxQSwUGAAAAAAYABgBZAQAA2wUAAAAA&#10;">
                <v:fill on="f" focussize="0,0"/>
                <v:stroke on="f" weight="0.5pt"/>
                <v:imagedata o:title=""/>
                <o:lock v:ext="edit" aspectratio="f"/>
                <v:textbox>
                  <w:txbxContent>
                    <w:p>
                      <w:pPr>
                        <w:rPr>
                          <w:rFonts w:hint="eastAsia"/>
                          <w:b/>
                          <w:bCs/>
                          <w:color w:val="FFFF00"/>
                          <w:highlight w:val="none"/>
                        </w:rPr>
                      </w:pPr>
                    </w:p>
                  </w:txbxContent>
                </v:textbox>
              </v:shape>
            </w:pict>
          </mc:Fallback>
        </mc:AlternateContent>
      </w:r>
      <w:r>
        <w:rPr>
          <w:rFonts w:hint="default" w:ascii="Times New Roman" w:hAnsi="Times New Roman" w:cs="Times New Roman"/>
          <w:color w:val="auto"/>
        </w:rPr>
        <mc:AlternateContent>
          <mc:Choice Requires="wps">
            <w:drawing>
              <wp:anchor distT="0" distB="0" distL="114300" distR="114300" simplePos="0" relativeHeight="251666432" behindDoc="0" locked="0" layoutInCell="1" allowOverlap="1">
                <wp:simplePos x="0" y="0"/>
                <wp:positionH relativeFrom="column">
                  <wp:posOffset>2778125</wp:posOffset>
                </wp:positionH>
                <wp:positionV relativeFrom="paragraph">
                  <wp:posOffset>4159885</wp:posOffset>
                </wp:positionV>
                <wp:extent cx="1133475" cy="9906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133475" cy="990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FFFF00"/>
                                <w:highlight w:val="no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8.75pt;margin-top:327.55pt;height:78pt;width:89.25pt;z-index:251666432;mso-width-relative:page;mso-height-relative:page;" filled="f" stroked="f" coordsize="21600,21600" o:gfxdata="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jjHktsAAAALAQAADwAAAAAAAAABACAAAAAiAAAA&#10;ZHJzL2Rvd25yZXYueG1sUEsBAhQAFAAAAAgAh07iQNl7+bg9AgAAagQAAA4AAAAAAAAAAQAgAAAA&#10;KgEAAGRycy9lMm9Eb2MueG1sUEsFBgAAAAAGAAYAWQEAANkFAAAAAA==&#10;">
                <v:fill on="f" focussize="0,0"/>
                <v:stroke on="f" weight="0.5pt"/>
                <v:imagedata o:title=""/>
                <o:lock v:ext="edit" aspectratio="f"/>
                <v:textbox>
                  <w:txbxContent>
                    <w:p>
                      <w:pPr>
                        <w:rPr>
                          <w:rFonts w:hint="eastAsia"/>
                          <w:b/>
                          <w:bCs/>
                          <w:color w:val="FFFF00"/>
                          <w:highlight w:val="none"/>
                        </w:rPr>
                      </w:pPr>
                    </w:p>
                  </w:txbxContent>
                </v:textbox>
              </v:shape>
            </w:pict>
          </mc:Fallback>
        </mc:AlternateContent>
      </w:r>
      <w:r>
        <w:rPr>
          <w:rFonts w:hint="default" w:ascii="Times New Roman" w:hAnsi="Times New Roman" w:cs="Times New Roman"/>
          <w:color w:val="auto"/>
        </w:rPr>
        <mc:AlternateContent>
          <mc:Choice Requires="wps">
            <w:drawing>
              <wp:anchor distT="0" distB="0" distL="114300" distR="114300" simplePos="0" relativeHeight="251665408" behindDoc="0" locked="0" layoutInCell="1" allowOverlap="1">
                <wp:simplePos x="0" y="0"/>
                <wp:positionH relativeFrom="column">
                  <wp:posOffset>1790065</wp:posOffset>
                </wp:positionH>
                <wp:positionV relativeFrom="paragraph">
                  <wp:posOffset>1186180</wp:posOffset>
                </wp:positionV>
                <wp:extent cx="2794000" cy="428625"/>
                <wp:effectExtent l="0" t="0" r="0" b="0"/>
                <wp:wrapNone/>
                <wp:docPr id="144" name="文本框 144"/>
                <wp:cNvGraphicFramePr/>
                <a:graphic xmlns:a="http://schemas.openxmlformats.org/drawingml/2006/main">
                  <a:graphicData uri="http://schemas.microsoft.com/office/word/2010/wordprocessingShape">
                    <wps:wsp>
                      <wps:cNvSpPr txBox="1"/>
                      <wps:spPr>
                        <a:xfrm>
                          <a:off x="3903980" y="3357880"/>
                          <a:ext cx="2794000" cy="4286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FFFF00"/>
                                <w:highlight w:val="no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95pt;margin-top:93.4pt;height:33.75pt;width:220pt;z-index:251665408;mso-width-relative:page;mso-height-relative:page;" filled="f" stroked="f" coordsize="21600,21600" o:gfxdata="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dcthNoAAAALAQAADwAAAAAAAAAB&#10;ACAAAAAiAAAAZHJzL2Rvd25yZXYueG1sUEsBAhQAFAAAAAgAh07iQIcfZyJHAgAAdgQAAA4AAAAA&#10;AAAAAQAgAAAAKQEAAGRycy9lMm9Eb2MueG1sUEsFBgAAAAAGAAYAWQEAAOIFAAAAAA==&#10;">
                <v:fill on="f" focussize="0,0"/>
                <v:stroke on="f" weight="0.5pt"/>
                <v:imagedata o:title=""/>
                <o:lock v:ext="edit" aspectratio="f"/>
                <v:textbox>
                  <w:txbxContent>
                    <w:p>
                      <w:pPr>
                        <w:rPr>
                          <w:rFonts w:hint="eastAsia"/>
                          <w:b/>
                          <w:bCs/>
                          <w:color w:val="FFFF00"/>
                          <w:highlight w:val="none"/>
                        </w:rPr>
                      </w:pPr>
                    </w:p>
                  </w:txbxContent>
                </v:textbox>
              </v:shape>
            </w:pict>
          </mc:Fallback>
        </mc:AlternateContent>
      </w:r>
      <w:r>
        <w:rPr>
          <w:rFonts w:hint="default" w:ascii="Times New Roman" w:hAnsi="Times New Roman" w:cs="Times New Roman"/>
          <w:color w:val="auto"/>
        </w:rPr>
        <mc:AlternateContent>
          <mc:Choice Requires="wps">
            <w:drawing>
              <wp:anchor distT="0" distB="0" distL="114300" distR="114300" simplePos="0" relativeHeight="251680768" behindDoc="0" locked="0" layoutInCell="1" allowOverlap="1">
                <wp:simplePos x="0" y="0"/>
                <wp:positionH relativeFrom="column">
                  <wp:posOffset>3978275</wp:posOffset>
                </wp:positionH>
                <wp:positionV relativeFrom="paragraph">
                  <wp:posOffset>4291330</wp:posOffset>
                </wp:positionV>
                <wp:extent cx="1281430" cy="895350"/>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1281430" cy="895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FFFF00"/>
                                <w:highlight w:val="no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25pt;margin-top:337.9pt;height:70.5pt;width:100.9pt;z-index:251680768;mso-width-relative:page;mso-height-relative:page;" filled="f" stroked="f" coordsize="21600,21600" o:gfxdata="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E8SINXbAAAACwEAAA8AAAAAAAAAAQAgAAAAIgAAAGRy&#10;cy9kb3ducmV2LnhtbFBLAQIUABQAAAAIAIdO4kBfe818OwIAAGgEAAAOAAAAAAAAAAEAIAAAACoB&#10;AABkcnMvZTJvRG9jLnhtbFBLBQYAAAAABgAGAFkBAADXBQAAAAA=&#10;">
                <v:fill on="f" focussize="0,0"/>
                <v:stroke on="f" weight="0.5pt"/>
                <v:imagedata o:title=""/>
                <o:lock v:ext="edit" aspectratio="f"/>
                <v:textbox>
                  <w:txbxContent>
                    <w:p>
                      <w:pPr>
                        <w:rPr>
                          <w:rFonts w:hint="eastAsia"/>
                          <w:b/>
                          <w:bCs/>
                          <w:color w:val="FFFF00"/>
                          <w:highlight w:val="none"/>
                        </w:rPr>
                      </w:pPr>
                    </w:p>
                  </w:txbxContent>
                </v:textbox>
              </v:shape>
            </w:pict>
          </mc:Fallback>
        </mc:AlternateContent>
      </w:r>
      <w:r>
        <w:rPr>
          <w:rFonts w:hint="default" w:ascii="Times New Roman" w:hAnsi="Times New Roman" w:cs="Times New Roman"/>
          <w:color w:val="auto"/>
        </w:rPr>
        <mc:AlternateContent>
          <mc:Choice Requires="wps">
            <w:drawing>
              <wp:anchor distT="0" distB="0" distL="114300" distR="114300" simplePos="0" relativeHeight="251668480" behindDoc="0" locked="0" layoutInCell="1" allowOverlap="1">
                <wp:simplePos x="0" y="0"/>
                <wp:positionH relativeFrom="column">
                  <wp:posOffset>3947160</wp:posOffset>
                </wp:positionH>
                <wp:positionV relativeFrom="paragraph">
                  <wp:posOffset>1756410</wp:posOffset>
                </wp:positionV>
                <wp:extent cx="617220" cy="428625"/>
                <wp:effectExtent l="0" t="0" r="0" b="0"/>
                <wp:wrapNone/>
                <wp:docPr id="178" name="文本框 178"/>
                <wp:cNvGraphicFramePr/>
                <a:graphic xmlns:a="http://schemas.openxmlformats.org/drawingml/2006/main">
                  <a:graphicData uri="http://schemas.microsoft.com/office/word/2010/wordprocessingShape">
                    <wps:wsp>
                      <wps:cNvSpPr txBox="1"/>
                      <wps:spPr>
                        <a:xfrm>
                          <a:off x="0" y="0"/>
                          <a:ext cx="617220" cy="4286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highlight w:val="none"/>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8pt;margin-top:138.3pt;height:33.75pt;width:48.6pt;z-index:251668480;mso-width-relative:page;mso-height-relative:page;" filled="f" stroked="f" coordsize="21600,21600" o:gfxdata="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&#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6aRo3AAAAAsBAAAPAAAAAAAAAAEAIAAAACIAAABk&#10;cnMvZG93bnJldi54bWxQSwECFAAUAAAACACHTuJAEP15OTsCAABpBAAADgAAAAAAAAABACAAAAAr&#10;AQAAZHJzL2Uyb0RvYy54bWxQSwUGAAAAAAYABgBZAQAA2AUAAAAA&#10;">
                <v:fill on="f" focussize="0,0"/>
                <v:stroke on="f" weight="0.5pt"/>
                <v:imagedata o:title=""/>
                <o:lock v:ext="edit" aspectratio="f"/>
                <v:textbox>
                  <w:txbxContent>
                    <w:p>
                      <w:pPr>
                        <w:rPr>
                          <w:rFonts w:hint="default" w:eastAsia="宋体"/>
                          <w:b/>
                          <w:bCs/>
                          <w:color w:val="FFFF00"/>
                          <w:highlight w:val="none"/>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93056" behindDoc="0" locked="0" layoutInCell="1" allowOverlap="1">
                <wp:simplePos x="0" y="0"/>
                <wp:positionH relativeFrom="column">
                  <wp:posOffset>4142740</wp:posOffset>
                </wp:positionH>
                <wp:positionV relativeFrom="paragraph">
                  <wp:posOffset>5207635</wp:posOffset>
                </wp:positionV>
                <wp:extent cx="1231900" cy="401955"/>
                <wp:effectExtent l="0" t="0" r="0" b="0"/>
                <wp:wrapNone/>
                <wp:docPr id="334" name="文本框 334"/>
                <wp:cNvGraphicFramePr/>
                <a:graphic xmlns:a="http://schemas.openxmlformats.org/drawingml/2006/main">
                  <a:graphicData uri="http://schemas.microsoft.com/office/word/2010/wordprocessingShape">
                    <wps:wsp>
                      <wps:cNvSpPr txBox="1"/>
                      <wps:spPr>
                        <a:xfrm>
                          <a:off x="4934585" y="5992495"/>
                          <a:ext cx="1231900" cy="4019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6.2pt;margin-top:410.05pt;height:31.65pt;width:97pt;z-index:251693056;mso-width-relative:page;mso-height-relative:page;" filled="f" stroked="f" coordsize="21600,21600" o:gfxdata="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rtMrdsAAAALAQAADwAA&#10;AAAAAAABACAAAAAiAAAAZHJzL2Rvd25yZXYueG1sUEsBAhQAFAAAAAgAh07iQGYtATVMAgAAdgQA&#10;AA4AAAAAAAAAAQAgAAAAKgEAAGRycy9lMm9Eb2MueG1sUEsFBgAAAAAGAAYAWQEAAOgFAAAAAA==&#10;">
                <v:fill on="f" focussize="0,0"/>
                <v:stroke on="f" weight="0.5pt"/>
                <v:imagedata o:title=""/>
                <o:lock v:ext="edit" aspectratio="f"/>
                <v:textbox>
                  <w:txbxContent>
                    <w:p>
                      <w:pPr>
                        <w:rPr>
                          <w:rFonts w:hint="default" w:eastAsia="宋体"/>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92032" behindDoc="0" locked="0" layoutInCell="1" allowOverlap="1">
                <wp:simplePos x="0" y="0"/>
                <wp:positionH relativeFrom="column">
                  <wp:posOffset>7152005</wp:posOffset>
                </wp:positionH>
                <wp:positionV relativeFrom="paragraph">
                  <wp:posOffset>3568065</wp:posOffset>
                </wp:positionV>
                <wp:extent cx="38735" cy="415290"/>
                <wp:effectExtent l="28575" t="1905" r="46990" b="1905"/>
                <wp:wrapNone/>
                <wp:docPr id="331" name="直接连接符 331"/>
                <wp:cNvGraphicFramePr/>
                <a:graphic xmlns:a="http://schemas.openxmlformats.org/drawingml/2006/main">
                  <a:graphicData uri="http://schemas.microsoft.com/office/word/2010/wordprocessingShape">
                    <wps:wsp>
                      <wps:cNvCnPr/>
                      <wps:spPr>
                        <a:xfrm>
                          <a:off x="0" y="0"/>
                          <a:ext cx="38735" cy="415290"/>
                        </a:xfrm>
                        <a:prstGeom prst="line">
                          <a:avLst/>
                        </a:prstGeom>
                        <a:ln w="38100">
                          <a:solidFill>
                            <a:srgbClr val="00B0F0"/>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63.15pt;margin-top:280.95pt;height:32.7pt;width:3.05pt;z-index:251692032;mso-width-relative:page;mso-height-relative:page;" filled="f" stroked="t" coordsize="21600,21600" o:gfxdata="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yWeazcAAAADQEAAA8AAAAA&#10;AAAAAQAgAAAAIgAAAGRycy9kb3ducmV2LnhtbFBLAQIUABQAAAAIAIdO4kANxYMTEAIAAP8DAAAO&#10;AAAAAAAAAAEAIAAAACsBAABkcnMvZTJvRG9jLnhtbFBLBQYAAAAABgAGAFkBAACtBQAAAAA=&#10;">
                <v:fill on="f" focussize="0,0"/>
                <v:stroke weight="3pt" color="#00B0F0 [3204]" miterlimit="8" joinstyle="miter" endarrow="block"/>
                <v:imagedata o:title=""/>
                <o:lock v:ext="edit" aspectratio="f"/>
              </v:lin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91008" behindDoc="0" locked="0" layoutInCell="1" allowOverlap="1">
                <wp:simplePos x="0" y="0"/>
                <wp:positionH relativeFrom="column">
                  <wp:posOffset>7312025</wp:posOffset>
                </wp:positionH>
                <wp:positionV relativeFrom="paragraph">
                  <wp:posOffset>1911985</wp:posOffset>
                </wp:positionV>
                <wp:extent cx="914400" cy="380365"/>
                <wp:effectExtent l="0" t="0" r="0" b="0"/>
                <wp:wrapNone/>
                <wp:docPr id="328" name="文本框 328"/>
                <wp:cNvGraphicFramePr/>
                <a:graphic xmlns:a="http://schemas.openxmlformats.org/drawingml/2006/main">
                  <a:graphicData uri="http://schemas.microsoft.com/office/word/2010/wordprocessingShape">
                    <wps:wsp>
                      <wps:cNvSpPr txBox="1"/>
                      <wps:spPr>
                        <a:xfrm>
                          <a:off x="0" y="0"/>
                          <a:ext cx="914400" cy="3803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DA005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5.75pt;margin-top:150.55pt;height:29.95pt;width:72pt;z-index:251691008;mso-width-relative:page;mso-height-relative:page;" filled="f" stroked="f" coordsize="21600,21600" o:gfxdata="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IL+dkXbAAAADQEAAA8AAAAAAAAAAQAgAAAAIgAAAGRy&#10;cy9kb3ducmV2LnhtbFBLAQIUABQAAAAIAIdO4kB7urXiOwIAAGkEAAAOAAAAAAAAAAEAIAAAACoB&#10;AABkcnMvZTJvRG9jLnhtbFBLBQYAAAAABgAGAFkBAADXBQAAAAA=&#10;">
                <v:fill on="f" focussize="0,0"/>
                <v:stroke on="f" weight="0.5pt"/>
                <v:imagedata o:title=""/>
                <o:lock v:ext="edit" aspectratio="f"/>
                <v:textbox>
                  <w:txbxContent>
                    <w:p>
                      <w:pPr>
                        <w:rPr>
                          <w:rFonts w:hint="default" w:eastAsia="宋体"/>
                          <w:lang w:val="en-US" w:eastAsia="zh-CN"/>
                        </w:rPr>
                      </w:pPr>
                      <w:r>
                        <w:rPr>
                          <w:rFonts w:hint="eastAsia"/>
                          <w:lang w:val="en-US" w:eastAsia="zh-CN"/>
                        </w:rPr>
                        <w:t>DA005</w:t>
                      </w: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89984" behindDoc="0" locked="0" layoutInCell="1" allowOverlap="1">
                <wp:simplePos x="0" y="0"/>
                <wp:positionH relativeFrom="column">
                  <wp:posOffset>7606030</wp:posOffset>
                </wp:positionH>
                <wp:positionV relativeFrom="paragraph">
                  <wp:posOffset>1790065</wp:posOffset>
                </wp:positionV>
                <wp:extent cx="276225" cy="266700"/>
                <wp:effectExtent l="6350" t="6350" r="22225" b="12700"/>
                <wp:wrapNone/>
                <wp:docPr id="327" name="同心圆 327"/>
                <wp:cNvGraphicFramePr/>
                <a:graphic xmlns:a="http://schemas.openxmlformats.org/drawingml/2006/main">
                  <a:graphicData uri="http://schemas.microsoft.com/office/word/2010/wordprocessingShape">
                    <wps:wsp>
                      <wps:cNvSpPr/>
                      <wps:spPr>
                        <a:xfrm>
                          <a:off x="0" y="0"/>
                          <a:ext cx="276225" cy="266700"/>
                        </a:xfrm>
                        <a:prstGeom prst="donu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598.9pt;margin-top:140.95pt;height:21pt;width:21.75pt;z-index:251689984;v-text-anchor:middle;mso-width-relative:page;mso-height-relative:page;" fillcolor="#92D050" filled="t" stroked="t" coordsize="21600,21600" o:gfxdata="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4Yjhp2QAAAA0B&#10;AAAPAAAAAAAAAAEAIAAAACIAAABkcnMvZG93bnJldi54bWxQSwECFAAUAAAACACHTuJAnxV414wC&#10;AAAcBQAADgAAAAAAAAABACAAAAAoAQAAZHJzL2Uyb0RvYy54bWxQSwUGAAAAAAYABgBZAQAAJgYA&#10;AAAA&#10;" adj="5213">
                <v:fill on="t" focussize="0,0"/>
                <v:stroke weight="1pt" color="#41719C [3204]" miterlimit="8" joinstyle="miter"/>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84864" behindDoc="0" locked="0" layoutInCell="1" allowOverlap="1">
                <wp:simplePos x="0" y="0"/>
                <wp:positionH relativeFrom="column">
                  <wp:posOffset>7550785</wp:posOffset>
                </wp:positionH>
                <wp:positionV relativeFrom="paragraph">
                  <wp:posOffset>447040</wp:posOffset>
                </wp:positionV>
                <wp:extent cx="914400" cy="380365"/>
                <wp:effectExtent l="0" t="0" r="0" b="0"/>
                <wp:wrapNone/>
                <wp:docPr id="187" name="文本框 187"/>
                <wp:cNvGraphicFramePr/>
                <a:graphic xmlns:a="http://schemas.openxmlformats.org/drawingml/2006/main">
                  <a:graphicData uri="http://schemas.microsoft.com/office/word/2010/wordprocessingShape">
                    <wps:wsp>
                      <wps:cNvSpPr txBox="1"/>
                      <wps:spPr>
                        <a:xfrm>
                          <a:off x="7533005" y="1032510"/>
                          <a:ext cx="914400" cy="3803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94.55pt;margin-top:35.2pt;height:29.95pt;width:72pt;z-index:251684864;mso-width-relative:page;mso-height-relative:page;" filled="f" stroked="f" coordsize="21600,21600" o:gfxdata="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C6+2LbAAAADAEAAA8AAAAAAAAA&#10;AQAgAAAAIgAAAGRycy9kb3ducmV2LnhtbFBLAQIUABQAAAAIAIdO4kA541qNRwIAAHUEAAAOAAAA&#10;AAAAAAEAIAAAACoBAABkcnMvZTJvRG9jLnhtbFBLBQYAAAAABgAGAFkBAADjBQAAAAA=&#10;">
                <v:fill on="f" focussize="0,0"/>
                <v:stroke on="f" weight="0.5pt"/>
                <v:imagedata o:title=""/>
                <o:lock v:ext="edit" aspectratio="f"/>
                <v:textbox>
                  <w:txbxContent>
                    <w:p>
                      <w:pPr>
                        <w:rPr>
                          <w:rFonts w:hint="default" w:eastAsia="宋体"/>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85888" behindDoc="0" locked="0" layoutInCell="1" allowOverlap="1">
                <wp:simplePos x="0" y="0"/>
                <wp:positionH relativeFrom="column">
                  <wp:posOffset>7043420</wp:posOffset>
                </wp:positionH>
                <wp:positionV relativeFrom="paragraph">
                  <wp:posOffset>3157220</wp:posOffset>
                </wp:positionV>
                <wp:extent cx="914400" cy="380365"/>
                <wp:effectExtent l="0" t="0" r="0" b="0"/>
                <wp:wrapNone/>
                <wp:docPr id="190" name="文本框 190"/>
                <wp:cNvGraphicFramePr/>
                <a:graphic xmlns:a="http://schemas.openxmlformats.org/drawingml/2006/main">
                  <a:graphicData uri="http://schemas.microsoft.com/office/word/2010/wordprocessingShape">
                    <wps:wsp>
                      <wps:cNvSpPr txBox="1"/>
                      <wps:spPr>
                        <a:xfrm>
                          <a:off x="0" y="0"/>
                          <a:ext cx="914400" cy="3803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4.6pt;margin-top:248.6pt;height:29.95pt;width:72pt;z-index:251685888;mso-width-relative:page;mso-height-relative:page;" filled="f" stroked="f" coordsize="21600,21600" o:gfxdata="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MkON+3AAAAA0BAAAPAAAAAAAAAAEAIAAAACIAAABk&#10;cnMvZG93bnJldi54bWxQSwECFAAUAAAACACHTuJArVzJmDsCAABpBAAADgAAAAAAAAABACAAAAAr&#10;AQAAZHJzL2Uyb0RvYy54bWxQSwUGAAAAAAYABgBZAQAA2AUAAAAA&#10;">
                <v:fill on="f" focussize="0,0"/>
                <v:stroke on="f" weight="0.5pt"/>
                <v:imagedata o:title=""/>
                <o:lock v:ext="edit" aspectratio="f"/>
                <v:textbox>
                  <w:txbxContent>
                    <w:p>
                      <w:pPr>
                        <w:rPr>
                          <w:rFonts w:hint="default" w:eastAsia="宋体"/>
                          <w:lang w:val="en-US" w:eastAsia="zh-CN"/>
                        </w:rPr>
                      </w:pPr>
                      <w:r>
                        <w:rPr>
                          <w:rFonts w:hint="eastAsia"/>
                          <w:lang w:val="en-US" w:eastAsia="zh-CN"/>
                        </w:rPr>
                        <w:t>DA001</w:t>
                      </w: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83840" behindDoc="0" locked="0" layoutInCell="1" allowOverlap="1">
                <wp:simplePos x="0" y="0"/>
                <wp:positionH relativeFrom="column">
                  <wp:posOffset>7187565</wp:posOffset>
                </wp:positionH>
                <wp:positionV relativeFrom="paragraph">
                  <wp:posOffset>3408680</wp:posOffset>
                </wp:positionV>
                <wp:extent cx="276225" cy="266700"/>
                <wp:effectExtent l="6350" t="6350" r="22225" b="12700"/>
                <wp:wrapNone/>
                <wp:docPr id="160" name="同心圆 160"/>
                <wp:cNvGraphicFramePr/>
                <a:graphic xmlns:a="http://schemas.openxmlformats.org/drawingml/2006/main">
                  <a:graphicData uri="http://schemas.microsoft.com/office/word/2010/wordprocessingShape">
                    <wps:wsp>
                      <wps:cNvSpPr/>
                      <wps:spPr>
                        <a:xfrm>
                          <a:off x="8085455" y="4118610"/>
                          <a:ext cx="276225" cy="266700"/>
                        </a:xfrm>
                        <a:prstGeom prst="donu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565.95pt;margin-top:268.4pt;height:21pt;width:21.75pt;z-index:251683840;v-text-anchor:middle;mso-width-relative:page;mso-height-relative:page;" fillcolor="#92D050" filled="t" stroked="t" coordsize="21600,21600" o:gfxdata="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C98&#10;E+3ZAAAADQEAAA8AAAAAAAAAAQAgAAAAIgAAAGRycy9kb3ducmV2LnhtbFBLAQIUABQAAAAIAIdO&#10;4kA50dZilAIAACgFAAAOAAAAAAAAAAEAIAAAACgBAABkcnMvZTJvRG9jLnhtbFBLBQYAAAAABgAG&#10;AFkBAAAuBgAAAAA=&#10;" adj="5213">
                <v:fill on="t" focussize="0,0"/>
                <v:stroke weight="1pt" color="#41719C [3204]" miterlimit="8" joinstyle="miter"/>
                <v:imagedata o:title=""/>
                <o:lock v:ext="edit" aspectratio="f"/>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88960" behindDoc="0" locked="0" layoutInCell="1" allowOverlap="1">
                <wp:simplePos x="0" y="0"/>
                <wp:positionH relativeFrom="column">
                  <wp:posOffset>7806690</wp:posOffset>
                </wp:positionH>
                <wp:positionV relativeFrom="paragraph">
                  <wp:posOffset>4620895</wp:posOffset>
                </wp:positionV>
                <wp:extent cx="847090" cy="340995"/>
                <wp:effectExtent l="0" t="0" r="0" b="0"/>
                <wp:wrapNone/>
                <wp:docPr id="312" name="文本框 312"/>
                <wp:cNvGraphicFramePr/>
                <a:graphic xmlns:a="http://schemas.openxmlformats.org/drawingml/2006/main">
                  <a:graphicData uri="http://schemas.microsoft.com/office/word/2010/wordprocessingShape">
                    <wps:wsp>
                      <wps:cNvSpPr txBox="1"/>
                      <wps:spPr>
                        <a:xfrm>
                          <a:off x="8662035" y="5768975"/>
                          <a:ext cx="847090" cy="3409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18"/>
                                <w:szCs w:val="18"/>
                                <w:lang w:val="en-US" w:eastAsia="zh-CN"/>
                              </w:rPr>
                            </w:pPr>
                            <w:r>
                              <w:rPr>
                                <w:rFonts w:hint="eastAsia"/>
                                <w:sz w:val="18"/>
                                <w:szCs w:val="18"/>
                                <w:lang w:val="en-US" w:eastAsia="zh-CN"/>
                              </w:rPr>
                              <w:t>危废仓库</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4.7pt;margin-top:363.85pt;height:26.85pt;width:66.7pt;z-index:251688960;mso-width-relative:page;mso-height-relative:page;" filled="f" stroked="f" coordsize="21600,21600" o:gfxdata="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ZDnQ+3AAAAA0BAAAPAAAA&#10;AAAAAAEAIAAAACIAAABkcnMvZG93bnJldi54bWxQSwECFAAUAAAACACHTuJA1n8KeEoCAAB1BAAA&#10;DgAAAAAAAAABACAAAAArAQAAZHJzL2Uyb0RvYy54bWxQSwUGAAAAAAYABgBZAQAA5wUAAAAA&#10;">
                <v:fill on="f" focussize="0,0"/>
                <v:stroke on="f" weight="0.5pt"/>
                <v:imagedata o:title=""/>
                <o:lock v:ext="edit" aspectratio="f"/>
                <v:textbox>
                  <w:txbxContent>
                    <w:p>
                      <w:pPr>
                        <w:rPr>
                          <w:rFonts w:hint="eastAsia" w:eastAsia="宋体"/>
                          <w:sz w:val="18"/>
                          <w:szCs w:val="18"/>
                          <w:lang w:val="en-US" w:eastAsia="zh-CN"/>
                        </w:rPr>
                      </w:pPr>
                      <w:r>
                        <w:rPr>
                          <w:rFonts w:hint="eastAsia"/>
                          <w:sz w:val="18"/>
                          <w:szCs w:val="18"/>
                          <w:lang w:val="en-US" w:eastAsia="zh-CN"/>
                        </w:rPr>
                        <w:t>危废仓库</w:t>
                      </w:r>
                    </w:p>
                  </w:txbxContent>
                </v:textbox>
              </v:shape>
            </w:pict>
          </mc:Fallback>
        </mc:AlternateContent>
      </w:r>
      <w:r>
        <w:rPr>
          <w:rFonts w:hint="default" w:ascii="Times New Roman" w:hAnsi="Times New Roman" w:cs="Times New Roman"/>
          <w:color w:val="auto"/>
        </w:rPr>
        <mc:AlternateContent>
          <mc:Choice Requires="wps">
            <w:drawing>
              <wp:anchor distT="0" distB="0" distL="114300" distR="114300" simplePos="0" relativeHeight="251667456" behindDoc="0" locked="0" layoutInCell="1" allowOverlap="1">
                <wp:simplePos x="0" y="0"/>
                <wp:positionH relativeFrom="column">
                  <wp:posOffset>4995545</wp:posOffset>
                </wp:positionH>
                <wp:positionV relativeFrom="paragraph">
                  <wp:posOffset>535305</wp:posOffset>
                </wp:positionV>
                <wp:extent cx="1762125" cy="428625"/>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762125" cy="4286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color w:val="FFFF00"/>
                                <w:highlight w:val="no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3.35pt;margin-top:42.15pt;height:33.75pt;width:138.75pt;z-index:251667456;mso-width-relative:page;mso-height-relative:page;" filled="f" stroked="f" coordsize="21600,21600" o:gfxdata="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iMZ7P3QAAAAwBAAAPAAAAAAAAAAEAIAAAACIA&#10;AABkcnMvZG93bnJldi54bWxQSwECFAAUAAAACACHTuJAZEuJdD0CAABqBAAADgAAAAAAAAABACAA&#10;AAAsAQAAZHJzL2Uyb0RvYy54bWxQSwUGAAAAAAYABgBZAQAA2wUAAAAA&#10;">
                <v:fill on="f" focussize="0,0"/>
                <v:stroke on="f" weight="0.5pt"/>
                <v:imagedata o:title=""/>
                <o:lock v:ext="edit" aspectratio="f"/>
                <v:textbox>
                  <w:txbxContent>
                    <w:p>
                      <w:pPr>
                        <w:rPr>
                          <w:rFonts w:hint="eastAsia"/>
                          <w:b/>
                          <w:bCs/>
                          <w:color w:val="FFFF00"/>
                          <w:highlight w:val="none"/>
                        </w:rPr>
                      </w:pPr>
                    </w:p>
                  </w:txbxContent>
                </v:textbox>
              </v:shape>
            </w:pict>
          </mc:Fallback>
        </mc:AlternateContent>
      </w:r>
    </w:p>
    <w:p>
      <w:pPr>
        <w:bidi w:val="0"/>
        <w:jc w:val="both"/>
        <w:rPr>
          <w:rFonts w:hint="default" w:ascii="Times New Roman" w:hAnsi="Times New Roman" w:eastAsia="宋体" w:cs="Times New Roman"/>
          <w:color w:val="auto"/>
          <w:lang w:eastAsia="zh-CN"/>
        </w:rPr>
      </w:pPr>
      <w:r>
        <w:rPr>
          <w:rFonts w:hint="default" w:ascii="Times New Roman" w:hAnsi="Times New Roman" w:cs="Times New Roman"/>
          <w:color w:val="auto"/>
          <w:sz w:val="24"/>
        </w:rPr>
        <mc:AlternateContent>
          <mc:Choice Requires="wps">
            <w:drawing>
              <wp:anchor distT="0" distB="0" distL="114300" distR="114300" simplePos="0" relativeHeight="251662336" behindDoc="0" locked="0" layoutInCell="1" allowOverlap="1">
                <wp:simplePos x="0" y="0"/>
                <wp:positionH relativeFrom="column">
                  <wp:posOffset>2806065</wp:posOffset>
                </wp:positionH>
                <wp:positionV relativeFrom="paragraph">
                  <wp:posOffset>2576830</wp:posOffset>
                </wp:positionV>
                <wp:extent cx="1005840" cy="34226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005840" cy="3422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color w:val="FFFF00"/>
                                <w:sz w:val="24"/>
                                <w:szCs w:val="24"/>
                                <w:lang w:eastAsia="zh-CN"/>
                              </w:rPr>
                            </w:pPr>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0.95pt;margin-top:202.9pt;height:26.95pt;width:79.2pt;z-index:251662336;mso-width-relative:page;mso-height-relative:page;" filled="f" stroked="f" coordsize="21600,21600" o:gfxdata="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TY/czcAAAACwEAAA8AAAAAAAAAAQAgAAAA&#10;IgAAAGRycy9kb3ducmV2LnhtbFBLAQIUABQAAAAIAIdO4kDYJwiLQAIAAHIEAAAOAAAAAAAAAAEA&#10;IAAAACsBAABkcnMvZTJvRG9jLnhtbFBLBQYAAAAABgAGAFkBAADdBQAAAAA=&#10;">
                <v:fill on="f" focussize="0,0"/>
                <v:stroke on="f" weight="0.5pt"/>
                <v:imagedata o:title=""/>
                <o:lock v:ext="edit" aspectratio="f"/>
                <v:textbox>
                  <w:txbxContent>
                    <w:p>
                      <w:pPr>
                        <w:rPr>
                          <w:rFonts w:hint="eastAsia" w:eastAsia="宋体"/>
                          <w:b/>
                          <w:bCs/>
                          <w:color w:val="FFFF00"/>
                          <w:sz w:val="24"/>
                          <w:szCs w:val="24"/>
                          <w:lang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9744" behindDoc="0" locked="0" layoutInCell="1" allowOverlap="1">
                <wp:simplePos x="0" y="0"/>
                <wp:positionH relativeFrom="column">
                  <wp:posOffset>2092960</wp:posOffset>
                </wp:positionH>
                <wp:positionV relativeFrom="paragraph">
                  <wp:posOffset>2751455</wp:posOffset>
                </wp:positionV>
                <wp:extent cx="767080" cy="37274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767080" cy="372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sz w:val="22"/>
                                <w:szCs w:val="22"/>
                                <w:lang w:val="en-US" w:eastAsia="zh-CN"/>
                              </w:rPr>
                            </w:pPr>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64.8pt;margin-top:216.65pt;height:29.35pt;width:60.4pt;z-index:251679744;mso-width-relative:page;mso-height-relative:page;" filled="f" stroked="f" coordsize="21600,21600" o:gfxdata="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j7lQf3QAAAAsBAAAPAAAAAAAAAAEA&#10;IAAAACIAAABkcnMvZG93bnJldi54bWxQSwECFAAUAAAACACHTuJADyBOQ0MCAABzBAAADgAAAAAA&#10;AAABACAAAAAsAQAAZHJzL2Uyb0RvYy54bWxQSwUGAAAAAAYABgBZAQAA4QUAAAAA&#10;">
                <v:fill on="f" focussize="0,0"/>
                <v:stroke on="f" weight="0.5pt"/>
                <v:imagedata o:title=""/>
                <o:lock v:ext="edit" aspectratio="f"/>
                <v:textbox>
                  <w:txbxContent>
                    <w:p>
                      <w:pPr>
                        <w:rPr>
                          <w:rFonts w:hint="default" w:eastAsia="宋体"/>
                          <w:b/>
                          <w:bCs/>
                          <w:color w:val="FFFF00"/>
                          <w:sz w:val="22"/>
                          <w:szCs w:val="22"/>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8720" behindDoc="0" locked="0" layoutInCell="1" allowOverlap="1">
                <wp:simplePos x="0" y="0"/>
                <wp:positionH relativeFrom="column">
                  <wp:posOffset>1825625</wp:posOffset>
                </wp:positionH>
                <wp:positionV relativeFrom="paragraph">
                  <wp:posOffset>3234055</wp:posOffset>
                </wp:positionV>
                <wp:extent cx="1104900" cy="37274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1104900" cy="372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sz w:val="22"/>
                                <w:szCs w:val="22"/>
                                <w:lang w:val="en-US" w:eastAsia="zh-CN"/>
                              </w:rPr>
                            </w:pPr>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43.75pt;margin-top:254.65pt;height:29.35pt;width:87pt;z-index:251678720;mso-width-relative:page;mso-height-relative:page;" filled="f" stroked="f" coordsize="21600,21600" o:gfxdata="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31jLdsAAAALAQAADwAAAAAAAAABACAA&#10;AAAiAAAAZHJzL2Rvd25yZXYueG1sUEsBAhQAFAAAAAgAh07iQBIQPjZDAgAAdAQAAA4AAAAAAAAA&#10;AQAgAAAAKgEAAGRycy9lMm9Eb2MueG1sUEsFBgAAAAAGAAYAWQEAAN8FAAAAAA==&#10;">
                <v:fill on="f" focussize="0,0"/>
                <v:stroke on="f" weight="0.5pt"/>
                <v:imagedata o:title=""/>
                <o:lock v:ext="edit" aspectratio="f"/>
                <v:textbox>
                  <w:txbxContent>
                    <w:p>
                      <w:pPr>
                        <w:rPr>
                          <w:rFonts w:hint="default" w:eastAsia="宋体"/>
                          <w:b/>
                          <w:bCs/>
                          <w:color w:val="FFFF00"/>
                          <w:sz w:val="22"/>
                          <w:szCs w:val="22"/>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7696" behindDoc="0" locked="0" layoutInCell="1" allowOverlap="1">
                <wp:simplePos x="0" y="0"/>
                <wp:positionH relativeFrom="column">
                  <wp:posOffset>1482725</wp:posOffset>
                </wp:positionH>
                <wp:positionV relativeFrom="paragraph">
                  <wp:posOffset>4500245</wp:posOffset>
                </wp:positionV>
                <wp:extent cx="1104900" cy="372745"/>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104900" cy="372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sz w:val="22"/>
                                <w:szCs w:val="22"/>
                                <w:lang w:val="en-US" w:eastAsia="zh-CN"/>
                              </w:rPr>
                            </w:pPr>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16.75pt;margin-top:354.35pt;height:29.35pt;width:87pt;z-index:251677696;mso-width-relative:page;mso-height-relative:page;" filled="f" stroked="f" coordsize="21600,21600" o:gfxdata="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fpH3m2wAAAAsBAAAPAAAAAAAAAAEAIAAA&#10;ACIAAABkcnMvZG93bnJldi54bWxQSwECFAAUAAAACACHTuJA7nVVf0ICAAB0BAAADgAAAAAAAAAB&#10;ACAAAAAqAQAAZHJzL2Uyb0RvYy54bWxQSwUGAAAAAAYABgBZAQAA3gUAAAAA&#10;">
                <v:fill on="f" focussize="0,0"/>
                <v:stroke on="f" weight="0.5pt"/>
                <v:imagedata o:title=""/>
                <o:lock v:ext="edit" aspectratio="f"/>
                <v:textbox>
                  <w:txbxContent>
                    <w:p>
                      <w:pPr>
                        <w:rPr>
                          <w:rFonts w:hint="default" w:eastAsia="宋体"/>
                          <w:b/>
                          <w:bCs/>
                          <w:color w:val="FFFF00"/>
                          <w:sz w:val="22"/>
                          <w:szCs w:val="22"/>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6672" behindDoc="0" locked="0" layoutInCell="1" allowOverlap="1">
                <wp:simplePos x="0" y="0"/>
                <wp:positionH relativeFrom="column">
                  <wp:posOffset>2657475</wp:posOffset>
                </wp:positionH>
                <wp:positionV relativeFrom="paragraph">
                  <wp:posOffset>4434840</wp:posOffset>
                </wp:positionV>
                <wp:extent cx="1104900" cy="372745"/>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104900" cy="372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sz w:val="22"/>
                                <w:szCs w:val="22"/>
                                <w:lang w:val="en-US" w:eastAsia="zh-CN"/>
                              </w:rPr>
                            </w:pPr>
                          </w:p>
                        </w:txbxContent>
                      </wps:txbx>
                      <wps:bodyPr rot="0" spcFirstLastPara="0" vertOverflow="overflow" horzOverflow="overflow" vert="horz" wrap="square" lIns="91440" tIns="45720" rIns="91440" bIns="4572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9.25pt;margin-top:349.2pt;height:29.35pt;width:87pt;z-index:251676672;mso-width-relative:page;mso-height-relative:page;" filled="f" stroked="f" coordsize="21600,21600" o:gfxdata="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PuJ9pfcAAAACwEAAA8AAAAAAAAAAQAg&#10;AAAAIgAAAGRycy9kb3ducmV2LnhtbFBLAQIUABQAAAAIAIdO4kAw7s3uQwIAAHQEAAAOAAAAAAAA&#10;AAEAIAAAACsBAABkcnMvZTJvRG9jLnhtbFBLBQYAAAAABgAGAFkBAADgBQAAAAA=&#10;">
                <v:fill on="f" focussize="0,0"/>
                <v:stroke on="f" weight="0.5pt"/>
                <v:imagedata o:title=""/>
                <o:lock v:ext="edit" aspectratio="f"/>
                <v:textbox>
                  <w:txbxContent>
                    <w:p>
                      <w:pPr>
                        <w:rPr>
                          <w:rFonts w:hint="default" w:eastAsia="宋体"/>
                          <w:b/>
                          <w:bCs/>
                          <w:color w:val="FFFF00"/>
                          <w:sz w:val="22"/>
                          <w:szCs w:val="22"/>
                          <w:lang w:val="en-US"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4624" behindDoc="0" locked="0" layoutInCell="1" allowOverlap="1">
                <wp:simplePos x="0" y="0"/>
                <wp:positionH relativeFrom="column">
                  <wp:posOffset>2416810</wp:posOffset>
                </wp:positionH>
                <wp:positionV relativeFrom="paragraph">
                  <wp:posOffset>3717290</wp:posOffset>
                </wp:positionV>
                <wp:extent cx="914400" cy="9144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color w:val="FFFF00"/>
                                <w:sz w:val="24"/>
                                <w:szCs w:val="24"/>
                                <w:lang w:eastAsia="zh-CN"/>
                              </w:rPr>
                            </w:pPr>
                          </w:p>
                        </w:txbxContent>
                      </wps:txbx>
                      <wps:bodyPr rot="0" spcFirstLastPara="0" vertOverflow="overflow" horzOverflow="overflow" vert="horz" wrap="square" lIns="91440" tIns="45720" rIns="91440" bIns="4572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90.3pt;margin-top:292.7pt;height:72pt;width:72pt;z-index:251674624;mso-width-relative:page;mso-height-relative:page;" filled="f" stroked="f" coordsize="21600,21600" o:gfxdata="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O4D7z1wAAAAsBAAAPAAAAAAAAAAEAIAAAACIAAABkcnMv&#10;ZG93bnJldi54bWxQSwECFAAUAAAACACHTuJAfCcOtz0CAABzBAAADgAAAAAAAAABACAAAAAmAQAA&#10;ZHJzL2Uyb0RvYy54bWxQSwUGAAAAAAYABgBZAQAA1QUAAAAA&#10;">
                <v:fill on="f" focussize="0,0"/>
                <v:stroke on="f" weight="0.5pt"/>
                <v:imagedata o:title=""/>
                <o:lock v:ext="edit" aspectratio="f"/>
                <v:textbox style="mso-fit-shape-to-text:t;">
                  <w:txbxContent>
                    <w:p>
                      <w:pPr>
                        <w:rPr>
                          <w:rFonts w:hint="eastAsia" w:eastAsia="宋体"/>
                          <w:b/>
                          <w:bCs/>
                          <w:color w:val="FFFF00"/>
                          <w:sz w:val="24"/>
                          <w:szCs w:val="24"/>
                          <w:lang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5648" behindDoc="0" locked="0" layoutInCell="1" allowOverlap="1">
                <wp:simplePos x="0" y="0"/>
                <wp:positionH relativeFrom="column">
                  <wp:posOffset>3002915</wp:posOffset>
                </wp:positionH>
                <wp:positionV relativeFrom="paragraph">
                  <wp:posOffset>4007485</wp:posOffset>
                </wp:positionV>
                <wp:extent cx="914400" cy="9144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color w:val="FFFF00"/>
                                <w:sz w:val="24"/>
                                <w:szCs w:val="24"/>
                                <w:lang w:eastAsia="zh-CN"/>
                              </w:rPr>
                            </w:pPr>
                          </w:p>
                        </w:txbxContent>
                      </wps:txbx>
                      <wps:bodyPr rot="0" spcFirstLastPara="0" vertOverflow="overflow" horzOverflow="overflow" vert="horz" wrap="square" lIns="91440" tIns="45720" rIns="91440" bIns="4572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36.45pt;margin-top:315.55pt;height:72pt;width:72pt;z-index:251675648;mso-width-relative:page;mso-height-relative:page;" filled="f" stroked="f" coordsize="21600,21600" o:gfxdata="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NcAvvzXAAAACwEAAA8AAAAAAAAAAQAgAAAAIgAAAGRycy9k&#10;b3ducmV2LnhtbFBLAQIUABQAAAAIAIdO4kAW/5E8PAIAAHMEAAAOAAAAAAAAAAEAIAAAACYBAABk&#10;cnMvZTJvRG9jLnhtbFBLBQYAAAAABgAGAFkBAADUBQAAAAA=&#10;">
                <v:fill on="f" focussize="0,0"/>
                <v:stroke on="f" weight="0.5pt"/>
                <v:imagedata o:title=""/>
                <o:lock v:ext="edit" aspectratio="f"/>
                <v:textbox style="mso-fit-shape-to-text:t;">
                  <w:txbxContent>
                    <w:p>
                      <w:pPr>
                        <w:rPr>
                          <w:rFonts w:hint="eastAsia" w:eastAsia="宋体"/>
                          <w:b/>
                          <w:bCs/>
                          <w:color w:val="FFFF00"/>
                          <w:sz w:val="24"/>
                          <w:szCs w:val="24"/>
                          <w:lang w:eastAsia="zh-CN"/>
                        </w:rPr>
                      </w:pPr>
                    </w:p>
                  </w:txbxContent>
                </v:textbox>
              </v:shap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63360" behindDoc="0" locked="0" layoutInCell="1" allowOverlap="1">
                <wp:simplePos x="0" y="0"/>
                <wp:positionH relativeFrom="column">
                  <wp:posOffset>3750310</wp:posOffset>
                </wp:positionH>
                <wp:positionV relativeFrom="paragraph">
                  <wp:posOffset>1325880</wp:posOffset>
                </wp:positionV>
                <wp:extent cx="914400" cy="9144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95.3pt;margin-top:104.4pt;height:72pt;width:72pt;z-index:251663360;mso-width-relative:page;mso-height-relative:page;" filled="f" stroked="f" coordsize="21600,21600" o:gfxdata="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166Wt1wAAAAsBAAAPAAAAAAAAAAEAIAAAACIAAABkcnMv&#10;ZG93bnJldi54bWxQSwECFAAUAAAACACHTuJA/VjXpj0CAABzBAAADgAAAAAAAAABACAAAAAmAQAA&#10;ZHJzL2Uyb0RvYy54bWxQSwUGAAAAAAYABgBZAQAA1QUAAAAA&#10;">
                <v:fill on="f" focussize="0,0"/>
                <v:stroke on="f" weight="0.5pt"/>
                <v:imagedata o:title=""/>
                <o:lock v:ext="edit" aspectratio="f"/>
                <v:textbox style="mso-fit-shape-to-text:t;">
                  <w:txbxContent>
                    <w:p>
                      <w:pPr>
                        <w:rPr>
                          <w:rFonts w:hint="default" w:eastAsia="宋体"/>
                          <w:b/>
                          <w:bCs/>
                          <w:color w:val="FFFF00"/>
                          <w:sz w:val="24"/>
                          <w:szCs w:val="24"/>
                          <w:lang w:val="en-US" w:eastAsia="zh-CN"/>
                        </w:rPr>
                      </w:pPr>
                    </w:p>
                  </w:txbxContent>
                </v:textbox>
              </v:shape>
            </w:pict>
          </mc:Fallback>
        </mc:AlternateContent>
      </w:r>
    </w:p>
    <w:p>
      <w:pPr>
        <w:jc w:val="both"/>
        <w:rPr>
          <w:rFonts w:hint="default" w:ascii="Times New Roman" w:hAnsi="Times New Roman" w:cs="Times New Roman"/>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41"/>
        <w:jc w:val="center"/>
        <w:rPr>
          <w:rFonts w:hint="default" w:ascii="Times New Roman" w:hAnsi="Times New Roman" w:cs="Times New Roman"/>
          <w:color w:val="auto"/>
          <w:sz w:val="21"/>
          <w:highlight w:val="none"/>
        </w:rPr>
      </w:pPr>
    </w:p>
    <w:p>
      <w:pPr>
        <w:pStyle w:val="41"/>
        <w:jc w:val="center"/>
        <w:rPr>
          <w:rFonts w:hint="eastAsia" w:ascii="Times New Roman" w:hAnsi="Times New Roman" w:eastAsia="仿宋_GB2312" w:cs="Times New Roman"/>
          <w:b/>
          <w:color w:val="auto"/>
          <w:kern w:val="2"/>
          <w:sz w:val="24"/>
          <w:szCs w:val="24"/>
          <w:lang w:val="en-US" w:eastAsia="zh-CN" w:bidi="ar-SA"/>
        </w:rPr>
      </w:pPr>
      <w:r>
        <w:rPr>
          <w:rFonts w:hint="default" w:ascii="Times New Roman" w:hAnsi="Times New Roman" w:cs="Times New Roman"/>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3931285</wp:posOffset>
                </wp:positionH>
                <wp:positionV relativeFrom="paragraph">
                  <wp:posOffset>2279015</wp:posOffset>
                </wp:positionV>
                <wp:extent cx="858520" cy="36703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858520" cy="367030"/>
                        </a:xfrm>
                        <a:prstGeom prst="rect">
                          <a:avLst/>
                        </a:prstGeom>
                        <a:noFill/>
                        <a:ln>
                          <a:noFill/>
                        </a:ln>
                        <a:effectLst/>
                      </wps:spPr>
                      <wps:txbx>
                        <w:txbxContent>
                          <w:p>
                            <w:pPr>
                              <w:rPr>
                                <w:rFonts w:hint="default" w:eastAsia="宋体"/>
                                <w:b/>
                                <w:bCs/>
                                <w:color w:val="FFFF00"/>
                                <w:sz w:val="24"/>
                                <w:szCs w:val="24"/>
                                <w:highlight w:val="none"/>
                                <w:shd w:val="clear" w:color="auto" w:fill="auto"/>
                                <w:lang w:val="en-US" w:eastAsia="zh-CN"/>
                              </w:rPr>
                            </w:pPr>
                          </w:p>
                        </w:txbxContent>
                      </wps:txbx>
                      <wps:bodyPr upright="1"/>
                    </wps:wsp>
                  </a:graphicData>
                </a:graphic>
              </wp:anchor>
            </w:drawing>
          </mc:Choice>
          <mc:Fallback>
            <w:pict>
              <v:shape id="_x0000_s1026" o:spid="_x0000_s1026" o:spt="202" type="#_x0000_t202" style="position:absolute;left:0pt;margin-left:309.55pt;margin-top:179.45pt;height:28.9pt;width:67.6pt;z-index:251664384;mso-width-relative:page;mso-height-relative:page;" filled="f" stroked="f" coordsize="21600,21600" o:gfxdata="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Rca6fZAAAACwEAAA8AAAAAAAAAAQAgAAAAIgAAAGRycy9kb3ducmV2LnhtbFBLAQIUABQAAAAI&#10;AIdO4kACQHY/swEAAF8DAAAOAAAAAAAAAAEAIAAAACgBAABkcnMvZTJvRG9jLnhtbFBLBQYAAAAA&#10;BgAGAFkBAABNBQAAAAA=&#10;">
                <v:fill on="f" focussize="0,0"/>
                <v:stroke on="f"/>
                <v:imagedata o:title=""/>
                <o:lock v:ext="edit" aspectratio="f"/>
                <v:textbox>
                  <w:txbxContent>
                    <w:p>
                      <w:pPr>
                        <w:rPr>
                          <w:rFonts w:hint="default" w:eastAsia="宋体"/>
                          <w:b/>
                          <w:bCs/>
                          <w:color w:val="FFFF00"/>
                          <w:sz w:val="24"/>
                          <w:szCs w:val="24"/>
                          <w:highlight w:val="none"/>
                          <w:shd w:val="clear" w:color="auto" w:fill="auto"/>
                          <w:lang w:val="en-US" w:eastAsia="zh-CN"/>
                        </w:rPr>
                      </w:pP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87936" behindDoc="0" locked="0" layoutInCell="1" allowOverlap="1">
                <wp:simplePos x="0" y="0"/>
                <wp:positionH relativeFrom="column">
                  <wp:posOffset>3016250</wp:posOffset>
                </wp:positionH>
                <wp:positionV relativeFrom="paragraph">
                  <wp:posOffset>3503295</wp:posOffset>
                </wp:positionV>
                <wp:extent cx="858520" cy="367030"/>
                <wp:effectExtent l="0" t="0" r="0" b="0"/>
                <wp:wrapNone/>
                <wp:docPr id="215" name="文本框 215"/>
                <wp:cNvGraphicFramePr/>
                <a:graphic xmlns:a="http://schemas.openxmlformats.org/drawingml/2006/main">
                  <a:graphicData uri="http://schemas.microsoft.com/office/word/2010/wordprocessingShape">
                    <wps:wsp>
                      <wps:cNvSpPr txBox="1"/>
                      <wps:spPr>
                        <a:xfrm>
                          <a:off x="0" y="0"/>
                          <a:ext cx="858520" cy="367030"/>
                        </a:xfrm>
                        <a:prstGeom prst="rect">
                          <a:avLst/>
                        </a:prstGeom>
                        <a:noFill/>
                        <a:ln>
                          <a:noFill/>
                        </a:ln>
                        <a:effectLst/>
                      </wps:spPr>
                      <wps:txbx>
                        <w:txbxContent>
                          <w:p>
                            <w:pPr>
                              <w:rPr>
                                <w:rFonts w:hint="default" w:eastAsia="宋体"/>
                                <w:b/>
                                <w:bCs/>
                                <w:color w:val="FFFF00"/>
                                <w:sz w:val="24"/>
                                <w:szCs w:val="24"/>
                                <w:highlight w:val="none"/>
                                <w:shd w:val="clear" w:color="auto" w:fill="auto"/>
                                <w:lang w:val="en-US" w:eastAsia="zh-CN"/>
                              </w:rPr>
                            </w:pPr>
                          </w:p>
                        </w:txbxContent>
                      </wps:txbx>
                      <wps:bodyPr upright="1"/>
                    </wps:wsp>
                  </a:graphicData>
                </a:graphic>
              </wp:anchor>
            </w:drawing>
          </mc:Choice>
          <mc:Fallback>
            <w:pict>
              <v:shape id="_x0000_s1026" o:spid="_x0000_s1026" o:spt="202" type="#_x0000_t202" style="position:absolute;left:0pt;margin-left:237.5pt;margin-top:275.85pt;height:28.9pt;width:67.6pt;z-index:251687936;mso-width-relative:page;mso-height-relative:page;" filled="f" stroked="f" coordsize="21600,21600" o:gfxdata="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u+5IE2QAAAAsBAAAPAAAAAAAAAAEAIAAAACIAAABkcnMvZG93bnJldi54bWxQSwECFAAUAAAA&#10;CACHTuJA/jZP7LQBAABfAwAADgAAAAAAAAABACAAAAAoAQAAZHJzL2Uyb0RvYy54bWxQSwUGAAAA&#10;AAYABgBZAQAATgUAAAAA&#10;">
                <v:fill on="f" focussize="0,0"/>
                <v:stroke on="f"/>
                <v:imagedata o:title=""/>
                <o:lock v:ext="edit" aspectratio="f"/>
                <v:textbox>
                  <w:txbxContent>
                    <w:p>
                      <w:pPr>
                        <w:rPr>
                          <w:rFonts w:hint="default" w:eastAsia="宋体"/>
                          <w:b/>
                          <w:bCs/>
                          <w:color w:val="FFFF00"/>
                          <w:sz w:val="24"/>
                          <w:szCs w:val="24"/>
                          <w:highlight w:val="none"/>
                          <w:shd w:val="clear" w:color="auto" w:fill="auto"/>
                          <w:lang w:val="en-US" w:eastAsia="zh-CN"/>
                        </w:rPr>
                      </w:pP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86912" behindDoc="0" locked="0" layoutInCell="1" allowOverlap="1">
                <wp:simplePos x="0" y="0"/>
                <wp:positionH relativeFrom="column">
                  <wp:posOffset>3144520</wp:posOffset>
                </wp:positionH>
                <wp:positionV relativeFrom="paragraph">
                  <wp:posOffset>1524635</wp:posOffset>
                </wp:positionV>
                <wp:extent cx="858520" cy="36703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858520" cy="367030"/>
                        </a:xfrm>
                        <a:prstGeom prst="rect">
                          <a:avLst/>
                        </a:prstGeom>
                        <a:noFill/>
                        <a:ln>
                          <a:noFill/>
                        </a:ln>
                        <a:effectLst/>
                      </wps:spPr>
                      <wps:txbx>
                        <w:txbxContent>
                          <w:p>
                            <w:pPr>
                              <w:rPr>
                                <w:rFonts w:hint="default" w:eastAsia="宋体"/>
                                <w:b/>
                                <w:bCs/>
                                <w:color w:val="FFFF00"/>
                                <w:sz w:val="24"/>
                                <w:szCs w:val="24"/>
                                <w:highlight w:val="none"/>
                                <w:shd w:val="clear" w:color="auto" w:fill="auto"/>
                                <w:lang w:val="en-US" w:eastAsia="zh-CN"/>
                              </w:rPr>
                            </w:pPr>
                          </w:p>
                        </w:txbxContent>
                      </wps:txbx>
                      <wps:bodyPr upright="1"/>
                    </wps:wsp>
                  </a:graphicData>
                </a:graphic>
              </wp:anchor>
            </w:drawing>
          </mc:Choice>
          <mc:Fallback>
            <w:pict>
              <v:shape id="_x0000_s1026" o:spid="_x0000_s1026" o:spt="202" type="#_x0000_t202" style="position:absolute;left:0pt;margin-left:247.6pt;margin-top:120.05pt;height:28.9pt;width:67.6pt;z-index:251686912;mso-width-relative:page;mso-height-relative:page;" filled="f" stroked="f" coordsize="21600,21600" o:gfxdata="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izdgr9gAAAALAQAADwAAAAAAAAABACAAAAAiAAAAZHJzL2Rvd25yZXYueG1sUEsBAhQAFAAAAAgA&#10;h07iQN4lO4CzAQAAXwMAAA4AAAAAAAAAAQAgAAAAJwEAAGRycy9lMm9Eb2MueG1sUEsFBgAAAAAG&#10;AAYAWQEAAEwFAAAAAA==&#10;">
                <v:fill on="f" focussize="0,0"/>
                <v:stroke on="f"/>
                <v:imagedata o:title=""/>
                <o:lock v:ext="edit" aspectratio="f"/>
                <v:textbox>
                  <w:txbxContent>
                    <w:p>
                      <w:pPr>
                        <w:rPr>
                          <w:rFonts w:hint="default" w:eastAsia="宋体"/>
                          <w:b/>
                          <w:bCs/>
                          <w:color w:val="FFFF00"/>
                          <w:sz w:val="24"/>
                          <w:szCs w:val="24"/>
                          <w:highlight w:val="none"/>
                          <w:shd w:val="clear" w:color="auto" w:fill="auto"/>
                          <w:lang w:val="en-US" w:eastAsia="zh-CN"/>
                        </w:rPr>
                      </w:pPr>
                    </w:p>
                  </w:txbxContent>
                </v:textbox>
              </v:shape>
            </w:pict>
          </mc:Fallback>
        </mc:AlternateContent>
      </w:r>
    </w:p>
    <w:p>
      <w:pPr>
        <w:pStyle w:val="4"/>
        <w:numPr>
          <w:ilvl w:val="2"/>
          <w:numId w:val="0"/>
        </w:numPr>
        <w:bidi w:val="0"/>
        <w:ind w:leftChars="0"/>
        <w:jc w:val="center"/>
        <w:outlineLvl w:val="9"/>
        <w:rPr>
          <w:rFonts w:hint="default" w:ascii="Times New Roman" w:hAnsi="Times New Roman" w:cs="Times New Roman"/>
          <w:color w:val="auto"/>
          <w:lang w:val="en-US" w:eastAsia="zh-CN"/>
        </w:rPr>
      </w:pPr>
      <w:r>
        <w:rPr>
          <w:rFonts w:hint="default" w:ascii="Times New Roman" w:hAnsi="Times New Roman" w:cs="Times New Roman"/>
          <w:color w:val="auto"/>
        </w:rPr>
        <mc:AlternateContent>
          <mc:Choice Requires="wps">
            <w:drawing>
              <wp:anchor distT="0" distB="0" distL="114300" distR="114300" simplePos="0" relativeHeight="251669504" behindDoc="0" locked="0" layoutInCell="1" allowOverlap="1">
                <wp:simplePos x="0" y="0"/>
                <wp:positionH relativeFrom="column">
                  <wp:posOffset>3353435</wp:posOffset>
                </wp:positionH>
                <wp:positionV relativeFrom="paragraph">
                  <wp:posOffset>2644140</wp:posOffset>
                </wp:positionV>
                <wp:extent cx="911860" cy="394970"/>
                <wp:effectExtent l="0" t="0" r="0" b="0"/>
                <wp:wrapNone/>
                <wp:docPr id="236" name="文本框 236"/>
                <wp:cNvGraphicFramePr/>
                <a:graphic xmlns:a="http://schemas.openxmlformats.org/drawingml/2006/main">
                  <a:graphicData uri="http://schemas.microsoft.com/office/word/2010/wordprocessingShape">
                    <wps:wsp>
                      <wps:cNvSpPr txBox="1"/>
                      <wps:spPr>
                        <a:xfrm>
                          <a:off x="4777740" y="3369310"/>
                          <a:ext cx="911860" cy="394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FF00"/>
                                <w:sz w:val="28"/>
                                <w:szCs w:val="28"/>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4.05pt;margin-top:208.2pt;height:31.1pt;width:71.8pt;z-index:251669504;mso-width-relative:page;mso-height-relative:page;" filled="f" stroked="f" coordsize="21600,21600" o:gfxdata="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3t/bJdwAAAALAQAADwAAAAAA&#10;AAABACAAAAAiAAAAZHJzL2Rvd25yZXYueG1sUEsBAhQAFAAAAAgAh07iQE49xnpIAgAAdQQAAA4A&#10;AAAAAAAAAQAgAAAAKwEAAGRycy9lMm9Eb2MueG1sUEsFBgAAAAAGAAYAWQEAAOUFAAAAAA==&#10;">
                <v:fill on="f" focussize="0,0"/>
                <v:stroke on="f" weight="0.5pt"/>
                <v:imagedata o:title=""/>
                <o:lock v:ext="edit" aspectratio="f"/>
                <v:textbox>
                  <w:txbxContent>
                    <w:p>
                      <w:pPr>
                        <w:rPr>
                          <w:rFonts w:hint="default" w:eastAsia="宋体"/>
                          <w:b/>
                          <w:bCs/>
                          <w:color w:val="FFFF00"/>
                          <w:sz w:val="28"/>
                          <w:szCs w:val="28"/>
                          <w:lang w:val="en-US" w:eastAsia="zh-CN"/>
                        </w:rPr>
                      </w:pPr>
                    </w:p>
                  </w:txbxContent>
                </v:textbox>
              </v:shape>
            </w:pict>
          </mc:Fallback>
        </mc:AlternateContent>
      </w:r>
    </w:p>
    <w:p>
      <w:pPr>
        <w:rPr>
          <w:rFonts w:hint="default" w:ascii="Times New Roman" w:hAnsi="Times New Roman" w:cs="Times New Roman"/>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bidi w:val="0"/>
        <w:jc w:val="center"/>
        <w:rPr>
          <w:rFonts w:hint="default" w:ascii="Times New Roman" w:hAnsi="Times New Roman" w:cs="Times New Roman"/>
          <w:color w:val="auto"/>
          <w:sz w:val="21"/>
          <w:highlight w:val="none"/>
        </w:rPr>
      </w:pPr>
    </w:p>
    <w:p>
      <w:pPr>
        <w:pStyle w:val="19"/>
        <w:jc w:val="center"/>
        <w:rPr>
          <w:rFonts w:hint="default" w:ascii="Times New Roman" w:hAnsi="Times New Roman" w:eastAsia="宋体" w:cs="Times New Roman"/>
          <w:b/>
          <w:bCs/>
          <w:color w:val="auto"/>
          <w:kern w:val="0"/>
          <w:szCs w:val="21"/>
          <w:lang w:val="en-US" w:eastAsia="zh-CN"/>
        </w:rPr>
      </w:pPr>
      <w:r>
        <w:rPr>
          <w:rFonts w:hint="default" w:ascii="Times New Roman" w:hAnsi="Times New Roman" w:cs="Times New Roman"/>
          <w:color w:val="auto"/>
          <w:sz w:val="24"/>
        </w:rPr>
        <mc:AlternateContent>
          <mc:Choice Requires="wps">
            <w:drawing>
              <wp:anchor distT="0" distB="0" distL="114300" distR="114300" simplePos="0" relativeHeight="251673600" behindDoc="0" locked="0" layoutInCell="1" allowOverlap="1">
                <wp:simplePos x="0" y="0"/>
                <wp:positionH relativeFrom="column">
                  <wp:posOffset>479425</wp:posOffset>
                </wp:positionH>
                <wp:positionV relativeFrom="paragraph">
                  <wp:posOffset>5304790</wp:posOffset>
                </wp:positionV>
                <wp:extent cx="433705" cy="0"/>
                <wp:effectExtent l="0" t="19050" r="4445" b="19050"/>
                <wp:wrapNone/>
                <wp:docPr id="44" name="直接连接符 44"/>
                <wp:cNvGraphicFramePr/>
                <a:graphic xmlns:a="http://schemas.openxmlformats.org/drawingml/2006/main">
                  <a:graphicData uri="http://schemas.microsoft.com/office/word/2010/wordprocessingShape">
                    <wps:wsp>
                      <wps:cNvCnPr/>
                      <wps:spPr>
                        <a:xfrm>
                          <a:off x="0" y="0"/>
                          <a:ext cx="433705" cy="0"/>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7.75pt;margin-top:417.7pt;height:0pt;width:34.15pt;z-index:251673600;mso-width-relative:page;mso-height-relative:page;" filled="f" stroked="t" coordsize="21600,21600" o:gfxdata="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RebuO1gAA&#10;AAoBAAAPAAAAAAAAAAEAIAAAACIAAABkcnMvZG93bnJldi54bWxQSwECFAAUAAAACACHTuJA4wYU&#10;9OcBAACzAwAADgAAAAAAAAABACAAAAAlAQAAZHJzL2Uyb0RvYy54bWxQSwUGAAAAAAYABgBZAQAA&#10;fgUAAAAA&#10;">
                <v:fill on="f" focussize="0,0"/>
                <v:stroke weight="3pt" color="#FF0000 [3204]" miterlimit="8" joinstyle="miter"/>
                <v:imagedata o:title=""/>
                <o:lock v:ext="edit" aspectratio="f"/>
              </v:lin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2576" behindDoc="0" locked="0" layoutInCell="1" allowOverlap="1">
                <wp:simplePos x="0" y="0"/>
                <wp:positionH relativeFrom="column">
                  <wp:posOffset>469265</wp:posOffset>
                </wp:positionH>
                <wp:positionV relativeFrom="paragraph">
                  <wp:posOffset>5071745</wp:posOffset>
                </wp:positionV>
                <wp:extent cx="433705" cy="0"/>
                <wp:effectExtent l="0" t="85725" r="4445" b="85725"/>
                <wp:wrapNone/>
                <wp:docPr id="38" name="直接连接符 38"/>
                <wp:cNvGraphicFramePr/>
                <a:graphic xmlns:a="http://schemas.openxmlformats.org/drawingml/2006/main">
                  <a:graphicData uri="http://schemas.microsoft.com/office/word/2010/wordprocessingShape">
                    <wps:wsp>
                      <wps:cNvCnPr/>
                      <wps:spPr>
                        <a:xfrm>
                          <a:off x="0" y="0"/>
                          <a:ext cx="433705" cy="0"/>
                        </a:xfrm>
                        <a:prstGeom prst="line">
                          <a:avLst/>
                        </a:prstGeom>
                        <a:ln w="38100">
                          <a:solidFill>
                            <a:srgbClr val="FFFF00"/>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6.95pt;margin-top:399.35pt;height:0pt;width:34.15pt;z-index:251672576;mso-width-relative:page;mso-height-relative:page;" filled="f" stroked="t" coordsize="21600,21600" o:gfxdata="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Gtjxe2gAAAAoBAAAPAAAAAAAAAAEAIAAAACIA&#10;AABkcnMvZG93bnJldi54bWxQSwECFAAUAAAACACHTuJAnmVyzAcCAAD2AwAADgAAAAAAAAABACAA&#10;AAApAQAAZHJzL2Uyb0RvYy54bWxQSwUGAAAAAAYABgBZAQAAogUAAAAA&#10;">
                <v:fill on="f" focussize="0,0"/>
                <v:stroke weight="3pt" color="#FFFF00 [3204]" miterlimit="8" joinstyle="miter" endarrow="open"/>
                <v:imagedata o:title=""/>
                <o:lock v:ext="edit" aspectratio="f"/>
              </v:lin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1552" behindDoc="0" locked="0" layoutInCell="1" allowOverlap="1">
                <wp:simplePos x="0" y="0"/>
                <wp:positionH relativeFrom="column">
                  <wp:posOffset>454025</wp:posOffset>
                </wp:positionH>
                <wp:positionV relativeFrom="paragraph">
                  <wp:posOffset>4845050</wp:posOffset>
                </wp:positionV>
                <wp:extent cx="433705" cy="0"/>
                <wp:effectExtent l="0" t="19050" r="4445" b="19050"/>
                <wp:wrapNone/>
                <wp:docPr id="36" name="直接连接符 36"/>
                <wp:cNvGraphicFramePr/>
                <a:graphic xmlns:a="http://schemas.openxmlformats.org/drawingml/2006/main">
                  <a:graphicData uri="http://schemas.microsoft.com/office/word/2010/wordprocessingShape">
                    <wps:wsp>
                      <wps:cNvCnPr/>
                      <wps:spPr>
                        <a:xfrm>
                          <a:off x="3552825" y="5342890"/>
                          <a:ext cx="433705" cy="0"/>
                        </a:xfrm>
                        <a:prstGeom prst="line">
                          <a:avLst/>
                        </a:prstGeom>
                        <a:ln w="38100">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5.75pt;margin-top:381.5pt;height:0pt;width:34.15pt;z-index:251671552;mso-width-relative:page;mso-height-relative:page;" filled="f" stroked="t" coordsize="21600,21600" o:gfxdata="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vzBU9YAAAAKAQAADwAAAAAAAAABACAAAAAiAAAAZHJzL2Rvd25yZXYueG1sUEsB&#10;AhQAFAAAAAgAh07iQKxtVOD3AQAAvwMAAA4AAAAAAAAAAQAgAAAAJQEAAGRycy9lMm9Eb2MueG1s&#10;UEsFBgAAAAAGAAYAWQEAAI4FAAAAAA==&#10;">
                <v:fill on="f" focussize="0,0"/>
                <v:stroke weight="3pt" color="#00B0F0 [3204]" miterlimit="8" joinstyle="miter"/>
                <v:imagedata o:title=""/>
                <o:lock v:ext="edit" aspectratio="f"/>
              </v:line>
            </w:pict>
          </mc:Fallback>
        </mc:AlternateContent>
      </w:r>
      <w:r>
        <w:rPr>
          <w:rFonts w:hint="default" w:ascii="Times New Roman" w:hAnsi="Times New Roman" w:cs="Times New Roman"/>
          <w:color w:val="auto"/>
          <w:sz w:val="24"/>
        </w:rPr>
        <mc:AlternateContent>
          <mc:Choice Requires="wps">
            <w:drawing>
              <wp:anchor distT="0" distB="0" distL="114300" distR="114300" simplePos="0" relativeHeight="251670528" behindDoc="0" locked="0" layoutInCell="1" allowOverlap="1">
                <wp:simplePos x="0" y="0"/>
                <wp:positionH relativeFrom="column">
                  <wp:posOffset>454025</wp:posOffset>
                </wp:positionH>
                <wp:positionV relativeFrom="paragraph">
                  <wp:posOffset>4379595</wp:posOffset>
                </wp:positionV>
                <wp:extent cx="1376680" cy="1227455"/>
                <wp:effectExtent l="4445" t="4445" r="9525" b="6350"/>
                <wp:wrapNone/>
                <wp:docPr id="34" name="文本框 34"/>
                <wp:cNvGraphicFramePr/>
                <a:graphic xmlns:a="http://schemas.openxmlformats.org/drawingml/2006/main">
                  <a:graphicData uri="http://schemas.microsoft.com/office/word/2010/wordprocessingShape">
                    <wps:wsp>
                      <wps:cNvSpPr txBox="1"/>
                      <wps:spPr>
                        <a:xfrm>
                          <a:off x="1245870" y="4390390"/>
                          <a:ext cx="1376680" cy="122745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27"/>
                              <w:ind w:left="0" w:leftChars="0" w:firstLine="0" w:firstLineChars="0"/>
                              <w:rPr>
                                <w:rFonts w:hint="eastAsia"/>
                                <w:color w:val="FFFF0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75pt;margin-top:344.85pt;height:96.65pt;width:108.4pt;z-index:251670528;mso-width-relative:page;mso-height-relative:page;" filled="f" stroked="t" coordsize="21600,21600" o:gfxdata="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cEuJwtsAAAAKAQAADwAAAAAAAAABACAAAAAiAAAAZHJzL2Rvd25yZXYueG1sUEsBAhQAFAAA&#10;AAgAh07iQJndc/xeAgAAnQQAAA4AAAAAAAAAAQAgAAAAKgEAAGRycy9lMm9Eb2MueG1sUEsFBgAA&#10;AAAGAAYAWQEAAPoFAAAAAA==&#10;">
                <v:fill on="f" focussize="0,0"/>
                <v:stroke weight="0.5pt" color="#000000 [3204]" joinstyle="round"/>
                <v:imagedata o:title=""/>
                <o:lock v:ext="edit" aspectratio="f"/>
                <v:textbox>
                  <w:txbxContent>
                    <w:p>
                      <w:pPr>
                        <w:pStyle w:val="27"/>
                        <w:ind w:left="0" w:leftChars="0" w:firstLine="0" w:firstLineChars="0"/>
                        <w:rPr>
                          <w:rFonts w:hint="eastAsia"/>
                          <w:color w:val="FFFF00"/>
                          <w:lang w:val="en-US" w:eastAsia="zh-CN"/>
                        </w:rPr>
                      </w:pPr>
                    </w:p>
                  </w:txbxContent>
                </v:textbox>
              </v:shape>
            </w:pict>
          </mc:Fallback>
        </mc:AlternateContent>
      </w:r>
    </w:p>
    <w:p>
      <w:pPr>
        <w:rPr>
          <w:rFonts w:hint="default" w:ascii="Times New Roman" w:hAnsi="Times New Roman" w:cs="Times New Roman"/>
          <w:color w:val="auto"/>
          <w:sz w:val="21"/>
        </w:rPr>
      </w:pPr>
    </w:p>
    <w:p>
      <w:pPr>
        <w:jc w:val="center"/>
        <w:rPr>
          <w:rFonts w:hint="default" w:ascii="Times New Roman" w:hAnsi="Times New Roman" w:cs="Times New Roman"/>
          <w:color w:val="auto"/>
        </w:rPr>
      </w:pPr>
    </w:p>
    <w:p>
      <w:pPr>
        <w:rPr>
          <w:rFonts w:hint="default" w:ascii="Times New Roman" w:hAnsi="Times New Roman" w:cs="Times New Roman"/>
          <w:color w:val="auto"/>
        </w:rPr>
        <w:sectPr>
          <w:pgSz w:w="23811" w:h="16838"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bookmarkStart w:id="207" w:name="_GoBack"/>
      <w:bookmarkEnd w:id="207"/>
    </w:p>
    <w:p>
      <w:pPr>
        <w:pStyle w:val="21"/>
        <w:jc w:val="center"/>
        <w:rPr>
          <w:rFonts w:hint="default" w:ascii="Times New Roman" w:hAnsi="Times New Roman" w:eastAsia="宋体" w:cs="Times New Roman"/>
          <w:b/>
          <w:bCs/>
          <w:color w:val="auto"/>
          <w:sz w:val="24"/>
          <w:szCs w:val="24"/>
          <w:lang w:eastAsia="zh-CN"/>
        </w:rPr>
      </w:pPr>
    </w:p>
    <w:p>
      <w:pPr>
        <w:pStyle w:val="21"/>
        <w:jc w:val="center"/>
        <w:rPr>
          <w:rFonts w:hint="default" w:ascii="Times New Roman" w:hAnsi="Times New Roman" w:eastAsia="宋体" w:cs="Times New Roman"/>
          <w:b/>
          <w:bCs/>
          <w:color w:val="auto"/>
          <w:kern w:val="2"/>
          <w:sz w:val="24"/>
          <w:szCs w:val="24"/>
          <w:lang w:val="en-US" w:eastAsia="zh-CN" w:bidi="ar-SA"/>
        </w:rPr>
      </w:pPr>
    </w:p>
    <w:p>
      <w:pPr>
        <w:pStyle w:val="21"/>
        <w:jc w:val="center"/>
        <w:rPr>
          <w:rFonts w:hint="default" w:ascii="Times New Roman" w:hAnsi="Times New Roman" w:cs="Times New Roman"/>
          <w:color w:val="auto"/>
        </w:rPr>
      </w:pPr>
    </w:p>
    <w:p>
      <w:pPr>
        <w:bidi w:val="0"/>
        <w:jc w:val="center"/>
        <w:rPr>
          <w:rFonts w:hint="default" w:ascii="Times New Roman" w:hAnsi="Times New Roman" w:cs="Times New Roman"/>
          <w:color w:val="auto"/>
        </w:rPr>
      </w:pPr>
    </w:p>
    <w:p>
      <w:pPr>
        <w:jc w:val="center"/>
        <w:rPr>
          <w:rFonts w:hint="default" w:ascii="Times New Roman" w:hAnsi="Times New Roman" w:cs="Times New Roman"/>
          <w:color w:val="auto"/>
        </w:rPr>
      </w:pPr>
    </w:p>
    <w:p>
      <w:pPr>
        <w:jc w:val="center"/>
        <w:rPr>
          <w:rFonts w:hint="default" w:ascii="Times New Roman" w:hAnsi="Times New Roman" w:cs="Times New Roman"/>
          <w:color w:val="auto"/>
        </w:rPr>
      </w:pPr>
    </w:p>
    <w:p>
      <w:pPr>
        <w:pStyle w:val="21"/>
        <w:jc w:val="center"/>
        <w:rPr>
          <w:rFonts w:hint="default" w:ascii="Times New Roman" w:hAnsi="Times New Roman" w:eastAsia="宋体" w:cs="Times New Roman"/>
          <w:b/>
          <w:bCs/>
          <w:color w:val="auto"/>
          <w:sz w:val="24"/>
          <w:szCs w:val="24"/>
          <w:lang w:eastAsia="zh-CN"/>
        </w:rPr>
      </w:pPr>
    </w:p>
    <w:p>
      <w:pPr>
        <w:pStyle w:val="20"/>
        <w:jc w:val="center"/>
        <w:rPr>
          <w:rFonts w:hint="default" w:ascii="Times New Roman" w:hAnsi="Times New Roman" w:cs="Times New Roman"/>
          <w:color w:val="auto"/>
        </w:rPr>
      </w:pPr>
    </w:p>
    <w:p>
      <w:pPr>
        <w:spacing w:line="360" w:lineRule="auto"/>
        <w:jc w:val="center"/>
        <w:rPr>
          <w:rFonts w:hint="default" w:ascii="Times New Roman" w:hAnsi="Times New Roman" w:eastAsia="宋体" w:cs="Times New Roman"/>
          <w:b/>
          <w:bCs/>
          <w:color w:val="auto"/>
          <w:sz w:val="48"/>
          <w:szCs w:val="52"/>
          <w:lang w:eastAsia="zh-CN"/>
        </w:rPr>
      </w:pPr>
    </w:p>
    <w:p>
      <w:pPr>
        <w:spacing w:line="360" w:lineRule="auto"/>
        <w:jc w:val="center"/>
        <w:rPr>
          <w:rFonts w:hint="default" w:ascii="Times New Roman" w:hAnsi="Times New Roman" w:cs="Times New Roman"/>
          <w:b/>
          <w:bCs/>
          <w:color w:val="auto"/>
          <w:sz w:val="48"/>
          <w:szCs w:val="52"/>
        </w:rPr>
        <w:sectPr>
          <w:footerReference r:id="rId11" w:type="default"/>
          <w:type w:val="continuous"/>
          <w:pgSz w:w="11906" w:h="16838"/>
          <w:pgMar w:top="1440" w:right="1080" w:bottom="1440" w:left="1080" w:header="737" w:footer="850" w:gutter="0"/>
          <w:pgNumType w:fmt="decimal"/>
          <w:cols w:space="720" w:num="1"/>
          <w:docGrid w:linePitch="327" w:charSpace="0"/>
        </w:sectPr>
      </w:pPr>
    </w:p>
    <w:p>
      <w:pPr>
        <w:spacing w:line="360" w:lineRule="auto"/>
        <w:jc w:val="center"/>
        <w:rPr>
          <w:rFonts w:hint="default" w:ascii="Times New Roman" w:hAnsi="Times New Roman" w:cs="Times New Roman"/>
          <w:b/>
          <w:bCs/>
          <w:color w:val="auto"/>
          <w:sz w:val="48"/>
          <w:szCs w:val="52"/>
        </w:rPr>
      </w:pPr>
    </w:p>
    <w:p>
      <w:pPr>
        <w:spacing w:line="360" w:lineRule="auto"/>
        <w:jc w:val="center"/>
        <w:rPr>
          <w:rFonts w:hint="default" w:ascii="Times New Roman" w:hAnsi="Times New Roman" w:cs="Times New Roman"/>
          <w:b/>
          <w:bCs/>
          <w:color w:val="auto"/>
          <w:sz w:val="48"/>
          <w:szCs w:val="52"/>
        </w:rPr>
      </w:pPr>
    </w:p>
    <w:p>
      <w:pPr>
        <w:spacing w:line="360" w:lineRule="auto"/>
        <w:jc w:val="center"/>
        <w:rPr>
          <w:rFonts w:hint="default" w:ascii="Times New Roman" w:hAnsi="Times New Roman" w:cs="Times New Roman"/>
          <w:b/>
          <w:bCs/>
          <w:color w:val="auto"/>
          <w:sz w:val="48"/>
          <w:szCs w:val="52"/>
        </w:rPr>
      </w:pPr>
    </w:p>
    <w:p>
      <w:pPr>
        <w:spacing w:line="360" w:lineRule="auto"/>
        <w:jc w:val="center"/>
        <w:rPr>
          <w:rFonts w:hint="default" w:ascii="Times New Roman" w:hAnsi="Times New Roman" w:cs="Times New Roman"/>
          <w:b/>
          <w:bCs/>
          <w:color w:val="auto"/>
          <w:sz w:val="48"/>
          <w:szCs w:val="52"/>
        </w:rPr>
      </w:pPr>
    </w:p>
    <w:p>
      <w:pPr>
        <w:spacing w:line="360" w:lineRule="auto"/>
        <w:jc w:val="center"/>
        <w:rPr>
          <w:rFonts w:hint="default" w:ascii="Times New Roman" w:hAnsi="Times New Roman" w:cs="Times New Roman"/>
          <w:b/>
          <w:bCs/>
          <w:color w:val="auto"/>
          <w:sz w:val="48"/>
          <w:szCs w:val="52"/>
        </w:rPr>
      </w:pPr>
      <w:r>
        <w:rPr>
          <w:rFonts w:hint="default" w:ascii="Times New Roman" w:hAnsi="Times New Roman" w:cs="Times New Roman"/>
          <w:b/>
          <w:bCs/>
          <w:color w:val="auto"/>
          <w:sz w:val="48"/>
          <w:szCs w:val="52"/>
        </w:rPr>
        <w:t>惠州冠宝新材料有限公司扩建项目</w:t>
      </w:r>
    </w:p>
    <w:p>
      <w:pPr>
        <w:spacing w:line="360" w:lineRule="auto"/>
        <w:jc w:val="center"/>
        <w:rPr>
          <w:rFonts w:hint="default" w:ascii="Times New Roman" w:hAnsi="Times New Roman" w:eastAsia="宋体" w:cs="Times New Roman"/>
          <w:b/>
          <w:color w:val="auto"/>
          <w:sz w:val="44"/>
          <w:szCs w:val="44"/>
          <w:highlight w:val="none"/>
        </w:rPr>
      </w:pPr>
      <w:r>
        <w:rPr>
          <w:rFonts w:hint="default" w:ascii="Times New Roman" w:hAnsi="Times New Roman" w:eastAsia="宋体" w:cs="Times New Roman"/>
          <w:b/>
          <w:color w:val="auto"/>
          <w:sz w:val="44"/>
          <w:szCs w:val="44"/>
          <w:highlight w:val="none"/>
        </w:rPr>
        <w:t>环境风险评价专题</w:t>
      </w:r>
    </w:p>
    <w:p>
      <w:pPr>
        <w:spacing w:line="360" w:lineRule="auto"/>
        <w:jc w:val="center"/>
        <w:rPr>
          <w:rFonts w:hint="default" w:ascii="Times New Roman" w:hAnsi="Times New Roman" w:eastAsia="宋体" w:cs="Times New Roman"/>
          <w:b/>
          <w:color w:val="auto"/>
          <w:sz w:val="44"/>
          <w:szCs w:val="44"/>
          <w:highlight w:val="none"/>
          <w:lang w:val="en-US" w:eastAsia="zh-CN"/>
        </w:rPr>
      </w:pPr>
    </w:p>
    <w:p>
      <w:pPr>
        <w:spacing w:line="360" w:lineRule="auto"/>
        <w:jc w:val="center"/>
        <w:rPr>
          <w:rFonts w:hint="default" w:ascii="Times New Roman" w:hAnsi="Times New Roman" w:eastAsia="宋体" w:cs="Times New Roman"/>
          <w:b/>
          <w:color w:val="auto"/>
          <w:sz w:val="44"/>
          <w:szCs w:val="44"/>
          <w:highlight w:val="none"/>
        </w:rPr>
      </w:pPr>
    </w:p>
    <w:p>
      <w:pPr>
        <w:spacing w:line="360" w:lineRule="auto"/>
        <w:rPr>
          <w:rFonts w:hint="default" w:ascii="Times New Roman" w:hAnsi="Times New Roman" w:eastAsia="宋体" w:cs="Times New Roman"/>
          <w:b/>
          <w:color w:val="auto"/>
          <w:sz w:val="44"/>
          <w:szCs w:val="44"/>
          <w:highlight w:val="none"/>
        </w:rPr>
      </w:pPr>
    </w:p>
    <w:p>
      <w:pPr>
        <w:spacing w:line="360" w:lineRule="auto"/>
        <w:jc w:val="center"/>
        <w:rPr>
          <w:rFonts w:hint="default" w:ascii="Times New Roman" w:hAnsi="Times New Roman" w:eastAsia="宋体" w:cs="Times New Roman"/>
          <w:b/>
          <w:color w:val="auto"/>
          <w:sz w:val="44"/>
          <w:szCs w:val="44"/>
          <w:highlight w:val="none"/>
        </w:rPr>
      </w:pPr>
    </w:p>
    <w:p>
      <w:pPr>
        <w:spacing w:line="360" w:lineRule="auto"/>
        <w:jc w:val="center"/>
        <w:rPr>
          <w:rFonts w:hint="default" w:ascii="Times New Roman" w:hAnsi="Times New Roman" w:eastAsia="宋体" w:cs="Times New Roman"/>
          <w:b/>
          <w:color w:val="auto"/>
          <w:sz w:val="44"/>
          <w:szCs w:val="44"/>
          <w:highlight w:val="none"/>
        </w:rPr>
      </w:pPr>
    </w:p>
    <w:p>
      <w:pPr>
        <w:spacing w:line="360" w:lineRule="auto"/>
        <w:jc w:val="center"/>
        <w:rPr>
          <w:rFonts w:hint="default" w:ascii="Times New Roman" w:hAnsi="Times New Roman" w:eastAsia="宋体" w:cs="Times New Roman"/>
          <w:b/>
          <w:color w:val="auto"/>
          <w:sz w:val="44"/>
          <w:szCs w:val="44"/>
          <w:highlight w:val="none"/>
        </w:rPr>
      </w:pPr>
    </w:p>
    <w:p>
      <w:pPr>
        <w:spacing w:line="360" w:lineRule="auto"/>
        <w:jc w:val="center"/>
        <w:rPr>
          <w:rFonts w:hint="default" w:ascii="Times New Roman" w:hAnsi="Times New Roman" w:eastAsia="宋体" w:cs="Times New Roman"/>
          <w:b/>
          <w:color w:val="auto"/>
          <w:sz w:val="44"/>
          <w:szCs w:val="44"/>
          <w:highlight w:val="none"/>
        </w:rPr>
      </w:pPr>
    </w:p>
    <w:p>
      <w:pPr>
        <w:spacing w:line="360" w:lineRule="auto"/>
        <w:jc w:val="center"/>
        <w:rPr>
          <w:rFonts w:hint="default" w:ascii="Times New Roman" w:hAnsi="Times New Roman" w:cs="Times New Roman"/>
          <w:b/>
          <w:color w:val="auto"/>
          <w:spacing w:val="-2"/>
          <w:kern w:val="0"/>
          <w:sz w:val="32"/>
          <w:szCs w:val="28"/>
        </w:rPr>
      </w:pPr>
      <w:r>
        <w:rPr>
          <w:rFonts w:hint="default" w:ascii="Times New Roman" w:hAnsi="Times New Roman" w:cs="Times New Roman"/>
          <w:b/>
          <w:color w:val="auto"/>
          <w:spacing w:val="-2"/>
          <w:kern w:val="0"/>
          <w:sz w:val="32"/>
          <w:szCs w:val="28"/>
        </w:rPr>
        <w:t>建设单位：惠州冠宝新材料有限公司</w:t>
      </w:r>
    </w:p>
    <w:p>
      <w:pPr>
        <w:autoSpaceDE w:val="0"/>
        <w:autoSpaceDN w:val="0"/>
        <w:adjustRightInd w:val="0"/>
        <w:spacing w:line="500" w:lineRule="exact"/>
        <w:jc w:val="center"/>
        <w:rPr>
          <w:rFonts w:hint="default" w:ascii="Times New Roman" w:hAnsi="Times New Roman" w:cs="Times New Roman"/>
          <w:b/>
          <w:color w:val="auto"/>
          <w:spacing w:val="-2"/>
          <w:kern w:val="0"/>
          <w:sz w:val="32"/>
          <w:szCs w:val="28"/>
        </w:rPr>
      </w:pPr>
      <w:r>
        <w:rPr>
          <w:rFonts w:hint="default" w:ascii="Times New Roman" w:hAnsi="Times New Roman" w:cs="Times New Roman"/>
          <w:b/>
          <w:color w:val="auto"/>
          <w:spacing w:val="-2"/>
          <w:kern w:val="0"/>
          <w:sz w:val="32"/>
          <w:szCs w:val="28"/>
        </w:rPr>
        <w:t>编制时间：202</w:t>
      </w:r>
      <w:r>
        <w:rPr>
          <w:rFonts w:hint="eastAsia" w:cs="Times New Roman"/>
          <w:b/>
          <w:color w:val="auto"/>
          <w:spacing w:val="-2"/>
          <w:kern w:val="0"/>
          <w:sz w:val="32"/>
          <w:szCs w:val="28"/>
          <w:lang w:val="en-US" w:eastAsia="zh-CN"/>
        </w:rPr>
        <w:t>3</w:t>
      </w:r>
      <w:r>
        <w:rPr>
          <w:rFonts w:hint="default" w:ascii="Times New Roman" w:hAnsi="Times New Roman" w:cs="Times New Roman"/>
          <w:b/>
          <w:color w:val="auto"/>
          <w:spacing w:val="-2"/>
          <w:kern w:val="0"/>
          <w:sz w:val="32"/>
          <w:szCs w:val="28"/>
        </w:rPr>
        <w:t>年</w:t>
      </w:r>
      <w:r>
        <w:rPr>
          <w:rFonts w:hint="default" w:ascii="Times New Roman" w:hAnsi="Times New Roman" w:cs="Times New Roman"/>
          <w:b/>
          <w:color w:val="auto"/>
          <w:spacing w:val="-2"/>
          <w:kern w:val="0"/>
          <w:sz w:val="32"/>
          <w:szCs w:val="28"/>
          <w:lang w:val="en-US" w:eastAsia="zh-CN"/>
        </w:rPr>
        <w:t>2</w:t>
      </w:r>
      <w:r>
        <w:rPr>
          <w:rFonts w:hint="default" w:ascii="Times New Roman" w:hAnsi="Times New Roman" w:cs="Times New Roman"/>
          <w:b/>
          <w:color w:val="auto"/>
          <w:spacing w:val="-2"/>
          <w:kern w:val="0"/>
          <w:sz w:val="32"/>
          <w:szCs w:val="28"/>
        </w:rPr>
        <w:t>月</w:t>
      </w: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sectPr>
          <w:footerReference r:id="rId12" w:type="default"/>
          <w:pgSz w:w="11906" w:h="16838"/>
          <w:pgMar w:top="1440" w:right="1080" w:bottom="1440" w:left="1080" w:header="737" w:footer="850" w:gutter="0"/>
          <w:pgNumType w:fmt="decimal"/>
          <w:cols w:space="720" w:num="1"/>
          <w:docGrid w:linePitch="327" w:charSpace="0"/>
        </w:sectPr>
      </w:pPr>
    </w:p>
    <w:p>
      <w:pPr>
        <w:pStyle w:val="41"/>
        <w:rPr>
          <w:rFonts w:hint="default" w:ascii="Times New Roman" w:hAnsi="Times New Roman" w:cs="Times New Roman"/>
          <w:color w:val="auto"/>
          <w:lang w:val="en-US" w:eastAsia="zh-CN"/>
        </w:rPr>
      </w:pPr>
    </w:p>
    <w:sdt>
      <w:sdtPr>
        <w:rPr>
          <w:rFonts w:hint="default" w:ascii="Times New Roman" w:hAnsi="Times New Roman" w:eastAsia="宋体" w:cs="Times New Roman"/>
          <w:color w:val="auto"/>
          <w:kern w:val="2"/>
          <w:sz w:val="30"/>
          <w:szCs w:val="30"/>
          <w:lang w:val="en-US" w:eastAsia="zh-CN" w:bidi="ar-SA"/>
        </w:rPr>
        <w:id w:val="147467366"/>
        <w15:color w:val="DBDBDB"/>
        <w:docPartObj>
          <w:docPartGallery w:val="Table of Contents"/>
          <w:docPartUnique/>
        </w:docPartObj>
      </w:sdtPr>
      <w:sdtEndPr>
        <w:rPr>
          <w:rFonts w:hint="default" w:ascii="Times New Roman" w:hAnsi="Times New Roman" w:eastAsia="仿宋_GB2312" w:cs="Times New Roman"/>
          <w:b/>
          <w:color w:val="auto"/>
          <w:kern w:val="2"/>
          <w:sz w:val="24"/>
          <w:szCs w:val="24"/>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color w:val="auto"/>
              <w:sz w:val="30"/>
              <w:szCs w:val="30"/>
            </w:rPr>
          </w:pPr>
          <w:r>
            <w:rPr>
              <w:rFonts w:hint="default" w:ascii="Times New Roman" w:hAnsi="Times New Roman" w:eastAsia="宋体" w:cs="Times New Roman"/>
              <w:color w:val="auto"/>
              <w:sz w:val="30"/>
              <w:szCs w:val="30"/>
            </w:rPr>
            <w:t>目录</w:t>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TOC \o "1-2" \h \u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_Toc2019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rPr>
            <w:t>1. 概述</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_Toc2019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_Toc16639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rPr>
            <w:t xml:space="preserve">1.1. </w:t>
          </w:r>
          <w:r>
            <w:rPr>
              <w:rFonts w:hint="default" w:ascii="Times New Roman" w:hAnsi="Times New Roman" w:cs="Times New Roman"/>
              <w:color w:val="auto"/>
            </w:rPr>
            <w:t>评价目的</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_Toc16639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_Toc10370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lang w:val="en-US" w:eastAsia="zh-CN"/>
            </w:rPr>
            <w:t xml:space="preserve">1.2. </w:t>
          </w:r>
          <w:r>
            <w:rPr>
              <w:rFonts w:hint="default" w:ascii="Times New Roman" w:hAnsi="Times New Roman" w:cs="Times New Roman"/>
              <w:color w:val="auto"/>
            </w:rPr>
            <w:t>编制依据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_Toc10370 \h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_Toc2526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lang w:val="en-US" w:eastAsia="zh-CN"/>
            </w:rPr>
            <w:t xml:space="preserve">1.2.1. </w:t>
          </w:r>
          <w:r>
            <w:rPr>
              <w:rFonts w:hint="default" w:ascii="Times New Roman" w:hAnsi="Times New Roman" w:eastAsia="宋体" w:cs="Times New Roman"/>
              <w:color w:val="auto"/>
              <w:lang w:val="en-US" w:eastAsia="zh-CN"/>
            </w:rPr>
            <w:t>法律依据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_Toc2526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_Toc27856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lang w:val="en-US" w:eastAsia="zh-CN"/>
            </w:rPr>
            <w:t xml:space="preserve">1.2.2. </w:t>
          </w:r>
          <w:r>
            <w:rPr>
              <w:rFonts w:hint="default" w:ascii="Times New Roman" w:hAnsi="Times New Roman" w:eastAsia="宋体" w:cs="Times New Roman"/>
              <w:color w:val="auto"/>
              <w:lang w:val="en-US" w:eastAsia="zh-CN"/>
            </w:rPr>
            <w:t>技术依据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_Toc27856 \h </w:instrText>
          </w:r>
          <w:r>
            <w:rPr>
              <w:rFonts w:hint="default" w:ascii="Times New Roman" w:hAnsi="Times New Roman" w:cs="Times New Roman"/>
              <w:color w:val="auto"/>
            </w:rPr>
            <w:fldChar w:fldCharType="separate"/>
          </w:r>
          <w:r>
            <w:rPr>
              <w:rFonts w:hint="default" w:ascii="Times New Roman" w:hAnsi="Times New Roman" w:cs="Times New Roman"/>
              <w:color w:val="auto"/>
            </w:rPr>
            <w:t>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_Toc731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lang w:val="en-US" w:eastAsia="zh-CN"/>
            </w:rPr>
            <w:t xml:space="preserve">1.2.3. </w:t>
          </w:r>
          <w:r>
            <w:rPr>
              <w:rFonts w:hint="default" w:ascii="Times New Roman" w:hAnsi="Times New Roman" w:eastAsia="宋体" w:cs="Times New Roman"/>
              <w:color w:val="auto"/>
              <w:lang w:val="en-US" w:eastAsia="zh-CN"/>
            </w:rPr>
            <w:t>其他依据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_Toc731 \h </w:instrText>
          </w:r>
          <w:r>
            <w:rPr>
              <w:rFonts w:hint="default" w:ascii="Times New Roman" w:hAnsi="Times New Roman" w:cs="Times New Roman"/>
              <w:color w:val="auto"/>
            </w:rPr>
            <w:fldChar w:fldCharType="separate"/>
          </w:r>
          <w:r>
            <w:rPr>
              <w:rFonts w:hint="default" w:ascii="Times New Roman" w:hAnsi="Times New Roman" w:cs="Times New Roman"/>
              <w:color w:val="auto"/>
            </w:rPr>
            <w:t>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_Toc18497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lang w:eastAsia="zh-CN"/>
            </w:rPr>
            <w:t xml:space="preserve">1.3. </w:t>
          </w:r>
          <w:r>
            <w:rPr>
              <w:rFonts w:hint="default" w:ascii="Times New Roman" w:hAnsi="Times New Roman" w:eastAsia="宋体" w:cs="Times New Roman"/>
              <w:color w:val="auto"/>
              <w:lang w:eastAsia="zh-CN"/>
            </w:rPr>
            <w:t>评价工作内容</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_Toc18497 \h </w:instrText>
          </w:r>
          <w:r>
            <w:rPr>
              <w:rFonts w:hint="default" w:ascii="Times New Roman" w:hAnsi="Times New Roman" w:cs="Times New Roman"/>
              <w:color w:val="auto"/>
            </w:rPr>
            <w:fldChar w:fldCharType="separate"/>
          </w:r>
          <w:r>
            <w:rPr>
              <w:rFonts w:hint="default" w:ascii="Times New Roman" w:hAnsi="Times New Roman" w:cs="Times New Roman"/>
              <w:color w:val="auto"/>
            </w:rPr>
            <w:t>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_Toc21740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szCs w:val="24"/>
              <w:lang w:eastAsia="zh-CN"/>
            </w:rPr>
            <w:t xml:space="preserve">1.4. </w:t>
          </w:r>
          <w:r>
            <w:rPr>
              <w:rFonts w:hint="default" w:ascii="Times New Roman" w:hAnsi="Times New Roman" w:eastAsia="宋体" w:cs="Times New Roman"/>
              <w:color w:val="auto"/>
              <w:highlight w:val="none"/>
              <w:lang w:eastAsia="zh-CN"/>
            </w:rPr>
            <w:t>评价工作程序</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_Toc21740 \h </w:instrText>
          </w:r>
          <w:r>
            <w:rPr>
              <w:rFonts w:hint="default" w:ascii="Times New Roman" w:hAnsi="Times New Roman" w:cs="Times New Roman"/>
              <w:color w:val="auto"/>
            </w:rPr>
            <w:fldChar w:fldCharType="separate"/>
          </w:r>
          <w:r>
            <w:rPr>
              <w:rFonts w:hint="default" w:ascii="Times New Roman" w:hAnsi="Times New Roman" w:cs="Times New Roman"/>
              <w:color w:val="auto"/>
            </w:rPr>
            <w:t>3</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_Toc32259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eastAsia="zh-CN"/>
            </w:rPr>
            <w:t>2. 风险调查</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_Toc32259 \h </w:instrText>
          </w:r>
          <w:r>
            <w:rPr>
              <w:rFonts w:hint="default" w:ascii="Times New Roman" w:hAnsi="Times New Roman" w:cs="Times New Roman"/>
              <w:color w:val="auto"/>
            </w:rPr>
            <w:fldChar w:fldCharType="separate"/>
          </w:r>
          <w:r>
            <w:rPr>
              <w:rFonts w:hint="default" w:ascii="Times New Roman" w:hAnsi="Times New Roman" w:cs="Times New Roman"/>
              <w:color w:val="auto"/>
            </w:rPr>
            <w:t>4</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_Toc9320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eastAsia="zh-CN"/>
            </w:rPr>
            <w:t xml:space="preserve">2.1. </w:t>
          </w:r>
          <w:r>
            <w:rPr>
              <w:rFonts w:hint="default" w:ascii="Times New Roman" w:hAnsi="Times New Roman" w:eastAsia="宋体" w:cs="Times New Roman"/>
              <w:color w:val="auto"/>
              <w:highlight w:val="none"/>
              <w:lang w:eastAsia="zh-CN"/>
            </w:rPr>
            <w:t>项目风险源调查</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_Toc9320 \h </w:instrText>
          </w:r>
          <w:r>
            <w:rPr>
              <w:rFonts w:hint="default" w:ascii="Times New Roman" w:hAnsi="Times New Roman" w:cs="Times New Roman"/>
              <w:color w:val="auto"/>
            </w:rPr>
            <w:fldChar w:fldCharType="separate"/>
          </w:r>
          <w:r>
            <w:rPr>
              <w:rFonts w:hint="default" w:ascii="Times New Roman" w:hAnsi="Times New Roman" w:cs="Times New Roman"/>
              <w:color w:val="auto"/>
            </w:rPr>
            <w:t>4</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_Toc24425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 xml:space="preserve">2.2. </w:t>
          </w:r>
          <w:r>
            <w:rPr>
              <w:rFonts w:hint="default" w:ascii="Times New Roman" w:hAnsi="Times New Roman" w:eastAsia="宋体" w:cs="Times New Roman"/>
              <w:color w:val="auto"/>
              <w:highlight w:val="none"/>
              <w:lang w:val="en-US" w:eastAsia="zh-CN"/>
            </w:rPr>
            <w:t>环境敏感目标调查</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_Toc24425 \h </w:instrText>
          </w:r>
          <w:r>
            <w:rPr>
              <w:rFonts w:hint="default" w:ascii="Times New Roman" w:hAnsi="Times New Roman" w:cs="Times New Roman"/>
              <w:color w:val="auto"/>
            </w:rPr>
            <w:fldChar w:fldCharType="separate"/>
          </w:r>
          <w:r>
            <w:rPr>
              <w:rFonts w:hint="default" w:ascii="Times New Roman" w:hAnsi="Times New Roman" w:cs="Times New Roman"/>
              <w:color w:val="auto"/>
            </w:rPr>
            <w:t>4</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_Toc10826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eastAsia="zh-CN"/>
            </w:rPr>
            <w:t xml:space="preserve">3. </w:t>
          </w:r>
          <w:r>
            <w:rPr>
              <w:rFonts w:hint="default" w:ascii="Times New Roman" w:hAnsi="Times New Roman" w:eastAsia="宋体" w:cs="Times New Roman"/>
              <w:color w:val="auto"/>
              <w:lang w:val="en-US" w:eastAsia="zh-CN"/>
            </w:rPr>
            <w:t>环境风险潜势初判</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_Toc10826 \h </w:instrText>
          </w:r>
          <w:r>
            <w:rPr>
              <w:rFonts w:hint="default" w:ascii="Times New Roman" w:hAnsi="Times New Roman" w:cs="Times New Roman"/>
              <w:color w:val="auto"/>
            </w:rPr>
            <w:fldChar w:fldCharType="separate"/>
          </w:r>
          <w:r>
            <w:rPr>
              <w:rFonts w:hint="default" w:ascii="Times New Roman" w:hAnsi="Times New Roman" w:cs="Times New Roman"/>
              <w:color w:val="auto"/>
            </w:rPr>
            <w:t>7</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_Toc685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eastAsia="zh-CN"/>
            </w:rPr>
            <w:t>3.1. 危险物质及工艺系统危险性（</w:t>
          </w:r>
          <w:r>
            <w:rPr>
              <w:rFonts w:hint="default" w:ascii="Times New Roman" w:hAnsi="Times New Roman" w:cs="Times New Roman"/>
              <w:color w:val="auto"/>
              <w:lang w:val="en-US" w:eastAsia="zh-CN"/>
            </w:rPr>
            <w:t>P）的分级确定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_Toc685 \h </w:instrText>
          </w:r>
          <w:r>
            <w:rPr>
              <w:rFonts w:hint="default" w:ascii="Times New Roman" w:hAnsi="Times New Roman" w:cs="Times New Roman"/>
              <w:color w:val="auto"/>
            </w:rPr>
            <w:fldChar w:fldCharType="separate"/>
          </w:r>
          <w:r>
            <w:rPr>
              <w:rFonts w:hint="default" w:ascii="Times New Roman" w:hAnsi="Times New Roman" w:cs="Times New Roman"/>
              <w:color w:val="auto"/>
            </w:rPr>
            <w:t>7</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_Toc2145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eastAsia="zh-CN"/>
            </w:rPr>
            <w:t>3.2. 环境敏感程度</w:t>
          </w:r>
          <w:r>
            <w:rPr>
              <w:rFonts w:hint="default" w:ascii="Times New Roman" w:hAnsi="Times New Roman" w:eastAsia="宋体" w:cs="Times New Roman"/>
              <w:color w:val="auto"/>
              <w:lang w:val="en-US" w:eastAsia="zh-CN"/>
            </w:rPr>
            <w:t>E的分级确定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_Toc2145 \h </w:instrText>
          </w:r>
          <w:r>
            <w:rPr>
              <w:rFonts w:hint="default" w:ascii="Times New Roman" w:hAnsi="Times New Roman" w:cs="Times New Roman"/>
              <w:color w:val="auto"/>
            </w:rPr>
            <w:fldChar w:fldCharType="separate"/>
          </w:r>
          <w:r>
            <w:rPr>
              <w:rFonts w:hint="default" w:ascii="Times New Roman" w:hAnsi="Times New Roman" w:cs="Times New Roman"/>
              <w:color w:val="auto"/>
            </w:rPr>
            <w:t>9</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_Toc23769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eastAsia="zh-CN"/>
            </w:rPr>
            <w:t xml:space="preserve">3.3. </w:t>
          </w:r>
          <w:r>
            <w:rPr>
              <w:rFonts w:hint="default" w:ascii="Times New Roman" w:hAnsi="Times New Roman" w:eastAsia="宋体" w:cs="Times New Roman"/>
              <w:color w:val="auto"/>
              <w:lang w:val="en-US" w:eastAsia="zh-CN"/>
            </w:rPr>
            <w:t>环境风险潜势分析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_Toc23769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11</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_Toc14373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3.4. 评价工作等级</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_Toc14373 \h </w:instrText>
          </w:r>
          <w:r>
            <w:rPr>
              <w:rFonts w:hint="default" w:ascii="Times New Roman" w:hAnsi="Times New Roman" w:cs="Times New Roman"/>
              <w:color w:val="auto"/>
            </w:rPr>
            <w:fldChar w:fldCharType="separate"/>
          </w:r>
          <w:r>
            <w:rPr>
              <w:rFonts w:hint="default" w:ascii="Times New Roman" w:hAnsi="Times New Roman" w:cs="Times New Roman"/>
              <w:color w:val="auto"/>
            </w:rPr>
            <w:t>12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_Toc16338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4. 风险识别</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_Toc16338 \h </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_Toc12554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4.1. 物质危险性识别</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_Toc12554 \h </w:instrText>
          </w:r>
          <w:r>
            <w:rPr>
              <w:rFonts w:hint="default" w:ascii="Times New Roman" w:hAnsi="Times New Roman" w:cs="Times New Roman"/>
              <w:color w:val="auto"/>
            </w:rPr>
            <w:fldChar w:fldCharType="separate"/>
          </w:r>
          <w:r>
            <w:rPr>
              <w:rFonts w:hint="default" w:ascii="Times New Roman" w:hAnsi="Times New Roman" w:cs="Times New Roman"/>
              <w:color w:val="auto"/>
            </w:rPr>
            <w:t>13</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_Toc1496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4.2. 生产系统危险性识别</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_Toc1496 \h </w:instrText>
          </w:r>
          <w:r>
            <w:rPr>
              <w:rFonts w:hint="default" w:ascii="Times New Roman" w:hAnsi="Times New Roman" w:cs="Times New Roman"/>
              <w:color w:val="auto"/>
            </w:rPr>
            <w:fldChar w:fldCharType="separate"/>
          </w:r>
          <w:r>
            <w:rPr>
              <w:rFonts w:hint="default" w:ascii="Times New Roman" w:hAnsi="Times New Roman" w:cs="Times New Roman"/>
              <w:color w:val="auto"/>
            </w:rPr>
            <w:t>14</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_Toc2689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4.3. 危险物质向环境转移的途径识别</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_Toc2689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15</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_Toc15869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color w:val="auto"/>
              <w:szCs w:val="32"/>
            </w:rPr>
            <w:t xml:space="preserve">5. </w:t>
          </w:r>
          <w:r>
            <w:rPr>
              <w:rFonts w:hint="default" w:ascii="Times New Roman" w:hAnsi="Times New Roman" w:eastAsia="宋体" w:cs="Times New Roman"/>
              <w:bCs/>
              <w:color w:val="auto"/>
              <w:kern w:val="44"/>
              <w:szCs w:val="32"/>
              <w:highlight w:val="none"/>
            </w:rPr>
            <w:t>风险事故情形分析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_Toc15869 \h </w:instrText>
          </w:r>
          <w:r>
            <w:rPr>
              <w:rFonts w:hint="default" w:ascii="Times New Roman" w:hAnsi="Times New Roman" w:cs="Times New Roman"/>
              <w:color w:val="auto"/>
            </w:rPr>
            <w:fldChar w:fldCharType="separate"/>
          </w:r>
          <w:r>
            <w:rPr>
              <w:rFonts w:hint="default" w:ascii="Times New Roman" w:hAnsi="Times New Roman" w:cs="Times New Roman"/>
              <w:color w:val="auto"/>
            </w:rPr>
            <w:t>16</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_Toc16147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5.1. 风险事故情形设定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_Toc16147 \h </w:instrText>
          </w:r>
          <w:r>
            <w:rPr>
              <w:rFonts w:hint="default" w:ascii="Times New Roman" w:hAnsi="Times New Roman" w:cs="Times New Roman"/>
              <w:color w:val="auto"/>
            </w:rPr>
            <w:fldChar w:fldCharType="separate"/>
          </w:r>
          <w:r>
            <w:rPr>
              <w:rFonts w:hint="default" w:ascii="Times New Roman" w:hAnsi="Times New Roman" w:cs="Times New Roman"/>
              <w:color w:val="auto"/>
            </w:rPr>
            <w:t>16</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_Toc2401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5.2. 最大可信度事故确定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_Toc2401 \h </w:instrText>
          </w:r>
          <w:r>
            <w:rPr>
              <w:rFonts w:hint="default" w:ascii="Times New Roman" w:hAnsi="Times New Roman" w:cs="Times New Roman"/>
              <w:color w:val="auto"/>
            </w:rPr>
            <w:fldChar w:fldCharType="separate"/>
          </w:r>
          <w:r>
            <w:rPr>
              <w:rFonts w:hint="default" w:ascii="Times New Roman" w:hAnsi="Times New Roman" w:cs="Times New Roman"/>
              <w:color w:val="auto"/>
            </w:rPr>
            <w:t>17</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_Toc8501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color w:val="auto"/>
              <w:lang w:val="en-US" w:eastAsia="zh-CN"/>
            </w:rPr>
            <w:t xml:space="preserve">5.3. </w:t>
          </w:r>
          <w:r>
            <w:rPr>
              <w:rFonts w:hint="default" w:ascii="Times New Roman" w:hAnsi="Times New Roman" w:eastAsia="宋体" w:cs="Times New Roman"/>
              <w:color w:val="auto"/>
              <w:lang w:val="en-US" w:eastAsia="zh-CN"/>
            </w:rPr>
            <w:t>源项分析</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_Toc8501 \h </w:instrText>
          </w:r>
          <w:r>
            <w:rPr>
              <w:rFonts w:hint="default" w:ascii="Times New Roman" w:hAnsi="Times New Roman" w:cs="Times New Roman"/>
              <w:color w:val="auto"/>
            </w:rPr>
            <w:fldChar w:fldCharType="separate"/>
          </w:r>
          <w:r>
            <w:rPr>
              <w:rFonts w:hint="default" w:ascii="Times New Roman" w:hAnsi="Times New Roman" w:cs="Times New Roman"/>
              <w:color w:val="auto"/>
            </w:rPr>
            <w:t>18</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_Toc5937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5.4. 大气风险源强参数确定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_Toc5937 \h </w:instrText>
          </w:r>
          <w:r>
            <w:rPr>
              <w:rFonts w:hint="default" w:ascii="Times New Roman" w:hAnsi="Times New Roman" w:cs="Times New Roman"/>
              <w:color w:val="auto"/>
            </w:rPr>
            <w:fldChar w:fldCharType="separate"/>
          </w:r>
          <w:r>
            <w:rPr>
              <w:rFonts w:hint="default" w:ascii="Times New Roman" w:hAnsi="Times New Roman" w:cs="Times New Roman"/>
              <w:color w:val="auto"/>
            </w:rPr>
            <w:t>20</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_Toc22464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5.5. 地表水参数确定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_Toc22464 \h </w:instrText>
          </w:r>
          <w:r>
            <w:rPr>
              <w:rFonts w:hint="default" w:ascii="Times New Roman" w:hAnsi="Times New Roman" w:cs="Times New Roman"/>
              <w:color w:val="auto"/>
            </w:rPr>
            <w:fldChar w:fldCharType="separate"/>
          </w:r>
          <w:r>
            <w:rPr>
              <w:rFonts w:hint="default" w:ascii="Times New Roman" w:hAnsi="Times New Roman" w:cs="Times New Roman"/>
              <w:color w:val="auto"/>
            </w:rPr>
            <w:t>20</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_Toc23997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val="en-US" w:eastAsia="zh-CN"/>
            </w:rPr>
            <w:t>5.6. 地下水参数确定</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_Toc23997 \h </w:instrText>
          </w:r>
          <w:r>
            <w:rPr>
              <w:rFonts w:hint="default" w:ascii="Times New Roman" w:hAnsi="Times New Roman" w:cs="Times New Roman"/>
              <w:color w:val="auto"/>
            </w:rPr>
            <w:fldChar w:fldCharType="separate"/>
          </w:r>
          <w:r>
            <w:rPr>
              <w:rFonts w:hint="default" w:ascii="Times New Roman" w:hAnsi="Times New Roman" w:cs="Times New Roman"/>
              <w:color w:val="auto"/>
            </w:rPr>
            <w:t>20</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_Toc10039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eastAsia="zh-CN"/>
            </w:rPr>
            <w:t>6. 风险预测分析与评价</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_Toc10039 \h </w:instrText>
          </w:r>
          <w:r>
            <w:rPr>
              <w:rFonts w:hint="default" w:ascii="Times New Roman" w:hAnsi="Times New Roman" w:cs="Times New Roman"/>
              <w:color w:val="auto"/>
            </w:rPr>
            <w:fldChar w:fldCharType="separate"/>
          </w:r>
          <w:r>
            <w:rPr>
              <w:rFonts w:hint="default" w:ascii="Times New Roman" w:hAnsi="Times New Roman" w:cs="Times New Roman"/>
              <w:color w:val="auto"/>
            </w:rPr>
            <w:t>22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_Toc24866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color w:val="auto"/>
              <w:szCs w:val="24"/>
              <w:lang w:val="en-US" w:eastAsia="zh-CN"/>
            </w:rPr>
            <w:t xml:space="preserve">6.1. </w:t>
          </w:r>
          <w:r>
            <w:rPr>
              <w:rFonts w:hint="default" w:ascii="Times New Roman" w:hAnsi="Times New Roman" w:eastAsia="宋体" w:cs="Times New Roman"/>
              <w:bCs/>
              <w:color w:val="auto"/>
              <w:szCs w:val="24"/>
              <w:highlight w:val="none"/>
              <w:lang w:val="en-US" w:eastAsia="zh-CN"/>
            </w:rPr>
            <w:t>风险预测</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_Toc24866 \h </w:instrText>
          </w:r>
          <w:r>
            <w:rPr>
              <w:rFonts w:hint="default" w:ascii="Times New Roman" w:hAnsi="Times New Roman" w:cs="Times New Roman"/>
              <w:color w:val="auto"/>
            </w:rPr>
            <w:fldChar w:fldCharType="separate"/>
          </w:r>
          <w:r>
            <w:rPr>
              <w:rFonts w:hint="default" w:ascii="Times New Roman" w:hAnsi="Times New Roman" w:cs="Times New Roman"/>
              <w:color w:val="auto"/>
            </w:rPr>
            <w:t>22</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_Toc13895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color w:val="auto"/>
              <w:szCs w:val="24"/>
              <w:lang w:val="zh-CN" w:eastAsia="zh-CN"/>
            </w:rPr>
            <w:t xml:space="preserve">6.2. </w:t>
          </w:r>
          <w:r>
            <w:rPr>
              <w:rFonts w:hint="default" w:ascii="Times New Roman" w:hAnsi="Times New Roman" w:eastAsia="宋体" w:cs="Times New Roman"/>
              <w:bCs/>
              <w:color w:val="auto"/>
              <w:szCs w:val="24"/>
              <w:highlight w:val="none"/>
              <w:lang w:val="en-US" w:eastAsia="zh-CN"/>
            </w:rPr>
            <w:t>地表水环境风险评价</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_Toc13895 \h </w:instrText>
          </w:r>
          <w:r>
            <w:rPr>
              <w:rFonts w:hint="default" w:ascii="Times New Roman" w:hAnsi="Times New Roman" w:cs="Times New Roman"/>
              <w:color w:val="auto"/>
            </w:rPr>
            <w:fldChar w:fldCharType="separate"/>
          </w:r>
          <w:r>
            <w:rPr>
              <w:rFonts w:hint="default" w:ascii="Times New Roman" w:hAnsi="Times New Roman" w:cs="Times New Roman"/>
              <w:color w:val="auto"/>
            </w:rPr>
            <w:t>35</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_Toc7256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color w:val="auto"/>
              <w:szCs w:val="24"/>
              <w:lang w:val="zh-CN" w:eastAsia="zh-CN"/>
            </w:rPr>
            <w:t xml:space="preserve">6.3. </w:t>
          </w:r>
          <w:r>
            <w:rPr>
              <w:rFonts w:hint="default" w:ascii="Times New Roman" w:hAnsi="Times New Roman" w:eastAsia="宋体" w:cs="Times New Roman"/>
              <w:bCs/>
              <w:color w:val="auto"/>
              <w:szCs w:val="24"/>
              <w:highlight w:val="none"/>
              <w:lang w:val="en-US" w:eastAsia="zh-CN"/>
            </w:rPr>
            <w:t>地下水环境风险评价</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_Toc7256 \h </w:instrText>
          </w:r>
          <w:r>
            <w:rPr>
              <w:rFonts w:hint="default" w:ascii="Times New Roman" w:hAnsi="Times New Roman" w:cs="Times New Roman"/>
              <w:color w:val="auto"/>
            </w:rPr>
            <w:fldChar w:fldCharType="separate"/>
          </w:r>
          <w:r>
            <w:rPr>
              <w:rFonts w:hint="default" w:ascii="Times New Roman" w:hAnsi="Times New Roman" w:cs="Times New Roman"/>
              <w:color w:val="auto"/>
            </w:rPr>
            <w:t>35</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_Toc12058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color w:val="auto"/>
              <w:lang w:eastAsia="zh-CN"/>
            </w:rPr>
            <w:t>7. 环境风险管理</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_Toc12058 \h </w:instrText>
          </w:r>
          <w:r>
            <w:rPr>
              <w:rFonts w:hint="default" w:ascii="Times New Roman" w:hAnsi="Times New Roman" w:cs="Times New Roman"/>
              <w:color w:val="auto"/>
            </w:rPr>
            <w:fldChar w:fldCharType="separate"/>
          </w:r>
          <w:r>
            <w:rPr>
              <w:rFonts w:hint="default" w:ascii="Times New Roman" w:hAnsi="Times New Roman" w:cs="Times New Roman"/>
              <w:color w:val="auto"/>
            </w:rPr>
            <w:t>40</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_Toc1957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7.1. </w:t>
          </w:r>
          <w:r>
            <w:rPr>
              <w:rFonts w:hint="default" w:ascii="Times New Roman" w:hAnsi="Times New Roman" w:eastAsia="宋体" w:cs="Times New Roman"/>
              <w:bCs w:val="0"/>
              <w:color w:val="auto"/>
              <w:szCs w:val="24"/>
              <w:highlight w:val="none"/>
              <w:lang w:val="en-US" w:eastAsia="zh-CN"/>
            </w:rPr>
            <w:t>环境风险管理目标</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_Toc1957 \h </w:instrText>
          </w:r>
          <w:r>
            <w:rPr>
              <w:rFonts w:hint="default" w:ascii="Times New Roman" w:hAnsi="Times New Roman" w:cs="Times New Roman"/>
              <w:color w:val="auto"/>
            </w:rPr>
            <w:fldChar w:fldCharType="separate"/>
          </w:r>
          <w:r>
            <w:rPr>
              <w:rFonts w:hint="default" w:ascii="Times New Roman" w:hAnsi="Times New Roman" w:cs="Times New Roman"/>
              <w:color w:val="auto"/>
            </w:rPr>
            <w:t>40</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_Toc27770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7.2. </w:t>
          </w:r>
          <w:r>
            <w:rPr>
              <w:rFonts w:hint="default" w:ascii="Times New Roman" w:hAnsi="Times New Roman" w:eastAsia="宋体" w:cs="Times New Roman"/>
              <w:bCs w:val="0"/>
              <w:color w:val="auto"/>
              <w:szCs w:val="24"/>
              <w:highlight w:val="none"/>
              <w:lang w:val="en-US" w:eastAsia="zh-CN"/>
            </w:rPr>
            <w:t>环境风险防范措施</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_Toc27770 \h </w:instrText>
          </w:r>
          <w:r>
            <w:rPr>
              <w:rFonts w:hint="default" w:ascii="Times New Roman" w:hAnsi="Times New Roman" w:cs="Times New Roman"/>
              <w:color w:val="auto"/>
            </w:rPr>
            <w:fldChar w:fldCharType="separate"/>
          </w:r>
          <w:r>
            <w:rPr>
              <w:rFonts w:hint="default" w:ascii="Times New Roman" w:hAnsi="Times New Roman" w:cs="Times New Roman"/>
              <w:color w:val="auto"/>
            </w:rPr>
            <w:t>40</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_Toc20429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7.3. </w:t>
          </w:r>
          <w:r>
            <w:rPr>
              <w:rFonts w:hint="default" w:ascii="Times New Roman" w:hAnsi="Times New Roman" w:eastAsia="宋体" w:cs="Times New Roman"/>
              <w:bCs w:val="0"/>
              <w:color w:val="auto"/>
              <w:szCs w:val="24"/>
              <w:highlight w:val="none"/>
            </w:rPr>
            <w:t>突发环境事件应急预案编制要求</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_Toc20429 \h </w:instrText>
          </w:r>
          <w:r>
            <w:rPr>
              <w:rFonts w:hint="default" w:ascii="Times New Roman" w:hAnsi="Times New Roman" w:cs="Times New Roman"/>
              <w:color w:val="auto"/>
            </w:rPr>
            <w:fldChar w:fldCharType="separate"/>
          </w:r>
          <w:r>
            <w:rPr>
              <w:rFonts w:hint="default" w:ascii="Times New Roman" w:hAnsi="Times New Roman" w:cs="Times New Roman"/>
              <w:color w:val="auto"/>
            </w:rPr>
            <w:t>47</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1"/>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_Toc6357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eastAsia="zh-CN"/>
            </w:rPr>
            <w:t>8. 评价结论与建议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_Toc6357 \h </w:instrText>
          </w:r>
          <w:r>
            <w:rPr>
              <w:rFonts w:hint="default" w:ascii="Times New Roman" w:hAnsi="Times New Roman" w:cs="Times New Roman"/>
              <w:color w:val="auto"/>
            </w:rPr>
            <w:fldChar w:fldCharType="separate"/>
          </w:r>
          <w:r>
            <w:rPr>
              <w:rFonts w:hint="default" w:ascii="Times New Roman" w:hAnsi="Times New Roman" w:cs="Times New Roman"/>
              <w:color w:val="auto"/>
            </w:rPr>
            <w:t>56</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_Toc11110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8.1. </w:t>
          </w:r>
          <w:r>
            <w:rPr>
              <w:rFonts w:hint="default" w:ascii="Times New Roman" w:hAnsi="Times New Roman" w:eastAsia="宋体" w:cs="Times New Roman"/>
              <w:bCs w:val="0"/>
              <w:color w:val="auto"/>
              <w:szCs w:val="24"/>
              <w:highlight w:val="none"/>
              <w:lang w:val="en-US" w:eastAsia="zh-CN"/>
            </w:rPr>
            <w:t>项目危险因素</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_Toc11110 \h </w:instrText>
          </w:r>
          <w:r>
            <w:rPr>
              <w:rFonts w:hint="default" w:ascii="Times New Roman" w:hAnsi="Times New Roman" w:cs="Times New Roman"/>
              <w:color w:val="auto"/>
            </w:rPr>
            <w:fldChar w:fldCharType="separate"/>
          </w:r>
          <w:r>
            <w:rPr>
              <w:rFonts w:hint="default" w:ascii="Times New Roman" w:hAnsi="Times New Roman" w:cs="Times New Roman"/>
              <w:color w:val="auto"/>
            </w:rPr>
            <w:t>56</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_Toc5797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8.2. </w:t>
          </w:r>
          <w:r>
            <w:rPr>
              <w:rFonts w:hint="default" w:ascii="Times New Roman" w:hAnsi="Times New Roman" w:eastAsia="宋体" w:cs="Times New Roman"/>
              <w:bCs w:val="0"/>
              <w:color w:val="auto"/>
              <w:szCs w:val="24"/>
              <w:highlight w:val="none"/>
              <w:lang w:val="en-US" w:eastAsia="zh-CN"/>
            </w:rPr>
            <w:t>环境敏感性及事故环境影响</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_Toc5797 \h </w:instrText>
          </w:r>
          <w:r>
            <w:rPr>
              <w:rFonts w:hint="default" w:ascii="Times New Roman" w:hAnsi="Times New Roman" w:cs="Times New Roman"/>
              <w:color w:val="auto"/>
            </w:rPr>
            <w:fldChar w:fldCharType="separate"/>
          </w:r>
          <w:r>
            <w:rPr>
              <w:rFonts w:hint="default" w:ascii="Times New Roman" w:hAnsi="Times New Roman" w:cs="Times New Roman"/>
              <w:color w:val="auto"/>
            </w:rPr>
            <w:t>56</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_Toc26691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8.3. </w:t>
          </w:r>
          <w:r>
            <w:rPr>
              <w:rFonts w:hint="default" w:ascii="Times New Roman" w:hAnsi="Times New Roman" w:eastAsia="宋体" w:cs="Times New Roman"/>
              <w:bCs w:val="0"/>
              <w:color w:val="auto"/>
              <w:szCs w:val="24"/>
              <w:highlight w:val="none"/>
              <w:lang w:val="en-US" w:eastAsia="zh-CN"/>
            </w:rPr>
            <w:t>环境风险防范措施和应急预案</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_Toc26691 \h </w:instrText>
          </w:r>
          <w:r>
            <w:rPr>
              <w:rFonts w:hint="default" w:ascii="Times New Roman" w:hAnsi="Times New Roman" w:cs="Times New Roman"/>
              <w:color w:val="auto"/>
            </w:rPr>
            <w:fldChar w:fldCharType="separate"/>
          </w:r>
          <w:r>
            <w:rPr>
              <w:rFonts w:hint="default" w:ascii="Times New Roman" w:hAnsi="Times New Roman" w:cs="Times New Roman"/>
              <w:color w:val="auto"/>
            </w:rPr>
            <w:t>56</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27"/>
            <w:tabs>
              <w:tab w:val="right" w:leader="dot" w:pos="9746"/>
            </w:tabs>
            <w:rPr>
              <w:rFonts w:hint="default" w:ascii="Times New Roman" w:hAnsi="Times New Roman" w:cs="Times New Roman"/>
              <w:color w:val="auto"/>
            </w:rPr>
          </w:pP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\l _Toc1222 </w:instrText>
          </w:r>
          <w:r>
            <w:rPr>
              <w:rFonts w:hint="default" w:ascii="Times New Roman" w:hAnsi="Times New Roman" w:cs="Times New Roman"/>
              <w:color w:val="auto"/>
              <w:lang w:val="en-US" w:eastAsia="zh-CN"/>
            </w:rPr>
            <w:fldChar w:fldCharType="separate"/>
          </w:r>
          <w:r>
            <w:rPr>
              <w:rFonts w:hint="default" w:ascii="Times New Roman" w:hAnsi="Times New Roman" w:eastAsia="宋体" w:cs="Times New Roman"/>
              <w:bCs w:val="0"/>
              <w:color w:val="auto"/>
              <w:szCs w:val="24"/>
              <w:lang w:val="en-US" w:eastAsia="zh-CN"/>
            </w:rPr>
            <w:t xml:space="preserve">8.4. </w:t>
          </w:r>
          <w:r>
            <w:rPr>
              <w:rFonts w:hint="default" w:ascii="Times New Roman" w:hAnsi="Times New Roman" w:eastAsia="宋体" w:cs="Times New Roman"/>
              <w:bCs w:val="0"/>
              <w:color w:val="auto"/>
              <w:szCs w:val="24"/>
              <w:highlight w:val="none"/>
              <w:lang w:val="en-US" w:eastAsia="zh-CN"/>
            </w:rPr>
            <w:t>环境风险评价结论与建议</w:t>
          </w:r>
          <w:r>
            <w:rPr>
              <w:rFonts w:hint="default" w:ascii="Times New Roman" w:hAnsi="Times New Roman" w:cs="Times New Roman"/>
              <w:color w:val="auto"/>
            </w:rPr>
            <w:tab/>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PAGEREF _Toc1222 \h </w:instrText>
          </w:r>
          <w:r>
            <w:rPr>
              <w:rFonts w:hint="default" w:ascii="Times New Roman" w:hAnsi="Times New Roman" w:cs="Times New Roman"/>
              <w:color w:val="auto"/>
            </w:rPr>
            <w:fldChar w:fldCharType="separate"/>
          </w:r>
          <w:r>
            <w:rPr>
              <w:rFonts w:hint="default" w:ascii="Times New Roman" w:hAnsi="Times New Roman" w:cs="Times New Roman"/>
              <w:color w:val="auto"/>
            </w:rPr>
            <w:t>57</w:t>
          </w:r>
          <w:r>
            <w:rPr>
              <w:rFonts w:hint="default" w:ascii="Times New Roman" w:hAnsi="Times New Roman" w:cs="Times New Roman"/>
              <w:color w:val="auto"/>
            </w:rPr>
            <w:fldChar w:fldCharType="end"/>
          </w:r>
          <w:r>
            <w:rPr>
              <w:rFonts w:hint="default" w:ascii="Times New Roman" w:hAnsi="Times New Roman" w:cs="Times New Roman"/>
              <w:color w:val="auto"/>
              <w:lang w:val="en-US" w:eastAsia="zh-CN"/>
            </w:rPr>
            <w:fldChar w:fldCharType="end"/>
          </w:r>
        </w:p>
        <w:p>
          <w:pPr>
            <w:pStyle w:val="41"/>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fldChar w:fldCharType="end"/>
          </w:r>
        </w:p>
      </w:sdtContent>
    </w:sdt>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pStyle w:val="41"/>
        <w:rPr>
          <w:rFonts w:hint="default" w:ascii="Times New Roman" w:hAnsi="Times New Roman" w:cs="Times New Roman"/>
          <w:color w:val="auto"/>
          <w:lang w:val="en-US" w:eastAsia="zh-CN"/>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color w:val="auto"/>
          <w:kern w:val="2"/>
          <w:sz w:val="21"/>
          <w:szCs w:val="24"/>
          <w:lang w:val="en-US" w:eastAsia="zh-CN" w:bidi="ar-SA"/>
        </w:rPr>
      </w:pPr>
    </w:p>
    <w:p>
      <w:pPr>
        <w:pStyle w:val="116"/>
        <w:bidi w:val="0"/>
        <w:outlineLvl w:val="0"/>
        <w:rPr>
          <w:rFonts w:hint="default" w:ascii="Times New Roman" w:hAnsi="Times New Roman" w:cs="Times New Roman"/>
          <w:color w:val="auto"/>
        </w:rPr>
        <w:sectPr>
          <w:footerReference r:id="rId13" w:type="default"/>
          <w:pgSz w:w="11906" w:h="16838"/>
          <w:pgMar w:top="1440" w:right="1080" w:bottom="1440" w:left="1080" w:header="737" w:footer="850" w:gutter="0"/>
          <w:pgNumType w:fmt="decimal" w:start="1"/>
          <w:cols w:space="720" w:num="1"/>
          <w:docGrid w:linePitch="327" w:charSpace="0"/>
        </w:sectPr>
      </w:pPr>
    </w:p>
    <w:p>
      <w:pPr>
        <w:pStyle w:val="116"/>
        <w:bidi w:val="0"/>
        <w:outlineLvl w:val="1"/>
        <w:rPr>
          <w:rFonts w:hint="default" w:ascii="Times New Roman" w:hAnsi="Times New Roman" w:cs="Times New Roman"/>
          <w:color w:val="auto"/>
        </w:rPr>
      </w:pPr>
      <w:bookmarkStart w:id="10" w:name="_Toc2019"/>
      <w:r>
        <w:rPr>
          <w:rFonts w:hint="default" w:ascii="Times New Roman" w:hAnsi="Times New Roman" w:cs="Times New Roman"/>
          <w:color w:val="auto"/>
        </w:rPr>
        <w:t>概述</w:t>
      </w:r>
      <w:bookmarkEnd w:id="10"/>
      <w:bookmarkStart w:id="11" w:name="_Toc9784"/>
      <w:bookmarkStart w:id="12" w:name="_Toc12850"/>
      <w:bookmarkStart w:id="13" w:name="_Toc28991"/>
      <w:bookmarkStart w:id="14" w:name="_Toc20937"/>
    </w:p>
    <w:p>
      <w:pPr>
        <w:pStyle w:val="117"/>
        <w:bidi w:val="0"/>
        <w:ind w:left="0" w:leftChars="0" w:firstLine="0" w:firstLineChars="0"/>
        <w:outlineLvl w:val="1"/>
        <w:rPr>
          <w:rFonts w:hint="default" w:ascii="Times New Roman" w:hAnsi="Times New Roman" w:cs="Times New Roman"/>
          <w:color w:val="auto"/>
        </w:rPr>
      </w:pPr>
      <w:bookmarkStart w:id="15" w:name="_Toc16639"/>
      <w:r>
        <w:rPr>
          <w:rFonts w:hint="default" w:ascii="Times New Roman" w:hAnsi="Times New Roman" w:cs="Times New Roman"/>
          <w:color w:val="auto"/>
        </w:rPr>
        <w:t>评价目的</w:t>
      </w:r>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pPr>
        <w:pStyle w:val="117"/>
        <w:bidi w:val="0"/>
        <w:ind w:left="0" w:leftChars="0" w:firstLine="0" w:firstLineChars="0"/>
        <w:rPr>
          <w:rFonts w:hint="default" w:ascii="Times New Roman" w:hAnsi="Times New Roman" w:cs="Times New Roman"/>
          <w:color w:val="auto"/>
          <w:lang w:val="en-US" w:eastAsia="zh-CN"/>
        </w:rPr>
      </w:pPr>
      <w:bookmarkStart w:id="16" w:name="_Toc5520"/>
      <w:bookmarkStart w:id="17" w:name="_Toc19978"/>
      <w:bookmarkStart w:id="18" w:name="_Toc10370"/>
      <w:bookmarkStart w:id="19" w:name="_Toc23639"/>
      <w:bookmarkStart w:id="20" w:name="_Toc12660"/>
      <w:r>
        <w:rPr>
          <w:rFonts w:hint="default" w:ascii="Times New Roman" w:hAnsi="Times New Roman" w:cs="Times New Roman"/>
          <w:color w:val="auto"/>
        </w:rPr>
        <w:t>编制依据</w:t>
      </w:r>
      <w:bookmarkEnd w:id="16"/>
      <w:bookmarkEnd w:id="17"/>
      <w:bookmarkEnd w:id="18"/>
      <w:bookmarkEnd w:id="19"/>
      <w:bookmarkEnd w:id="20"/>
    </w:p>
    <w:p>
      <w:pPr>
        <w:pStyle w:val="117"/>
        <w:numPr>
          <w:ilvl w:val="2"/>
          <w:numId w:val="13"/>
        </w:numPr>
        <w:bidi w:val="0"/>
        <w:ind w:left="0" w:leftChars="0" w:firstLine="0" w:firstLineChars="0"/>
        <w:outlineLvl w:val="2"/>
        <w:rPr>
          <w:rFonts w:hint="default" w:ascii="Times New Roman" w:hAnsi="Times New Roman" w:eastAsia="宋体" w:cs="Times New Roman"/>
          <w:color w:val="auto"/>
          <w:lang w:val="en-US" w:eastAsia="zh-CN"/>
        </w:rPr>
      </w:pPr>
      <w:bookmarkStart w:id="21" w:name="_Toc2526"/>
      <w:r>
        <w:rPr>
          <w:rFonts w:hint="default" w:ascii="Times New Roman" w:hAnsi="Times New Roman" w:eastAsia="宋体" w:cs="Times New Roman"/>
          <w:color w:val="auto"/>
          <w:lang w:val="en-US" w:eastAsia="zh-CN"/>
        </w:rPr>
        <w:t>法律依据</w:t>
      </w:r>
      <w:bookmarkEnd w:id="21"/>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1）《中华人民共和国环境保护法》</w:t>
      </w:r>
      <w:r>
        <w:rPr>
          <w:rFonts w:hint="default" w:ascii="Times New Roman" w:hAnsi="Times New Roman" w:eastAsia="宋体" w:cs="Times New Roman"/>
          <w:bCs/>
          <w:color w:val="auto"/>
          <w:kern w:val="0"/>
          <w:sz w:val="24"/>
          <w:highlight w:val="none"/>
          <w:lang w:bidi="zh-CN"/>
        </w:rPr>
        <w:t>（2018年10月26日修订）；</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2）《中华人民共和国水污染防治法》（2017年6月27日第二次修正，自2018年1月1日起施行）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3）《中华人民共和国大气污染防治法》（2018年10月26日第二次修正，自公布之日起施行）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4）《中华人民共和国环境噪声污染防治法》（2018年12月29日修正，自公布之日起施行）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5）《中华人民共和国固体废物污染环境防治法》（2020年4月29日发布，2020年9月1日起施行）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6）《中华人民共和国清洁生产促进法》（2012年2月29日修正，自2012年7月1日起施行）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7）《中华人民共和国环境影响评价法》（2018年12月29日第二次修正，自公布之日起施行）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8）《建设项目环境保护管理条例》（2017年7月16日修订，自2017年10月1日起施行）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Cs/>
          <w:color w:val="auto"/>
          <w:kern w:val="0"/>
          <w:sz w:val="24"/>
          <w:highlight w:val="none"/>
          <w:lang w:bidi="zh-CN"/>
        </w:rPr>
      </w:pPr>
      <w:r>
        <w:rPr>
          <w:rFonts w:hint="default" w:ascii="Times New Roman" w:hAnsi="Times New Roman" w:eastAsia="宋体" w:cs="Times New Roman"/>
          <w:color w:val="auto"/>
          <w:sz w:val="24"/>
          <w:highlight w:val="none"/>
        </w:rPr>
        <w:t>9）《危险废物贮存污染控制标准》</w:t>
      </w:r>
      <w:r>
        <w:rPr>
          <w:rFonts w:hint="default" w:ascii="Times New Roman" w:hAnsi="Times New Roman" w:eastAsia="宋体" w:cs="Times New Roman"/>
          <w:bCs/>
          <w:color w:val="auto"/>
          <w:kern w:val="0"/>
          <w:sz w:val="24"/>
          <w:highlight w:val="none"/>
          <w:lang w:bidi="zh-CN"/>
        </w:rPr>
        <w:t>（GB18597-2001）及2013年修改单；</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bCs/>
          <w:color w:val="auto"/>
          <w:kern w:val="0"/>
          <w:sz w:val="24"/>
          <w:highlight w:val="none"/>
          <w:lang w:val="en-US" w:bidi="zh-CN"/>
        </w:rPr>
        <w:t>1</w:t>
      </w:r>
      <w:r>
        <w:rPr>
          <w:rFonts w:hint="default" w:ascii="Times New Roman" w:hAnsi="Times New Roman" w:eastAsia="宋体" w:cs="Times New Roman"/>
          <w:color w:val="auto"/>
          <w:sz w:val="24"/>
          <w:highlight w:val="none"/>
        </w:rPr>
        <w:t>0）《关于进一步加强环境影响评价管理防范环境风险的通知》（环发[2012]77号）</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11）《关于切实加强风险防范严格环境影响评价管理的通知》（环发〔2012〕98号）</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Cs/>
          <w:color w:val="auto"/>
          <w:kern w:val="0"/>
          <w:sz w:val="24"/>
          <w:highlight w:val="none"/>
          <w:lang w:bidi="zh-CN"/>
        </w:rPr>
      </w:pPr>
      <w:r>
        <w:rPr>
          <w:rFonts w:hint="default" w:ascii="Times New Roman" w:hAnsi="Times New Roman" w:eastAsia="宋体" w:cs="Times New Roman"/>
          <w:color w:val="auto"/>
          <w:sz w:val="24"/>
          <w:highlight w:val="none"/>
        </w:rPr>
        <w:t>12）《中华人民共和国安全生产法》</w:t>
      </w:r>
      <w:r>
        <w:rPr>
          <w:rFonts w:hint="default" w:ascii="Times New Roman" w:hAnsi="Times New Roman" w:eastAsia="宋体" w:cs="Times New Roman"/>
          <w:bCs/>
          <w:color w:val="auto"/>
          <w:kern w:val="0"/>
          <w:sz w:val="24"/>
          <w:highlight w:val="none"/>
          <w:lang w:bidi="zh-CN"/>
        </w:rPr>
        <w:t>（2021年6月10日修订）；</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13）《中华人民共和国职业病防治法》（2018年12月29日第四次修正，自公布之日起施行）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14）《中华人民共和国消防法》（2019年4月23日修订，自2019年11月1日起施行）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15）《中华人民共和国突发事件应对法》（2007年8月30日通过，自2007年11月1日起施行）</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16）《危险化学品安全管理条例》（2013年修订本）</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17）《广东省安全生产条例》（2017修正）</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18）《危险化学品单位应急救援物资配备要求》（GB30077-2013）</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19）《建筑设计防火规范》（GB 50016-2014）（2018年局部修订版）</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20）《惠州市突发环境事件应急预案</w:t>
      </w:r>
      <w:r>
        <w:rPr>
          <w:rFonts w:hint="default" w:ascii="Times New Roman" w:hAnsi="Times New Roman" w:eastAsia="宋体" w:cs="Times New Roman"/>
          <w:color w:val="auto"/>
          <w:sz w:val="24"/>
          <w:highlight w:val="none"/>
          <w:lang w:val="en-US" w:eastAsia="zh-CN"/>
        </w:rPr>
        <w:t>2021</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4"/>
          <w:highlight w:val="none"/>
        </w:rPr>
        <w:t>21）</w:t>
      </w:r>
      <w:r>
        <w:rPr>
          <w:rFonts w:hint="default" w:ascii="Times New Roman" w:hAnsi="Times New Roman" w:eastAsia="宋体" w:cs="Times New Roman"/>
          <w:color w:val="auto"/>
          <w:sz w:val="24"/>
          <w:highlight w:val="none"/>
          <w:lang w:eastAsia="zh-CN"/>
        </w:rPr>
        <w:t>《惠州市集中式饮用水水源地水质污染事件应急处置方案</w:t>
      </w:r>
      <w:r>
        <w:rPr>
          <w:rFonts w:hint="default" w:ascii="Times New Roman" w:hAnsi="Times New Roman" w:eastAsia="宋体" w:cs="Times New Roman"/>
          <w:color w:val="auto"/>
          <w:sz w:val="24"/>
          <w:highlight w:val="none"/>
          <w:lang w:val="en-US" w:eastAsia="zh-CN"/>
        </w:rPr>
        <w:t>2021</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bCs/>
          <w:color w:val="auto"/>
          <w:kern w:val="0"/>
          <w:sz w:val="24"/>
          <w:highlight w:val="none"/>
          <w:lang w:bidi="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）《关于发布《优化控制化学品目录（第一批）的公告》（环保部公告2017年第83号）》，2017年12月27日；</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）《国家突发环境事件应急预案》（国办函[2014]119号）；</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）《突发环境事件应急管理办法》（环保部令第34号），2015年6月5日起施行；</w:t>
      </w:r>
    </w:p>
    <w:p>
      <w:pPr>
        <w:keepNext w:val="0"/>
        <w:keepLines w:val="0"/>
        <w:pageBreakBefore w:val="0"/>
        <w:widowControl w:val="0"/>
        <w:kinsoku/>
        <w:wordWrap/>
        <w:overflowPunct/>
        <w:topLinePunct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18"/>
          <w:szCs w:val="18"/>
          <w:highlight w:val="none"/>
          <w:lang w:eastAsia="zh-CN"/>
        </w:rPr>
      </w:pPr>
      <w:r>
        <w:rPr>
          <w:rFonts w:hint="default"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）《突发环境事件信息报告方法》（环保部令第17号），2011年5月1日起施行</w:t>
      </w:r>
      <w:r>
        <w:rPr>
          <w:rFonts w:hint="default" w:ascii="Times New Roman" w:hAnsi="Times New Roman" w:eastAsia="宋体" w:cs="Times New Roman"/>
          <w:color w:val="auto"/>
          <w:sz w:val="24"/>
          <w:highlight w:val="none"/>
          <w:lang w:eastAsia="zh-CN"/>
        </w:rPr>
        <w:t>。</w:t>
      </w:r>
    </w:p>
    <w:p>
      <w:pPr>
        <w:pStyle w:val="117"/>
        <w:numPr>
          <w:ilvl w:val="2"/>
          <w:numId w:val="13"/>
        </w:numPr>
        <w:bidi w:val="0"/>
        <w:ind w:left="0" w:leftChars="0" w:firstLine="0" w:firstLineChars="0"/>
        <w:outlineLvl w:val="2"/>
        <w:rPr>
          <w:rFonts w:hint="default" w:ascii="Times New Roman" w:hAnsi="Times New Roman" w:eastAsia="宋体" w:cs="Times New Roman"/>
          <w:color w:val="auto"/>
          <w:lang w:val="en-US" w:eastAsia="zh-CN"/>
        </w:rPr>
      </w:pPr>
      <w:bookmarkStart w:id="22" w:name="_Toc27856"/>
      <w:r>
        <w:rPr>
          <w:rFonts w:hint="default" w:ascii="Times New Roman" w:hAnsi="Times New Roman" w:eastAsia="宋体" w:cs="Times New Roman"/>
          <w:color w:val="auto"/>
          <w:lang w:val="en-US" w:eastAsia="zh-CN"/>
        </w:rPr>
        <w:t>技术依据</w:t>
      </w:r>
      <w:bookmarkEnd w:id="22"/>
    </w:p>
    <w:p>
      <w:pPr>
        <w:numPr>
          <w:ilvl w:val="0"/>
          <w:numId w:val="23"/>
        </w:num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《危险化学品目录（2015版）》（国家安全生产监督管理总局公告2015年第5号）；</w:t>
      </w:r>
    </w:p>
    <w:p>
      <w:pPr>
        <w:numPr>
          <w:ilvl w:val="0"/>
          <w:numId w:val="23"/>
        </w:num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《重点环境管理危险化学品目录》（环办[2014]33号）；</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3）《工作场所有害因素职业接触限值》（GBZ2.1-2019）；</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4）《工业建筑防腐蚀设计标准》（GB/T50046-2018）；</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5）《石油化工企业设计防火规范》（GB 50160-2008）（2018年版）；</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6）《化工建设项目环境保护工程设计标准》（GB/T50483-2019）；</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7）《石油化工储运系统罐区设计规范》（SH/T 3007-2014）；</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8）《易燃易爆性商品储存养护技术条件》（GB17914-2013）；</w:t>
      </w:r>
    </w:p>
    <w:p>
      <w:pPr>
        <w:spacing w:line="360" w:lineRule="auto"/>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9）《储罐区防火堤设计规范》（GB50351-2014）</w:t>
      </w:r>
      <w:r>
        <w:rPr>
          <w:rFonts w:hint="default" w:ascii="Times New Roman" w:hAnsi="Times New Roman" w:eastAsia="宋体" w:cs="Times New Roman"/>
          <w:color w:val="auto"/>
          <w:sz w:val="24"/>
          <w:highlight w:val="none"/>
          <w:lang w:eastAsia="zh-CN"/>
        </w:rPr>
        <w:t>。</w:t>
      </w:r>
    </w:p>
    <w:p>
      <w:pPr>
        <w:pStyle w:val="117"/>
        <w:numPr>
          <w:ilvl w:val="2"/>
          <w:numId w:val="13"/>
        </w:numPr>
        <w:bidi w:val="0"/>
        <w:ind w:left="0" w:leftChars="0" w:firstLine="0" w:firstLineChars="0"/>
        <w:outlineLvl w:val="2"/>
        <w:rPr>
          <w:rFonts w:hint="default" w:ascii="Times New Roman" w:hAnsi="Times New Roman" w:eastAsia="宋体" w:cs="Times New Roman"/>
          <w:color w:val="auto"/>
          <w:lang w:val="en-US" w:eastAsia="zh-CN"/>
        </w:rPr>
      </w:pPr>
      <w:bookmarkStart w:id="23" w:name="_Toc731"/>
      <w:r>
        <w:rPr>
          <w:rFonts w:hint="default" w:ascii="Times New Roman" w:hAnsi="Times New Roman" w:eastAsia="宋体" w:cs="Times New Roman"/>
          <w:color w:val="auto"/>
          <w:lang w:val="en-US" w:eastAsia="zh-CN"/>
        </w:rPr>
        <w:t>其他依据</w:t>
      </w:r>
      <w:bookmarkEnd w:id="23"/>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1）《建设项目环境影响评价技术导则 总纲》（HJ2.1-2016）；</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2）《建设项目环境风险评价技术导则》（HJ169-2018）；</w:t>
      </w:r>
    </w:p>
    <w:p>
      <w:pPr>
        <w:spacing w:line="360" w:lineRule="auto"/>
        <w:ind w:firstLine="480" w:firstLineChars="200"/>
        <w:jc w:val="left"/>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3）《企业突发环境事件风险分级方法》（HJ941-2018）</w:t>
      </w:r>
      <w:r>
        <w:rPr>
          <w:rFonts w:hint="default" w:ascii="Times New Roman" w:hAnsi="Times New Roman" w:eastAsia="宋体" w:cs="Times New Roman"/>
          <w:color w:val="auto"/>
          <w:sz w:val="24"/>
          <w:highlight w:val="none"/>
          <w:lang w:eastAsia="zh-CN"/>
        </w:rPr>
        <w:t>。</w:t>
      </w:r>
    </w:p>
    <w:p>
      <w:pPr>
        <w:pStyle w:val="117"/>
        <w:bidi w:val="0"/>
        <w:ind w:left="0" w:leftChars="0" w:firstLine="0" w:firstLineChars="0"/>
        <w:rPr>
          <w:rFonts w:hint="default" w:ascii="Times New Roman" w:hAnsi="Times New Roman" w:eastAsia="宋体" w:cs="Times New Roman"/>
          <w:color w:val="auto"/>
          <w:lang w:eastAsia="zh-CN"/>
        </w:rPr>
      </w:pPr>
      <w:bookmarkStart w:id="24" w:name="_Toc18497"/>
      <w:bookmarkStart w:id="25" w:name="_Toc29324"/>
      <w:bookmarkStart w:id="26" w:name="_Toc5960"/>
      <w:bookmarkStart w:id="27" w:name="_Toc29076"/>
      <w:bookmarkStart w:id="28" w:name="_Toc19709"/>
      <w:r>
        <w:rPr>
          <w:rFonts w:hint="default" w:ascii="Times New Roman" w:hAnsi="Times New Roman" w:eastAsia="宋体" w:cs="Times New Roman"/>
          <w:color w:val="auto"/>
          <w:lang w:eastAsia="zh-CN"/>
        </w:rPr>
        <w:t>评价工作内容</w:t>
      </w:r>
      <w:bookmarkEnd w:id="24"/>
      <w:bookmarkEnd w:id="25"/>
      <w:bookmarkEnd w:id="26"/>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本评价按导则要求设置了风险调查、环境风险潜势初判、风险识别、风险事故情形分析、风险预测与评价、环境风险管理等章节。根据本项目的特点及环境特征</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评价重点为基于风险调查，分析建设项目物质与工艺系统危险性和环境敏感性，</w:t>
      </w:r>
      <w:r>
        <w:rPr>
          <w:rFonts w:hint="default" w:ascii="Times New Roman" w:hAnsi="Times New Roman" w:cs="Times New Roman"/>
          <w:color w:val="auto"/>
          <w:sz w:val="24"/>
          <w:szCs w:val="24"/>
          <w:highlight w:val="none"/>
          <w:lang w:val="en-US" w:eastAsia="zh-CN"/>
        </w:rPr>
        <w:t>判定</w:t>
      </w:r>
      <w:r>
        <w:rPr>
          <w:rFonts w:hint="default" w:ascii="Times New Roman" w:hAnsi="Times New Roman" w:eastAsia="宋体" w:cs="Times New Roman"/>
          <w:color w:val="auto"/>
          <w:sz w:val="24"/>
          <w:szCs w:val="24"/>
          <w:highlight w:val="none"/>
        </w:rPr>
        <w:t>风险潜势，确定风险评价等级，合理设定事故源强，根据确定的评价工作等级开展预测</w:t>
      </w:r>
      <w:r>
        <w:rPr>
          <w:rFonts w:hint="default" w:ascii="Times New Roman" w:hAnsi="Times New Roman" w:cs="Times New Roman"/>
          <w:color w:val="auto"/>
          <w:sz w:val="24"/>
          <w:szCs w:val="24"/>
          <w:highlight w:val="none"/>
          <w:lang w:val="en-US" w:eastAsia="zh-CN"/>
        </w:rPr>
        <w:t>与</w:t>
      </w:r>
      <w:r>
        <w:rPr>
          <w:rFonts w:hint="default" w:ascii="Times New Roman" w:hAnsi="Times New Roman" w:eastAsia="宋体" w:cs="Times New Roman"/>
          <w:color w:val="auto"/>
          <w:sz w:val="24"/>
          <w:szCs w:val="24"/>
          <w:highlight w:val="none"/>
        </w:rPr>
        <w:t>评价，分析环境风险危害范围与程度，提出环境风险防范措施以及突发环境事件应急预案编制要求。</w:t>
      </w:r>
    </w:p>
    <w:p>
      <w:pPr>
        <w:pStyle w:val="117"/>
        <w:bidi w:val="0"/>
        <w:ind w:left="0" w:leftChars="0" w:firstLine="0" w:firstLineChars="0"/>
        <w:rPr>
          <w:rFonts w:hint="default" w:ascii="Times New Roman" w:hAnsi="Times New Roman" w:eastAsia="宋体" w:cs="Times New Roman"/>
          <w:color w:val="auto"/>
          <w:highlight w:val="none"/>
          <w:lang w:eastAsia="zh-CN"/>
        </w:rPr>
      </w:pPr>
      <w:bookmarkStart w:id="29" w:name="_Toc21740"/>
      <w:bookmarkStart w:id="30" w:name="_Toc20408"/>
      <w:bookmarkStart w:id="31" w:name="_Toc2199"/>
      <w:bookmarkStart w:id="32" w:name="_Toc5795"/>
      <w:bookmarkStart w:id="33" w:name="_Toc17444"/>
      <w:r>
        <w:rPr>
          <w:rFonts w:hint="default" w:ascii="Times New Roman" w:hAnsi="Times New Roman" w:eastAsia="宋体" w:cs="Times New Roman"/>
          <w:color w:val="auto"/>
          <w:highlight w:val="none"/>
          <w:lang w:eastAsia="zh-CN"/>
        </w:rPr>
        <w:t>评价工作程序</w:t>
      </w:r>
      <w:bookmarkEnd w:id="29"/>
      <w:bookmarkEnd w:id="30"/>
      <w:bookmarkEnd w:id="31"/>
      <w:bookmarkEnd w:id="32"/>
      <w:bookmarkEnd w:id="33"/>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本次环境风险评价的工作程序见下图。</w:t>
      </w:r>
    </w:p>
    <w:p>
      <w:pPr>
        <w:spacing w:line="360" w:lineRule="auto"/>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drawing>
          <wp:inline distT="0" distB="0" distL="114300" distR="114300">
            <wp:extent cx="6182995" cy="6391910"/>
            <wp:effectExtent l="0" t="0" r="8255" b="8890"/>
            <wp:docPr id="2" name="图片 2" descr="1668409602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68409602634"/>
                    <pic:cNvPicPr>
                      <a:picLocks noChangeAspect="1"/>
                    </pic:cNvPicPr>
                  </pic:nvPicPr>
                  <pic:blipFill>
                    <a:blip r:embed="rId43"/>
                    <a:stretch>
                      <a:fillRect/>
                    </a:stretch>
                  </pic:blipFill>
                  <pic:spPr>
                    <a:xfrm>
                      <a:off x="0" y="0"/>
                      <a:ext cx="6182995" cy="6391910"/>
                    </a:xfrm>
                    <a:prstGeom prst="rect">
                      <a:avLst/>
                    </a:prstGeom>
                  </pic:spPr>
                </pic:pic>
              </a:graphicData>
            </a:graphic>
          </wp:inline>
        </w:drawing>
      </w:r>
    </w:p>
    <w:p>
      <w:pPr>
        <w:keepNext w:val="0"/>
        <w:keepLines w:val="0"/>
        <w:widowControl w:val="0"/>
        <w:suppressLineNumbers w:val="0"/>
        <w:autoSpaceDE w:val="0"/>
        <w:autoSpaceDN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b/>
          <w:bCs/>
          <w:color w:val="auto"/>
          <w:kern w:val="0"/>
          <w:sz w:val="24"/>
          <w:szCs w:val="24"/>
          <w:highlight w:val="none"/>
          <w:lang w:val="en-US" w:eastAsia="zh-CN" w:bidi="ar"/>
        </w:rPr>
      </w:pPr>
      <w:r>
        <w:rPr>
          <w:rFonts w:hint="default" w:ascii="Times New Roman" w:hAnsi="Times New Roman" w:eastAsia="宋体" w:cs="Times New Roman"/>
          <w:b/>
          <w:bCs/>
          <w:color w:val="auto"/>
          <w:kern w:val="0"/>
          <w:sz w:val="24"/>
          <w:szCs w:val="24"/>
          <w:highlight w:val="none"/>
          <w:lang w:val="en-US" w:eastAsia="zh-CN" w:bidi="ar"/>
        </w:rPr>
        <w:t>图1</w:t>
      </w:r>
      <w:r>
        <w:rPr>
          <w:rFonts w:hint="default" w:ascii="Times New Roman" w:hAnsi="Times New Roman" w:cs="Times New Roman"/>
          <w:b/>
          <w:bCs/>
          <w:color w:val="auto"/>
          <w:kern w:val="0"/>
          <w:sz w:val="24"/>
          <w:szCs w:val="24"/>
          <w:highlight w:val="none"/>
          <w:lang w:val="en-US" w:eastAsia="zh-CN" w:bidi="ar"/>
        </w:rPr>
        <w:t>-1</w:t>
      </w:r>
      <w:r>
        <w:rPr>
          <w:rFonts w:hint="default" w:ascii="Times New Roman" w:hAnsi="Times New Roman" w:eastAsia="宋体" w:cs="Times New Roman"/>
          <w:b/>
          <w:bCs/>
          <w:color w:val="auto"/>
          <w:kern w:val="0"/>
          <w:sz w:val="24"/>
          <w:szCs w:val="24"/>
          <w:highlight w:val="none"/>
          <w:lang w:val="en-US" w:eastAsia="zh-CN" w:bidi="ar"/>
        </w:rPr>
        <w:t xml:space="preserve"> 环境风险评价流程图</w:t>
      </w:r>
    </w:p>
    <w:p>
      <w:pPr>
        <w:spacing w:line="360" w:lineRule="auto"/>
        <w:rPr>
          <w:rFonts w:hint="default" w:ascii="Times New Roman" w:hAnsi="Times New Roman" w:eastAsia="宋体" w:cs="Times New Roman"/>
          <w:color w:val="auto"/>
          <w:sz w:val="24"/>
          <w:szCs w:val="24"/>
          <w:highlight w:val="none"/>
        </w:rPr>
      </w:pPr>
    </w:p>
    <w:p>
      <w:pPr>
        <w:ind w:left="0" w:leftChars="0" w:firstLine="0" w:firstLineChars="0"/>
        <w:rPr>
          <w:rFonts w:hint="default" w:ascii="Times New Roman" w:hAnsi="Times New Roman" w:cs="Times New Roman"/>
          <w:color w:val="auto"/>
          <w:highlight w:val="none"/>
        </w:rPr>
        <w:sectPr>
          <w:footerReference r:id="rId14" w:type="default"/>
          <w:pgSz w:w="11906" w:h="16838"/>
          <w:pgMar w:top="1440" w:right="1080" w:bottom="1440" w:left="1080" w:header="737" w:footer="850" w:gutter="0"/>
          <w:pgNumType w:fmt="decimal" w:start="1"/>
          <w:cols w:space="720" w:num="1"/>
          <w:docGrid w:linePitch="327" w:charSpace="0"/>
        </w:sectPr>
      </w:pPr>
    </w:p>
    <w:p>
      <w:pPr>
        <w:pStyle w:val="116"/>
        <w:bidi w:val="0"/>
        <w:ind w:left="0" w:firstLine="0"/>
        <w:outlineLvl w:val="1"/>
        <w:rPr>
          <w:rFonts w:hint="default" w:ascii="Times New Roman" w:hAnsi="Times New Roman" w:eastAsia="宋体" w:cs="Times New Roman"/>
          <w:color w:val="auto"/>
          <w:lang w:eastAsia="zh-CN"/>
        </w:rPr>
      </w:pPr>
      <w:bookmarkStart w:id="34" w:name="_Toc9995"/>
      <w:bookmarkStart w:id="35" w:name="_Toc794"/>
      <w:bookmarkStart w:id="36" w:name="_Toc32259"/>
      <w:bookmarkStart w:id="37" w:name="_Toc22996"/>
      <w:bookmarkStart w:id="38" w:name="_Toc12595"/>
      <w:r>
        <w:rPr>
          <w:rFonts w:hint="default" w:ascii="Times New Roman" w:hAnsi="Times New Roman" w:eastAsia="宋体" w:cs="Times New Roman"/>
          <w:color w:val="auto"/>
          <w:lang w:eastAsia="zh-CN"/>
        </w:rPr>
        <w:t>风险调查</w:t>
      </w:r>
      <w:bookmarkEnd w:id="34"/>
      <w:bookmarkEnd w:id="35"/>
      <w:bookmarkEnd w:id="36"/>
      <w:bookmarkEnd w:id="37"/>
      <w:bookmarkEnd w:id="38"/>
    </w:p>
    <w:p>
      <w:pPr>
        <w:pStyle w:val="117"/>
        <w:numPr>
          <w:ilvl w:val="1"/>
          <w:numId w:val="12"/>
        </w:numPr>
        <w:bidi w:val="0"/>
        <w:ind w:left="850" w:leftChars="0" w:hanging="453" w:firstLineChars="0"/>
        <w:outlineLvl w:val="1"/>
        <w:rPr>
          <w:rFonts w:hint="default" w:ascii="Times New Roman" w:hAnsi="Times New Roman" w:eastAsia="宋体" w:cs="Times New Roman"/>
          <w:color w:val="auto"/>
          <w:highlight w:val="none"/>
          <w:lang w:eastAsia="zh-CN"/>
        </w:rPr>
      </w:pPr>
      <w:bookmarkStart w:id="39" w:name="_Toc9971"/>
      <w:bookmarkStart w:id="40" w:name="_Toc17359"/>
      <w:bookmarkStart w:id="41" w:name="_Toc9320"/>
      <w:bookmarkStart w:id="42" w:name="_Toc8217"/>
      <w:bookmarkStart w:id="43" w:name="_Toc10714"/>
      <w:r>
        <w:rPr>
          <w:rFonts w:hint="default" w:ascii="Times New Roman" w:hAnsi="Times New Roman" w:eastAsia="宋体" w:cs="Times New Roman"/>
          <w:color w:val="auto"/>
          <w:highlight w:val="none"/>
          <w:lang w:eastAsia="zh-CN"/>
        </w:rPr>
        <w:t>项目风险源调查</w:t>
      </w:r>
      <w:bookmarkEnd w:id="39"/>
      <w:bookmarkEnd w:id="40"/>
      <w:bookmarkEnd w:id="41"/>
      <w:bookmarkEnd w:id="42"/>
      <w:bookmarkEnd w:id="43"/>
    </w:p>
    <w:p>
      <w:pPr>
        <w:spacing w:line="360" w:lineRule="auto"/>
        <w:ind w:firstLine="480" w:firstLineChars="200"/>
        <w:jc w:val="both"/>
        <w:rPr>
          <w:rFonts w:hint="default" w:ascii="Times New Roman" w:hAnsi="Times New Roman" w:eastAsia="宋体" w:cs="Times New Roman"/>
          <w:b w:val="0"/>
          <w:bCs/>
          <w:color w:val="auto"/>
          <w:sz w:val="24"/>
          <w:highlight w:val="none"/>
          <w:lang w:val="en-US" w:eastAsia="zh-CN"/>
        </w:rPr>
      </w:pPr>
      <w:r>
        <w:rPr>
          <w:rFonts w:hint="default" w:ascii="Times New Roman" w:hAnsi="Times New Roman" w:eastAsia="宋体" w:cs="Times New Roman"/>
          <w:b w:val="0"/>
          <w:bCs/>
          <w:color w:val="auto"/>
          <w:sz w:val="24"/>
          <w:highlight w:val="none"/>
          <w:lang w:val="en-US" w:eastAsia="zh-CN"/>
        </w:rPr>
        <w:t>通过对本项目原材料、工艺流程的调查分析，参照《建设项目环境风险评价技术导则》(HJ169-2018)附录 B.1 以及对项目所涉及的物质进行危险性识别和综合评价，筛选出本项目突发环境风险物质。</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eastAsia="宋体" w:cs="Times New Roman"/>
          <w:color w:val="auto"/>
          <w:spacing w:val="-2"/>
          <w:kern w:val="0"/>
          <w:sz w:val="24"/>
          <w:highlight w:val="none"/>
          <w:lang w:eastAsia="zh-CN" w:bidi="ar"/>
        </w:rPr>
        <w:t>对照《建设项目环境风险评价技术导则》（</w:t>
      </w:r>
      <w:r>
        <w:rPr>
          <w:rFonts w:hint="default" w:ascii="Times New Roman" w:hAnsi="Times New Roman" w:eastAsia="宋体" w:cs="Times New Roman"/>
          <w:color w:val="auto"/>
          <w:spacing w:val="-2"/>
          <w:kern w:val="0"/>
          <w:sz w:val="24"/>
          <w:highlight w:val="none"/>
          <w:lang w:val="en-US" w:eastAsia="zh-CN" w:bidi="ar"/>
        </w:rPr>
        <w:t>HJ169-2018</w:t>
      </w:r>
      <w:r>
        <w:rPr>
          <w:rFonts w:hint="default" w:ascii="Times New Roman" w:hAnsi="Times New Roman" w:eastAsia="宋体" w:cs="Times New Roman"/>
          <w:color w:val="auto"/>
          <w:spacing w:val="-2"/>
          <w:kern w:val="0"/>
          <w:sz w:val="24"/>
          <w:highlight w:val="none"/>
          <w:lang w:eastAsia="zh-CN" w:bidi="ar"/>
        </w:rPr>
        <w:t>）、《危险化学品重大危险源辨识》（</w:t>
      </w:r>
      <w:r>
        <w:rPr>
          <w:rFonts w:hint="default" w:ascii="Times New Roman" w:hAnsi="Times New Roman" w:eastAsia="宋体" w:cs="Times New Roman"/>
          <w:color w:val="auto"/>
          <w:spacing w:val="-2"/>
          <w:kern w:val="0"/>
          <w:sz w:val="24"/>
          <w:highlight w:val="none"/>
          <w:lang w:val="en-US" w:eastAsia="zh-CN" w:bidi="ar"/>
        </w:rPr>
        <w:t>GB18218-2018</w:t>
      </w:r>
      <w:r>
        <w:rPr>
          <w:rFonts w:hint="default" w:ascii="Times New Roman" w:hAnsi="Times New Roman" w:eastAsia="宋体" w:cs="Times New Roman"/>
          <w:color w:val="auto"/>
          <w:spacing w:val="-2"/>
          <w:kern w:val="0"/>
          <w:sz w:val="24"/>
          <w:highlight w:val="none"/>
          <w:lang w:eastAsia="zh-CN" w:bidi="ar"/>
        </w:rPr>
        <w:t>）和《重点环境管理危险化学品名录》（环办</w:t>
      </w:r>
      <w:r>
        <w:rPr>
          <w:rFonts w:hint="default" w:ascii="Times New Roman" w:hAnsi="Times New Roman" w:eastAsia="宋体" w:cs="Times New Roman"/>
          <w:color w:val="auto"/>
          <w:spacing w:val="-2"/>
          <w:kern w:val="0"/>
          <w:sz w:val="24"/>
          <w:highlight w:val="none"/>
          <w:lang w:val="en-US" w:eastAsia="zh-CN" w:bidi="ar"/>
        </w:rPr>
        <w:t>[2014]33号</w:t>
      </w:r>
      <w:r>
        <w:rPr>
          <w:rFonts w:hint="default" w:ascii="Times New Roman" w:hAnsi="Times New Roman" w:eastAsia="宋体" w:cs="Times New Roman"/>
          <w:color w:val="auto"/>
          <w:spacing w:val="-2"/>
          <w:kern w:val="0"/>
          <w:sz w:val="24"/>
          <w:highlight w:val="none"/>
          <w:lang w:eastAsia="zh-CN" w:bidi="ar"/>
        </w:rPr>
        <w:t>），项目涉及主要物料的危险性及毒性见下表</w:t>
      </w:r>
      <w:r>
        <w:rPr>
          <w:rFonts w:hint="default" w:ascii="Times New Roman" w:hAnsi="Times New Roman" w:eastAsia="宋体" w:cs="Times New Roman"/>
          <w:color w:val="auto"/>
          <w:spacing w:val="-2"/>
          <w:kern w:val="0"/>
          <w:sz w:val="24"/>
          <w:highlight w:val="none"/>
          <w:lang w:val="en-US" w:eastAsia="zh-CN" w:bidi="ar"/>
        </w:rPr>
        <w:t>2-1和表2-2</w:t>
      </w:r>
      <w:r>
        <w:rPr>
          <w:rFonts w:hint="default" w:ascii="Times New Roman" w:hAnsi="Times New Roman" w:eastAsia="宋体" w:cs="Times New Roman"/>
          <w:color w:val="auto"/>
          <w:spacing w:val="-2"/>
          <w:kern w:val="0"/>
          <w:sz w:val="24"/>
          <w:highlight w:val="none"/>
          <w:lang w:eastAsia="zh-CN" w:bidi="ar"/>
        </w:rPr>
        <w:t>，</w:t>
      </w:r>
      <w:r>
        <w:rPr>
          <w:rFonts w:hint="default" w:ascii="Times New Roman" w:hAnsi="Times New Roman" w:eastAsia="宋体" w:cs="Times New Roman"/>
          <w:b w:val="0"/>
          <w:bCs/>
          <w:color w:val="auto"/>
          <w:sz w:val="24"/>
          <w:highlight w:val="none"/>
          <w:lang w:val="en-US" w:eastAsia="zh-CN"/>
        </w:rPr>
        <w:t>危险物质数量和分布情况见。</w:t>
      </w:r>
    </w:p>
    <w:p>
      <w:pPr>
        <w:keepNext w:val="0"/>
        <w:keepLines w:val="0"/>
        <w:pageBreakBefore w:val="0"/>
        <w:widowControl w:val="0"/>
        <w:numPr>
          <w:ilvl w:val="0"/>
          <w:numId w:val="24"/>
        </w:numPr>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firstLine="403" w:firstLineChars="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本项目涉及主要危险物质危险特性识别表</w:t>
      </w:r>
    </w:p>
    <w:tbl>
      <w:tblPr>
        <w:tblStyle w:val="32"/>
        <w:tblW w:w="498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1067"/>
        <w:gridCol w:w="877"/>
        <w:gridCol w:w="879"/>
        <w:gridCol w:w="1014"/>
        <w:gridCol w:w="3137"/>
        <w:gridCol w:w="1219"/>
        <w:gridCol w:w="122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63" w:type="pct"/>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类别</w:t>
            </w:r>
          </w:p>
        </w:tc>
        <w:tc>
          <w:tcPr>
            <w:tcW w:w="537"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kern w:val="0"/>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危险物质名称</w:t>
            </w:r>
          </w:p>
        </w:tc>
        <w:tc>
          <w:tcPr>
            <w:tcW w:w="1393" w:type="pct"/>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最大存储量t</w:t>
            </w:r>
            <w:r>
              <w:rPr>
                <w:rFonts w:hint="eastAsia" w:cs="Times New Roman"/>
                <w:b/>
                <w:bCs/>
                <w:i w:val="0"/>
                <w:iCs w:val="0"/>
                <w:color w:val="auto"/>
                <w:kern w:val="0"/>
                <w:sz w:val="21"/>
                <w:szCs w:val="21"/>
                <w:highlight w:val="none"/>
                <w:u w:val="none"/>
                <w:lang w:val="en-US" w:eastAsia="zh-CN" w:bidi="ar"/>
              </w:rPr>
              <w:t>*</w:t>
            </w:r>
          </w:p>
        </w:tc>
        <w:tc>
          <w:tcPr>
            <w:tcW w:w="157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风险物质临界量的判定依据</w:t>
            </w:r>
          </w:p>
        </w:tc>
        <w:tc>
          <w:tcPr>
            <w:tcW w:w="611"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kern w:val="0"/>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临界量Qn/t</w:t>
            </w:r>
          </w:p>
        </w:tc>
        <w:tc>
          <w:tcPr>
            <w:tcW w:w="615"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该种危险废物Q值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63" w:type="pct"/>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1"/>
                <w:szCs w:val="21"/>
                <w:highlight w:val="none"/>
              </w:rPr>
            </w:pPr>
          </w:p>
        </w:tc>
        <w:tc>
          <w:tcPr>
            <w:tcW w:w="537"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p>
        </w:tc>
        <w:tc>
          <w:tcPr>
            <w:tcW w:w="4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cs="Times New Roman"/>
                <w:b/>
                <w:bCs/>
                <w:i w:val="0"/>
                <w:iCs w:val="0"/>
                <w:color w:val="auto"/>
                <w:kern w:val="0"/>
                <w:sz w:val="21"/>
                <w:szCs w:val="21"/>
                <w:highlight w:val="none"/>
                <w:u w:val="none"/>
                <w:lang w:val="en-US" w:eastAsia="zh-CN" w:bidi="ar"/>
              </w:rPr>
              <w:t>化学品仓库内</w:t>
            </w:r>
          </w:p>
        </w:tc>
        <w:tc>
          <w:tcPr>
            <w:tcW w:w="4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cs="Times New Roman"/>
                <w:b/>
                <w:bCs/>
                <w:i w:val="0"/>
                <w:iCs w:val="0"/>
                <w:color w:val="auto"/>
                <w:kern w:val="0"/>
                <w:sz w:val="21"/>
                <w:szCs w:val="21"/>
                <w:highlight w:val="none"/>
                <w:u w:val="none"/>
                <w:lang w:val="en-US" w:eastAsia="zh-CN" w:bidi="ar"/>
              </w:rPr>
              <w:t>预搅拌罐区</w:t>
            </w:r>
          </w:p>
        </w:tc>
        <w:tc>
          <w:tcPr>
            <w:tcW w:w="510"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r>
              <w:rPr>
                <w:rFonts w:hint="eastAsia" w:cs="Times New Roman"/>
                <w:b/>
                <w:bCs/>
                <w:i w:val="0"/>
                <w:iCs w:val="0"/>
                <w:color w:val="auto"/>
                <w:kern w:val="0"/>
                <w:sz w:val="21"/>
                <w:szCs w:val="21"/>
                <w:highlight w:val="none"/>
                <w:u w:val="none"/>
                <w:lang w:val="en-US" w:eastAsia="zh-CN" w:bidi="ar"/>
              </w:rPr>
              <w:t>合计</w:t>
            </w:r>
          </w:p>
        </w:tc>
        <w:tc>
          <w:tcPr>
            <w:tcW w:w="157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p>
        </w:tc>
        <w:tc>
          <w:tcPr>
            <w:tcW w:w="61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p>
        </w:tc>
        <w:tc>
          <w:tcPr>
            <w:tcW w:w="615"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eastAsia="宋体" w:cs="Times New Roman"/>
                <w:b/>
                <w:bCs/>
                <w:i w:val="0"/>
                <w:iCs w:val="0"/>
                <w:color w:val="auto"/>
                <w:kern w:val="0"/>
                <w:sz w:val="21"/>
                <w:szCs w:val="21"/>
                <w:highlight w:val="none"/>
                <w:u w:val="none"/>
                <w:lang w:val="en-US" w:eastAsia="zh-CN"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63"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原辅材料</w:t>
            </w:r>
          </w:p>
        </w:tc>
        <w:tc>
          <w:tcPr>
            <w:tcW w:w="53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4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2.2</w:t>
            </w:r>
          </w:p>
        </w:tc>
        <w:tc>
          <w:tcPr>
            <w:tcW w:w="4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2.148</w:t>
            </w:r>
          </w:p>
        </w:tc>
        <w:tc>
          <w:tcPr>
            <w:tcW w:w="101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4.348</w:t>
            </w:r>
          </w:p>
        </w:tc>
        <w:tc>
          <w:tcPr>
            <w:tcW w:w="15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危害水环境物质（急性毒性类别 1）</w:t>
            </w:r>
          </w:p>
        </w:tc>
        <w:tc>
          <w:tcPr>
            <w:tcW w:w="61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22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0.0435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63"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p>
        </w:tc>
        <w:tc>
          <w:tcPr>
            <w:tcW w:w="53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4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2</w:t>
            </w:r>
          </w:p>
        </w:tc>
        <w:tc>
          <w:tcPr>
            <w:tcW w:w="4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1.8</w:t>
            </w:r>
          </w:p>
        </w:tc>
        <w:tc>
          <w:tcPr>
            <w:tcW w:w="101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3.8</w:t>
            </w:r>
          </w:p>
        </w:tc>
        <w:tc>
          <w:tcPr>
            <w:tcW w:w="15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二苯基亚甲基二异氰酸酯（MDI）</w:t>
            </w:r>
          </w:p>
        </w:tc>
        <w:tc>
          <w:tcPr>
            <w:tcW w:w="61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0.5</w:t>
            </w:r>
          </w:p>
        </w:tc>
        <w:tc>
          <w:tcPr>
            <w:tcW w:w="122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263"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p>
        </w:tc>
        <w:tc>
          <w:tcPr>
            <w:tcW w:w="53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硅油</w:t>
            </w:r>
          </w:p>
        </w:tc>
        <w:tc>
          <w:tcPr>
            <w:tcW w:w="44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0.4</w:t>
            </w:r>
          </w:p>
        </w:tc>
        <w:tc>
          <w:tcPr>
            <w:tcW w:w="4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0.14</w:t>
            </w:r>
          </w:p>
        </w:tc>
        <w:tc>
          <w:tcPr>
            <w:tcW w:w="101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0.54</w:t>
            </w:r>
          </w:p>
        </w:tc>
        <w:tc>
          <w:tcPr>
            <w:tcW w:w="15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危害水环境物质（急性毒性类别 1）</w:t>
            </w:r>
          </w:p>
        </w:tc>
        <w:tc>
          <w:tcPr>
            <w:tcW w:w="61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22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4384" w:type="pct"/>
            <w:gridSpan w:val="7"/>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1223"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7.6489</w:t>
            </w:r>
          </w:p>
        </w:tc>
      </w:tr>
    </w:tbl>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val="0"/>
        <w:snapToGrid w:val="0"/>
        <w:spacing w:before="0" w:beforeAutospacing="0" w:after="0" w:afterAutospacing="0" w:line="240" w:lineRule="auto"/>
        <w:ind w:right="0" w:rightChars="0"/>
        <w:jc w:val="both"/>
        <w:textAlignment w:val="baseline"/>
        <w:rPr>
          <w:rFonts w:hint="default" w:ascii="Times New Roman" w:hAnsi="Times New Roman" w:eastAsia="宋体" w:cs="Times New Roman"/>
          <w:b/>
          <w:bCs/>
          <w:color w:val="auto"/>
          <w:kern w:val="0"/>
          <w:sz w:val="20"/>
          <w:szCs w:val="20"/>
          <w:highlight w:val="none"/>
          <w:lang w:val="en-US" w:eastAsia="zh-CN" w:bidi="ar"/>
        </w:rPr>
      </w:pPr>
      <w:r>
        <w:rPr>
          <w:rFonts w:hint="eastAsia" w:cs="Times New Roman"/>
          <w:b/>
          <w:bCs/>
          <w:color w:val="auto"/>
          <w:kern w:val="0"/>
          <w:sz w:val="20"/>
          <w:szCs w:val="20"/>
          <w:highlight w:val="none"/>
          <w:lang w:val="en-US" w:eastAsia="zh-CN" w:bidi="ar"/>
        </w:rPr>
        <w:t>注：*本项目危险物质最大储存量按预搅拌罐内暂存量+化学品仓库内暂存量相加计算。</w:t>
      </w:r>
    </w:p>
    <w:p>
      <w:pPr>
        <w:keepNext w:val="0"/>
        <w:keepLines w:val="0"/>
        <w:pageBreakBefore w:val="0"/>
        <w:widowControl w:val="0"/>
        <w:numPr>
          <w:ilvl w:val="0"/>
          <w:numId w:val="24"/>
        </w:numPr>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firstLine="403" w:firstLineChars="0"/>
        <w:jc w:val="center"/>
        <w:textAlignment w:val="baseline"/>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本项目危险物质数量和分布情况表</w:t>
      </w:r>
    </w:p>
    <w:tbl>
      <w:tblPr>
        <w:tblStyle w:val="32"/>
        <w:tblW w:w="520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1360"/>
        <w:gridCol w:w="1779"/>
        <w:gridCol w:w="1040"/>
        <w:gridCol w:w="1172"/>
        <w:gridCol w:w="1963"/>
        <w:gridCol w:w="1419"/>
        <w:gridCol w:w="10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45" w:type="pct"/>
            <w:tcBorders>
              <w:tl2br w:val="nil"/>
              <w:tr2bl w:val="nil"/>
            </w:tcBorders>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bookmarkStart w:id="44" w:name="_Toc26862"/>
            <w:bookmarkStart w:id="45" w:name="_Toc9991"/>
            <w:bookmarkStart w:id="46" w:name="_Toc10137"/>
            <w:bookmarkStart w:id="47" w:name="_Toc2147"/>
            <w:r>
              <w:rPr>
                <w:rFonts w:hint="default" w:ascii="Times New Roman" w:hAnsi="Times New Roman" w:cs="Times New Roman"/>
                <w:b/>
                <w:bCs/>
                <w:color w:val="auto"/>
                <w:sz w:val="21"/>
                <w:szCs w:val="21"/>
                <w:highlight w:val="none"/>
              </w:rPr>
              <w:t>序号</w:t>
            </w:r>
          </w:p>
        </w:tc>
        <w:tc>
          <w:tcPr>
            <w:tcW w:w="659" w:type="pct"/>
            <w:tcBorders>
              <w:tl2br w:val="nil"/>
              <w:tr2bl w:val="nil"/>
            </w:tcBorders>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危险物质名称</w:t>
            </w:r>
          </w:p>
        </w:tc>
        <w:tc>
          <w:tcPr>
            <w:tcW w:w="86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主要成分</w:t>
            </w:r>
          </w:p>
        </w:tc>
        <w:tc>
          <w:tcPr>
            <w:tcW w:w="504" w:type="pct"/>
            <w:tcBorders>
              <w:tl2br w:val="nil"/>
              <w:tr2bl w:val="nil"/>
            </w:tcBorders>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年用量（t）</w:t>
            </w:r>
          </w:p>
        </w:tc>
        <w:tc>
          <w:tcPr>
            <w:tcW w:w="56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最大储存量（t）</w:t>
            </w:r>
          </w:p>
        </w:tc>
        <w:tc>
          <w:tcPr>
            <w:tcW w:w="951" w:type="pct"/>
            <w:tcBorders>
              <w:tl2br w:val="nil"/>
              <w:tr2bl w:val="nil"/>
            </w:tcBorders>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包装形式及包装容积</w:t>
            </w:r>
          </w:p>
        </w:tc>
        <w:tc>
          <w:tcPr>
            <w:tcW w:w="68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储存地点</w:t>
            </w:r>
          </w:p>
        </w:tc>
        <w:tc>
          <w:tcPr>
            <w:tcW w:w="52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形态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3" w:hRule="atLeast"/>
          <w:tblHeader/>
          <w:jc w:val="center"/>
        </w:trPr>
        <w:tc>
          <w:tcPr>
            <w:tcW w:w="245"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659"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86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 w:val="0"/>
                <w:bCs w:val="0"/>
                <w:color w:val="auto"/>
                <w:sz w:val="21"/>
                <w:szCs w:val="21"/>
                <w:lang w:val="en-US" w:eastAsia="zh-CN"/>
              </w:rPr>
              <w:t>聚醚多元醇</w:t>
            </w:r>
          </w:p>
        </w:tc>
        <w:tc>
          <w:tcPr>
            <w:tcW w:w="504"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160</w:t>
            </w:r>
          </w:p>
        </w:tc>
        <w:tc>
          <w:tcPr>
            <w:tcW w:w="11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4.348</w:t>
            </w:r>
          </w:p>
        </w:tc>
        <w:tc>
          <w:tcPr>
            <w:tcW w:w="951"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200kg/桶</w:t>
            </w:r>
          </w:p>
        </w:tc>
        <w:tc>
          <w:tcPr>
            <w:tcW w:w="687"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化学品仓库</w:t>
            </w:r>
          </w:p>
        </w:tc>
        <w:tc>
          <w:tcPr>
            <w:tcW w:w="52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kern w:val="0"/>
                <w:sz w:val="21"/>
                <w:szCs w:val="21"/>
                <w:highlight w:val="none"/>
              </w:rPr>
              <w:t>液体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45"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659"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86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改性</w:t>
            </w:r>
            <w:r>
              <w:rPr>
                <w:rFonts w:hint="default" w:ascii="Times New Roman" w:hAnsi="Times New Roman" w:eastAsia="宋体" w:cs="Times New Roman"/>
                <w:i w:val="0"/>
                <w:iCs w:val="0"/>
                <w:color w:val="auto"/>
                <w:kern w:val="0"/>
                <w:sz w:val="21"/>
                <w:szCs w:val="21"/>
                <w:highlight w:val="none"/>
                <w:u w:val="none"/>
                <w:lang w:val="en-US" w:eastAsia="zh-CN" w:bidi="ar"/>
              </w:rPr>
              <w:t>异氰酸酯</w:t>
            </w:r>
          </w:p>
        </w:tc>
        <w:tc>
          <w:tcPr>
            <w:tcW w:w="504"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20</w:t>
            </w:r>
          </w:p>
        </w:tc>
        <w:tc>
          <w:tcPr>
            <w:tcW w:w="11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3.8</w:t>
            </w:r>
          </w:p>
        </w:tc>
        <w:tc>
          <w:tcPr>
            <w:tcW w:w="951"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200kg/桶</w:t>
            </w:r>
          </w:p>
        </w:tc>
        <w:tc>
          <w:tcPr>
            <w:tcW w:w="687"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2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kern w:val="0"/>
                <w:sz w:val="21"/>
                <w:szCs w:val="21"/>
                <w:highlight w:val="none"/>
              </w:rPr>
              <w:t>液体</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245"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659"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硅油</w:t>
            </w:r>
          </w:p>
        </w:tc>
        <w:tc>
          <w:tcPr>
            <w:tcW w:w="86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aps w:val="0"/>
                <w:color w:val="auto"/>
                <w:spacing w:val="0"/>
                <w:sz w:val="21"/>
                <w:szCs w:val="21"/>
                <w:shd w:val="clear" w:fill="FFFFFF"/>
              </w:rPr>
              <w:t>聚有机硅氧烷</w:t>
            </w:r>
          </w:p>
        </w:tc>
        <w:tc>
          <w:tcPr>
            <w:tcW w:w="504"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8</w:t>
            </w:r>
          </w:p>
        </w:tc>
        <w:tc>
          <w:tcPr>
            <w:tcW w:w="117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0.54</w:t>
            </w:r>
          </w:p>
        </w:tc>
        <w:tc>
          <w:tcPr>
            <w:tcW w:w="951" w:type="pct"/>
            <w:tcBorders>
              <w:tl2br w:val="nil"/>
              <w:tr2bl w:val="nil"/>
            </w:tcBorders>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lang w:val="en-US" w:eastAsia="zh-CN"/>
              </w:rPr>
              <w:t>200kg/桶</w:t>
            </w:r>
          </w:p>
        </w:tc>
        <w:tc>
          <w:tcPr>
            <w:tcW w:w="687"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52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kern w:val="0"/>
                <w:sz w:val="21"/>
                <w:szCs w:val="21"/>
                <w:highlight w:val="none"/>
              </w:rPr>
              <w:t>液体</w:t>
            </w:r>
          </w:p>
        </w:tc>
      </w:tr>
    </w:tbl>
    <w:p>
      <w:pPr>
        <w:pStyle w:val="117"/>
        <w:numPr>
          <w:ilvl w:val="1"/>
          <w:numId w:val="12"/>
        </w:numPr>
        <w:bidi w:val="0"/>
        <w:ind w:left="850" w:leftChars="0" w:hanging="453" w:firstLineChars="0"/>
        <w:outlineLvl w:val="1"/>
        <w:rPr>
          <w:rFonts w:hint="default" w:ascii="Times New Roman" w:hAnsi="Times New Roman" w:eastAsia="宋体" w:cs="Times New Roman"/>
          <w:color w:val="auto"/>
          <w:highlight w:val="none"/>
          <w:lang w:val="en-US" w:eastAsia="zh-CN"/>
        </w:rPr>
      </w:pPr>
      <w:bookmarkStart w:id="48" w:name="_Toc24425"/>
      <w:r>
        <w:rPr>
          <w:rFonts w:hint="default" w:ascii="Times New Roman" w:hAnsi="Times New Roman" w:eastAsia="宋体" w:cs="Times New Roman"/>
          <w:color w:val="auto"/>
          <w:highlight w:val="none"/>
          <w:lang w:val="en-US" w:eastAsia="zh-CN"/>
        </w:rPr>
        <w:t>环境敏感目标调查</w:t>
      </w:r>
      <w:bookmarkEnd w:id="44"/>
      <w:bookmarkEnd w:id="45"/>
      <w:bookmarkEnd w:id="46"/>
      <w:bookmarkEnd w:id="47"/>
      <w:bookmarkEnd w:id="48"/>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eastAsia="zh-CN" w:bidi="ar"/>
        </w:rPr>
      </w:pPr>
      <w:r>
        <w:rPr>
          <w:rFonts w:hint="default" w:ascii="Times New Roman" w:hAnsi="Times New Roman" w:eastAsia="宋体" w:cs="Times New Roman"/>
          <w:color w:val="auto"/>
          <w:spacing w:val="-2"/>
          <w:kern w:val="0"/>
          <w:sz w:val="24"/>
          <w:highlight w:val="none"/>
          <w:lang w:eastAsia="zh-CN" w:bidi="ar"/>
        </w:rPr>
        <w:t>根据“</w:t>
      </w:r>
      <w:r>
        <w:rPr>
          <w:rFonts w:hint="default" w:ascii="Times New Roman" w:hAnsi="Times New Roman" w:eastAsia="宋体" w:cs="Times New Roman"/>
          <w:color w:val="auto"/>
          <w:spacing w:val="-2"/>
          <w:kern w:val="0"/>
          <w:sz w:val="24"/>
          <w:highlight w:val="none"/>
          <w:lang w:val="en-US" w:eastAsia="zh-CN" w:bidi="ar"/>
        </w:rPr>
        <w:t>环境风险潜势初判</w:t>
      </w:r>
      <w:r>
        <w:rPr>
          <w:rFonts w:hint="default" w:ascii="Times New Roman" w:hAnsi="Times New Roman" w:eastAsia="宋体" w:cs="Times New Roman"/>
          <w:color w:val="auto"/>
          <w:spacing w:val="-2"/>
          <w:kern w:val="0"/>
          <w:sz w:val="24"/>
          <w:highlight w:val="none"/>
          <w:lang w:eastAsia="zh-CN" w:bidi="ar"/>
        </w:rPr>
        <w:t>”，</w:t>
      </w:r>
      <w:r>
        <w:rPr>
          <w:rFonts w:hint="default" w:ascii="Times New Roman" w:hAnsi="Times New Roman" w:cs="Times New Roman"/>
          <w:color w:val="auto"/>
          <w:spacing w:val="-2"/>
          <w:kern w:val="0"/>
          <w:sz w:val="24"/>
          <w:highlight w:val="none"/>
          <w:lang w:val="en-US" w:eastAsia="zh-CN" w:bidi="ar"/>
        </w:rPr>
        <w:t>本</w:t>
      </w:r>
      <w:r>
        <w:rPr>
          <w:rFonts w:hint="default" w:ascii="Times New Roman" w:hAnsi="Times New Roman" w:eastAsia="宋体" w:cs="Times New Roman"/>
          <w:color w:val="auto"/>
          <w:spacing w:val="-2"/>
          <w:kern w:val="0"/>
          <w:sz w:val="24"/>
          <w:highlight w:val="none"/>
          <w:lang w:eastAsia="zh-CN" w:bidi="ar"/>
        </w:rPr>
        <w:t>项目各要素评价工作等级判定如下：</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eastAsia="宋体" w:cs="Times New Roman"/>
          <w:color w:val="auto"/>
          <w:spacing w:val="-2"/>
          <w:kern w:val="0"/>
          <w:sz w:val="24"/>
          <w:highlight w:val="none"/>
          <w:lang w:eastAsia="zh-CN" w:bidi="ar"/>
        </w:rPr>
        <w:t>（</w:t>
      </w:r>
      <w:r>
        <w:rPr>
          <w:rFonts w:hint="default" w:ascii="Times New Roman" w:hAnsi="Times New Roman" w:eastAsia="宋体" w:cs="Times New Roman"/>
          <w:color w:val="auto"/>
          <w:spacing w:val="-2"/>
          <w:kern w:val="0"/>
          <w:sz w:val="24"/>
          <w:highlight w:val="none"/>
          <w:lang w:val="en-US" w:eastAsia="zh-CN" w:bidi="ar"/>
        </w:rPr>
        <w:t>1）大气环境风险潜势为Ⅲ，评价等级为二级，评价工作范围为建设项目厂界外5km。</w:t>
      </w:r>
    </w:p>
    <w:p>
      <w:pPr>
        <w:spacing w:line="360" w:lineRule="auto"/>
        <w:ind w:left="547" w:leftChars="228" w:firstLine="0" w:firstLineChars="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eastAsia="宋体" w:cs="Times New Roman"/>
          <w:color w:val="auto"/>
          <w:spacing w:val="-2"/>
          <w:kern w:val="0"/>
          <w:sz w:val="24"/>
          <w:highlight w:val="none"/>
          <w:lang w:eastAsia="zh-CN" w:bidi="ar"/>
        </w:rPr>
        <w:t>（</w:t>
      </w:r>
      <w:r>
        <w:rPr>
          <w:rFonts w:hint="default" w:ascii="Times New Roman" w:hAnsi="Times New Roman" w:eastAsia="宋体" w:cs="Times New Roman"/>
          <w:color w:val="auto"/>
          <w:spacing w:val="-2"/>
          <w:kern w:val="0"/>
          <w:sz w:val="24"/>
          <w:highlight w:val="none"/>
          <w:lang w:val="en-US" w:eastAsia="zh-CN" w:bidi="ar"/>
        </w:rPr>
        <w:t>2）地表水环境风险潜势为Ⅱ，评价等级为三级</w:t>
      </w:r>
      <w:r>
        <w:rPr>
          <w:rFonts w:hint="default" w:ascii="Times New Roman" w:hAnsi="Times New Roman" w:cs="Times New Roman"/>
          <w:color w:val="auto"/>
          <w:spacing w:val="-2"/>
          <w:kern w:val="0"/>
          <w:sz w:val="24"/>
          <w:highlight w:val="none"/>
          <w:lang w:val="en-US" w:eastAsia="zh-CN" w:bidi="ar"/>
        </w:rPr>
        <w:t>B，可不进行水环境预测</w:t>
      </w:r>
      <w:r>
        <w:rPr>
          <w:rFonts w:hint="default" w:ascii="Times New Roman" w:hAnsi="Times New Roman" w:eastAsia="宋体" w:cs="Times New Roman"/>
          <w:color w:val="auto"/>
          <w:spacing w:val="-2"/>
          <w:kern w:val="0"/>
          <w:sz w:val="24"/>
          <w:highlight w:val="none"/>
          <w:lang w:val="en-US" w:eastAsia="zh-CN" w:bidi="ar"/>
        </w:rPr>
        <w:t>。</w:t>
      </w:r>
    </w:p>
    <w:p>
      <w:pPr>
        <w:spacing w:line="360" w:lineRule="auto"/>
        <w:ind w:left="547" w:leftChars="228" w:firstLine="0" w:firstLineChars="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eastAsia="宋体" w:cs="Times New Roman"/>
          <w:color w:val="auto"/>
          <w:spacing w:val="-2"/>
          <w:kern w:val="0"/>
          <w:sz w:val="24"/>
          <w:highlight w:val="none"/>
          <w:lang w:eastAsia="zh-CN" w:bidi="ar"/>
        </w:rPr>
        <w:t>（</w:t>
      </w:r>
      <w:r>
        <w:rPr>
          <w:rFonts w:hint="default" w:ascii="Times New Roman" w:hAnsi="Times New Roman" w:eastAsia="宋体" w:cs="Times New Roman"/>
          <w:color w:val="auto"/>
          <w:spacing w:val="-2"/>
          <w:kern w:val="0"/>
          <w:sz w:val="24"/>
          <w:highlight w:val="none"/>
          <w:lang w:val="en-US" w:eastAsia="zh-CN" w:bidi="ar"/>
        </w:rPr>
        <w:t>3）地下水环境风险潜势为Ⅱ，评价等级为三级，评价工作范围为项目所在地周边</w:t>
      </w:r>
      <w:r>
        <w:rPr>
          <w:rFonts w:hint="default" w:ascii="Times New Roman" w:hAnsi="Times New Roman" w:cs="Times New Roman"/>
          <w:color w:val="auto"/>
          <w:spacing w:val="-2"/>
          <w:kern w:val="0"/>
          <w:sz w:val="24"/>
          <w:highlight w:val="none"/>
          <w:lang w:val="en-US" w:eastAsia="zh-CN" w:bidi="ar"/>
        </w:rPr>
        <w:t>6</w:t>
      </w:r>
      <w:r>
        <w:rPr>
          <w:rFonts w:hint="default" w:ascii="Times New Roman" w:hAnsi="Times New Roman" w:eastAsia="宋体" w:cs="Times New Roman"/>
          <w:color w:val="auto"/>
          <w:spacing w:val="-2"/>
          <w:kern w:val="0"/>
          <w:sz w:val="24"/>
          <w:highlight w:val="none"/>
          <w:lang w:val="en-US" w:eastAsia="zh-CN" w:bidi="ar"/>
        </w:rPr>
        <w:t>km</w:t>
      </w:r>
      <w:r>
        <w:rPr>
          <w:rFonts w:hint="default" w:ascii="Times New Roman" w:hAnsi="Times New Roman" w:eastAsia="宋体" w:cs="Times New Roman"/>
          <w:color w:val="auto"/>
          <w:spacing w:val="-2"/>
          <w:kern w:val="0"/>
          <w:sz w:val="24"/>
          <w:highlight w:val="none"/>
          <w:vertAlign w:val="superscript"/>
          <w:lang w:val="en-US" w:eastAsia="zh-CN" w:bidi="ar"/>
        </w:rPr>
        <w:t>2</w:t>
      </w:r>
      <w:r>
        <w:rPr>
          <w:rFonts w:hint="default" w:ascii="Times New Roman" w:hAnsi="Times New Roman" w:eastAsia="宋体" w:cs="Times New Roman"/>
          <w:color w:val="auto"/>
          <w:spacing w:val="-2"/>
          <w:kern w:val="0"/>
          <w:sz w:val="24"/>
          <w:highlight w:val="none"/>
          <w:lang w:val="en-US" w:eastAsia="zh-CN" w:bidi="ar"/>
        </w:rPr>
        <w:t>。具体环境风险评价范围见下表，评价范围内环境敏感目标见附图</w:t>
      </w:r>
      <w:r>
        <w:rPr>
          <w:rFonts w:hint="eastAsia" w:cs="Times New Roman"/>
          <w:color w:val="auto"/>
          <w:spacing w:val="-2"/>
          <w:kern w:val="0"/>
          <w:sz w:val="24"/>
          <w:highlight w:val="none"/>
          <w:lang w:val="en-US" w:eastAsia="zh-CN" w:bidi="ar"/>
        </w:rPr>
        <w:t>7</w:t>
      </w:r>
      <w:r>
        <w:rPr>
          <w:rFonts w:hint="default" w:ascii="Times New Roman" w:hAnsi="Times New Roman" w:eastAsia="宋体" w:cs="Times New Roman"/>
          <w:color w:val="auto"/>
          <w:spacing w:val="-2"/>
          <w:kern w:val="0"/>
          <w:sz w:val="24"/>
          <w:highlight w:val="none"/>
          <w:lang w:val="en-US" w:eastAsia="zh-CN" w:bidi="ar"/>
        </w:rPr>
        <w:t>。</w:t>
      </w:r>
    </w:p>
    <w:p>
      <w:pPr>
        <w:pStyle w:val="41"/>
        <w:rPr>
          <w:rFonts w:hint="default" w:ascii="Times New Roman" w:hAnsi="Times New Roman" w:cs="Times New Roman"/>
          <w:color w:val="auto"/>
          <w:lang w:val="en-US" w:eastAsia="zh-CN"/>
        </w:rPr>
      </w:pPr>
    </w:p>
    <w:p>
      <w:pPr>
        <w:pStyle w:val="7"/>
        <w:rPr>
          <w:rFonts w:hint="default"/>
          <w:color w:val="auto"/>
          <w:lang w:val="en-US" w:eastAsia="zh-CN"/>
        </w:rPr>
      </w:pPr>
    </w:p>
    <w:p>
      <w:pPr>
        <w:pStyle w:val="7"/>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pStyle w:val="7"/>
        <w:rPr>
          <w:rFonts w:hint="default" w:ascii="Times New Roman" w:hAnsi="Times New Roman" w:cs="Times New Roman"/>
          <w:color w:val="auto"/>
          <w:lang w:val="en-US" w:eastAsia="zh-CN"/>
        </w:rPr>
      </w:pPr>
    </w:p>
    <w:p>
      <w:pPr>
        <w:numPr>
          <w:ilvl w:val="0"/>
          <w:numId w:val="24"/>
        </w:numPr>
        <w:spacing w:line="240" w:lineRule="auto"/>
        <w:ind w:left="0" w:leftChars="0" w:firstLine="403" w:firstLineChars="0"/>
        <w:jc w:val="center"/>
        <w:rPr>
          <w:rFonts w:hint="default" w:ascii="Times New Roman" w:hAnsi="Times New Roman" w:eastAsia="宋体" w:cs="Times New Roman"/>
          <w:b/>
          <w:bCs/>
          <w:color w:val="auto"/>
          <w:spacing w:val="-2"/>
          <w:kern w:val="0"/>
          <w:sz w:val="21"/>
          <w:szCs w:val="21"/>
          <w:highlight w:val="none"/>
          <w:lang w:val="en-US" w:eastAsia="zh-CN" w:bidi="ar"/>
        </w:rPr>
      </w:pPr>
      <w:r>
        <w:rPr>
          <w:rFonts w:hint="default" w:ascii="Times New Roman" w:hAnsi="Times New Roman" w:eastAsia="宋体" w:cs="Times New Roman"/>
          <w:b/>
          <w:bCs/>
          <w:color w:val="auto"/>
          <w:spacing w:val="-2"/>
          <w:kern w:val="0"/>
          <w:sz w:val="21"/>
          <w:szCs w:val="21"/>
          <w:highlight w:val="none"/>
          <w:lang w:val="en-US" w:eastAsia="zh-CN" w:bidi="ar"/>
        </w:rPr>
        <w:t>项目环境敏感目标表</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1375"/>
        <w:gridCol w:w="1789"/>
        <w:gridCol w:w="1359"/>
        <w:gridCol w:w="1225"/>
        <w:gridCol w:w="1901"/>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类别</w:t>
            </w:r>
          </w:p>
        </w:tc>
        <w:tc>
          <w:tcPr>
            <w:tcW w:w="4747" w:type="pct"/>
            <w:gridSpan w:val="6"/>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环境敏感特征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4747" w:type="pct"/>
            <w:gridSpan w:val="6"/>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厂址周边5km范围内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环境空气</w:t>
            </w:r>
          </w:p>
        </w:tc>
        <w:tc>
          <w:tcPr>
            <w:tcW w:w="690"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序号</w:t>
            </w:r>
          </w:p>
        </w:tc>
        <w:tc>
          <w:tcPr>
            <w:tcW w:w="89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敏感目标名称</w:t>
            </w:r>
          </w:p>
        </w:tc>
        <w:tc>
          <w:tcPr>
            <w:tcW w:w="68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相对方位</w:t>
            </w:r>
          </w:p>
        </w:tc>
        <w:tc>
          <w:tcPr>
            <w:tcW w:w="615"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距离</w:t>
            </w:r>
            <w:r>
              <w:rPr>
                <w:rFonts w:hint="default" w:ascii="Times New Roman" w:hAnsi="Times New Roman" w:cs="Times New Roman"/>
                <w:b w:val="0"/>
                <w:bCs w:val="0"/>
                <w:color w:val="auto"/>
                <w:kern w:val="2"/>
                <w:sz w:val="21"/>
                <w:szCs w:val="21"/>
                <w:highlight w:val="none"/>
                <w:vertAlign w:val="baseline"/>
                <w:lang w:val="en-US" w:eastAsia="zh-CN" w:bidi="ar-SA"/>
              </w:rPr>
              <w:t>（m）</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属性</w:t>
            </w:r>
          </w:p>
        </w:tc>
        <w:tc>
          <w:tcPr>
            <w:tcW w:w="90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人口数（人）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关扎村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4740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西头村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4820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田头村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4320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埔车村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4500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埔西村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埔心村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2130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恒丰学校</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学校</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博中育英学校</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3700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学校</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田心村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2250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2160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大有村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2630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星火村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永宁村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铁场西田村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围岭村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叶屋村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4420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周屋村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3270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昌福岗村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3270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下新屋村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3360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江埔头村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3890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火烧园村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兰水屋村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4190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福田村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4510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福田中心双语幼儿园</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4870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学校</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东湖实验学校</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4990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学校</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新屋仔村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4210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横溪头村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横三村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3930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横四村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3760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梁屋村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3450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冯一村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3330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冯三村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冯二村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新围村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3340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依岗村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3500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陈屋村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3460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叶屋村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3610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新生村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3880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荔枝墩</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新丰村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3740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徐牙岗村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3930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沥西村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2740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石湾中学</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4640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学校</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滘吓李屋村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5037</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茹卢村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3390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朱屋村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3400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李屋村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严屋村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2830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铁场村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源头村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2960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马屋村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3840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冯屋村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4230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龙山新村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4410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蔡村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1580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沙径小组</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白沙村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1720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徐村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红光村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水东坡村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牛头谭村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上滘村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滘吓小学</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4450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学校</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新村村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4700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九潭村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沥东村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东</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3620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竹园村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三江新村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2780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上新村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2800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69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蔗元村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3350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70</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鸡公坑村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4070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71</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榄头下村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4900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72</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吕福田村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4830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73</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马田村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3540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74</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杨屋村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3970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75</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岭口村</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3920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76</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福乐公寓</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90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77</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零散居民楼3</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480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78</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零散居民楼1</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410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 w:type="pct"/>
            <w:vMerge w:val="continue"/>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p>
        </w:tc>
        <w:tc>
          <w:tcPr>
            <w:tcW w:w="690"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79</w:t>
            </w:r>
          </w:p>
        </w:tc>
        <w:tc>
          <w:tcPr>
            <w:tcW w:w="89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零散居民楼2</w:t>
            </w:r>
          </w:p>
        </w:tc>
        <w:tc>
          <w:tcPr>
            <w:tcW w:w="682"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西南</w:t>
            </w:r>
          </w:p>
        </w:tc>
        <w:tc>
          <w:tcPr>
            <w:tcW w:w="615"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160</w:t>
            </w:r>
          </w:p>
        </w:tc>
        <w:tc>
          <w:tcPr>
            <w:tcW w:w="952"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村庄</w:t>
            </w:r>
          </w:p>
        </w:tc>
        <w:tc>
          <w:tcPr>
            <w:tcW w:w="908" w:type="pct"/>
            <w:noWrap w:val="0"/>
            <w:vAlign w:val="center"/>
          </w:tcPr>
          <w:p>
            <w:pPr>
              <w:keepNext w:val="0"/>
              <w:keepLines w:val="0"/>
              <w:pageBreakBefore w:val="0"/>
              <w:widowControl/>
              <w:suppressLineNumbers w:val="0"/>
              <w:kinsoku/>
              <w:wordWrap/>
              <w:overflowPunct/>
              <w:topLinePunct w:val="0"/>
              <w:bidi w:val="0"/>
              <w:adjustRightInd/>
              <w:snapToGrid/>
              <w:spacing w:line="240" w:lineRule="auto"/>
              <w:jc w:val="center"/>
              <w:textAlignment w:val="center"/>
              <w:rPr>
                <w:rFonts w:hint="default" w:ascii="Times New Roman" w:hAnsi="Times New Roman"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1" w:type="pct"/>
            <w:gridSpan w:val="6"/>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厂址周边500m范围内人口数小计</w:t>
            </w:r>
          </w:p>
        </w:tc>
        <w:tc>
          <w:tcPr>
            <w:tcW w:w="90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1" w:type="pct"/>
            <w:gridSpan w:val="6"/>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厂址周边5000m范围内人口数小计</w:t>
            </w:r>
          </w:p>
        </w:tc>
        <w:tc>
          <w:tcPr>
            <w:tcW w:w="90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b w:val="0"/>
                <w:bCs w:val="0"/>
                <w:color w:val="auto"/>
                <w:kern w:val="2"/>
                <w:sz w:val="21"/>
                <w:szCs w:val="21"/>
                <w:highlight w:val="none"/>
                <w:vertAlign w:val="baseline"/>
                <w:lang w:val="en-US" w:eastAsia="zh-CN" w:bidi="ar-SA"/>
              </w:rPr>
              <w:t>80800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91" w:type="pct"/>
            <w:gridSpan w:val="6"/>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eastAsia="宋体" w:cs="Times New Roman"/>
                <w:b w:val="0"/>
                <w:bCs w:val="0"/>
                <w:color w:val="auto"/>
                <w:kern w:val="2"/>
                <w:sz w:val="21"/>
                <w:szCs w:val="21"/>
                <w:highlight w:val="none"/>
                <w:vertAlign w:val="baseline"/>
                <w:lang w:val="en-US" w:eastAsia="zh-CN" w:bidi="ar-SA"/>
              </w:rPr>
              <w:t>大气环境敏感程度E值</w:t>
            </w:r>
          </w:p>
        </w:tc>
        <w:tc>
          <w:tcPr>
            <w:tcW w:w="908" w:type="pct"/>
            <w:noWrap w:val="0"/>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rPr>
                <w:rFonts w:hint="default" w:ascii="Times New Roman" w:hAnsi="Times New Roman" w:eastAsia="宋体" w:cs="Times New Roman"/>
                <w:b w:val="0"/>
                <w:bCs w:val="0"/>
                <w:color w:val="auto"/>
                <w:kern w:val="2"/>
                <w:sz w:val="21"/>
                <w:szCs w:val="21"/>
                <w:highlight w:val="none"/>
                <w:vertAlign w:val="baseline"/>
                <w:lang w:val="en-US" w:eastAsia="zh-CN" w:bidi="ar-SA"/>
              </w:rPr>
            </w:pPr>
            <w:r>
              <w:rPr>
                <w:rFonts w:hint="default" w:ascii="Times New Roman" w:hAnsi="Times New Roman" w:cs="Times New Roman"/>
                <w:color w:val="auto"/>
                <w:sz w:val="21"/>
                <w:szCs w:val="21"/>
              </w:rPr>
              <w:t>E1</w:t>
            </w:r>
          </w:p>
        </w:tc>
      </w:tr>
    </w:tbl>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p>
    <w:p>
      <w:pPr>
        <w:spacing w:line="360" w:lineRule="auto"/>
        <w:ind w:firstLine="472" w:firstLineChars="200"/>
        <w:jc w:val="both"/>
        <w:rPr>
          <w:rFonts w:hint="default" w:ascii="Times New Roman" w:hAnsi="Times New Roman" w:cs="Times New Roman"/>
          <w:color w:val="auto"/>
          <w:spacing w:val="-2"/>
          <w:kern w:val="0"/>
          <w:sz w:val="24"/>
          <w:highlight w:val="none"/>
          <w:lang w:bidi="ar"/>
        </w:rPr>
        <w:sectPr>
          <w:pgSz w:w="11906" w:h="16838"/>
          <w:pgMar w:top="1440" w:right="1080" w:bottom="1440" w:left="1080" w:header="737" w:footer="850" w:gutter="0"/>
          <w:pgNumType w:fmt="decimal"/>
          <w:cols w:space="720" w:num="1"/>
          <w:docGrid w:linePitch="327" w:charSpace="0"/>
        </w:sectPr>
      </w:pPr>
    </w:p>
    <w:p>
      <w:pPr>
        <w:pStyle w:val="116"/>
        <w:bidi w:val="0"/>
        <w:ind w:left="0" w:firstLine="0"/>
        <w:outlineLvl w:val="1"/>
        <w:rPr>
          <w:rFonts w:hint="default" w:ascii="Times New Roman" w:hAnsi="Times New Roman" w:eastAsia="宋体" w:cs="Times New Roman"/>
          <w:color w:val="auto"/>
          <w:lang w:eastAsia="zh-CN"/>
        </w:rPr>
      </w:pPr>
      <w:bookmarkStart w:id="49" w:name="_Toc8255"/>
      <w:bookmarkStart w:id="50" w:name="_Toc30183"/>
      <w:bookmarkStart w:id="51" w:name="_Toc10826"/>
      <w:bookmarkStart w:id="52" w:name="_Toc32482"/>
      <w:bookmarkStart w:id="53" w:name="_Toc6642"/>
      <w:r>
        <w:rPr>
          <w:rFonts w:hint="default" w:ascii="Times New Roman" w:hAnsi="Times New Roman" w:eastAsia="宋体" w:cs="Times New Roman"/>
          <w:color w:val="auto"/>
          <w:lang w:val="en-US" w:eastAsia="zh-CN"/>
        </w:rPr>
        <w:t>环境风险潜势初判</w:t>
      </w:r>
      <w:bookmarkEnd w:id="49"/>
      <w:bookmarkEnd w:id="50"/>
      <w:bookmarkEnd w:id="51"/>
      <w:bookmarkEnd w:id="52"/>
      <w:bookmarkEnd w:id="53"/>
    </w:p>
    <w:p>
      <w:pPr>
        <w:pStyle w:val="117"/>
        <w:numPr>
          <w:ilvl w:val="1"/>
          <w:numId w:val="12"/>
        </w:numPr>
        <w:bidi w:val="0"/>
        <w:ind w:left="850" w:leftChars="0" w:hanging="453" w:firstLineChars="0"/>
        <w:outlineLvl w:val="1"/>
        <w:rPr>
          <w:rFonts w:hint="default" w:ascii="Times New Roman" w:hAnsi="Times New Roman" w:cs="Times New Roman"/>
          <w:color w:val="auto"/>
          <w:lang w:eastAsia="zh-CN"/>
        </w:rPr>
      </w:pPr>
      <w:bookmarkStart w:id="54" w:name="_Toc30824"/>
      <w:bookmarkStart w:id="55" w:name="_Toc685"/>
      <w:bookmarkStart w:id="56" w:name="_Toc31444"/>
      <w:bookmarkStart w:id="57" w:name="_Toc10398"/>
      <w:bookmarkStart w:id="58" w:name="_Toc2320"/>
      <w:r>
        <w:rPr>
          <w:rFonts w:hint="default" w:ascii="Times New Roman" w:hAnsi="Times New Roman" w:cs="Times New Roman"/>
          <w:color w:val="auto"/>
          <w:lang w:eastAsia="zh-CN"/>
        </w:rPr>
        <w:t>危险物质及工艺系统危险性（</w:t>
      </w:r>
      <w:r>
        <w:rPr>
          <w:rFonts w:hint="default" w:ascii="Times New Roman" w:hAnsi="Times New Roman" w:cs="Times New Roman"/>
          <w:color w:val="auto"/>
          <w:lang w:val="en-US" w:eastAsia="zh-CN"/>
        </w:rPr>
        <w:t>P）的分级确定</w:t>
      </w:r>
      <w:bookmarkEnd w:id="54"/>
      <w:bookmarkEnd w:id="55"/>
      <w:bookmarkEnd w:id="56"/>
      <w:bookmarkEnd w:id="57"/>
      <w:bookmarkEnd w:id="58"/>
    </w:p>
    <w:p>
      <w:pPr>
        <w:spacing w:line="360" w:lineRule="auto"/>
        <w:ind w:firstLine="474" w:firstLineChars="200"/>
        <w:jc w:val="both"/>
        <w:rPr>
          <w:rFonts w:hint="default" w:ascii="Times New Roman" w:hAnsi="Times New Roman" w:eastAsia="宋体" w:cs="Times New Roman"/>
          <w:b/>
          <w:bCs/>
          <w:color w:val="auto"/>
          <w:spacing w:val="-2"/>
          <w:kern w:val="0"/>
          <w:sz w:val="24"/>
          <w:highlight w:val="none"/>
          <w:lang w:val="en-US" w:eastAsia="zh-CN" w:bidi="ar"/>
        </w:rPr>
      </w:pPr>
      <w:r>
        <w:rPr>
          <w:rFonts w:hint="default" w:ascii="Times New Roman" w:hAnsi="Times New Roman" w:eastAsia="宋体" w:cs="Times New Roman"/>
          <w:b/>
          <w:bCs/>
          <w:color w:val="auto"/>
          <w:spacing w:val="-2"/>
          <w:kern w:val="0"/>
          <w:sz w:val="24"/>
          <w:highlight w:val="none"/>
          <w:lang w:eastAsia="zh-CN" w:bidi="ar"/>
        </w:rPr>
        <w:t>（</w:t>
      </w:r>
      <w:r>
        <w:rPr>
          <w:rFonts w:hint="default" w:ascii="Times New Roman" w:hAnsi="Times New Roman" w:eastAsia="宋体" w:cs="Times New Roman"/>
          <w:b/>
          <w:bCs/>
          <w:color w:val="auto"/>
          <w:spacing w:val="-2"/>
          <w:kern w:val="0"/>
          <w:sz w:val="24"/>
          <w:highlight w:val="none"/>
          <w:lang w:val="en-US" w:eastAsia="zh-CN" w:bidi="ar"/>
        </w:rPr>
        <w:t>1）危险物质数量与临界量比值（Q）</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eastAsia="宋体" w:cs="Times New Roman"/>
          <w:color w:val="auto"/>
          <w:spacing w:val="-2"/>
          <w:kern w:val="0"/>
          <w:sz w:val="24"/>
          <w:highlight w:val="none"/>
          <w:lang w:eastAsia="zh-CN" w:bidi="ar"/>
        </w:rPr>
        <w:t>根据《建设项目环境风险评价技术导则》（</w:t>
      </w:r>
      <w:r>
        <w:rPr>
          <w:rFonts w:hint="default" w:ascii="Times New Roman" w:hAnsi="Times New Roman" w:eastAsia="宋体" w:cs="Times New Roman"/>
          <w:color w:val="auto"/>
          <w:spacing w:val="-2"/>
          <w:kern w:val="0"/>
          <w:sz w:val="24"/>
          <w:highlight w:val="none"/>
          <w:lang w:val="en-US" w:eastAsia="zh-CN" w:bidi="ar"/>
        </w:rPr>
        <w:t>HJ169-2018</w:t>
      </w:r>
      <w:r>
        <w:rPr>
          <w:rFonts w:hint="default" w:ascii="Times New Roman" w:hAnsi="Times New Roman" w:eastAsia="宋体" w:cs="Times New Roman"/>
          <w:color w:val="auto"/>
          <w:spacing w:val="-2"/>
          <w:kern w:val="0"/>
          <w:sz w:val="24"/>
          <w:highlight w:val="none"/>
          <w:lang w:eastAsia="zh-CN" w:bidi="ar"/>
        </w:rPr>
        <w:t>）附录</w:t>
      </w:r>
      <w:r>
        <w:rPr>
          <w:rFonts w:hint="default" w:ascii="Times New Roman" w:hAnsi="Times New Roman" w:eastAsia="宋体" w:cs="Times New Roman"/>
          <w:color w:val="auto"/>
          <w:spacing w:val="-2"/>
          <w:kern w:val="0"/>
          <w:sz w:val="24"/>
          <w:highlight w:val="none"/>
          <w:lang w:val="en-US" w:eastAsia="zh-CN" w:bidi="ar"/>
        </w:rPr>
        <w:t>C.1.1要求，计算所涉及的每种危险物质在厂界内的最大存在总量与其在附录B中对应临界值的比值Q。在不同厂区的同一种物质，按其在厂界内的最大存在总量计算。对于长输管线项目，按照两个截断阀室之间管段危险物质最大存在总量计算。</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（1）当企业只涉及一种风险物质时，该物质的数量与其临界量比值，即为Q。</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（2）当企业存在多种风险物质时，则按式（1）计算：</w:t>
      </w:r>
    </w:p>
    <w:p>
      <w:pPr>
        <w:widowControl/>
        <w:jc w:val="center"/>
        <w:rPr>
          <w:rFonts w:hint="default" w:ascii="Times New Roman" w:hAnsi="Times New Roman" w:eastAsia="宋体" w:cs="Times New Roman"/>
          <w:color w:val="auto"/>
          <w:szCs w:val="22"/>
          <w:highlight w:val="yellow"/>
        </w:rPr>
      </w:pPr>
      <w:r>
        <w:rPr>
          <w:rFonts w:hint="default" w:ascii="Times New Roman" w:hAnsi="Times New Roman" w:eastAsia="宋体" w:cs="Times New Roman"/>
          <w:color w:val="auto"/>
          <w:spacing w:val="-2"/>
          <w:kern w:val="0"/>
          <w:sz w:val="28"/>
          <w:szCs w:val="28"/>
          <w:highlight w:val="yellow"/>
          <w:lang w:bidi="ar"/>
        </w:rPr>
        <w:fldChar w:fldCharType="begin"/>
      </w:r>
      <w:r>
        <w:rPr>
          <w:rFonts w:hint="default" w:ascii="Times New Roman" w:hAnsi="Times New Roman" w:eastAsia="宋体" w:cs="Times New Roman"/>
          <w:color w:val="auto"/>
          <w:spacing w:val="-2"/>
          <w:kern w:val="0"/>
          <w:sz w:val="28"/>
          <w:szCs w:val="28"/>
          <w:highlight w:val="yellow"/>
          <w:lang w:bidi="ar"/>
        </w:rPr>
        <w:instrText xml:space="preserve">INCLUDEPICTURE \d "C:\\Users\\Administrator\\AppData\\Local\\Temp\\ksohtml\\wps5B1A.tmp.jpg" \* MERGEFORMATINET </w:instrText>
      </w:r>
      <w:r>
        <w:rPr>
          <w:rFonts w:hint="default" w:ascii="Times New Roman" w:hAnsi="Times New Roman" w:eastAsia="宋体" w:cs="Times New Roman"/>
          <w:color w:val="auto"/>
          <w:spacing w:val="-2"/>
          <w:kern w:val="0"/>
          <w:sz w:val="28"/>
          <w:szCs w:val="28"/>
          <w:highlight w:val="yellow"/>
          <w:lang w:bidi="ar"/>
        </w:rPr>
        <w:fldChar w:fldCharType="separate"/>
      </w:r>
      <w:r>
        <w:rPr>
          <w:rFonts w:hint="default" w:ascii="Times New Roman" w:hAnsi="Times New Roman" w:eastAsia="宋体" w:cs="Times New Roman"/>
          <w:color w:val="auto"/>
          <w:spacing w:val="-2"/>
          <w:kern w:val="0"/>
          <w:sz w:val="28"/>
          <w:szCs w:val="28"/>
          <w:highlight w:val="yellow"/>
          <w:lang w:bidi="ar"/>
        </w:rPr>
        <w:drawing>
          <wp:inline distT="0" distB="0" distL="114300" distR="114300">
            <wp:extent cx="2085975" cy="552450"/>
            <wp:effectExtent l="0" t="0" r="9525" b="0"/>
            <wp:docPr id="20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 descr="IMG_256"/>
                    <pic:cNvPicPr>
                      <a:picLocks noChangeAspect="1"/>
                    </pic:cNvPicPr>
                  </pic:nvPicPr>
                  <pic:blipFill>
                    <a:blip r:embed="rId44"/>
                    <a:stretch>
                      <a:fillRect/>
                    </a:stretch>
                  </pic:blipFill>
                  <pic:spPr>
                    <a:xfrm>
                      <a:off x="0" y="0"/>
                      <a:ext cx="2085975" cy="552450"/>
                    </a:xfrm>
                    <a:prstGeom prst="rect">
                      <a:avLst/>
                    </a:prstGeom>
                    <a:noFill/>
                    <a:ln>
                      <a:noFill/>
                    </a:ln>
                  </pic:spPr>
                </pic:pic>
              </a:graphicData>
            </a:graphic>
          </wp:inline>
        </w:drawing>
      </w:r>
      <w:r>
        <w:rPr>
          <w:rFonts w:hint="default" w:ascii="Times New Roman" w:hAnsi="Times New Roman" w:eastAsia="宋体" w:cs="Times New Roman"/>
          <w:color w:val="auto"/>
          <w:spacing w:val="-2"/>
          <w:kern w:val="0"/>
          <w:sz w:val="28"/>
          <w:szCs w:val="28"/>
          <w:highlight w:val="yellow"/>
          <w:lang w:bidi="ar"/>
        </w:rPr>
        <w:fldChar w:fldCharType="end"/>
      </w:r>
    </w:p>
    <w:p>
      <w:pPr>
        <w:adjustRightInd w:val="0"/>
        <w:spacing w:before="78" w:line="360" w:lineRule="auto"/>
        <w:ind w:firstLine="472" w:firstLineChars="200"/>
        <w:textAlignment w:val="baseline"/>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式中： q</w:t>
      </w:r>
      <w:r>
        <w:rPr>
          <w:rFonts w:hint="default" w:ascii="Times New Roman" w:hAnsi="Times New Roman" w:eastAsia="宋体" w:cs="Times New Roman"/>
          <w:color w:val="auto"/>
          <w:spacing w:val="-2"/>
          <w:kern w:val="0"/>
          <w:sz w:val="24"/>
          <w:highlight w:val="none"/>
          <w:vertAlign w:val="subscript"/>
          <w:lang w:bidi="ar"/>
        </w:rPr>
        <w:t>1</w:t>
      </w:r>
      <w:r>
        <w:rPr>
          <w:rFonts w:hint="default" w:ascii="Times New Roman" w:hAnsi="Times New Roman" w:eastAsia="宋体" w:cs="Times New Roman"/>
          <w:color w:val="auto"/>
          <w:spacing w:val="-2"/>
          <w:kern w:val="0"/>
          <w:sz w:val="24"/>
          <w:highlight w:val="none"/>
          <w:lang w:bidi="ar"/>
        </w:rPr>
        <w:t>，q</w:t>
      </w:r>
      <w:r>
        <w:rPr>
          <w:rFonts w:hint="default" w:ascii="Times New Roman" w:hAnsi="Times New Roman" w:eastAsia="宋体" w:cs="Times New Roman"/>
          <w:color w:val="auto"/>
          <w:spacing w:val="-2"/>
          <w:kern w:val="0"/>
          <w:sz w:val="24"/>
          <w:highlight w:val="none"/>
          <w:vertAlign w:val="subscript"/>
          <w:lang w:bidi="ar"/>
        </w:rPr>
        <w:t>2</w:t>
      </w:r>
      <w:r>
        <w:rPr>
          <w:rFonts w:hint="default" w:ascii="Times New Roman" w:hAnsi="Times New Roman" w:eastAsia="宋体" w:cs="Times New Roman"/>
          <w:color w:val="auto"/>
          <w:spacing w:val="-2"/>
          <w:kern w:val="0"/>
          <w:sz w:val="24"/>
          <w:highlight w:val="none"/>
          <w:lang w:bidi="ar"/>
        </w:rPr>
        <w:t>……，q</w:t>
      </w:r>
      <w:r>
        <w:rPr>
          <w:rFonts w:hint="default" w:ascii="Times New Roman" w:hAnsi="Times New Roman" w:eastAsia="宋体" w:cs="Times New Roman"/>
          <w:color w:val="auto"/>
          <w:spacing w:val="-2"/>
          <w:kern w:val="0"/>
          <w:sz w:val="24"/>
          <w:highlight w:val="none"/>
          <w:vertAlign w:val="subscript"/>
          <w:lang w:bidi="ar"/>
        </w:rPr>
        <w:t>n</w:t>
      </w:r>
      <w:r>
        <w:rPr>
          <w:rFonts w:hint="default" w:ascii="Times New Roman" w:hAnsi="Times New Roman" w:eastAsia="宋体" w:cs="Times New Roman"/>
          <w:color w:val="auto"/>
          <w:spacing w:val="-2"/>
          <w:kern w:val="0"/>
          <w:sz w:val="24"/>
          <w:highlight w:val="none"/>
          <w:lang w:bidi="ar"/>
        </w:rPr>
        <w:t>——每种危险物质的最大存在总量，t。</w:t>
      </w:r>
    </w:p>
    <w:p>
      <w:pPr>
        <w:adjustRightInd w:val="0"/>
        <w:spacing w:before="78" w:line="360" w:lineRule="auto"/>
        <w:ind w:firstLine="472" w:firstLineChars="200"/>
        <w:textAlignment w:val="baseline"/>
        <w:rPr>
          <w:rFonts w:hint="default" w:ascii="Times New Roman" w:hAnsi="Times New Roman" w:eastAsia="宋体" w:cs="Times New Roman"/>
          <w:color w:val="auto"/>
          <w:spacing w:val="-2"/>
          <w:kern w:val="0"/>
          <w:sz w:val="24"/>
          <w:highlight w:val="none"/>
        </w:rPr>
      </w:pPr>
      <w:r>
        <w:rPr>
          <w:rFonts w:hint="default" w:ascii="Times New Roman" w:hAnsi="Times New Roman" w:eastAsia="宋体" w:cs="Times New Roman"/>
          <w:color w:val="auto"/>
          <w:spacing w:val="-2"/>
          <w:kern w:val="0"/>
          <w:sz w:val="24"/>
          <w:highlight w:val="none"/>
          <w:lang w:bidi="ar"/>
        </w:rPr>
        <w:t>Q</w:t>
      </w:r>
      <w:r>
        <w:rPr>
          <w:rFonts w:hint="default" w:ascii="Times New Roman" w:hAnsi="Times New Roman" w:eastAsia="宋体" w:cs="Times New Roman"/>
          <w:color w:val="auto"/>
          <w:spacing w:val="-2"/>
          <w:kern w:val="0"/>
          <w:sz w:val="24"/>
          <w:highlight w:val="none"/>
          <w:vertAlign w:val="subscript"/>
          <w:lang w:bidi="ar"/>
        </w:rPr>
        <w:t>1</w:t>
      </w:r>
      <w:r>
        <w:rPr>
          <w:rFonts w:hint="default" w:ascii="Times New Roman" w:hAnsi="Times New Roman" w:eastAsia="宋体" w:cs="Times New Roman"/>
          <w:color w:val="auto"/>
          <w:spacing w:val="-2"/>
          <w:kern w:val="0"/>
          <w:sz w:val="24"/>
          <w:highlight w:val="none"/>
          <w:lang w:bidi="ar"/>
        </w:rPr>
        <w:t>，Q</w:t>
      </w:r>
      <w:r>
        <w:rPr>
          <w:rFonts w:hint="default" w:ascii="Times New Roman" w:hAnsi="Times New Roman" w:eastAsia="宋体" w:cs="Times New Roman"/>
          <w:color w:val="auto"/>
          <w:spacing w:val="-2"/>
          <w:kern w:val="0"/>
          <w:sz w:val="24"/>
          <w:highlight w:val="none"/>
          <w:vertAlign w:val="subscript"/>
          <w:lang w:bidi="ar"/>
        </w:rPr>
        <w:t>2</w:t>
      </w:r>
      <w:r>
        <w:rPr>
          <w:rFonts w:hint="default" w:ascii="Times New Roman" w:hAnsi="Times New Roman" w:eastAsia="宋体" w:cs="Times New Roman"/>
          <w:color w:val="auto"/>
          <w:spacing w:val="-2"/>
          <w:kern w:val="0"/>
          <w:sz w:val="24"/>
          <w:highlight w:val="none"/>
          <w:lang w:bidi="ar"/>
        </w:rPr>
        <w:t>……，Q</w:t>
      </w:r>
      <w:r>
        <w:rPr>
          <w:rFonts w:hint="default" w:ascii="Times New Roman" w:hAnsi="Times New Roman" w:eastAsia="宋体" w:cs="Times New Roman"/>
          <w:color w:val="auto"/>
          <w:spacing w:val="-2"/>
          <w:kern w:val="0"/>
          <w:sz w:val="24"/>
          <w:highlight w:val="none"/>
          <w:vertAlign w:val="subscript"/>
          <w:lang w:bidi="ar"/>
        </w:rPr>
        <w:t>n</w:t>
      </w:r>
      <w:r>
        <w:rPr>
          <w:rFonts w:hint="default" w:ascii="Times New Roman" w:hAnsi="Times New Roman" w:eastAsia="宋体" w:cs="Times New Roman"/>
          <w:color w:val="auto"/>
          <w:spacing w:val="-2"/>
          <w:kern w:val="0"/>
          <w:sz w:val="24"/>
          <w:highlight w:val="none"/>
          <w:lang w:bidi="ar"/>
        </w:rPr>
        <w:t>——每种危险物质的临界量，t。</w:t>
      </w:r>
    </w:p>
    <w:p>
      <w:pPr>
        <w:adjustRightInd w:val="0"/>
        <w:spacing w:before="78" w:line="360" w:lineRule="auto"/>
        <w:ind w:firstLine="472" w:firstLineChars="200"/>
        <w:textAlignment w:val="baseline"/>
        <w:rPr>
          <w:rFonts w:hint="default" w:ascii="Times New Roman" w:hAnsi="Times New Roman" w:eastAsia="宋体" w:cs="Times New Roman"/>
          <w:color w:val="auto"/>
          <w:spacing w:val="-2"/>
          <w:kern w:val="0"/>
          <w:sz w:val="24"/>
          <w:highlight w:val="none"/>
        </w:rPr>
      </w:pPr>
      <w:r>
        <w:rPr>
          <w:rFonts w:hint="default" w:ascii="Times New Roman" w:hAnsi="Times New Roman" w:eastAsia="宋体" w:cs="Times New Roman"/>
          <w:color w:val="auto"/>
          <w:spacing w:val="-2"/>
          <w:kern w:val="0"/>
          <w:sz w:val="24"/>
          <w:highlight w:val="none"/>
          <w:lang w:bidi="ar"/>
        </w:rPr>
        <w:t>当Q＜1时，该项目环境风险潜势为I。</w:t>
      </w:r>
    </w:p>
    <w:p>
      <w:pPr>
        <w:adjustRightInd w:val="0"/>
        <w:spacing w:before="78" w:line="360" w:lineRule="auto"/>
        <w:ind w:firstLine="472" w:firstLineChars="200"/>
        <w:textAlignment w:val="baseline"/>
        <w:rPr>
          <w:rFonts w:hint="default" w:ascii="Times New Roman" w:hAnsi="Times New Roman" w:eastAsia="Arial Unicode MS" w:cs="Times New Roman"/>
          <w:color w:val="auto"/>
          <w:spacing w:val="-2"/>
          <w:kern w:val="0"/>
          <w:sz w:val="24"/>
          <w:highlight w:val="none"/>
        </w:rPr>
      </w:pPr>
      <w:r>
        <w:rPr>
          <w:rFonts w:hint="default" w:ascii="Times New Roman" w:hAnsi="Times New Roman" w:eastAsia="宋体" w:cs="Times New Roman"/>
          <w:color w:val="auto"/>
          <w:spacing w:val="-2"/>
          <w:kern w:val="0"/>
          <w:sz w:val="24"/>
          <w:highlight w:val="none"/>
          <w:lang w:bidi="ar"/>
        </w:rPr>
        <w:t>当Q≥1时，将Q值划分为：（1）1≤Q＜10；（2）10≤Q＜100；（3）Q≥100。</w:t>
      </w: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ind w:firstLine="422" w:firstLineChars="200"/>
        <w:jc w:val="center"/>
        <w:rPr>
          <w:rFonts w:hint="default" w:ascii="Times New Roman" w:hAnsi="Times New Roman" w:eastAsia="宋体" w:cs="Times New Roman"/>
          <w:b/>
          <w:bCs/>
          <w:color w:val="auto"/>
          <w:sz w:val="21"/>
          <w:szCs w:val="21"/>
          <w:highlight w:val="none"/>
          <w:lang w:eastAsia="zh-CN"/>
        </w:rPr>
      </w:pPr>
    </w:p>
    <w:p>
      <w:pPr>
        <w:spacing w:line="240" w:lineRule="auto"/>
        <w:jc w:val="both"/>
        <w:rPr>
          <w:rFonts w:hint="default" w:ascii="Times New Roman" w:hAnsi="Times New Roman" w:eastAsia="宋体" w:cs="Times New Roman"/>
          <w:b/>
          <w:bCs/>
          <w:color w:val="auto"/>
          <w:sz w:val="21"/>
          <w:szCs w:val="21"/>
          <w:highlight w:val="none"/>
          <w:lang w:eastAsia="zh-CN"/>
        </w:rPr>
      </w:pPr>
    </w:p>
    <w:p>
      <w:pPr>
        <w:widowControl/>
        <w:numPr>
          <w:ilvl w:val="0"/>
          <w:numId w:val="25"/>
        </w:numPr>
        <w:spacing w:line="520" w:lineRule="exact"/>
        <w:ind w:left="0" w:leftChars="0" w:firstLine="403" w:firstLineChars="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危险物质数量与临界量比值Q核算表</w:t>
      </w:r>
    </w:p>
    <w:tbl>
      <w:tblPr>
        <w:tblStyle w:val="32"/>
        <w:tblW w:w="4989"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1796"/>
        <w:gridCol w:w="1257"/>
        <w:gridCol w:w="3521"/>
        <w:gridCol w:w="1149"/>
        <w:gridCol w:w="131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456"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类别</w:t>
            </w:r>
          </w:p>
        </w:tc>
        <w:tc>
          <w:tcPr>
            <w:tcW w:w="90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kern w:val="0"/>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危险物质名称</w:t>
            </w:r>
          </w:p>
        </w:tc>
        <w:tc>
          <w:tcPr>
            <w:tcW w:w="63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sz w:val="21"/>
                <w:szCs w:val="21"/>
                <w:highlight w:val="none"/>
                <w:lang w:val="en-US"/>
              </w:rPr>
            </w:pPr>
            <w:r>
              <w:rPr>
                <w:rFonts w:hint="default" w:ascii="Times New Roman" w:hAnsi="Times New Roman" w:eastAsia="宋体" w:cs="Times New Roman"/>
                <w:b/>
                <w:bCs/>
                <w:i w:val="0"/>
                <w:iCs w:val="0"/>
                <w:color w:val="auto"/>
                <w:kern w:val="0"/>
                <w:sz w:val="21"/>
                <w:szCs w:val="21"/>
                <w:highlight w:val="none"/>
                <w:u w:val="none"/>
                <w:lang w:val="en-US" w:eastAsia="zh-CN" w:bidi="ar"/>
              </w:rPr>
              <w:t>最大存储量t</w:t>
            </w:r>
          </w:p>
        </w:tc>
        <w:tc>
          <w:tcPr>
            <w:tcW w:w="177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风险物质临界量的判定依据</w:t>
            </w:r>
          </w:p>
        </w:tc>
        <w:tc>
          <w:tcPr>
            <w:tcW w:w="5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kern w:val="0"/>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临界量Qn/t</w:t>
            </w:r>
          </w:p>
        </w:tc>
        <w:tc>
          <w:tcPr>
            <w:tcW w:w="65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top"/>
              <w:rPr>
                <w:rFonts w:hint="default" w:ascii="Times New Roman" w:hAnsi="Times New Roman" w:cs="Times New Roman"/>
                <w:b/>
                <w:color w:val="auto"/>
                <w:sz w:val="21"/>
                <w:szCs w:val="21"/>
                <w:highlight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该种危险废物Q值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56"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原辅材料</w:t>
            </w:r>
          </w:p>
        </w:tc>
        <w:tc>
          <w:tcPr>
            <w:tcW w:w="90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125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4.348</w:t>
            </w:r>
          </w:p>
        </w:tc>
        <w:tc>
          <w:tcPr>
            <w:tcW w:w="177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危害水环境物质（急性毒性类别 1）</w:t>
            </w:r>
          </w:p>
        </w:tc>
        <w:tc>
          <w:tcPr>
            <w:tcW w:w="5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31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val="0"/>
                <w:bCs w:val="0"/>
                <w:color w:val="auto"/>
                <w:kern w:val="2"/>
                <w:sz w:val="21"/>
                <w:szCs w:val="21"/>
                <w:highlight w:val="none"/>
                <w:lang w:val="en-US" w:eastAsia="zh-CN" w:bidi="ar-SA"/>
              </w:rPr>
            </w:pPr>
            <w:r>
              <w:rPr>
                <w:rFonts w:hint="default" w:cs="Times New Roman"/>
                <w:b w:val="0"/>
                <w:bCs w:val="0"/>
                <w:color w:val="auto"/>
                <w:kern w:val="2"/>
                <w:sz w:val="21"/>
                <w:szCs w:val="21"/>
                <w:highlight w:val="none"/>
                <w:lang w:val="en-US" w:eastAsia="zh-CN" w:bidi="ar-SA"/>
              </w:rPr>
              <w:t>0.0435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5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p>
        </w:tc>
        <w:tc>
          <w:tcPr>
            <w:tcW w:w="90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125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3.8</w:t>
            </w:r>
          </w:p>
        </w:tc>
        <w:tc>
          <w:tcPr>
            <w:tcW w:w="177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二苯基亚甲基二异氰酸酯（MDI）</w:t>
            </w:r>
          </w:p>
        </w:tc>
        <w:tc>
          <w:tcPr>
            <w:tcW w:w="5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0.5</w:t>
            </w:r>
          </w:p>
        </w:tc>
        <w:tc>
          <w:tcPr>
            <w:tcW w:w="131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val="0"/>
                <w:bCs w:val="0"/>
                <w:color w:val="auto"/>
                <w:kern w:val="2"/>
                <w:sz w:val="21"/>
                <w:szCs w:val="21"/>
                <w:highlight w:val="none"/>
                <w:lang w:val="en-US" w:eastAsia="zh-CN" w:bidi="ar-SA"/>
              </w:rPr>
            </w:pPr>
            <w:r>
              <w:rPr>
                <w:rFonts w:hint="default" w:cs="Times New Roman"/>
                <w:b w:val="0"/>
                <w:bCs w:val="0"/>
                <w:color w:val="auto"/>
                <w:kern w:val="2"/>
                <w:sz w:val="21"/>
                <w:szCs w:val="21"/>
                <w:highlight w:val="none"/>
                <w:lang w:val="en-US" w:eastAsia="zh-CN" w:bidi="ar-SA"/>
              </w:rPr>
              <w:t>7.6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456"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p>
        </w:tc>
        <w:tc>
          <w:tcPr>
            <w:tcW w:w="90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硅油</w:t>
            </w:r>
          </w:p>
        </w:tc>
        <w:tc>
          <w:tcPr>
            <w:tcW w:w="125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0.54</w:t>
            </w:r>
          </w:p>
        </w:tc>
        <w:tc>
          <w:tcPr>
            <w:tcW w:w="177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危害水环境物质（急性毒性类别 1）</w:t>
            </w:r>
          </w:p>
        </w:tc>
        <w:tc>
          <w:tcPr>
            <w:tcW w:w="57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131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val="0"/>
                <w:bCs w:val="0"/>
                <w:color w:val="auto"/>
                <w:kern w:val="2"/>
                <w:sz w:val="21"/>
                <w:szCs w:val="21"/>
                <w:highlight w:val="none"/>
                <w:lang w:val="en-US" w:eastAsia="zh-CN" w:bidi="ar-SA"/>
              </w:rPr>
            </w:pPr>
            <w:r>
              <w:rPr>
                <w:rFonts w:hint="default" w:cs="Times New Roman"/>
                <w:b w:val="0"/>
                <w:bCs w:val="0"/>
                <w:color w:val="auto"/>
                <w:kern w:val="2"/>
                <w:sz w:val="21"/>
                <w:szCs w:val="21"/>
                <w:highlight w:val="none"/>
                <w:lang w:val="en-US" w:eastAsia="zh-CN" w:bidi="ar-SA"/>
              </w:rPr>
              <w:t>0.0054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4340" w:type="pct"/>
            <w:gridSpan w:val="5"/>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合计</w:t>
            </w:r>
          </w:p>
        </w:tc>
        <w:tc>
          <w:tcPr>
            <w:tcW w:w="1311"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b w:val="0"/>
                <w:bCs w:val="0"/>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7.6489</w:t>
            </w:r>
          </w:p>
        </w:tc>
      </w:tr>
    </w:tbl>
    <w:p>
      <w:pPr>
        <w:pStyle w:val="110"/>
        <w:keepNext w:val="0"/>
        <w:keepLines w:val="0"/>
        <w:pageBreakBefore w:val="0"/>
        <w:widowControl w:val="0"/>
        <w:kinsoku/>
        <w:wordWrap/>
        <w:overflowPunct/>
        <w:topLinePunct w:val="0"/>
        <w:autoSpaceDE/>
        <w:autoSpaceDN/>
        <w:bidi w:val="0"/>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根据《建设项目环境风险评价技术导则》（HJ169-2018）要求，</w:t>
      </w:r>
      <w:r>
        <w:rPr>
          <w:rFonts w:hint="default" w:ascii="Times New Roman" w:hAnsi="Times New Roman" w:cs="Times New Roman"/>
          <w:b/>
          <w:color w:val="auto"/>
          <w:highlight w:val="none"/>
        </w:rPr>
        <w:t>本项目危险物质数量与临界量比值1</w:t>
      </w:r>
      <w:r>
        <w:rPr>
          <w:rFonts w:hint="default" w:ascii="Times New Roman" w:hAnsi="Times New Roman" w:cs="Times New Roman"/>
          <w:b/>
          <w:color w:val="auto"/>
          <w:sz w:val="24"/>
          <w:szCs w:val="24"/>
          <w:highlight w:val="none"/>
        </w:rPr>
        <w:t>≤7.6489＜1</w:t>
      </w:r>
      <w:r>
        <w:rPr>
          <w:rFonts w:hint="default" w:ascii="Times New Roman" w:hAnsi="Times New Roman" w:cs="Times New Roman"/>
          <w:b/>
          <w:color w:val="auto"/>
          <w:highlight w:val="none"/>
        </w:rPr>
        <w:t>0，属于</w:t>
      </w:r>
      <w:r>
        <w:rPr>
          <w:rFonts w:hint="default" w:ascii="Times New Roman" w:hAnsi="Times New Roman" w:cs="Times New Roman"/>
          <w:color w:val="auto"/>
          <w:highlight w:val="none"/>
        </w:rPr>
        <w:t>（1）1≤Q</w:t>
      </w:r>
      <w:r>
        <w:rPr>
          <w:rFonts w:hint="default" w:ascii="Times New Roman" w:hAnsi="Times New Roman" w:cs="Times New Roman"/>
          <w:color w:val="auto"/>
          <w:szCs w:val="21"/>
          <w:highlight w:val="none"/>
        </w:rPr>
        <w:t>&lt;</w:t>
      </w:r>
      <w:r>
        <w:rPr>
          <w:rFonts w:hint="default" w:ascii="Times New Roman" w:hAnsi="Times New Roman" w:cs="Times New Roman"/>
          <w:color w:val="auto"/>
          <w:highlight w:val="none"/>
        </w:rPr>
        <w:t>10。</w:t>
      </w:r>
    </w:p>
    <w:p>
      <w:pPr>
        <w:keepNext w:val="0"/>
        <w:keepLines w:val="0"/>
        <w:pageBreakBefore w:val="0"/>
        <w:widowControl w:val="0"/>
        <w:kinsoku/>
        <w:wordWrap/>
        <w:overflowPunct/>
        <w:topLinePunct w:val="0"/>
        <w:autoSpaceDE/>
        <w:autoSpaceDN/>
        <w:bidi w:val="0"/>
        <w:spacing w:line="360" w:lineRule="auto"/>
        <w:ind w:firstLine="474" w:firstLineChars="200"/>
        <w:jc w:val="both"/>
        <w:textAlignment w:val="auto"/>
        <w:rPr>
          <w:rFonts w:hint="default" w:ascii="Times New Roman" w:hAnsi="Times New Roman" w:eastAsia="宋体" w:cs="Times New Roman"/>
          <w:b/>
          <w:bCs/>
          <w:color w:val="auto"/>
          <w:spacing w:val="-2"/>
          <w:kern w:val="0"/>
          <w:sz w:val="24"/>
          <w:highlight w:val="none"/>
          <w:lang w:val="en-US" w:eastAsia="zh-CN" w:bidi="ar"/>
        </w:rPr>
      </w:pPr>
      <w:r>
        <w:rPr>
          <w:rFonts w:hint="default" w:ascii="Times New Roman" w:hAnsi="Times New Roman" w:eastAsia="宋体" w:cs="Times New Roman"/>
          <w:b/>
          <w:bCs/>
          <w:color w:val="auto"/>
          <w:spacing w:val="-2"/>
          <w:kern w:val="0"/>
          <w:sz w:val="24"/>
          <w:highlight w:val="none"/>
          <w:lang w:eastAsia="zh-CN" w:bidi="ar"/>
        </w:rPr>
        <w:t>（</w:t>
      </w:r>
      <w:r>
        <w:rPr>
          <w:rFonts w:hint="default" w:ascii="Times New Roman" w:hAnsi="Times New Roman" w:eastAsia="宋体" w:cs="Times New Roman"/>
          <w:b/>
          <w:bCs/>
          <w:color w:val="auto"/>
          <w:spacing w:val="-2"/>
          <w:kern w:val="0"/>
          <w:sz w:val="24"/>
          <w:highlight w:val="none"/>
          <w:lang w:val="en-US" w:eastAsia="zh-CN" w:bidi="ar"/>
        </w:rPr>
        <w:t>2）行业及生产工艺（M）</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分析项目所属行业及生产工艺特点，按照下表评估生产工艺情况。具有多套工艺单元的项目，对每套生产工艺分别评分并求和。将M划分为（1）M&gt;20；（2）10&lt;M≤20；（3）5&lt;M≤10；（4）M=5，分别以M1、M2、M3和M4表示。</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行业及生产工艺（M）值确定</w:t>
      </w:r>
    </w:p>
    <w:tbl>
      <w:tblPr>
        <w:tblStyle w:val="32"/>
        <w:tblW w:w="5014"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autofit"/>
        <w:tblCellMar>
          <w:top w:w="0" w:type="dxa"/>
          <w:left w:w="0" w:type="dxa"/>
          <w:bottom w:w="0" w:type="dxa"/>
          <w:right w:w="0" w:type="dxa"/>
        </w:tblCellMar>
      </w:tblPr>
      <w:tblGrid>
        <w:gridCol w:w="1118"/>
        <w:gridCol w:w="5897"/>
        <w:gridCol w:w="1217"/>
        <w:gridCol w:w="1547"/>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pct"/>
            <w:tcBorders>
              <w:top w:val="single" w:color="auto" w:sz="2" w:space="0"/>
              <w:left w:val="single" w:color="auto" w:sz="2"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行业</w:t>
            </w:r>
          </w:p>
        </w:tc>
        <w:tc>
          <w:tcPr>
            <w:tcW w:w="3014" w:type="pct"/>
            <w:tcBorders>
              <w:top w:val="single" w:color="auto" w:sz="2"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评估依据</w:t>
            </w:r>
          </w:p>
        </w:tc>
        <w:tc>
          <w:tcPr>
            <w:tcW w:w="622" w:type="pct"/>
            <w:tcBorders>
              <w:top w:val="single" w:color="auto" w:sz="2"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分值</w:t>
            </w:r>
          </w:p>
        </w:tc>
        <w:tc>
          <w:tcPr>
            <w:tcW w:w="789" w:type="pct"/>
            <w:tcBorders>
              <w:top w:val="single" w:color="auto" w:sz="2"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w:t>
            </w:r>
            <w:r>
              <w:rPr>
                <w:rFonts w:hint="default" w:ascii="Times New Roman" w:hAnsi="Times New Roman" w:eastAsia="宋体" w:cs="Times New Roman"/>
                <w:b/>
                <w:bCs/>
                <w:color w:val="auto"/>
                <w:sz w:val="21"/>
                <w:szCs w:val="21"/>
                <w:highlight w:val="none"/>
                <w:lang w:val="en-US" w:eastAsia="zh-CN"/>
              </w:rPr>
              <w:t>目</w:t>
            </w:r>
            <w:r>
              <w:rPr>
                <w:rFonts w:hint="default" w:ascii="Times New Roman" w:hAnsi="Times New Roman" w:eastAsia="宋体" w:cs="Times New Roman"/>
                <w:b/>
                <w:bCs/>
                <w:color w:val="auto"/>
                <w:sz w:val="21"/>
                <w:szCs w:val="21"/>
                <w:highlight w:val="none"/>
              </w:rPr>
              <w:t>M分值</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pct"/>
            <w:vMerge w:val="restart"/>
            <w:tcBorders>
              <w:top w:val="single" w:color="auto" w:sz="4" w:space="0"/>
              <w:left w:val="single" w:color="auto" w:sz="2"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石化、化工、 医药、轻工、化纤、有色冶炼等</w:t>
            </w:r>
          </w:p>
        </w:tc>
        <w:tc>
          <w:tcPr>
            <w:tcW w:w="3014"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pacing w:val="-8"/>
                <w:sz w:val="21"/>
                <w:szCs w:val="21"/>
                <w:highlight w:val="none"/>
                <w:lang w:eastAsia="zh-CN"/>
              </w:rPr>
            </w:pPr>
            <w:r>
              <w:rPr>
                <w:rFonts w:hint="default" w:ascii="Times New Roman" w:hAnsi="Times New Roman" w:eastAsia="宋体" w:cs="Times New Roman"/>
                <w:color w:val="auto"/>
                <w:spacing w:val="-8"/>
                <w:sz w:val="21"/>
                <w:szCs w:val="21"/>
                <w:highlight w:val="none"/>
                <w:lang w:eastAsia="zh-CN"/>
              </w:rPr>
              <w:t>涉及光气及光气化工艺、电解工艺（氯碱）、氯化工艺、硝</w:t>
            </w:r>
            <w:r>
              <w:rPr>
                <w:rFonts w:hint="default" w:ascii="Times New Roman" w:hAnsi="Times New Roman" w:eastAsia="宋体" w:cs="Times New Roman"/>
                <w:color w:val="auto"/>
                <w:sz w:val="21"/>
                <w:szCs w:val="21"/>
                <w:highlight w:val="none"/>
                <w:lang w:eastAsia="zh-CN"/>
              </w:rPr>
              <w:t>化工艺、合成氨工艺、裂解（裂化）工艺、氟化工艺、加氢工艺、重氮化工艺、氧化工艺、过氧化工艺、胺基化工</w:t>
            </w:r>
            <w:r>
              <w:rPr>
                <w:rFonts w:hint="default" w:ascii="Times New Roman" w:hAnsi="Times New Roman" w:eastAsia="宋体" w:cs="Times New Roman"/>
                <w:color w:val="auto"/>
                <w:spacing w:val="-4"/>
                <w:sz w:val="21"/>
                <w:szCs w:val="21"/>
                <w:highlight w:val="none"/>
                <w:lang w:eastAsia="zh-CN"/>
              </w:rPr>
              <w:t>艺、磺化工艺、</w:t>
            </w:r>
            <w:r>
              <w:rPr>
                <w:rFonts w:hint="default" w:ascii="Times New Roman" w:hAnsi="Times New Roman" w:eastAsia="宋体" w:cs="Times New Roman"/>
                <w:b/>
                <w:bCs/>
                <w:color w:val="auto"/>
                <w:spacing w:val="-4"/>
                <w:sz w:val="24"/>
                <w:szCs w:val="24"/>
                <w:highlight w:val="none"/>
                <w:lang w:eastAsia="zh-CN"/>
              </w:rPr>
              <w:t>聚合工艺、</w:t>
            </w:r>
            <w:r>
              <w:rPr>
                <w:rFonts w:hint="default" w:ascii="Times New Roman" w:hAnsi="Times New Roman" w:eastAsia="宋体" w:cs="Times New Roman"/>
                <w:color w:val="auto"/>
                <w:spacing w:val="-4"/>
                <w:sz w:val="21"/>
                <w:szCs w:val="21"/>
                <w:highlight w:val="none"/>
                <w:lang w:eastAsia="zh-CN"/>
              </w:rPr>
              <w:t>烷基化工艺、新型煤化工工艺</w:t>
            </w:r>
            <w:r>
              <w:rPr>
                <w:rFonts w:hint="default" w:ascii="Times New Roman" w:hAnsi="Times New Roman" w:eastAsia="宋体" w:cs="Times New Roman"/>
                <w:color w:val="auto"/>
                <w:sz w:val="21"/>
                <w:szCs w:val="21"/>
                <w:highlight w:val="none"/>
                <w:lang w:eastAsia="zh-CN"/>
              </w:rPr>
              <w:t>、电石生产工艺、偶氮化工艺</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10/套</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lang w:val="en-US" w:eastAsia="zh-CN"/>
              </w:rPr>
            </w:pPr>
            <w:r>
              <w:rPr>
                <w:rFonts w:hint="default" w:ascii="Times New Roman" w:hAnsi="Times New Roman" w:eastAsia="新宋体" w:cs="Times New Roman"/>
                <w:b/>
                <w:bCs/>
                <w:color w:val="auto"/>
                <w:sz w:val="24"/>
                <w:szCs w:val="24"/>
                <w:highlight w:val="none"/>
                <w:lang w:val="en-US" w:eastAsia="zh-CN"/>
              </w:rPr>
              <w:t>10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pct"/>
            <w:vMerge w:val="continue"/>
            <w:tcBorders>
              <w:top w:val="single" w:color="auto" w:sz="4" w:space="0"/>
              <w:left w:val="single" w:color="auto" w:sz="2" w:space="0"/>
              <w:bottom w:val="single" w:color="auto" w:sz="4" w:space="0"/>
              <w:right w:val="single" w:color="auto" w:sz="4" w:space="0"/>
            </w:tcBorders>
            <w:noWrap w:val="0"/>
            <w:vAlign w:val="center"/>
          </w:tcPr>
          <w:p>
            <w:pPr>
              <w:keepNext w:val="0"/>
              <w:keepLines w:val="0"/>
              <w:pageBreakBefore w:val="0"/>
              <w:widowControl/>
              <w:wordWrap/>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p>
        </w:tc>
        <w:tc>
          <w:tcPr>
            <w:tcW w:w="3014"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无机酸制酸工艺、焦化工艺</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5/套</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13" w:hRule="atLeast"/>
          <w:jc w:val="center"/>
        </w:trPr>
        <w:tc>
          <w:tcPr>
            <w:tcW w:w="572" w:type="pct"/>
            <w:vMerge w:val="continue"/>
            <w:tcBorders>
              <w:top w:val="single" w:color="auto" w:sz="4" w:space="0"/>
              <w:left w:val="single" w:color="auto" w:sz="2" w:space="0"/>
              <w:bottom w:val="single" w:color="auto" w:sz="4" w:space="0"/>
              <w:right w:val="single" w:color="auto" w:sz="4" w:space="0"/>
            </w:tcBorders>
            <w:noWrap w:val="0"/>
            <w:vAlign w:val="center"/>
          </w:tcPr>
          <w:p>
            <w:pPr>
              <w:keepNext w:val="0"/>
              <w:keepLines w:val="0"/>
              <w:pageBreakBefore w:val="0"/>
              <w:widowControl/>
              <w:wordWrap/>
              <w:topLinePunct w:val="0"/>
              <w:autoSpaceDE/>
              <w:autoSpaceDN/>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p>
        </w:tc>
        <w:tc>
          <w:tcPr>
            <w:tcW w:w="3014"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pacing w:val="-9"/>
                <w:sz w:val="21"/>
                <w:szCs w:val="21"/>
                <w:highlight w:val="none"/>
                <w:lang w:eastAsia="zh-CN"/>
              </w:rPr>
            </w:pPr>
            <w:r>
              <w:rPr>
                <w:rFonts w:hint="default" w:ascii="Times New Roman" w:hAnsi="Times New Roman" w:eastAsia="宋体" w:cs="Times New Roman"/>
                <w:color w:val="auto"/>
                <w:spacing w:val="-3"/>
                <w:sz w:val="21"/>
                <w:szCs w:val="21"/>
                <w:highlight w:val="none"/>
                <w:lang w:eastAsia="zh-CN"/>
              </w:rPr>
              <w:t>其它高温或高压，且涉及危险物质的工艺流程</w:t>
            </w:r>
            <w:r>
              <w:rPr>
                <w:rFonts w:hint="default" w:ascii="Times New Roman" w:hAnsi="Times New Roman" w:eastAsia="宋体" w:cs="Times New Roman"/>
                <w:b w:val="0"/>
                <w:bCs w:val="0"/>
                <w:color w:val="auto"/>
                <w:spacing w:val="-3"/>
                <w:sz w:val="21"/>
                <w:szCs w:val="21"/>
                <w:highlight w:val="none"/>
                <w:vertAlign w:val="superscript"/>
                <w:lang w:eastAsia="zh-CN"/>
              </w:rPr>
              <w:t>a</w:t>
            </w:r>
            <w:r>
              <w:rPr>
                <w:rFonts w:hint="default" w:ascii="Times New Roman" w:hAnsi="Times New Roman" w:eastAsia="宋体" w:cs="Times New Roman"/>
                <w:b w:val="0"/>
                <w:bCs w:val="0"/>
                <w:color w:val="auto"/>
                <w:spacing w:val="-9"/>
                <w:sz w:val="21"/>
                <w:szCs w:val="21"/>
                <w:highlight w:val="none"/>
                <w:lang w:eastAsia="zh-CN"/>
              </w:rPr>
              <w:t>、危险废物</w:t>
            </w:r>
            <w:r>
              <w:rPr>
                <w:rFonts w:hint="default" w:ascii="Times New Roman" w:hAnsi="Times New Roman" w:eastAsia="宋体" w:cs="Times New Roman"/>
                <w:b w:val="0"/>
                <w:bCs w:val="0"/>
                <w:color w:val="auto"/>
                <w:sz w:val="21"/>
                <w:szCs w:val="21"/>
                <w:highlight w:val="none"/>
                <w:lang w:eastAsia="zh-CN"/>
              </w:rPr>
              <w:t>贮存罐区</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5/套(罐区)</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lang w:val="en-US" w:eastAsia="zh-CN"/>
              </w:rPr>
            </w:pPr>
            <w:r>
              <w:rPr>
                <w:rFonts w:hint="default" w:ascii="Times New Roman" w:hAnsi="Times New Roman" w:eastAsia="新宋体" w:cs="Times New Roman"/>
                <w:color w:val="auto"/>
                <w:sz w:val="21"/>
                <w:szCs w:val="21"/>
                <w:highlight w:val="none"/>
                <w:lang w:val="en-US" w:eastAsia="zh-CN"/>
              </w:rPr>
              <w:t>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pct"/>
            <w:tcBorders>
              <w:top w:val="single" w:color="auto" w:sz="4" w:space="0"/>
              <w:left w:val="single" w:color="auto" w:sz="2"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管道、港口/</w:t>
            </w:r>
          </w:p>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码头等</w:t>
            </w:r>
          </w:p>
        </w:tc>
        <w:tc>
          <w:tcPr>
            <w:tcW w:w="3014"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涉及危险物质管道运输项目、港口/码头等</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10</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pct"/>
            <w:tcBorders>
              <w:top w:val="single" w:color="auto" w:sz="4" w:space="0"/>
              <w:left w:val="single" w:color="auto" w:sz="2"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石油天然气</w:t>
            </w:r>
          </w:p>
        </w:tc>
        <w:tc>
          <w:tcPr>
            <w:tcW w:w="3014"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pacing w:val="-8"/>
                <w:sz w:val="21"/>
                <w:szCs w:val="21"/>
                <w:highlight w:val="none"/>
                <w:lang w:eastAsia="zh-CN"/>
              </w:rPr>
            </w:pPr>
            <w:r>
              <w:rPr>
                <w:rFonts w:hint="default" w:ascii="Times New Roman" w:hAnsi="Times New Roman" w:eastAsia="宋体" w:cs="Times New Roman"/>
                <w:color w:val="auto"/>
                <w:spacing w:val="-8"/>
                <w:sz w:val="21"/>
                <w:szCs w:val="21"/>
                <w:highlight w:val="none"/>
                <w:lang w:eastAsia="zh-CN"/>
              </w:rPr>
              <w:t>石油、天然气、页岩气开采（含净化），气库（不含加气站</w:t>
            </w:r>
            <w:r>
              <w:rPr>
                <w:rFonts w:hint="default" w:ascii="Times New Roman" w:hAnsi="Times New Roman" w:eastAsia="宋体" w:cs="Times New Roman"/>
                <w:color w:val="auto"/>
                <w:spacing w:val="-10"/>
                <w:sz w:val="21"/>
                <w:szCs w:val="21"/>
                <w:highlight w:val="none"/>
                <w:lang w:eastAsia="zh-CN"/>
              </w:rPr>
              <w:t>的气库），油库（不含加气站的油库）、油气管线</w:t>
            </w:r>
            <w:r>
              <w:rPr>
                <w:rFonts w:hint="default" w:ascii="Times New Roman" w:hAnsi="Times New Roman" w:eastAsia="宋体" w:cs="Times New Roman"/>
                <w:color w:val="auto"/>
                <w:spacing w:val="-10"/>
                <w:sz w:val="21"/>
                <w:szCs w:val="21"/>
                <w:highlight w:val="none"/>
                <w:vertAlign w:val="superscript"/>
                <w:lang w:eastAsia="zh-CN"/>
              </w:rPr>
              <w:t>b</w:t>
            </w:r>
            <w:r>
              <w:rPr>
                <w:rFonts w:hint="default" w:ascii="Times New Roman" w:hAnsi="Times New Roman" w:eastAsia="宋体" w:cs="Times New Roman"/>
                <w:color w:val="auto"/>
                <w:sz w:val="21"/>
                <w:szCs w:val="21"/>
                <w:highlight w:val="none"/>
                <w:lang w:eastAsia="zh-CN"/>
              </w:rPr>
              <w:t>（不含城镇燃气管线）</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10</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0</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72" w:type="pct"/>
            <w:tcBorders>
              <w:top w:val="single" w:color="auto" w:sz="4" w:space="0"/>
              <w:left w:val="single" w:color="auto" w:sz="2"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w:t>
            </w:r>
          </w:p>
        </w:tc>
        <w:tc>
          <w:tcPr>
            <w:tcW w:w="3014"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b/>
                <w:bCs/>
                <w:color w:val="auto"/>
                <w:sz w:val="24"/>
                <w:szCs w:val="24"/>
                <w:highlight w:val="none"/>
                <w:lang w:eastAsia="zh-CN"/>
              </w:rPr>
              <w:t>涉及危险物质使用、贮存的项目</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sz w:val="21"/>
                <w:szCs w:val="21"/>
                <w:highlight w:val="none"/>
              </w:rPr>
              <w:t>5</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b/>
                <w:bCs/>
                <w:color w:val="auto"/>
                <w:sz w:val="24"/>
                <w:szCs w:val="24"/>
                <w:highlight w:val="none"/>
              </w:rPr>
              <w:t>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3587" w:type="pct"/>
            <w:gridSpan w:val="2"/>
            <w:tcBorders>
              <w:top w:val="single" w:color="auto" w:sz="4" w:space="0"/>
              <w:left w:val="single" w:color="auto" w:sz="2"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firstLine="42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622" w:type="pct"/>
            <w:tcBorders>
              <w:top w:val="single" w:color="auto" w:sz="4" w:space="0"/>
              <w:left w:val="single" w:color="auto" w:sz="4" w:space="0"/>
              <w:bottom w:val="single" w:color="auto" w:sz="4" w:space="0"/>
              <w:right w:val="single" w:color="auto" w:sz="4"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rPr>
            </w:pPr>
            <w:r>
              <w:rPr>
                <w:rFonts w:hint="default" w:ascii="Times New Roman" w:hAnsi="Times New Roman" w:eastAsia="新宋体" w:cs="Times New Roman"/>
                <w:color w:val="auto"/>
                <w:w w:val="99"/>
                <w:sz w:val="21"/>
                <w:szCs w:val="21"/>
                <w:highlight w:val="none"/>
              </w:rPr>
              <w:t>/</w:t>
            </w:r>
          </w:p>
        </w:tc>
        <w:tc>
          <w:tcPr>
            <w:tcW w:w="789" w:type="pct"/>
            <w:tcBorders>
              <w:top w:val="single" w:color="auto" w:sz="4" w:space="0"/>
              <w:left w:val="single" w:color="auto" w:sz="4"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新宋体" w:cs="Times New Roman"/>
                <w:color w:val="auto"/>
                <w:sz w:val="21"/>
                <w:szCs w:val="21"/>
                <w:highlight w:val="none"/>
                <w:lang w:val="en-US" w:eastAsia="zh-CN"/>
              </w:rPr>
            </w:pPr>
            <w:r>
              <w:rPr>
                <w:rFonts w:hint="default" w:ascii="Times New Roman" w:hAnsi="Times New Roman" w:eastAsia="新宋体" w:cs="Times New Roman"/>
                <w:b/>
                <w:bCs/>
                <w:color w:val="auto"/>
                <w:sz w:val="24"/>
                <w:szCs w:val="24"/>
                <w:highlight w:val="none"/>
                <w:lang w:val="en-US" w:eastAsia="zh-CN"/>
              </w:rPr>
              <w:t>15</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00" w:type="pct"/>
            <w:gridSpan w:val="4"/>
            <w:tcBorders>
              <w:top w:val="single" w:color="auto" w:sz="4" w:space="0"/>
              <w:left w:val="single" w:color="auto" w:sz="2" w:space="0"/>
              <w:bottom w:val="single" w:color="auto" w:sz="4"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lang w:eastAsia="ja-JP"/>
              </w:rPr>
            </w:pPr>
            <w:r>
              <w:rPr>
                <w:rFonts w:hint="default" w:ascii="Times New Roman" w:hAnsi="Times New Roman" w:eastAsia="宋体" w:cs="Times New Roman"/>
                <w:color w:val="auto"/>
                <w:sz w:val="21"/>
                <w:szCs w:val="21"/>
                <w:highlight w:val="none"/>
                <w:lang w:eastAsia="zh-CN"/>
              </w:rPr>
              <w:t>a高温指工艺温度≥300℃，高压指压力容器的设计压力（P）≥10.0MPa</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5000" w:type="pct"/>
            <w:gridSpan w:val="4"/>
            <w:tcBorders>
              <w:top w:val="single" w:color="auto" w:sz="4" w:space="0"/>
              <w:left w:val="single" w:color="auto" w:sz="2" w:space="0"/>
              <w:bottom w:val="single" w:color="auto" w:sz="2" w:space="0"/>
              <w:right w:val="single" w:color="auto" w:sz="2" w:space="0"/>
            </w:tcBorders>
            <w:noWrap w:val="0"/>
            <w:vAlign w:val="center"/>
          </w:tcPr>
          <w:p>
            <w:pPr>
              <w:pStyle w:val="56"/>
              <w:keepNext w:val="0"/>
              <w:keepLines w:val="0"/>
              <w:pageBreakBefore w:val="0"/>
              <w:kinsoku w:val="0"/>
              <w:wordWrap/>
              <w:overflowPunct w:val="0"/>
              <w:topLinePunct w:val="0"/>
              <w:autoSpaceDE/>
              <w:autoSpaceDN/>
              <w:bidi w:val="0"/>
              <w:adjustRightInd w:val="0"/>
              <w:snapToGrid w:val="0"/>
              <w:spacing w:before="0"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b长输管道运输项目应按战场、管线分段进行评价</w:t>
            </w:r>
          </w:p>
        </w:tc>
      </w:tr>
    </w:tbl>
    <w:p>
      <w:pPr>
        <w:spacing w:line="360" w:lineRule="auto"/>
        <w:ind w:firstLine="480" w:firstLineChars="200"/>
        <w:jc w:val="both"/>
        <w:rPr>
          <w:rFonts w:hint="default" w:ascii="Times New Roman" w:hAnsi="Times New Roman" w:eastAsia="宋体" w:cs="Times New Roman"/>
          <w:color w:val="auto"/>
          <w:kern w:val="0"/>
          <w:sz w:val="24"/>
          <w:szCs w:val="20"/>
          <w:highlight w:val="yellow"/>
        </w:rPr>
      </w:pPr>
      <w:r>
        <w:rPr>
          <w:rFonts w:hint="default" w:ascii="Times New Roman" w:hAnsi="Times New Roman" w:eastAsia="宋体" w:cs="Times New Roman"/>
          <w:color w:val="auto"/>
          <w:kern w:val="0"/>
          <w:sz w:val="24"/>
          <w:szCs w:val="20"/>
          <w:highlight w:val="none"/>
        </w:rPr>
        <w:t>本项目发泡工序属于聚合工艺，</w:t>
      </w:r>
      <w:r>
        <w:rPr>
          <w:rFonts w:hint="default" w:ascii="Times New Roman" w:hAnsi="Times New Roman" w:eastAsia="宋体" w:cs="Times New Roman"/>
          <w:color w:val="auto"/>
          <w:kern w:val="0"/>
          <w:sz w:val="24"/>
          <w:szCs w:val="20"/>
          <w:highlight w:val="none"/>
          <w:lang w:val="en-US" w:eastAsia="zh-CN"/>
        </w:rPr>
        <w:t>本项目</w:t>
      </w:r>
      <w:r>
        <w:rPr>
          <w:rFonts w:hint="default" w:ascii="Times New Roman" w:hAnsi="Times New Roman" w:cs="Times New Roman"/>
          <w:color w:val="auto"/>
          <w:kern w:val="0"/>
          <w:sz w:val="24"/>
          <w:szCs w:val="20"/>
          <w:highlight w:val="none"/>
          <w:lang w:val="en-US" w:eastAsia="zh-CN"/>
        </w:rPr>
        <w:t>不</w:t>
      </w:r>
      <w:r>
        <w:rPr>
          <w:rFonts w:hint="default" w:ascii="Times New Roman" w:hAnsi="Times New Roman" w:eastAsia="宋体" w:cs="Times New Roman"/>
          <w:color w:val="auto"/>
          <w:kern w:val="0"/>
          <w:sz w:val="24"/>
          <w:szCs w:val="20"/>
          <w:highlight w:val="none"/>
          <w:lang w:val="en-US" w:eastAsia="zh-CN"/>
        </w:rPr>
        <w:t>涉及</w:t>
      </w:r>
      <w:r>
        <w:rPr>
          <w:rFonts w:hint="default" w:ascii="Times New Roman" w:hAnsi="Times New Roman" w:cs="Times New Roman"/>
          <w:color w:val="auto"/>
          <w:kern w:val="0"/>
          <w:sz w:val="24"/>
          <w:szCs w:val="20"/>
          <w:highlight w:val="none"/>
          <w:lang w:val="en-US" w:eastAsia="zh-CN"/>
        </w:rPr>
        <w:t>贮存</w:t>
      </w:r>
      <w:r>
        <w:rPr>
          <w:rFonts w:hint="default" w:ascii="Times New Roman" w:hAnsi="Times New Roman" w:eastAsia="宋体" w:cs="Times New Roman"/>
          <w:color w:val="auto"/>
          <w:kern w:val="0"/>
          <w:sz w:val="24"/>
          <w:szCs w:val="20"/>
          <w:highlight w:val="none"/>
          <w:lang w:val="en-US" w:eastAsia="zh-CN"/>
        </w:rPr>
        <w:t>罐区；且本项目发泡工艺“涉及危险物质使用、贮存的项目”，M值共为</w:t>
      </w:r>
      <w:r>
        <w:rPr>
          <w:rFonts w:hint="default" w:ascii="Times New Roman" w:hAnsi="Times New Roman" w:cs="Times New Roman"/>
          <w:color w:val="auto"/>
          <w:kern w:val="0"/>
          <w:sz w:val="24"/>
          <w:szCs w:val="20"/>
          <w:highlight w:val="none"/>
          <w:lang w:val="en-US" w:eastAsia="zh-CN"/>
        </w:rPr>
        <w:t>15</w:t>
      </w:r>
      <w:r>
        <w:rPr>
          <w:rFonts w:hint="default" w:ascii="Times New Roman" w:hAnsi="Times New Roman" w:eastAsia="宋体" w:cs="Times New Roman"/>
          <w:color w:val="auto"/>
          <w:kern w:val="0"/>
          <w:sz w:val="24"/>
          <w:szCs w:val="20"/>
          <w:highlight w:val="none"/>
          <w:lang w:val="en-US" w:eastAsia="zh-CN"/>
        </w:rPr>
        <w:t>，以</w:t>
      </w:r>
      <w:r>
        <w:rPr>
          <w:rFonts w:hint="default" w:ascii="Times New Roman" w:hAnsi="Times New Roman" w:cs="Times New Roman"/>
          <w:color w:val="auto"/>
          <w:kern w:val="0"/>
          <w:sz w:val="24"/>
          <w:szCs w:val="20"/>
          <w:highlight w:val="none"/>
          <w:lang w:val="en-US" w:eastAsia="zh-CN"/>
        </w:rPr>
        <w:t>M2</w:t>
      </w:r>
      <w:r>
        <w:rPr>
          <w:rFonts w:hint="default" w:ascii="Times New Roman" w:hAnsi="Times New Roman" w:eastAsia="宋体" w:cs="Times New Roman"/>
          <w:color w:val="auto"/>
          <w:kern w:val="0"/>
          <w:sz w:val="24"/>
          <w:szCs w:val="20"/>
          <w:highlight w:val="none"/>
          <w:lang w:val="en-US" w:eastAsia="zh-CN"/>
        </w:rPr>
        <w:t>表示。</w:t>
      </w:r>
    </w:p>
    <w:p>
      <w:pPr>
        <w:spacing w:line="360" w:lineRule="auto"/>
        <w:ind w:firstLine="474" w:firstLineChars="200"/>
        <w:jc w:val="both"/>
        <w:rPr>
          <w:rFonts w:hint="default" w:ascii="Times New Roman" w:hAnsi="Times New Roman" w:eastAsia="宋体" w:cs="Times New Roman"/>
          <w:color w:val="auto"/>
          <w:spacing w:val="-2"/>
          <w:kern w:val="0"/>
          <w:sz w:val="24"/>
          <w:highlight w:val="none"/>
          <w:lang w:val="en-US" w:bidi="ar"/>
        </w:rPr>
      </w:pPr>
      <w:r>
        <w:rPr>
          <w:rFonts w:hint="default" w:ascii="Times New Roman" w:hAnsi="Times New Roman" w:eastAsia="宋体" w:cs="Times New Roman"/>
          <w:b/>
          <w:bCs/>
          <w:color w:val="auto"/>
          <w:spacing w:val="-2"/>
          <w:kern w:val="0"/>
          <w:sz w:val="24"/>
          <w:highlight w:val="none"/>
          <w:lang w:eastAsia="zh-CN" w:bidi="ar"/>
        </w:rPr>
        <w:t>（</w:t>
      </w:r>
      <w:r>
        <w:rPr>
          <w:rFonts w:hint="default" w:ascii="Times New Roman" w:hAnsi="Times New Roman" w:eastAsia="宋体" w:cs="Times New Roman"/>
          <w:b/>
          <w:bCs/>
          <w:color w:val="auto"/>
          <w:spacing w:val="-2"/>
          <w:kern w:val="0"/>
          <w:sz w:val="24"/>
          <w:highlight w:val="none"/>
          <w:lang w:val="en-US" w:eastAsia="zh-CN" w:bidi="ar"/>
        </w:rPr>
        <w:t>3）危险物质及工艺系统危险性（P）分级</w:t>
      </w:r>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根据危险物质数量与临界量比值（Q）和行业及生产工艺（M），按照下表确定物质及工艺系统危险性等级（P），分别以P1、P2、P3、P4表示。</w:t>
      </w:r>
    </w:p>
    <w:p>
      <w:pPr>
        <w:pStyle w:val="41"/>
        <w:rPr>
          <w:rFonts w:hint="default" w:ascii="Times New Roman" w:hAnsi="Times New Roman" w:cs="Times New Roman"/>
          <w:color w:val="auto"/>
        </w:rPr>
      </w:pPr>
    </w:p>
    <w:p>
      <w:pPr>
        <w:pStyle w:val="7"/>
        <w:rPr>
          <w:rFonts w:hint="default" w:ascii="Times New Roman" w:hAnsi="Times New Roman" w:cs="Times New Roman"/>
          <w:color w:val="auto"/>
        </w:rPr>
      </w:pP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危险物质及工艺系统危险等级判断（P）</w:t>
      </w:r>
    </w:p>
    <w:tbl>
      <w:tblPr>
        <w:tblStyle w:val="32"/>
        <w:tblW w:w="96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1857"/>
        <w:gridCol w:w="1857"/>
        <w:gridCol w:w="1858"/>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危险物质数量与临界量比值（Q）</w:t>
            </w:r>
          </w:p>
        </w:tc>
        <w:tc>
          <w:tcPr>
            <w:tcW w:w="7430" w:type="dxa"/>
            <w:gridSpan w:val="4"/>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行业及生产工艺（M）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M1</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M2</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M3</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M4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Q</w:t>
            </w:r>
            <w:r>
              <w:rPr>
                <w:rFonts w:hint="default" w:ascii="Times New Roman" w:hAnsi="Times New Roman" w:eastAsia="宋体" w:cs="Times New Roman"/>
                <w:b w:val="0"/>
                <w:bCs w:val="0"/>
                <w:color w:val="auto"/>
                <w:spacing w:val="-2"/>
                <w:kern w:val="0"/>
                <w:sz w:val="21"/>
                <w:szCs w:val="21"/>
                <w:highlight w:val="none"/>
                <w:lang w:bidi="ar"/>
              </w:rPr>
              <w:t>≥100</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P1</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P1</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P2</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P3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10≤Q＜100</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P1</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P2</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P3</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bCs/>
                <w:color w:val="auto"/>
                <w:kern w:val="0"/>
                <w:sz w:val="21"/>
                <w:szCs w:val="21"/>
                <w:highlight w:val="none"/>
              </w:rPr>
              <w:t>1≤Q＜10</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P2</w:t>
            </w:r>
          </w:p>
        </w:tc>
        <w:tc>
          <w:tcPr>
            <w:tcW w:w="1857"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P3</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P4</w:t>
            </w:r>
          </w:p>
        </w:tc>
        <w:tc>
          <w:tcPr>
            <w:tcW w:w="1858"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P4</w:t>
            </w:r>
          </w:p>
        </w:tc>
      </w:tr>
    </w:tbl>
    <w:p>
      <w:pPr>
        <w:spacing w:line="360" w:lineRule="auto"/>
        <w:ind w:firstLine="472" w:firstLineChars="20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cs="Times New Roman"/>
          <w:color w:val="auto"/>
          <w:spacing w:val="-2"/>
          <w:kern w:val="0"/>
          <w:sz w:val="24"/>
          <w:highlight w:val="none"/>
          <w:lang w:val="en-US" w:eastAsia="zh-CN" w:bidi="ar"/>
        </w:rPr>
        <w:t>根据上述判定条件，本</w:t>
      </w:r>
      <w:r>
        <w:rPr>
          <w:rFonts w:hint="default" w:ascii="Times New Roman" w:hAnsi="Times New Roman" w:eastAsia="宋体" w:cs="Times New Roman"/>
          <w:color w:val="auto"/>
          <w:spacing w:val="-2"/>
          <w:kern w:val="0"/>
          <w:sz w:val="24"/>
          <w:highlight w:val="none"/>
          <w:lang w:eastAsia="zh-CN" w:bidi="ar"/>
        </w:rPr>
        <w:t>项目</w:t>
      </w:r>
      <w:r>
        <w:rPr>
          <w:rFonts w:hint="default" w:ascii="Times New Roman" w:hAnsi="Times New Roman" w:eastAsia="宋体" w:cs="Times New Roman"/>
          <w:b/>
          <w:bCs/>
          <w:color w:val="auto"/>
          <w:spacing w:val="-2"/>
          <w:kern w:val="0"/>
          <w:sz w:val="24"/>
          <w:highlight w:val="none"/>
          <w:lang w:val="en-US" w:eastAsia="zh-CN" w:bidi="ar"/>
        </w:rPr>
        <w:t>危险物质及工艺系统危险性等级判定为P</w:t>
      </w:r>
      <w:r>
        <w:rPr>
          <w:rFonts w:hint="default" w:ascii="Times New Roman" w:hAnsi="Times New Roman" w:cs="Times New Roman"/>
          <w:b/>
          <w:bCs/>
          <w:color w:val="auto"/>
          <w:spacing w:val="-2"/>
          <w:kern w:val="0"/>
          <w:sz w:val="24"/>
          <w:highlight w:val="none"/>
          <w:lang w:val="en-US" w:eastAsia="zh-CN" w:bidi="ar"/>
        </w:rPr>
        <w:t>3</w:t>
      </w:r>
      <w:r>
        <w:rPr>
          <w:rFonts w:hint="default" w:ascii="Times New Roman" w:hAnsi="Times New Roman" w:eastAsia="宋体" w:cs="Times New Roman"/>
          <w:b/>
          <w:bCs/>
          <w:color w:val="auto"/>
          <w:spacing w:val="-2"/>
          <w:kern w:val="0"/>
          <w:sz w:val="24"/>
          <w:highlight w:val="none"/>
          <w:lang w:val="en-US" w:eastAsia="zh-CN" w:bidi="ar"/>
        </w:rPr>
        <w:t>。</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eastAsia="zh-CN"/>
        </w:rPr>
      </w:pPr>
      <w:bookmarkStart w:id="59" w:name="_Toc2145"/>
      <w:bookmarkStart w:id="60" w:name="_Toc19403"/>
      <w:bookmarkStart w:id="61" w:name="_Toc1828"/>
      <w:bookmarkStart w:id="62" w:name="_Toc31027"/>
      <w:bookmarkStart w:id="63" w:name="_Toc19989"/>
      <w:r>
        <w:rPr>
          <w:rFonts w:hint="default" w:ascii="Times New Roman" w:hAnsi="Times New Roman" w:eastAsia="宋体" w:cs="Times New Roman"/>
          <w:color w:val="auto"/>
          <w:lang w:eastAsia="zh-CN"/>
        </w:rPr>
        <w:t>环境敏感程度</w:t>
      </w:r>
      <w:r>
        <w:rPr>
          <w:rFonts w:hint="default" w:ascii="Times New Roman" w:hAnsi="Times New Roman" w:eastAsia="宋体" w:cs="Times New Roman"/>
          <w:color w:val="auto"/>
          <w:lang w:val="en-US" w:eastAsia="zh-CN"/>
        </w:rPr>
        <w:t>E的分级确定</w:t>
      </w:r>
      <w:bookmarkEnd w:id="59"/>
      <w:bookmarkEnd w:id="60"/>
      <w:bookmarkEnd w:id="61"/>
      <w:bookmarkEnd w:id="62"/>
      <w:bookmarkEnd w:id="63"/>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根据《建设项目环境风险评价技术导则》（HJ 169-2018）附录D，判别项目大气、地表水、地下水敏感性。</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①地表水环境敏感程度分级判定</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依据事故情况下危险物质泄漏到水体的排放点受纳地表水体功能敏感性，与下游环境敏感目标情况，共分为三种类型，E1为环境高度敏感区，E2为环境中度敏感区，E3为环境低度敏感区。其中地表水功能敏感性分区和环境敏感目标分级分别见表</w:t>
      </w:r>
      <w:r>
        <w:rPr>
          <w:rFonts w:hint="default" w:ascii="Times New Roman" w:hAnsi="Times New Roman" w:eastAsia="宋体" w:cs="Times New Roman"/>
          <w:color w:val="auto"/>
          <w:spacing w:val="-2"/>
          <w:kern w:val="0"/>
          <w:sz w:val="24"/>
          <w:highlight w:val="none"/>
          <w:lang w:val="en-US" w:eastAsia="zh-CN" w:bidi="ar"/>
        </w:rPr>
        <w:t>3-4</w:t>
      </w:r>
      <w:r>
        <w:rPr>
          <w:rFonts w:hint="default" w:ascii="Times New Roman" w:hAnsi="Times New Roman" w:eastAsia="宋体" w:cs="Times New Roman"/>
          <w:color w:val="auto"/>
          <w:spacing w:val="-2"/>
          <w:kern w:val="0"/>
          <w:sz w:val="24"/>
          <w:highlight w:val="none"/>
          <w:lang w:bidi="ar"/>
        </w:rPr>
        <w:t>和表</w:t>
      </w:r>
      <w:r>
        <w:rPr>
          <w:rFonts w:hint="default" w:ascii="Times New Roman" w:hAnsi="Times New Roman" w:eastAsia="宋体" w:cs="Times New Roman"/>
          <w:color w:val="auto"/>
          <w:spacing w:val="-2"/>
          <w:kern w:val="0"/>
          <w:sz w:val="24"/>
          <w:highlight w:val="none"/>
          <w:lang w:val="en-US" w:eastAsia="zh-CN" w:bidi="ar"/>
        </w:rPr>
        <w:t>3-5</w:t>
      </w:r>
      <w:r>
        <w:rPr>
          <w:rFonts w:hint="default" w:ascii="Times New Roman" w:hAnsi="Times New Roman" w:eastAsia="宋体" w:cs="Times New Roman"/>
          <w:color w:val="auto"/>
          <w:spacing w:val="-2"/>
          <w:kern w:val="0"/>
          <w:sz w:val="24"/>
          <w:highlight w:val="none"/>
          <w:lang w:bidi="ar"/>
        </w:rPr>
        <w:t>，分级原则见表</w:t>
      </w:r>
      <w:r>
        <w:rPr>
          <w:rFonts w:hint="default" w:ascii="Times New Roman" w:hAnsi="Times New Roman" w:eastAsia="宋体" w:cs="Times New Roman"/>
          <w:color w:val="auto"/>
          <w:spacing w:val="-2"/>
          <w:kern w:val="0"/>
          <w:sz w:val="24"/>
          <w:highlight w:val="none"/>
          <w:lang w:val="en-US" w:eastAsia="zh-CN" w:bidi="ar"/>
        </w:rPr>
        <w:t>3-6</w:t>
      </w:r>
      <w:r>
        <w:rPr>
          <w:rFonts w:hint="default" w:ascii="Times New Roman" w:hAnsi="Times New Roman" w:eastAsia="宋体" w:cs="Times New Roman"/>
          <w:color w:val="auto"/>
          <w:spacing w:val="-2"/>
          <w:kern w:val="0"/>
          <w:sz w:val="24"/>
          <w:highlight w:val="none"/>
          <w:lang w:bidi="ar"/>
        </w:rPr>
        <w:t>。</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地表水功能敏感性分区表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7031"/>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分级</w:t>
            </w:r>
          </w:p>
        </w:tc>
        <w:tc>
          <w:tcPr>
            <w:tcW w:w="3528"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 xml:space="preserve">地表水环境敏感特征判据 </w:t>
            </w:r>
          </w:p>
        </w:tc>
        <w:tc>
          <w:tcPr>
            <w:tcW w:w="919"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 xml:space="preserve">本项目判定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敏感F1</w:t>
            </w:r>
          </w:p>
        </w:tc>
        <w:tc>
          <w:tcPr>
            <w:tcW w:w="3528"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排放点进入地表水水域环境功能为Ⅱ类及以上，或海水水质分类第一类；或以发生事故时，危险物质泄漏到水体的排放点算起，排放进入受纳河流最大流速时，24h流经范围内涉跨国界的 </w:t>
            </w:r>
          </w:p>
        </w:tc>
        <w:tc>
          <w:tcPr>
            <w:tcW w:w="919"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项目</w:t>
            </w:r>
            <w:r>
              <w:rPr>
                <w:rFonts w:hint="default" w:ascii="Times New Roman" w:hAnsi="Times New Roman" w:cs="Times New Roman"/>
                <w:color w:val="auto"/>
                <w:kern w:val="0"/>
                <w:sz w:val="21"/>
                <w:szCs w:val="21"/>
                <w:highlight w:val="none"/>
                <w:lang w:val="en-US" w:eastAsia="zh-CN"/>
              </w:rPr>
              <w:t>主要涉及的地表水体为铁场排渠和石湾镇中心排渠。铁场排渠</w:t>
            </w:r>
            <w:r>
              <w:rPr>
                <w:rFonts w:hint="default" w:ascii="Times New Roman" w:hAnsi="Times New Roman" w:eastAsia="宋体" w:cs="Times New Roman"/>
                <w:color w:val="auto"/>
                <w:kern w:val="0"/>
                <w:sz w:val="21"/>
                <w:szCs w:val="21"/>
                <w:highlight w:val="none"/>
              </w:rPr>
              <w:t>地表水水域环境功能为</w:t>
            </w:r>
            <w:r>
              <w:rPr>
                <w:rFonts w:hint="default" w:ascii="Times New Roman" w:hAnsi="Times New Roman" w:cs="Times New Roman"/>
                <w:color w:val="auto"/>
                <w:kern w:val="0"/>
                <w:sz w:val="21"/>
                <w:szCs w:val="21"/>
                <w:highlight w:val="none"/>
                <w:lang w:val="en-US" w:eastAsia="zh-CN"/>
              </w:rPr>
              <w:t>Ⅳ类，石湾镇中心排渠</w:t>
            </w:r>
            <w:r>
              <w:rPr>
                <w:rFonts w:hint="default" w:ascii="Times New Roman" w:hAnsi="Times New Roman" w:eastAsia="宋体" w:cs="Times New Roman"/>
                <w:color w:val="auto"/>
                <w:kern w:val="0"/>
                <w:sz w:val="21"/>
                <w:szCs w:val="21"/>
                <w:highlight w:val="none"/>
              </w:rPr>
              <w:t>地表水水域环境功能为V类，</w:t>
            </w:r>
          </w:p>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判定本项目地表水环境敏感性为F3级。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较敏感F2</w:t>
            </w:r>
          </w:p>
        </w:tc>
        <w:tc>
          <w:tcPr>
            <w:tcW w:w="3528"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排放点进入地表水水域环境功能为Ⅲ类，或海水水质分类第二类；或以发生事故时，危险物质泄漏到水体的排放点算起，排放进入受纳河流最大流速时，24h流经范围内涉跨省界的</w:t>
            </w:r>
          </w:p>
        </w:tc>
        <w:tc>
          <w:tcPr>
            <w:tcW w:w="919"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低敏感F3</w:t>
            </w:r>
          </w:p>
        </w:tc>
        <w:tc>
          <w:tcPr>
            <w:tcW w:w="3528"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上述地区之外的其他地区 </w:t>
            </w:r>
          </w:p>
        </w:tc>
        <w:tc>
          <w:tcPr>
            <w:tcW w:w="919"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bl>
    <w:p>
      <w:pPr>
        <w:autoSpaceDE w:val="0"/>
        <w:autoSpaceDN w:val="0"/>
        <w:adjustRightInd w:val="0"/>
        <w:spacing w:line="360" w:lineRule="auto"/>
        <w:textAlignment w:val="baseline"/>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0"/>
          <w:highlight w:val="none"/>
        </w:rPr>
        <w:t>根据上表可知，项目地表水环境敏感特征为低敏感F3级。</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环境敏感目标分级表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7361"/>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分级</w:t>
            </w:r>
          </w:p>
        </w:tc>
        <w:tc>
          <w:tcPr>
            <w:tcW w:w="3694"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环境敏感目标</w:t>
            </w:r>
          </w:p>
        </w:tc>
        <w:tc>
          <w:tcPr>
            <w:tcW w:w="944"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rPr>
              <w:t>本项目</w:t>
            </w:r>
            <w:r>
              <w:rPr>
                <w:rFonts w:hint="default" w:ascii="Times New Roman" w:hAnsi="Times New Roman" w:cs="Times New Roman"/>
                <w:b/>
                <w:bCs/>
                <w:color w:val="auto"/>
                <w:kern w:val="0"/>
                <w:sz w:val="21"/>
                <w:szCs w:val="21"/>
                <w:highlight w:val="none"/>
                <w:lang w:val="en-US" w:eastAsia="zh-CN"/>
              </w:rPr>
              <w:t>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S1</w:t>
            </w:r>
          </w:p>
        </w:tc>
        <w:tc>
          <w:tcPr>
            <w:tcW w:w="3694"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发生事故时，危险物质泄漏到内陆水体的排放点下游（顺水流向）10km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护区域 </w:t>
            </w:r>
          </w:p>
        </w:tc>
        <w:tc>
          <w:tcPr>
            <w:tcW w:w="944"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rPr>
              <w:t>项目所在区域下游10km无上述类型1和类型2包括的敏感保护目标，因此判定本项目环境敏感目标敏感性为S3级。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S2</w:t>
            </w:r>
          </w:p>
        </w:tc>
        <w:tc>
          <w:tcPr>
            <w:tcW w:w="3694"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发生事故时，危险物质泄漏到内陆水体的排放点下游（顺水流向）10km范围内、近岸海域一个潮周期水质点可能达到的最大水平距离的两倍范围内，有如下一类或多类环境风险受体的：水产养殖区；天然渔场；森林公园；地质公园；海滨风景游览区；具有重要经济价值的海洋生物生存区域 </w:t>
            </w:r>
          </w:p>
        </w:tc>
        <w:tc>
          <w:tcPr>
            <w:tcW w:w="944"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S3</w:t>
            </w:r>
          </w:p>
        </w:tc>
        <w:tc>
          <w:tcPr>
            <w:tcW w:w="3694"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排放点下游（顺水流向）10km范围、近岸海域一个潮周期水质点可能达到的最大水平距离的两倍范围内无上述类型1和类型2包括的敏感保护目标 </w:t>
            </w:r>
          </w:p>
        </w:tc>
        <w:tc>
          <w:tcPr>
            <w:tcW w:w="944"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bl>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地表水环境敏感程度分级表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8"/>
        <w:gridCol w:w="2489"/>
        <w:gridCol w:w="2491"/>
        <w:gridCol w:w="2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环境敏感目标</w:t>
            </w:r>
          </w:p>
        </w:tc>
        <w:tc>
          <w:tcPr>
            <w:tcW w:w="3750" w:type="pct"/>
            <w:gridSpan w:val="3"/>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地表水功能敏感性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c>
          <w:tcPr>
            <w:tcW w:w="1249"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F1</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F2</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F3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S1</w:t>
            </w:r>
          </w:p>
        </w:tc>
        <w:tc>
          <w:tcPr>
            <w:tcW w:w="1249" w:type="pct"/>
            <w:noWrap/>
            <w:vAlign w:val="center"/>
          </w:tcPr>
          <w:p>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E1</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E1</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E2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1249"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S2</w:t>
            </w:r>
          </w:p>
        </w:tc>
        <w:tc>
          <w:tcPr>
            <w:tcW w:w="1249" w:type="pct"/>
            <w:noWrap/>
            <w:vAlign w:val="center"/>
          </w:tcPr>
          <w:p>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E1</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E2</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E3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S3</w:t>
            </w:r>
          </w:p>
        </w:tc>
        <w:tc>
          <w:tcPr>
            <w:tcW w:w="1249" w:type="pct"/>
            <w:noWrap/>
            <w:vAlign w:val="center"/>
          </w:tcPr>
          <w:p>
            <w:pPr>
              <w:keepNext w:val="0"/>
              <w:keepLines w:val="0"/>
              <w:pageBreakBefore w:val="0"/>
              <w:widowControl w:val="0"/>
              <w:kinsoku/>
              <w:wordWrap/>
              <w:overflowPunct/>
              <w:topLinePunct w:val="0"/>
              <w:bidi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E1</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E2</w:t>
            </w:r>
          </w:p>
        </w:tc>
        <w:tc>
          <w:tcPr>
            <w:tcW w:w="125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E3</w:t>
            </w:r>
          </w:p>
        </w:tc>
      </w:tr>
    </w:tbl>
    <w:p>
      <w:pPr>
        <w:keepNext w:val="0"/>
        <w:keepLines w:val="0"/>
        <w:pageBreakBefore w:val="0"/>
        <w:widowControl w:val="0"/>
        <w:kinsoku/>
        <w:wordWrap/>
        <w:overflowPunct/>
        <w:topLinePunct w:val="0"/>
        <w:autoSpaceDE/>
        <w:autoSpaceDN/>
        <w:bidi w:val="0"/>
        <w:adjustRightInd/>
        <w:snapToGrid/>
        <w:spacing w:line="360" w:lineRule="auto"/>
        <w:ind w:firstLine="472" w:firstLineChars="200"/>
        <w:jc w:val="both"/>
        <w:textAlignment w:val="auto"/>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由上表可知，发生事故时，危险物质可能</w:t>
      </w:r>
      <w:r>
        <w:rPr>
          <w:rFonts w:hint="default" w:ascii="Times New Roman" w:hAnsi="Times New Roman" w:eastAsia="宋体" w:cs="Times New Roman"/>
          <w:color w:val="auto"/>
          <w:spacing w:val="-2"/>
          <w:kern w:val="0"/>
          <w:sz w:val="24"/>
          <w:highlight w:val="none"/>
          <w:lang w:val="en-US" w:eastAsia="zh-CN" w:bidi="ar"/>
        </w:rPr>
        <w:t>通过</w:t>
      </w:r>
      <w:r>
        <w:rPr>
          <w:rFonts w:hint="default" w:ascii="Times New Roman" w:hAnsi="Times New Roman" w:eastAsia="宋体" w:cs="Times New Roman"/>
          <w:color w:val="auto"/>
          <w:spacing w:val="-2"/>
          <w:kern w:val="0"/>
          <w:sz w:val="24"/>
          <w:highlight w:val="none"/>
          <w:lang w:bidi="ar"/>
        </w:rPr>
        <w:t>雨水管网进入周边地表水体（</w:t>
      </w:r>
      <w:r>
        <w:rPr>
          <w:rFonts w:hint="default" w:ascii="Times New Roman" w:hAnsi="Times New Roman" w:cs="Times New Roman"/>
          <w:color w:val="auto"/>
          <w:spacing w:val="-2"/>
          <w:kern w:val="0"/>
          <w:sz w:val="24"/>
          <w:highlight w:val="none"/>
          <w:lang w:val="en-US" w:eastAsia="zh-CN" w:bidi="ar"/>
        </w:rPr>
        <w:t>铁场排渠和</w:t>
      </w:r>
      <w:r>
        <w:rPr>
          <w:rFonts w:hint="default" w:ascii="Times New Roman" w:hAnsi="Times New Roman" w:eastAsia="宋体" w:cs="Times New Roman"/>
          <w:color w:val="auto"/>
          <w:spacing w:val="-2"/>
          <w:kern w:val="0"/>
          <w:sz w:val="24"/>
          <w:highlight w:val="none"/>
          <w:lang w:val="en-US" w:eastAsia="zh-CN" w:bidi="ar"/>
        </w:rPr>
        <w:t>石湾中心排渠</w:t>
      </w:r>
      <w:r>
        <w:rPr>
          <w:rFonts w:hint="default" w:ascii="Times New Roman" w:hAnsi="Times New Roman" w:eastAsia="宋体" w:cs="Times New Roman"/>
          <w:color w:val="auto"/>
          <w:spacing w:val="-2"/>
          <w:kern w:val="0"/>
          <w:sz w:val="24"/>
          <w:highlight w:val="none"/>
          <w:lang w:bidi="ar"/>
        </w:rPr>
        <w:t>），铁场排渠地表水水域环境功能为Ⅳ类</w:t>
      </w:r>
      <w:r>
        <w:rPr>
          <w:rFonts w:hint="default" w:ascii="Times New Roman" w:hAnsi="Times New Roman" w:cs="Times New Roman"/>
          <w:color w:val="auto"/>
          <w:spacing w:val="-2"/>
          <w:kern w:val="0"/>
          <w:sz w:val="24"/>
          <w:highlight w:val="none"/>
          <w:lang w:eastAsia="zh-CN" w:bidi="ar"/>
        </w:rPr>
        <w:t>，</w:t>
      </w:r>
      <w:r>
        <w:rPr>
          <w:rFonts w:hint="default" w:ascii="Times New Roman" w:hAnsi="Times New Roman" w:eastAsia="宋体" w:cs="Times New Roman"/>
          <w:color w:val="auto"/>
          <w:spacing w:val="-2"/>
          <w:kern w:val="0"/>
          <w:sz w:val="24"/>
          <w:highlight w:val="none"/>
          <w:lang w:val="en-US" w:eastAsia="zh-CN" w:bidi="ar"/>
        </w:rPr>
        <w:t>石湾中心排渠</w:t>
      </w:r>
      <w:r>
        <w:rPr>
          <w:rFonts w:hint="default" w:ascii="Times New Roman" w:hAnsi="Times New Roman" w:eastAsia="宋体" w:cs="Times New Roman"/>
          <w:color w:val="auto"/>
          <w:spacing w:val="-2"/>
          <w:kern w:val="0"/>
          <w:sz w:val="24"/>
          <w:highlight w:val="none"/>
          <w:lang w:bidi="ar"/>
        </w:rPr>
        <w:t>地表水功能为</w:t>
      </w:r>
      <w:r>
        <w:rPr>
          <w:rFonts w:hint="default" w:ascii="Times New Roman" w:hAnsi="Times New Roman" w:eastAsia="宋体" w:cs="Times New Roman"/>
          <w:color w:val="auto"/>
          <w:kern w:val="0"/>
          <w:szCs w:val="21"/>
          <w:highlight w:val="none"/>
        </w:rPr>
        <w:t>V</w:t>
      </w:r>
      <w:r>
        <w:rPr>
          <w:rFonts w:hint="default" w:ascii="Times New Roman" w:hAnsi="Times New Roman" w:eastAsia="宋体" w:cs="Times New Roman"/>
          <w:color w:val="auto"/>
          <w:kern w:val="0"/>
          <w:szCs w:val="21"/>
          <w:highlight w:val="none"/>
          <w:lang w:val="en-US" w:eastAsia="zh-CN"/>
        </w:rPr>
        <w:t>类</w:t>
      </w:r>
      <w:r>
        <w:rPr>
          <w:rFonts w:hint="default" w:ascii="Times New Roman" w:hAnsi="Times New Roman" w:eastAsia="宋体" w:cs="Times New Roman"/>
          <w:color w:val="auto"/>
          <w:spacing w:val="-2"/>
          <w:kern w:val="0"/>
          <w:sz w:val="24"/>
          <w:highlight w:val="none"/>
          <w:lang w:bidi="ar"/>
        </w:rPr>
        <w:t>，故本项目所在区域地表水功能敏感性为F3；</w:t>
      </w:r>
      <w:r>
        <w:rPr>
          <w:rFonts w:hint="default" w:ascii="Times New Roman" w:hAnsi="Times New Roman" w:eastAsia="宋体" w:cs="Times New Roman"/>
          <w:color w:val="auto"/>
          <w:spacing w:val="-2"/>
          <w:kern w:val="0"/>
          <w:sz w:val="24"/>
          <w:highlight w:val="none"/>
          <w:lang w:val="en-US" w:eastAsia="zh-CN" w:bidi="ar"/>
        </w:rPr>
        <w:t>项目所在区域下游10km无上述类型1和类型2包括的敏感保护目标，判定本项目环境敏感目标敏感性为S3级</w:t>
      </w:r>
      <w:r>
        <w:rPr>
          <w:rFonts w:hint="default" w:ascii="Times New Roman" w:hAnsi="Times New Roman" w:eastAsia="宋体" w:cs="Times New Roman"/>
          <w:color w:val="auto"/>
          <w:spacing w:val="-2"/>
          <w:kern w:val="0"/>
          <w:sz w:val="24"/>
          <w:highlight w:val="none"/>
          <w:lang w:bidi="ar"/>
        </w:rPr>
        <w:t>，所以本项目地表水环境敏感程度为E</w:t>
      </w:r>
      <w:r>
        <w:rPr>
          <w:rFonts w:hint="default" w:ascii="Times New Roman" w:hAnsi="Times New Roman" w:eastAsia="宋体" w:cs="Times New Roman"/>
          <w:color w:val="auto"/>
          <w:spacing w:val="-2"/>
          <w:kern w:val="0"/>
          <w:sz w:val="24"/>
          <w:highlight w:val="none"/>
          <w:lang w:val="en-US" w:eastAsia="zh-CN" w:bidi="ar"/>
        </w:rPr>
        <w:t>3</w:t>
      </w:r>
      <w:r>
        <w:rPr>
          <w:rFonts w:hint="default" w:ascii="Times New Roman" w:hAnsi="Times New Roman" w:eastAsia="宋体" w:cs="Times New Roman"/>
          <w:color w:val="auto"/>
          <w:spacing w:val="-2"/>
          <w:kern w:val="0"/>
          <w:sz w:val="24"/>
          <w:highlight w:val="none"/>
          <w:lang w:bidi="ar"/>
        </w:rPr>
        <w:t>级。</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②大气环境敏感程度分级判定</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依据环境敏感目标环境敏感性及人口密度划分环境风险受体的敏感性，共分为三种类型，E1为环境高度敏感区，E2为环境中度敏感区，E3为环境低度敏感区，分级原则见</w:t>
      </w:r>
      <w:r>
        <w:rPr>
          <w:rFonts w:hint="default" w:ascii="Times New Roman" w:hAnsi="Times New Roman" w:eastAsia="宋体" w:cs="Times New Roman"/>
          <w:color w:val="auto"/>
          <w:spacing w:val="-2"/>
          <w:kern w:val="0"/>
          <w:sz w:val="24"/>
          <w:highlight w:val="none"/>
          <w:lang w:val="en-US" w:eastAsia="zh-CN" w:bidi="ar"/>
        </w:rPr>
        <w:t>下表</w:t>
      </w:r>
      <w:r>
        <w:rPr>
          <w:rFonts w:hint="default" w:ascii="Times New Roman" w:hAnsi="Times New Roman" w:eastAsia="宋体" w:cs="Times New Roman"/>
          <w:color w:val="auto"/>
          <w:spacing w:val="-2"/>
          <w:kern w:val="0"/>
          <w:sz w:val="24"/>
          <w:highlight w:val="none"/>
          <w:lang w:bidi="ar"/>
        </w:rPr>
        <w:t>。</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大气环境敏感程度分级表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7593"/>
        <w:gridCol w:w="1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敏感程度类</w:t>
            </w:r>
          </w:p>
        </w:tc>
        <w:tc>
          <w:tcPr>
            <w:tcW w:w="381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大气环境风险受体</w:t>
            </w:r>
          </w:p>
        </w:tc>
        <w:tc>
          <w:tcPr>
            <w:tcW w:w="732"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本项目</w:t>
            </w:r>
          </w:p>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E1</w:t>
            </w:r>
          </w:p>
        </w:tc>
        <w:tc>
          <w:tcPr>
            <w:tcW w:w="381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周边5km范围内居住区、医疗卫生、文化教育、科研、行政、办公等机构人口总数大于5万人，或其他需要特殊保护区域；或周边500m范围内人口总数大于1000人；油气、化学品输送管线管段周边200m范围内，每千米管段人口数大于200人</w:t>
            </w:r>
          </w:p>
        </w:tc>
        <w:tc>
          <w:tcPr>
            <w:tcW w:w="732"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本</w:t>
            </w:r>
            <w:r>
              <w:rPr>
                <w:rFonts w:hint="default" w:ascii="Times New Roman" w:hAnsi="Times New Roman" w:eastAsia="宋体" w:cs="Times New Roman"/>
                <w:color w:val="auto"/>
                <w:kern w:val="0"/>
                <w:sz w:val="21"/>
                <w:szCs w:val="21"/>
                <w:highlight w:val="none"/>
                <w:lang w:val="en-US" w:eastAsia="zh-CN"/>
              </w:rPr>
              <w:t>项目周边5</w:t>
            </w:r>
            <w:r>
              <w:rPr>
                <w:rFonts w:hint="default" w:ascii="Times New Roman" w:hAnsi="Times New Roman" w:cs="Times New Roman"/>
                <w:color w:val="auto"/>
                <w:kern w:val="0"/>
                <w:sz w:val="21"/>
                <w:szCs w:val="21"/>
                <w:highlight w:val="none"/>
                <w:lang w:val="en-US" w:eastAsia="zh-CN"/>
              </w:rPr>
              <w:t>k</w:t>
            </w:r>
            <w:r>
              <w:rPr>
                <w:rFonts w:hint="default" w:ascii="Times New Roman" w:hAnsi="Times New Roman" w:eastAsia="宋体" w:cs="Times New Roman"/>
                <w:color w:val="auto"/>
                <w:kern w:val="0"/>
                <w:sz w:val="21"/>
                <w:szCs w:val="21"/>
                <w:highlight w:val="none"/>
                <w:lang w:val="en-US" w:eastAsia="zh-CN"/>
              </w:rPr>
              <w:t>m范围内人口总数</w:t>
            </w:r>
            <w:r>
              <w:rPr>
                <w:rFonts w:hint="default" w:ascii="Times New Roman" w:hAnsi="Times New Roman" w:cs="Times New Roman"/>
                <w:color w:val="auto"/>
                <w:kern w:val="0"/>
                <w:sz w:val="21"/>
                <w:szCs w:val="21"/>
                <w:highlight w:val="none"/>
                <w:lang w:val="en-US" w:eastAsia="zh-CN"/>
              </w:rPr>
              <w:t>大于5万</w:t>
            </w:r>
            <w:r>
              <w:rPr>
                <w:rFonts w:hint="default" w:ascii="Times New Roman" w:hAnsi="Times New Roman" w:eastAsia="宋体" w:cs="Times New Roman"/>
                <w:color w:val="auto"/>
                <w:kern w:val="0"/>
                <w:sz w:val="21"/>
                <w:szCs w:val="21"/>
                <w:highlight w:val="none"/>
                <w:lang w:val="en-US" w:eastAsia="zh-CN"/>
              </w:rPr>
              <w:t>人</w:t>
            </w:r>
            <w:r>
              <w:rPr>
                <w:rFonts w:hint="default" w:ascii="Times New Roman" w:hAnsi="Times New Roman" w:cs="Times New Roman"/>
                <w:color w:val="auto"/>
                <w:kern w:val="0"/>
                <w:sz w:val="21"/>
                <w:szCs w:val="21"/>
                <w:highlight w:val="none"/>
                <w:lang w:val="en-US" w:eastAsia="zh-CN"/>
              </w:rPr>
              <w:t>，因此</w:t>
            </w:r>
            <w:r>
              <w:rPr>
                <w:rFonts w:hint="default" w:ascii="Times New Roman" w:hAnsi="Times New Roman" w:eastAsia="宋体" w:cs="Times New Roman"/>
                <w:color w:val="auto"/>
                <w:kern w:val="0"/>
                <w:sz w:val="21"/>
                <w:szCs w:val="21"/>
                <w:highlight w:val="none"/>
                <w:lang w:val="en-US" w:eastAsia="zh-CN"/>
              </w:rPr>
              <w:t>判定本项目大气环境敏感分级为E</w:t>
            </w:r>
            <w:r>
              <w:rPr>
                <w:rFonts w:hint="default" w:ascii="Times New Roman" w:hAnsi="Times New Roman" w:cs="Times New Roman"/>
                <w:color w:val="auto"/>
                <w:kern w:val="0"/>
                <w:sz w:val="21"/>
                <w:szCs w:val="21"/>
                <w:highlight w:val="none"/>
                <w:lang w:val="en-US" w:eastAsia="zh-CN"/>
              </w:rPr>
              <w:t>1</w:t>
            </w:r>
            <w:r>
              <w:rPr>
                <w:rFonts w:hint="default" w:ascii="Times New Roman" w:hAnsi="Times New Roman" w:eastAsia="宋体" w:cs="Times New Roman"/>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56"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E2</w:t>
            </w:r>
          </w:p>
        </w:tc>
        <w:tc>
          <w:tcPr>
            <w:tcW w:w="381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周边5km范围内居住区、医疗卫生、文化教育、科研、行政、办公等机构人口总数大于1万人，小于5万人；或周边500m范围内人口总数大于500人，小于1000人；油气、化学品、输送管线管段周边200m范围内，每千米管段人口数大于100人</w:t>
            </w:r>
          </w:p>
        </w:tc>
        <w:tc>
          <w:tcPr>
            <w:tcW w:w="732"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E3</w:t>
            </w:r>
          </w:p>
        </w:tc>
        <w:tc>
          <w:tcPr>
            <w:tcW w:w="3810" w:type="pct"/>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周边5km范围内居住区、医疗卫生、文化教育、科研、行政、办公等机构人口总数小于1万人；或周边500m范围内人口总数小于500人；油气、化学品输送管线管段周边200m范围内，每千米管段人口数小于100人</w:t>
            </w:r>
          </w:p>
        </w:tc>
        <w:tc>
          <w:tcPr>
            <w:tcW w:w="732"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bl>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③地下水环境敏感程度分级判定</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依据地下水功能敏感性与包气带防污性能，共分为三种类型，E1为环境高度敏感区，E2为环境中度敏感区，E3为环境低度敏感区。其中地下水功能敏感性分区和包气带防污性能分级分别见表</w:t>
      </w:r>
      <w:r>
        <w:rPr>
          <w:rFonts w:hint="default" w:ascii="Times New Roman" w:hAnsi="Times New Roman" w:eastAsia="宋体" w:cs="Times New Roman"/>
          <w:color w:val="auto"/>
          <w:spacing w:val="-2"/>
          <w:kern w:val="0"/>
          <w:sz w:val="24"/>
          <w:highlight w:val="none"/>
          <w:lang w:val="en-US" w:eastAsia="zh-CN" w:bidi="ar"/>
        </w:rPr>
        <w:t>3</w:t>
      </w:r>
      <w:r>
        <w:rPr>
          <w:rFonts w:hint="default" w:ascii="Times New Roman" w:hAnsi="Times New Roman" w:eastAsia="宋体" w:cs="Times New Roman"/>
          <w:color w:val="auto"/>
          <w:spacing w:val="-2"/>
          <w:kern w:val="0"/>
          <w:sz w:val="24"/>
          <w:highlight w:val="none"/>
          <w:lang w:bidi="ar"/>
        </w:rPr>
        <w:t>-</w:t>
      </w:r>
      <w:r>
        <w:rPr>
          <w:rFonts w:hint="default" w:ascii="Times New Roman" w:hAnsi="Times New Roman" w:eastAsia="宋体" w:cs="Times New Roman"/>
          <w:color w:val="auto"/>
          <w:spacing w:val="-2"/>
          <w:kern w:val="0"/>
          <w:sz w:val="24"/>
          <w:highlight w:val="none"/>
          <w:lang w:val="en-US" w:eastAsia="zh-CN" w:bidi="ar"/>
        </w:rPr>
        <w:t>8</w:t>
      </w:r>
      <w:r>
        <w:rPr>
          <w:rFonts w:hint="default" w:ascii="Times New Roman" w:hAnsi="Times New Roman" w:eastAsia="宋体" w:cs="Times New Roman"/>
          <w:color w:val="auto"/>
          <w:spacing w:val="-2"/>
          <w:kern w:val="0"/>
          <w:sz w:val="24"/>
          <w:highlight w:val="none"/>
          <w:lang w:bidi="ar"/>
        </w:rPr>
        <w:t>和表</w:t>
      </w:r>
      <w:r>
        <w:rPr>
          <w:rFonts w:hint="default" w:ascii="Times New Roman" w:hAnsi="Times New Roman" w:eastAsia="宋体" w:cs="Times New Roman"/>
          <w:color w:val="auto"/>
          <w:spacing w:val="-2"/>
          <w:kern w:val="0"/>
          <w:sz w:val="24"/>
          <w:highlight w:val="none"/>
          <w:lang w:val="en-US" w:eastAsia="zh-CN" w:bidi="ar"/>
        </w:rPr>
        <w:t>3</w:t>
      </w:r>
      <w:r>
        <w:rPr>
          <w:rFonts w:hint="default" w:ascii="Times New Roman" w:hAnsi="Times New Roman" w:eastAsia="宋体" w:cs="Times New Roman"/>
          <w:color w:val="auto"/>
          <w:spacing w:val="-2"/>
          <w:kern w:val="0"/>
          <w:sz w:val="24"/>
          <w:highlight w:val="none"/>
          <w:lang w:bidi="ar"/>
        </w:rPr>
        <w:t>-</w:t>
      </w:r>
      <w:r>
        <w:rPr>
          <w:rFonts w:hint="default" w:ascii="Times New Roman" w:hAnsi="Times New Roman" w:eastAsia="宋体" w:cs="Times New Roman"/>
          <w:color w:val="auto"/>
          <w:spacing w:val="-2"/>
          <w:kern w:val="0"/>
          <w:sz w:val="24"/>
          <w:highlight w:val="none"/>
          <w:lang w:val="en-US" w:eastAsia="zh-CN" w:bidi="ar"/>
        </w:rPr>
        <w:t>9</w:t>
      </w:r>
      <w:r>
        <w:rPr>
          <w:rFonts w:hint="default" w:ascii="Times New Roman" w:hAnsi="Times New Roman" w:eastAsia="宋体" w:cs="Times New Roman"/>
          <w:color w:val="auto"/>
          <w:spacing w:val="-2"/>
          <w:kern w:val="0"/>
          <w:sz w:val="24"/>
          <w:highlight w:val="none"/>
          <w:lang w:bidi="ar"/>
        </w:rPr>
        <w:t>，分级原则见表</w:t>
      </w:r>
      <w:r>
        <w:rPr>
          <w:rFonts w:hint="default" w:ascii="Times New Roman" w:hAnsi="Times New Roman" w:eastAsia="宋体" w:cs="Times New Roman"/>
          <w:color w:val="auto"/>
          <w:spacing w:val="-2"/>
          <w:kern w:val="0"/>
          <w:sz w:val="24"/>
          <w:highlight w:val="none"/>
          <w:lang w:val="en-US" w:eastAsia="zh-CN" w:bidi="ar"/>
        </w:rPr>
        <w:t>3</w:t>
      </w:r>
      <w:r>
        <w:rPr>
          <w:rFonts w:hint="default" w:ascii="Times New Roman" w:hAnsi="Times New Roman" w:eastAsia="宋体" w:cs="Times New Roman"/>
          <w:color w:val="auto"/>
          <w:spacing w:val="-2"/>
          <w:kern w:val="0"/>
          <w:sz w:val="24"/>
          <w:highlight w:val="none"/>
          <w:lang w:bidi="ar"/>
        </w:rPr>
        <w:t>-1</w:t>
      </w:r>
      <w:r>
        <w:rPr>
          <w:rFonts w:hint="default" w:ascii="Times New Roman" w:hAnsi="Times New Roman" w:eastAsia="宋体" w:cs="Times New Roman"/>
          <w:color w:val="auto"/>
          <w:spacing w:val="-2"/>
          <w:kern w:val="0"/>
          <w:sz w:val="24"/>
          <w:highlight w:val="none"/>
          <w:lang w:val="en-US" w:eastAsia="zh-CN" w:bidi="ar"/>
        </w:rPr>
        <w:t>0</w:t>
      </w:r>
      <w:r>
        <w:rPr>
          <w:rFonts w:hint="default" w:ascii="Times New Roman" w:hAnsi="Times New Roman" w:eastAsia="宋体" w:cs="Times New Roman"/>
          <w:color w:val="auto"/>
          <w:spacing w:val="-2"/>
          <w:kern w:val="0"/>
          <w:sz w:val="24"/>
          <w:highlight w:val="none"/>
          <w:lang w:bidi="ar"/>
        </w:rPr>
        <w:t>。</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地下水功能敏感性分区</w:t>
      </w:r>
    </w:p>
    <w:tbl>
      <w:tblPr>
        <w:tblStyle w:val="32"/>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5"/>
        <w:gridCol w:w="7469"/>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1"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分级</w:t>
            </w:r>
          </w:p>
        </w:tc>
        <w:tc>
          <w:tcPr>
            <w:tcW w:w="375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地下水环境敏感特征</w:t>
            </w:r>
          </w:p>
        </w:tc>
        <w:tc>
          <w:tcPr>
            <w:tcW w:w="65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本项目判定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591"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敏感G1</w:t>
            </w:r>
          </w:p>
        </w:tc>
        <w:tc>
          <w:tcPr>
            <w:tcW w:w="375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c>
          <w:tcPr>
            <w:tcW w:w="650"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本项目不涉及集中式饮用水水源等，判定本项目地下水环境敏感特征为G3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1"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较敏感G2</w:t>
            </w:r>
          </w:p>
        </w:tc>
        <w:tc>
          <w:tcPr>
            <w:tcW w:w="375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等其他未列入上述敏感分级的环境敏感区a</w:t>
            </w:r>
          </w:p>
        </w:tc>
        <w:tc>
          <w:tcPr>
            <w:tcW w:w="650"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1"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不敏感G3</w:t>
            </w:r>
          </w:p>
        </w:tc>
        <w:tc>
          <w:tcPr>
            <w:tcW w:w="375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 xml:space="preserve">上述地区之外的其他地区 </w:t>
            </w:r>
          </w:p>
        </w:tc>
        <w:tc>
          <w:tcPr>
            <w:tcW w:w="650"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a“环境敏感区”是指《建设项目环境影响评价分类管理名录》中所界定的涉及地下水的环境敏感区</w:t>
            </w:r>
          </w:p>
        </w:tc>
      </w:tr>
    </w:tbl>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包气带防污性能分级</w:t>
      </w:r>
    </w:p>
    <w:tbl>
      <w:tblPr>
        <w:tblStyle w:val="32"/>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5501"/>
        <w:gridCol w:w="3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分级</w:t>
            </w:r>
          </w:p>
        </w:tc>
        <w:tc>
          <w:tcPr>
            <w:tcW w:w="276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422" w:firstLineChars="200"/>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包气带岩土的渗透性能</w:t>
            </w:r>
          </w:p>
        </w:tc>
        <w:tc>
          <w:tcPr>
            <w:tcW w:w="1841"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422" w:firstLineChars="200"/>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本项目判定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39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D3</w:t>
            </w:r>
          </w:p>
        </w:tc>
        <w:tc>
          <w:tcPr>
            <w:tcW w:w="276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Mb</w:t>
            </w:r>
            <w:r>
              <w:rPr>
                <w:rFonts w:hint="default" w:ascii="Times New Roman" w:hAnsi="Times New Roman" w:eastAsia="宋体" w:cs="Times New Roman"/>
                <w:color w:val="auto"/>
                <w:spacing w:val="-2"/>
                <w:kern w:val="0"/>
                <w:sz w:val="21"/>
                <w:szCs w:val="21"/>
                <w:highlight w:val="none"/>
                <w:lang w:bidi="ar"/>
              </w:rPr>
              <w:t>≥1.0m</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spacing w:val="-2"/>
                <w:kern w:val="0"/>
                <w:sz w:val="21"/>
                <w:szCs w:val="21"/>
                <w:highlight w:val="none"/>
                <w:lang w:bidi="ar"/>
              </w:rPr>
              <w:t>K</w:t>
            </w:r>
            <w:r>
              <w:rPr>
                <w:rFonts w:hint="default" w:ascii="Times New Roman" w:hAnsi="Times New Roman" w:eastAsia="宋体" w:cs="Times New Roman"/>
                <w:color w:val="auto"/>
                <w:kern w:val="0"/>
                <w:sz w:val="21"/>
                <w:szCs w:val="21"/>
                <w:highlight w:val="none"/>
              </w:rPr>
              <w:t>≤1.0×10</w:t>
            </w:r>
            <w:r>
              <w:rPr>
                <w:rFonts w:hint="default" w:ascii="Times New Roman" w:hAnsi="Times New Roman" w:eastAsia="宋体" w:cs="Times New Roman"/>
                <w:color w:val="auto"/>
                <w:kern w:val="0"/>
                <w:sz w:val="21"/>
                <w:szCs w:val="21"/>
                <w:highlight w:val="none"/>
                <w:vertAlign w:val="superscript"/>
              </w:rPr>
              <w:t>-6</w:t>
            </w:r>
            <w:r>
              <w:rPr>
                <w:rFonts w:hint="default" w:ascii="Times New Roman" w:hAnsi="Times New Roman" w:eastAsia="宋体" w:cs="Times New Roman"/>
                <w:color w:val="auto"/>
                <w:kern w:val="0"/>
                <w:sz w:val="21"/>
                <w:szCs w:val="21"/>
                <w:highlight w:val="none"/>
              </w:rPr>
              <w:t>cm/s，且分布连续、稳定</w:t>
            </w:r>
          </w:p>
        </w:tc>
        <w:tc>
          <w:tcPr>
            <w:tcW w:w="1841"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baseline"/>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cs="Times New Roman"/>
                <w:color w:val="auto"/>
                <w:kern w:val="0"/>
                <w:sz w:val="21"/>
                <w:szCs w:val="21"/>
                <w:highlight w:val="none"/>
                <w:lang w:val="en-US" w:eastAsia="zh-CN"/>
              </w:rPr>
              <w:t>本</w:t>
            </w:r>
            <w:r>
              <w:rPr>
                <w:rFonts w:hint="default" w:ascii="Times New Roman" w:hAnsi="Times New Roman" w:eastAsia="宋体" w:cs="Times New Roman"/>
                <w:color w:val="auto"/>
                <w:kern w:val="0"/>
                <w:sz w:val="21"/>
                <w:szCs w:val="21"/>
                <w:highlight w:val="none"/>
                <w:lang w:eastAsia="zh-CN"/>
              </w:rPr>
              <w:t>项目所在地土质主要为壤土、砂壤土、</w:t>
            </w:r>
            <w:r>
              <w:rPr>
                <w:rFonts w:hint="default" w:ascii="Times New Roman" w:hAnsi="Times New Roman" w:eastAsia="宋体" w:cs="Times New Roman"/>
                <w:color w:val="auto"/>
                <w:kern w:val="0"/>
                <w:sz w:val="21"/>
                <w:szCs w:val="21"/>
                <w:highlight w:val="none"/>
                <w:lang w:val="en-US" w:eastAsia="zh-CN"/>
              </w:rPr>
              <w:t>0.5m</w:t>
            </w:r>
            <w:r>
              <w:rPr>
                <w:rFonts w:hint="default" w:ascii="Times New Roman" w:hAnsi="Times New Roman" w:eastAsia="宋体" w:cs="Times New Roman"/>
                <w:color w:val="auto"/>
                <w:kern w:val="0"/>
                <w:sz w:val="21"/>
                <w:szCs w:val="21"/>
                <w:highlight w:val="none"/>
              </w:rPr>
              <w:t>≤Mb＜1.0m，</w:t>
            </w:r>
            <w:r>
              <w:rPr>
                <w:rFonts w:hint="default" w:ascii="Times New Roman" w:hAnsi="Times New Roman" w:eastAsia="宋体" w:cs="Times New Roman"/>
                <w:color w:val="auto"/>
                <w:spacing w:val="-2"/>
                <w:kern w:val="0"/>
                <w:sz w:val="21"/>
                <w:szCs w:val="21"/>
                <w:highlight w:val="none"/>
                <w:lang w:bidi="ar"/>
              </w:rPr>
              <w:t>K</w:t>
            </w:r>
            <w:r>
              <w:rPr>
                <w:rFonts w:hint="default" w:ascii="Times New Roman" w:hAnsi="Times New Roman" w:eastAsia="宋体" w:cs="Times New Roman"/>
                <w:color w:val="auto"/>
                <w:kern w:val="0"/>
                <w:sz w:val="21"/>
                <w:szCs w:val="21"/>
                <w:highlight w:val="none"/>
              </w:rPr>
              <w:t>≤1.0×10</w:t>
            </w:r>
            <w:r>
              <w:rPr>
                <w:rFonts w:hint="default" w:ascii="Times New Roman" w:hAnsi="Times New Roman" w:eastAsia="宋体" w:cs="Times New Roman"/>
                <w:color w:val="auto"/>
                <w:kern w:val="0"/>
                <w:sz w:val="21"/>
                <w:szCs w:val="21"/>
                <w:highlight w:val="none"/>
                <w:vertAlign w:val="superscript"/>
              </w:rPr>
              <w:t>-6</w:t>
            </w:r>
            <w:r>
              <w:rPr>
                <w:rFonts w:hint="default" w:ascii="Times New Roman" w:hAnsi="Times New Roman" w:eastAsia="宋体" w:cs="Times New Roman"/>
                <w:color w:val="auto"/>
                <w:kern w:val="0"/>
                <w:sz w:val="21"/>
                <w:szCs w:val="21"/>
                <w:highlight w:val="none"/>
              </w:rPr>
              <w:t>cm/s，</w:t>
            </w:r>
            <w:r>
              <w:rPr>
                <w:rFonts w:hint="default" w:ascii="Times New Roman" w:hAnsi="Times New Roman" w:eastAsia="宋体" w:cs="Times New Roman"/>
                <w:color w:val="auto"/>
                <w:kern w:val="0"/>
                <w:sz w:val="21"/>
                <w:szCs w:val="21"/>
                <w:highlight w:val="none"/>
                <w:lang w:eastAsia="zh-CN"/>
              </w:rPr>
              <w:t>故包气带防污性能分级为</w:t>
            </w:r>
            <w:r>
              <w:rPr>
                <w:rFonts w:hint="default" w:ascii="Times New Roman" w:hAnsi="Times New Roman" w:eastAsia="宋体" w:cs="Times New Roman"/>
                <w:color w:val="auto"/>
                <w:kern w:val="0"/>
                <w:sz w:val="21"/>
                <w:szCs w:val="21"/>
                <w:highlight w:val="none"/>
                <w:lang w:val="en-US" w:eastAsia="zh-CN"/>
              </w:rPr>
              <w:t>D2。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39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D2</w:t>
            </w:r>
          </w:p>
        </w:tc>
        <w:tc>
          <w:tcPr>
            <w:tcW w:w="276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0.5m≤Mb＜1.0m，</w:t>
            </w:r>
            <w:r>
              <w:rPr>
                <w:rFonts w:hint="default" w:ascii="Times New Roman" w:hAnsi="Times New Roman" w:eastAsia="宋体" w:cs="Times New Roman"/>
                <w:color w:val="auto"/>
                <w:spacing w:val="-2"/>
                <w:kern w:val="0"/>
                <w:sz w:val="21"/>
                <w:szCs w:val="21"/>
                <w:highlight w:val="none"/>
                <w:lang w:bidi="ar"/>
              </w:rPr>
              <w:t>K</w:t>
            </w:r>
            <w:r>
              <w:rPr>
                <w:rFonts w:hint="default" w:ascii="Times New Roman" w:hAnsi="Times New Roman" w:eastAsia="宋体" w:cs="Times New Roman"/>
                <w:color w:val="auto"/>
                <w:kern w:val="0"/>
                <w:sz w:val="21"/>
                <w:szCs w:val="21"/>
                <w:highlight w:val="none"/>
              </w:rPr>
              <w:t>≤1.0×10</w:t>
            </w:r>
            <w:r>
              <w:rPr>
                <w:rFonts w:hint="default" w:ascii="Times New Roman" w:hAnsi="Times New Roman" w:eastAsia="宋体" w:cs="Times New Roman"/>
                <w:color w:val="auto"/>
                <w:kern w:val="0"/>
                <w:sz w:val="21"/>
                <w:szCs w:val="21"/>
                <w:highlight w:val="none"/>
                <w:vertAlign w:val="superscript"/>
              </w:rPr>
              <w:t>-6</w:t>
            </w:r>
            <w:r>
              <w:rPr>
                <w:rFonts w:hint="default" w:ascii="Times New Roman" w:hAnsi="Times New Roman" w:eastAsia="宋体" w:cs="Times New Roman"/>
                <w:color w:val="auto"/>
                <w:kern w:val="0"/>
                <w:sz w:val="21"/>
                <w:szCs w:val="21"/>
                <w:highlight w:val="none"/>
              </w:rPr>
              <w:t>cm/s，且分布连续、稳定</w:t>
            </w:r>
          </w:p>
          <w:p>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Mb</w:t>
            </w:r>
            <w:r>
              <w:rPr>
                <w:rFonts w:hint="default" w:ascii="Times New Roman" w:hAnsi="Times New Roman" w:eastAsia="宋体" w:cs="Times New Roman"/>
                <w:color w:val="auto"/>
                <w:spacing w:val="-2"/>
                <w:kern w:val="0"/>
                <w:sz w:val="21"/>
                <w:szCs w:val="21"/>
                <w:highlight w:val="none"/>
                <w:lang w:bidi="ar"/>
              </w:rPr>
              <w:t>≥1.0m</w:t>
            </w:r>
            <w:r>
              <w:rPr>
                <w:rFonts w:hint="default" w:ascii="Times New Roman" w:hAnsi="Times New Roman" w:eastAsia="宋体" w:cs="Times New Roman"/>
                <w:color w:val="auto"/>
                <w:kern w:val="0"/>
                <w:sz w:val="21"/>
                <w:szCs w:val="21"/>
                <w:highlight w:val="none"/>
              </w:rPr>
              <w:t>，</w:t>
            </w:r>
            <w:r>
              <w:rPr>
                <w:rFonts w:hint="default" w:ascii="Times New Roman" w:hAnsi="Times New Roman" w:eastAsia="宋体" w:cs="Times New Roman"/>
                <w:color w:val="auto"/>
                <w:spacing w:val="-2"/>
                <w:kern w:val="0"/>
                <w:sz w:val="21"/>
                <w:szCs w:val="21"/>
                <w:highlight w:val="none"/>
                <w:lang w:bidi="ar"/>
              </w:rPr>
              <w:t>1.0</w:t>
            </w:r>
            <w:r>
              <w:rPr>
                <w:rFonts w:hint="default" w:ascii="Times New Roman" w:hAnsi="Times New Roman" w:eastAsia="宋体" w:cs="Times New Roman"/>
                <w:color w:val="auto"/>
                <w:kern w:val="0"/>
                <w:sz w:val="21"/>
                <w:szCs w:val="21"/>
                <w:highlight w:val="none"/>
              </w:rPr>
              <w:t>×10</w:t>
            </w:r>
            <w:r>
              <w:rPr>
                <w:rFonts w:hint="default" w:ascii="Times New Roman" w:hAnsi="Times New Roman" w:eastAsia="宋体" w:cs="Times New Roman"/>
                <w:color w:val="auto"/>
                <w:kern w:val="0"/>
                <w:sz w:val="21"/>
                <w:szCs w:val="21"/>
                <w:highlight w:val="none"/>
                <w:vertAlign w:val="superscript"/>
              </w:rPr>
              <w:t>-6</w:t>
            </w:r>
            <w:r>
              <w:rPr>
                <w:rFonts w:hint="default" w:ascii="Times New Roman" w:hAnsi="Times New Roman" w:eastAsia="宋体" w:cs="Times New Roman"/>
                <w:color w:val="auto"/>
                <w:kern w:val="0"/>
                <w:sz w:val="21"/>
                <w:szCs w:val="21"/>
                <w:highlight w:val="none"/>
              </w:rPr>
              <w:t>cm/s＜</w:t>
            </w:r>
            <w:r>
              <w:rPr>
                <w:rFonts w:hint="default" w:ascii="Times New Roman" w:hAnsi="Times New Roman" w:eastAsia="宋体" w:cs="Times New Roman"/>
                <w:color w:val="auto"/>
                <w:spacing w:val="-2"/>
                <w:kern w:val="0"/>
                <w:sz w:val="21"/>
                <w:szCs w:val="21"/>
                <w:highlight w:val="none"/>
                <w:lang w:bidi="ar"/>
              </w:rPr>
              <w:t>K</w:t>
            </w:r>
            <w:r>
              <w:rPr>
                <w:rFonts w:hint="default" w:ascii="Times New Roman" w:hAnsi="Times New Roman" w:eastAsia="宋体" w:cs="Times New Roman"/>
                <w:color w:val="auto"/>
                <w:kern w:val="0"/>
                <w:sz w:val="21"/>
                <w:szCs w:val="21"/>
                <w:highlight w:val="none"/>
              </w:rPr>
              <w:t>≤1.0×10</w:t>
            </w:r>
            <w:r>
              <w:rPr>
                <w:rFonts w:hint="default" w:ascii="Times New Roman" w:hAnsi="Times New Roman" w:eastAsia="宋体" w:cs="Times New Roman"/>
                <w:color w:val="auto"/>
                <w:kern w:val="0"/>
                <w:sz w:val="21"/>
                <w:szCs w:val="21"/>
                <w:highlight w:val="none"/>
                <w:vertAlign w:val="superscript"/>
              </w:rPr>
              <w:t>-4</w:t>
            </w:r>
            <w:r>
              <w:rPr>
                <w:rFonts w:hint="default" w:ascii="Times New Roman" w:hAnsi="Times New Roman" w:eastAsia="宋体" w:cs="Times New Roman"/>
                <w:color w:val="auto"/>
                <w:kern w:val="0"/>
                <w:sz w:val="21"/>
                <w:szCs w:val="21"/>
                <w:highlight w:val="none"/>
              </w:rPr>
              <w:t>cm/s，且分布连续、稳定</w:t>
            </w:r>
          </w:p>
        </w:tc>
        <w:tc>
          <w:tcPr>
            <w:tcW w:w="1841"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39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D1</w:t>
            </w:r>
          </w:p>
        </w:tc>
        <w:tc>
          <w:tcPr>
            <w:tcW w:w="276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both"/>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岩土层不满足上述“D2”和“D3”条件</w:t>
            </w:r>
          </w:p>
        </w:tc>
        <w:tc>
          <w:tcPr>
            <w:tcW w:w="1841"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Mb：岩土层单层厚度</w:t>
            </w:r>
            <w:r>
              <w:rPr>
                <w:rFonts w:hint="default" w:ascii="Times New Roman" w:hAnsi="Times New Roman" w:cs="Times New Roman"/>
                <w:color w:val="auto"/>
                <w:kern w:val="0"/>
                <w:sz w:val="21"/>
                <w:szCs w:val="21"/>
                <w:highlight w:val="none"/>
                <w:lang w:eastAsia="zh-CN"/>
              </w:rPr>
              <w:t>；</w:t>
            </w:r>
            <w:r>
              <w:rPr>
                <w:rFonts w:hint="default" w:ascii="Times New Roman" w:hAnsi="Times New Roman" w:eastAsia="宋体" w:cs="Times New Roman"/>
                <w:color w:val="auto"/>
                <w:kern w:val="0"/>
                <w:sz w:val="21"/>
                <w:szCs w:val="21"/>
                <w:highlight w:val="none"/>
              </w:rPr>
              <w:t>K：渗透系数</w:t>
            </w:r>
          </w:p>
        </w:tc>
      </w:tr>
    </w:tbl>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地下水环境敏感程度分级</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2"/>
        <w:gridCol w:w="2560"/>
        <w:gridCol w:w="2295"/>
        <w:gridCol w:w="2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80"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包气带防污性能</w:t>
            </w:r>
          </w:p>
        </w:tc>
        <w:tc>
          <w:tcPr>
            <w:tcW w:w="3919" w:type="pct"/>
            <w:gridSpan w:val="3"/>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地下水功能敏感性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p>
        </w:tc>
        <w:tc>
          <w:tcPr>
            <w:tcW w:w="128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G1</w:t>
            </w:r>
          </w:p>
        </w:tc>
        <w:tc>
          <w:tcPr>
            <w:tcW w:w="115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G2</w:t>
            </w:r>
          </w:p>
        </w:tc>
        <w:tc>
          <w:tcPr>
            <w:tcW w:w="148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G3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08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D1</w:t>
            </w:r>
          </w:p>
        </w:tc>
        <w:tc>
          <w:tcPr>
            <w:tcW w:w="128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E1</w:t>
            </w:r>
          </w:p>
        </w:tc>
        <w:tc>
          <w:tcPr>
            <w:tcW w:w="115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E1</w:t>
            </w:r>
          </w:p>
        </w:tc>
        <w:tc>
          <w:tcPr>
            <w:tcW w:w="148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E2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D2</w:t>
            </w:r>
          </w:p>
        </w:tc>
        <w:tc>
          <w:tcPr>
            <w:tcW w:w="128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E1</w:t>
            </w:r>
          </w:p>
        </w:tc>
        <w:tc>
          <w:tcPr>
            <w:tcW w:w="115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E2</w:t>
            </w:r>
          </w:p>
        </w:tc>
        <w:tc>
          <w:tcPr>
            <w:tcW w:w="148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lightGray"/>
              </w:rPr>
              <w:t>E3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D3</w:t>
            </w:r>
          </w:p>
        </w:tc>
        <w:tc>
          <w:tcPr>
            <w:tcW w:w="128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E2</w:t>
            </w:r>
          </w:p>
        </w:tc>
        <w:tc>
          <w:tcPr>
            <w:tcW w:w="115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E3</w:t>
            </w:r>
          </w:p>
        </w:tc>
        <w:tc>
          <w:tcPr>
            <w:tcW w:w="148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E3</w:t>
            </w:r>
          </w:p>
        </w:tc>
      </w:tr>
    </w:tbl>
    <w:p>
      <w:pPr>
        <w:spacing w:line="360" w:lineRule="auto"/>
        <w:ind w:firstLine="472" w:firstLineChars="200"/>
        <w:jc w:val="both"/>
        <w:rPr>
          <w:rFonts w:hint="default" w:ascii="Times New Roman" w:hAnsi="Times New Roman" w:eastAsia="宋体" w:cs="Times New Roman"/>
          <w:color w:val="auto"/>
          <w:spacing w:val="-2"/>
          <w:kern w:val="0"/>
          <w:sz w:val="24"/>
          <w:highlight w:val="none"/>
          <w:lang w:val="en-US" w:eastAsia="zh-CN" w:bidi="ar"/>
        </w:rPr>
      </w:pPr>
      <w:r>
        <w:rPr>
          <w:rFonts w:hint="default" w:ascii="Times New Roman" w:hAnsi="Times New Roman" w:eastAsia="宋体" w:cs="Times New Roman"/>
          <w:color w:val="auto"/>
          <w:spacing w:val="-2"/>
          <w:kern w:val="0"/>
          <w:sz w:val="24"/>
          <w:highlight w:val="none"/>
          <w:lang w:eastAsia="zh-CN" w:bidi="ar"/>
        </w:rPr>
        <w:t>由上表可知，本项目所在区域不属于集中式饮用水水源等，判定本项目地下水环境敏感特征为不敏感G3，包气带防污性能分级为</w:t>
      </w:r>
      <w:r>
        <w:rPr>
          <w:rFonts w:hint="default" w:ascii="Times New Roman" w:hAnsi="Times New Roman" w:eastAsia="宋体" w:cs="Times New Roman"/>
          <w:color w:val="auto"/>
          <w:spacing w:val="-2"/>
          <w:kern w:val="0"/>
          <w:sz w:val="24"/>
          <w:highlight w:val="none"/>
          <w:lang w:val="en-US" w:eastAsia="zh-CN" w:bidi="ar"/>
        </w:rPr>
        <w:t>D2，所以本项目地下水环境敏感程度为E3。</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eastAsia="zh-CN"/>
        </w:rPr>
      </w:pPr>
      <w:bookmarkStart w:id="64" w:name="_Toc1328"/>
      <w:bookmarkStart w:id="65" w:name="_Toc14600"/>
      <w:bookmarkStart w:id="66" w:name="_Toc8495"/>
      <w:bookmarkStart w:id="67" w:name="_Toc29905"/>
      <w:bookmarkStart w:id="68" w:name="_Toc23769"/>
      <w:r>
        <w:rPr>
          <w:rFonts w:hint="default" w:ascii="Times New Roman" w:hAnsi="Times New Roman" w:eastAsia="宋体" w:cs="Times New Roman"/>
          <w:color w:val="auto"/>
          <w:lang w:val="en-US" w:eastAsia="zh-CN"/>
        </w:rPr>
        <w:t>环境风险潜势分析</w:t>
      </w:r>
      <w:bookmarkEnd w:id="64"/>
      <w:bookmarkEnd w:id="65"/>
      <w:bookmarkEnd w:id="66"/>
      <w:bookmarkEnd w:id="67"/>
      <w:bookmarkEnd w:id="68"/>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根据建设项目涉及的物质和工艺系统的危险性及其所在地的环境敏感程度，结合事故情形下环境影响途径，按照下表确定环境风险潜势。</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建设项目环境风险潜势划分表</w:t>
      </w:r>
    </w:p>
    <w:tbl>
      <w:tblPr>
        <w:tblStyle w:val="32"/>
        <w:tblW w:w="5020" w:type="pct"/>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autofit"/>
        <w:tblCellMar>
          <w:top w:w="0" w:type="dxa"/>
          <w:left w:w="0" w:type="dxa"/>
          <w:bottom w:w="0" w:type="dxa"/>
          <w:right w:w="0" w:type="dxa"/>
        </w:tblCellMar>
      </w:tblPr>
      <w:tblGrid>
        <w:gridCol w:w="2668"/>
        <w:gridCol w:w="1739"/>
        <w:gridCol w:w="1661"/>
        <w:gridCol w:w="1786"/>
        <w:gridCol w:w="1937"/>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vMerge w:val="restart"/>
            <w:tcBorders>
              <w:top w:val="single" w:color="auto" w:sz="2" w:space="0"/>
              <w:left w:val="single" w:color="auto" w:sz="2" w:space="0"/>
              <w:bottom w:val="single" w:color="auto" w:sz="6" w:space="0"/>
              <w:right w:val="single" w:color="auto" w:sz="6" w:space="0"/>
            </w:tcBorders>
            <w:noWrap w:val="0"/>
            <w:vAlign w:val="center"/>
          </w:tcPr>
          <w:p>
            <w:pPr>
              <w:pStyle w:val="56"/>
              <w:kinsoku w:val="0"/>
              <w:overflowPunct w:val="0"/>
              <w:snapToGrid w:val="0"/>
              <w:spacing w:line="240" w:lineRule="auto"/>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环境敏感程度</w:t>
            </w:r>
          </w:p>
        </w:tc>
        <w:tc>
          <w:tcPr>
            <w:tcW w:w="3636" w:type="pct"/>
            <w:gridSpan w:val="4"/>
            <w:tcBorders>
              <w:top w:val="single" w:color="auto" w:sz="2" w:space="0"/>
              <w:left w:val="single" w:color="auto" w:sz="6" w:space="0"/>
              <w:bottom w:val="single" w:color="auto" w:sz="6" w:space="0"/>
              <w:right w:val="single" w:color="auto" w:sz="2" w:space="0"/>
            </w:tcBorders>
            <w:noWrap w:val="0"/>
            <w:vAlign w:val="center"/>
          </w:tcPr>
          <w:p>
            <w:pPr>
              <w:pStyle w:val="56"/>
              <w:kinsoku w:val="0"/>
              <w:overflowPunct w:val="0"/>
              <w:snapToGrid w:val="0"/>
              <w:spacing w:line="240" w:lineRule="auto"/>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危险物质及工艺系统危险性（P）</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22" w:hRule="atLeast"/>
          <w:jc w:val="center"/>
        </w:trPr>
        <w:tc>
          <w:tcPr>
            <w:tcW w:w="1363" w:type="pct"/>
            <w:vMerge w:val="continue"/>
            <w:tcBorders>
              <w:top w:val="single" w:color="auto" w:sz="2" w:space="0"/>
              <w:left w:val="single" w:color="auto" w:sz="2" w:space="0"/>
              <w:bottom w:val="single" w:color="auto" w:sz="6" w:space="0"/>
              <w:right w:val="single" w:color="auto" w:sz="6" w:space="0"/>
            </w:tcBorders>
            <w:noWrap w:val="0"/>
            <w:vAlign w:val="center"/>
          </w:tcPr>
          <w:p>
            <w:pPr>
              <w:autoSpaceDE w:val="0"/>
              <w:autoSpaceDN w:val="0"/>
              <w:adjustRightInd w:val="0"/>
              <w:jc w:val="center"/>
              <w:textAlignment w:val="baseline"/>
              <w:rPr>
                <w:rFonts w:hint="default" w:ascii="Times New Roman" w:hAnsi="Times New Roman" w:eastAsia="宋体" w:cs="Times New Roman"/>
                <w:b/>
                <w:bCs/>
                <w:color w:val="auto"/>
                <w:kern w:val="0"/>
                <w:sz w:val="21"/>
                <w:szCs w:val="21"/>
                <w:highlight w:val="none"/>
                <w:lang w:val="en-US" w:eastAsia="zh-CN" w:bidi="ar-SA"/>
              </w:rPr>
            </w:pPr>
          </w:p>
        </w:tc>
        <w:tc>
          <w:tcPr>
            <w:tcW w:w="888" w:type="pct"/>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jc w:val="center"/>
              <w:textAlignment w:val="baseline"/>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极高危害P1</w:t>
            </w:r>
          </w:p>
        </w:tc>
        <w:tc>
          <w:tcPr>
            <w:tcW w:w="848" w:type="pct"/>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jc w:val="center"/>
              <w:textAlignment w:val="baseline"/>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高度危害P2</w:t>
            </w:r>
          </w:p>
        </w:tc>
        <w:tc>
          <w:tcPr>
            <w:tcW w:w="912" w:type="pct"/>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jc w:val="center"/>
              <w:textAlignment w:val="baseline"/>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lightGray"/>
                <w:lang w:val="en-US" w:eastAsia="zh-CN" w:bidi="ar-SA"/>
              </w:rPr>
              <w:t>中度危害P3</w:t>
            </w:r>
          </w:p>
        </w:tc>
        <w:tc>
          <w:tcPr>
            <w:tcW w:w="987" w:type="pct"/>
            <w:tcBorders>
              <w:top w:val="single" w:color="auto" w:sz="6" w:space="0"/>
              <w:left w:val="single" w:color="auto" w:sz="6" w:space="0"/>
              <w:bottom w:val="single" w:color="auto" w:sz="6" w:space="0"/>
              <w:right w:val="single" w:color="auto" w:sz="2" w:space="0"/>
            </w:tcBorders>
            <w:noWrap w:val="0"/>
            <w:vAlign w:val="center"/>
          </w:tcPr>
          <w:p>
            <w:pPr>
              <w:autoSpaceDE w:val="0"/>
              <w:autoSpaceDN w:val="0"/>
              <w:adjustRightInd w:val="0"/>
              <w:jc w:val="center"/>
              <w:textAlignment w:val="baseline"/>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轻度危害P4</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0" w:type="pct"/>
            <w:gridSpan w:val="5"/>
            <w:tcBorders>
              <w:top w:val="single" w:color="auto" w:sz="6" w:space="0"/>
              <w:left w:val="single" w:color="auto" w:sz="2" w:space="0"/>
              <w:bottom w:val="single" w:color="auto" w:sz="6" w:space="0"/>
              <w:right w:val="single" w:color="auto" w:sz="2" w:space="0"/>
            </w:tcBorders>
            <w:noWrap w:val="0"/>
            <w:vAlign w:val="center"/>
          </w:tcPr>
          <w:p>
            <w:pPr>
              <w:pStyle w:val="56"/>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一、大气</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环境高度敏感区（E1）</w:t>
            </w:r>
          </w:p>
        </w:tc>
        <w:tc>
          <w:tcPr>
            <w:tcW w:w="888"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IV+</w:t>
            </w:r>
          </w:p>
        </w:tc>
        <w:tc>
          <w:tcPr>
            <w:tcW w:w="848"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IV</w:t>
            </w:r>
          </w:p>
        </w:tc>
        <w:tc>
          <w:tcPr>
            <w:tcW w:w="912"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lightGray"/>
                <w:lang w:val="en-US" w:eastAsia="zh-CN" w:bidi="ar-SA"/>
              </w:rPr>
              <w:t>III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环境中度敏感区（E2）</w:t>
            </w:r>
          </w:p>
        </w:tc>
        <w:tc>
          <w:tcPr>
            <w:tcW w:w="888"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IV</w:t>
            </w:r>
          </w:p>
        </w:tc>
        <w:tc>
          <w:tcPr>
            <w:tcW w:w="848"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III</w:t>
            </w:r>
          </w:p>
        </w:tc>
        <w:tc>
          <w:tcPr>
            <w:tcW w:w="912"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环境低度敏感区（E3）</w:t>
            </w:r>
          </w:p>
        </w:tc>
        <w:tc>
          <w:tcPr>
            <w:tcW w:w="888"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III</w:t>
            </w:r>
          </w:p>
        </w:tc>
        <w:tc>
          <w:tcPr>
            <w:tcW w:w="848"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12" w:type="pct"/>
            <w:tcBorders>
              <w:top w:val="single" w:color="auto" w:sz="6" w:space="0"/>
              <w:left w:val="single" w:color="auto" w:sz="6" w:space="0"/>
              <w:bottom w:val="single" w:color="auto" w:sz="6" w:space="0"/>
              <w:right w:val="single" w:color="auto" w:sz="6"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kinsoku w:val="0"/>
              <w:overflowPunct w:val="0"/>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fldChar w:fldCharType="begin"/>
            </w:r>
            <w:r>
              <w:rPr>
                <w:rFonts w:hint="default" w:ascii="Times New Roman" w:hAnsi="Times New Roman" w:eastAsia="宋体" w:cs="Times New Roman"/>
                <w:color w:val="auto"/>
                <w:kern w:val="0"/>
                <w:sz w:val="21"/>
                <w:szCs w:val="21"/>
                <w:highlight w:val="none"/>
                <w:lang w:val="en-US" w:eastAsia="zh-CN" w:bidi="ar-SA"/>
              </w:rPr>
              <w:instrText xml:space="preserve"> = 1 \* ROMAN </w:instrText>
            </w:r>
            <w:r>
              <w:rPr>
                <w:rFonts w:hint="default" w:ascii="Times New Roman" w:hAnsi="Times New Roman" w:eastAsia="宋体" w:cs="Times New Roman"/>
                <w:color w:val="auto"/>
                <w:kern w:val="0"/>
                <w:sz w:val="21"/>
                <w:szCs w:val="21"/>
                <w:highlight w:val="none"/>
                <w:lang w:val="en-US" w:eastAsia="zh-CN" w:bidi="ar-SA"/>
              </w:rPr>
              <w:fldChar w:fldCharType="separate"/>
            </w:r>
            <w:r>
              <w:rPr>
                <w:rFonts w:hint="default" w:ascii="Times New Roman" w:hAnsi="Times New Roman" w:eastAsia="宋体" w:cs="Times New Roman"/>
                <w:color w:val="auto"/>
                <w:kern w:val="0"/>
                <w:sz w:val="21"/>
                <w:szCs w:val="21"/>
                <w:highlight w:val="none"/>
                <w:lang w:val="en-US" w:eastAsia="zh-CN" w:bidi="ar-SA"/>
              </w:rPr>
              <w:t>I</w:t>
            </w:r>
            <w:r>
              <w:rPr>
                <w:rFonts w:hint="default" w:ascii="Times New Roman" w:hAnsi="Times New Roman" w:eastAsia="宋体" w:cs="Times New Roman"/>
                <w:color w:val="auto"/>
                <w:kern w:val="0"/>
                <w:sz w:val="21"/>
                <w:szCs w:val="21"/>
                <w:highlight w:val="none"/>
                <w:lang w:val="en-US" w:eastAsia="zh-CN" w:bidi="ar-SA"/>
              </w:rPr>
              <w:fldChar w:fldCharType="end"/>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0" w:type="pct"/>
            <w:gridSpan w:val="5"/>
            <w:tcBorders>
              <w:top w:val="single" w:color="auto" w:sz="6" w:space="0"/>
              <w:left w:val="single" w:color="auto" w:sz="2" w:space="0"/>
              <w:bottom w:val="single" w:color="auto" w:sz="6" w:space="0"/>
              <w:right w:val="single" w:color="auto" w:sz="2" w:space="0"/>
            </w:tcBorders>
            <w:noWrap w:val="0"/>
            <w:vAlign w:val="center"/>
          </w:tcPr>
          <w:p>
            <w:pPr>
              <w:pStyle w:val="56"/>
              <w:kinsoku w:val="0"/>
              <w:overflowPunct w:val="0"/>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二、地表水</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环境高度敏感区（E1）</w:t>
            </w:r>
          </w:p>
        </w:tc>
        <w:tc>
          <w:tcPr>
            <w:tcW w:w="88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IV+</w:t>
            </w:r>
          </w:p>
        </w:tc>
        <w:tc>
          <w:tcPr>
            <w:tcW w:w="84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IV</w:t>
            </w:r>
          </w:p>
        </w:tc>
        <w:tc>
          <w:tcPr>
            <w:tcW w:w="912"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环境中度敏感区（E2）</w:t>
            </w:r>
          </w:p>
        </w:tc>
        <w:tc>
          <w:tcPr>
            <w:tcW w:w="88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IV</w:t>
            </w:r>
          </w:p>
        </w:tc>
        <w:tc>
          <w:tcPr>
            <w:tcW w:w="84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12"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环境低度敏感区（E3）</w:t>
            </w:r>
          </w:p>
        </w:tc>
        <w:tc>
          <w:tcPr>
            <w:tcW w:w="88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III</w:t>
            </w:r>
          </w:p>
        </w:tc>
        <w:tc>
          <w:tcPr>
            <w:tcW w:w="84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III</w:t>
            </w:r>
          </w:p>
        </w:tc>
        <w:tc>
          <w:tcPr>
            <w:tcW w:w="912"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lightGray"/>
                <w:lang w:val="en-US" w:eastAsia="zh-CN" w:bidi="ar-SA"/>
              </w:rPr>
              <w:t>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0" w:type="pct"/>
            <w:gridSpan w:val="5"/>
            <w:tcBorders>
              <w:top w:val="single" w:color="auto" w:sz="6" w:space="0"/>
              <w:left w:val="single" w:color="auto" w:sz="2" w:space="0"/>
              <w:bottom w:val="single" w:color="auto" w:sz="6" w:space="0"/>
              <w:right w:val="single" w:color="auto" w:sz="2" w:space="0"/>
            </w:tcBorders>
            <w:noWrap w:val="0"/>
            <w:vAlign w:val="center"/>
          </w:tcPr>
          <w:p>
            <w:pPr>
              <w:pStyle w:val="56"/>
              <w:kinsoku w:val="0"/>
              <w:overflowPunct w:val="0"/>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三、地下水</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环境高度敏感区（E1）</w:t>
            </w:r>
          </w:p>
        </w:tc>
        <w:tc>
          <w:tcPr>
            <w:tcW w:w="88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IV+</w:t>
            </w:r>
          </w:p>
        </w:tc>
        <w:tc>
          <w:tcPr>
            <w:tcW w:w="84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fldChar w:fldCharType="begin"/>
            </w:r>
            <w:r>
              <w:rPr>
                <w:rFonts w:hint="default" w:ascii="Times New Roman" w:hAnsi="Times New Roman" w:eastAsia="宋体" w:cs="Times New Roman"/>
                <w:color w:val="auto"/>
                <w:kern w:val="0"/>
                <w:sz w:val="21"/>
                <w:szCs w:val="21"/>
                <w:highlight w:val="none"/>
                <w:lang w:val="en-US" w:eastAsia="zh-CN" w:bidi="ar-SA"/>
              </w:rPr>
              <w:instrText xml:space="preserve"> = 4 \* ROMAN </w:instrText>
            </w:r>
            <w:r>
              <w:rPr>
                <w:rFonts w:hint="default" w:ascii="Times New Roman" w:hAnsi="Times New Roman" w:eastAsia="宋体" w:cs="Times New Roman"/>
                <w:color w:val="auto"/>
                <w:kern w:val="0"/>
                <w:sz w:val="21"/>
                <w:szCs w:val="21"/>
                <w:highlight w:val="none"/>
                <w:lang w:val="en-US" w:eastAsia="zh-CN" w:bidi="ar-SA"/>
              </w:rPr>
              <w:fldChar w:fldCharType="separate"/>
            </w:r>
            <w:r>
              <w:rPr>
                <w:rFonts w:hint="default" w:ascii="Times New Roman" w:hAnsi="Times New Roman" w:eastAsia="宋体" w:cs="Times New Roman"/>
                <w:color w:val="auto"/>
                <w:kern w:val="0"/>
                <w:sz w:val="21"/>
                <w:szCs w:val="21"/>
                <w:highlight w:val="none"/>
                <w:lang w:val="en-US" w:eastAsia="zh-CN" w:bidi="ar-SA"/>
              </w:rPr>
              <w:t>IV</w:t>
            </w:r>
            <w:r>
              <w:rPr>
                <w:rFonts w:hint="default" w:ascii="Times New Roman" w:hAnsi="Times New Roman" w:eastAsia="宋体" w:cs="Times New Roman"/>
                <w:color w:val="auto"/>
                <w:kern w:val="0"/>
                <w:sz w:val="21"/>
                <w:szCs w:val="21"/>
                <w:highlight w:val="none"/>
                <w:lang w:val="en-US" w:eastAsia="zh-CN" w:bidi="ar-SA"/>
              </w:rPr>
              <w:fldChar w:fldCharType="end"/>
            </w:r>
          </w:p>
        </w:tc>
        <w:tc>
          <w:tcPr>
            <w:tcW w:w="912"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环境中度敏感区（E2）</w:t>
            </w:r>
          </w:p>
        </w:tc>
        <w:tc>
          <w:tcPr>
            <w:tcW w:w="88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IV</w:t>
            </w:r>
          </w:p>
        </w:tc>
        <w:tc>
          <w:tcPr>
            <w:tcW w:w="84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12"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1363" w:type="pct"/>
            <w:tcBorders>
              <w:top w:val="single" w:color="auto" w:sz="6" w:space="0"/>
              <w:left w:val="single" w:color="auto" w:sz="2"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环境低度敏感区（E3）</w:t>
            </w:r>
          </w:p>
        </w:tc>
        <w:tc>
          <w:tcPr>
            <w:tcW w:w="88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III</w:t>
            </w:r>
          </w:p>
        </w:tc>
        <w:tc>
          <w:tcPr>
            <w:tcW w:w="848"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III</w:t>
            </w:r>
          </w:p>
        </w:tc>
        <w:tc>
          <w:tcPr>
            <w:tcW w:w="912" w:type="pct"/>
            <w:tcBorders>
              <w:top w:val="single" w:color="auto" w:sz="6" w:space="0"/>
              <w:left w:val="single" w:color="auto" w:sz="6" w:space="0"/>
              <w:bottom w:val="single" w:color="auto" w:sz="6" w:space="0"/>
              <w:right w:val="single" w:color="auto" w:sz="6"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lightGray"/>
                <w:lang w:val="en-US" w:eastAsia="zh-CN" w:bidi="ar-SA"/>
              </w:rPr>
              <w:t>II</w:t>
            </w:r>
          </w:p>
        </w:tc>
        <w:tc>
          <w:tcPr>
            <w:tcW w:w="987" w:type="pct"/>
            <w:tcBorders>
              <w:top w:val="single" w:color="auto" w:sz="6" w:space="0"/>
              <w:left w:val="single" w:color="auto" w:sz="6" w:space="0"/>
              <w:bottom w:val="single" w:color="auto" w:sz="6" w:space="0"/>
              <w:right w:val="single" w:color="auto" w:sz="2" w:space="0"/>
            </w:tcBorders>
            <w:noWrap w:val="0"/>
            <w:vAlign w:val="center"/>
          </w:tcPr>
          <w:p>
            <w:pPr>
              <w:widowControl/>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I</w:t>
            </w:r>
          </w:p>
        </w:tc>
      </w:tr>
    </w:tbl>
    <w:p>
      <w:pPr>
        <w:spacing w:line="360" w:lineRule="auto"/>
        <w:ind w:firstLine="472" w:firstLineChars="200"/>
        <w:jc w:val="both"/>
        <w:rPr>
          <w:rFonts w:hint="default" w:ascii="Times New Roman" w:hAnsi="Times New Roman" w:eastAsia="宋体" w:cs="Times New Roman"/>
          <w:color w:val="auto"/>
          <w:spacing w:val="-2"/>
          <w:kern w:val="0"/>
          <w:sz w:val="24"/>
          <w:highlight w:val="none"/>
          <w:lang w:eastAsia="zh-CN" w:bidi="ar"/>
        </w:rPr>
      </w:pPr>
      <w:r>
        <w:rPr>
          <w:rFonts w:hint="default" w:ascii="Times New Roman" w:hAnsi="Times New Roman" w:cs="Times New Roman"/>
          <w:color w:val="auto"/>
          <w:spacing w:val="-2"/>
          <w:kern w:val="0"/>
          <w:sz w:val="24"/>
          <w:highlight w:val="none"/>
          <w:lang w:val="en-US" w:eastAsia="zh-CN" w:bidi="ar"/>
        </w:rPr>
        <w:t>根据上表可知，</w:t>
      </w:r>
      <w:r>
        <w:rPr>
          <w:rFonts w:hint="default" w:ascii="Times New Roman" w:hAnsi="Times New Roman" w:eastAsia="宋体" w:cs="Times New Roman"/>
          <w:color w:val="auto"/>
          <w:spacing w:val="-2"/>
          <w:kern w:val="0"/>
          <w:sz w:val="24"/>
          <w:highlight w:val="none"/>
          <w:lang w:eastAsia="zh-CN" w:bidi="ar"/>
        </w:rPr>
        <w:t>本项目环境大气风险潜势为</w:t>
      </w:r>
      <w:r>
        <w:rPr>
          <w:rFonts w:hint="default" w:ascii="Times New Roman" w:hAnsi="Times New Roman" w:eastAsia="宋体" w:cs="Times New Roman"/>
          <w:b/>
          <w:bCs/>
          <w:color w:val="auto"/>
          <w:kern w:val="0"/>
          <w:sz w:val="21"/>
          <w:szCs w:val="21"/>
          <w:highlight w:val="none"/>
          <w:lang w:val="en-US" w:eastAsia="zh-CN" w:bidi="ar-SA"/>
        </w:rPr>
        <w:t>III</w:t>
      </w:r>
      <w:r>
        <w:rPr>
          <w:rFonts w:hint="default" w:ascii="Times New Roman" w:hAnsi="Times New Roman" w:eastAsia="宋体" w:cs="Times New Roman"/>
          <w:color w:val="auto"/>
          <w:spacing w:val="-2"/>
          <w:kern w:val="0"/>
          <w:sz w:val="24"/>
          <w:highlight w:val="none"/>
          <w:lang w:eastAsia="zh-CN" w:bidi="ar"/>
        </w:rPr>
        <w:t>级，地表水风险潜势为</w:t>
      </w:r>
      <w:r>
        <w:rPr>
          <w:rFonts w:hint="default" w:ascii="Times New Roman" w:hAnsi="Times New Roman" w:eastAsia="宋体" w:cs="Times New Roman"/>
          <w:b/>
          <w:bCs/>
          <w:color w:val="auto"/>
          <w:kern w:val="0"/>
          <w:sz w:val="21"/>
          <w:szCs w:val="21"/>
          <w:highlight w:val="none"/>
          <w:lang w:val="en-US" w:eastAsia="zh-CN" w:bidi="ar-SA"/>
        </w:rPr>
        <w:t>II</w:t>
      </w:r>
      <w:r>
        <w:rPr>
          <w:rFonts w:hint="default" w:ascii="Times New Roman" w:hAnsi="Times New Roman" w:eastAsia="宋体" w:cs="Times New Roman"/>
          <w:color w:val="auto"/>
          <w:spacing w:val="-2"/>
          <w:kern w:val="0"/>
          <w:sz w:val="24"/>
          <w:highlight w:val="none"/>
          <w:lang w:eastAsia="zh-CN" w:bidi="ar"/>
        </w:rPr>
        <w:t>级，地下水环境风险潜势为</w:t>
      </w:r>
      <w:r>
        <w:rPr>
          <w:rFonts w:hint="default" w:ascii="Times New Roman" w:hAnsi="Times New Roman" w:eastAsia="宋体" w:cs="Times New Roman"/>
          <w:b/>
          <w:bCs/>
          <w:color w:val="auto"/>
          <w:kern w:val="0"/>
          <w:sz w:val="21"/>
          <w:szCs w:val="21"/>
          <w:highlight w:val="none"/>
          <w:lang w:val="en-US" w:eastAsia="zh-CN" w:bidi="ar-SA"/>
        </w:rPr>
        <w:t>II</w:t>
      </w:r>
      <w:r>
        <w:rPr>
          <w:rFonts w:hint="default" w:ascii="Times New Roman" w:hAnsi="Times New Roman" w:eastAsia="宋体" w:cs="Times New Roman"/>
          <w:color w:val="auto"/>
          <w:spacing w:val="-2"/>
          <w:kern w:val="0"/>
          <w:sz w:val="24"/>
          <w:highlight w:val="none"/>
          <w:lang w:eastAsia="zh-CN" w:bidi="ar"/>
        </w:rPr>
        <w:t>级。</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69" w:name="_Toc18649"/>
      <w:bookmarkStart w:id="70" w:name="_Toc21886"/>
      <w:bookmarkStart w:id="71" w:name="_Toc21506"/>
      <w:bookmarkStart w:id="72" w:name="_Toc2160"/>
      <w:bookmarkStart w:id="73" w:name="_Toc14373"/>
      <w:r>
        <w:rPr>
          <w:rFonts w:hint="default" w:ascii="Times New Roman" w:hAnsi="Times New Roman" w:eastAsia="宋体" w:cs="Times New Roman"/>
          <w:color w:val="auto"/>
          <w:lang w:val="en-US" w:eastAsia="zh-CN"/>
        </w:rPr>
        <w:t>评价工作等级</w:t>
      </w:r>
      <w:bookmarkEnd w:id="69"/>
      <w:bookmarkEnd w:id="70"/>
      <w:bookmarkEnd w:id="71"/>
      <w:bookmarkEnd w:id="72"/>
      <w:bookmarkEnd w:id="73"/>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eastAsia="zh-CN" w:bidi="ar"/>
        </w:rPr>
      </w:pPr>
      <w:r>
        <w:rPr>
          <w:rFonts w:hint="default" w:ascii="Times New Roman" w:hAnsi="Times New Roman" w:eastAsia="宋体" w:cs="Times New Roman"/>
          <w:color w:val="auto"/>
          <w:spacing w:val="-2"/>
          <w:kern w:val="0"/>
          <w:sz w:val="24"/>
          <w:highlight w:val="none"/>
          <w:lang w:eastAsia="zh-CN" w:bidi="ar"/>
        </w:rPr>
        <w:t>根据建设项目涉及的物质及工艺系统危险性和所在地的环境敏感性，确定环境风险潜势，再按照下表确定评价工作等级。</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环境风险评价工作级别判定标准表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41"/>
        <w:gridCol w:w="1883"/>
        <w:gridCol w:w="2168"/>
        <w:gridCol w:w="2168"/>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 w:hRule="atLeast"/>
          <w:jc w:val="center"/>
        </w:trPr>
        <w:tc>
          <w:tcPr>
            <w:tcW w:w="1149"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环境风险潜势</w:t>
            </w:r>
          </w:p>
        </w:tc>
        <w:tc>
          <w:tcPr>
            <w:tcW w:w="965"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IV、IV</w:t>
            </w:r>
            <w:r>
              <w:rPr>
                <w:rFonts w:hint="default" w:ascii="Times New Roman" w:hAnsi="Times New Roman" w:eastAsia="宋体" w:cs="Times New Roman"/>
                <w:color w:val="auto"/>
                <w:kern w:val="0"/>
                <w:sz w:val="21"/>
                <w:szCs w:val="21"/>
                <w:highlight w:val="none"/>
                <w:vertAlign w:val="superscript"/>
                <w:lang w:val="en-US" w:eastAsia="zh-CN" w:bidi="ar-SA"/>
              </w:rPr>
              <w:t>+</w:t>
            </w:r>
          </w:p>
        </w:tc>
        <w:tc>
          <w:tcPr>
            <w:tcW w:w="1111"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III</w:t>
            </w:r>
          </w:p>
        </w:tc>
        <w:tc>
          <w:tcPr>
            <w:tcW w:w="1111"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II</w:t>
            </w:r>
          </w:p>
        </w:tc>
        <w:tc>
          <w:tcPr>
            <w:tcW w:w="665"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149"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评价工作等级</w:t>
            </w:r>
          </w:p>
        </w:tc>
        <w:tc>
          <w:tcPr>
            <w:tcW w:w="965"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一</w:t>
            </w:r>
          </w:p>
        </w:tc>
        <w:tc>
          <w:tcPr>
            <w:tcW w:w="1111"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二</w:t>
            </w:r>
          </w:p>
        </w:tc>
        <w:tc>
          <w:tcPr>
            <w:tcW w:w="1111"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三</w:t>
            </w:r>
          </w:p>
        </w:tc>
        <w:tc>
          <w:tcPr>
            <w:tcW w:w="665" w:type="pct"/>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简单分析*</w:t>
            </w:r>
          </w:p>
        </w:tc>
      </w:tr>
    </w:tbl>
    <w:p>
      <w:pPr>
        <w:spacing w:line="360" w:lineRule="auto"/>
        <w:ind w:firstLine="480"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zCs w:val="21"/>
          <w:highlight w:val="none"/>
        </w:rPr>
        <w:t>注</w:t>
      </w:r>
      <w:r>
        <w:rPr>
          <w:rFonts w:hint="default"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rPr>
        <w:t>：简单分析是相对于详细评价工作内容而言，在描述危险物质、环境影响途径、环境危害后果、风险防范措施等方面给出定性的说明。</w:t>
      </w:r>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r>
        <w:rPr>
          <w:rFonts w:hint="default" w:ascii="Times New Roman" w:hAnsi="Times New Roman" w:eastAsia="宋体" w:cs="Times New Roman"/>
          <w:color w:val="auto"/>
          <w:spacing w:val="-2"/>
          <w:kern w:val="0"/>
          <w:sz w:val="24"/>
          <w:highlight w:val="none"/>
          <w:lang w:bidi="ar"/>
        </w:rPr>
        <w:t>根据环境风险评价级别划分标准判定表，本项目各要素环境风险评价等级确定情况见表3-13，最终判定本项目风险评价等级为二级。</w:t>
      </w:r>
    </w:p>
    <w:p>
      <w:pPr>
        <w:numPr>
          <w:ilvl w:val="0"/>
          <w:numId w:val="25"/>
        </w:numPr>
        <w:spacing w:line="240" w:lineRule="auto"/>
        <w:ind w:left="0" w:leftChars="0" w:firstLine="403" w:firstLine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各要素环境风险评价工作等级及评价内容</w:t>
      </w:r>
    </w:p>
    <w:tbl>
      <w:tblPr>
        <w:tblStyle w:val="3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1"/>
        <w:gridCol w:w="1637"/>
        <w:gridCol w:w="7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588" w:type="pct"/>
            <w:noWrap w:val="0"/>
            <w:vAlign w:val="center"/>
          </w:tcPr>
          <w:p>
            <w:pPr>
              <w:spacing w:line="240" w:lineRule="auto"/>
              <w:jc w:val="center"/>
              <w:rPr>
                <w:rFonts w:hint="default" w:ascii="Times New Roman" w:hAnsi="Times New Roman" w:eastAsia="宋体" w:cs="Times New Roman"/>
                <w:b/>
                <w:bCs/>
                <w:color w:val="auto"/>
                <w:spacing w:val="-2"/>
                <w:kern w:val="0"/>
                <w:sz w:val="21"/>
                <w:szCs w:val="21"/>
                <w:highlight w:val="none"/>
                <w:vertAlign w:val="baseline"/>
                <w:lang w:eastAsia="zh-CN" w:bidi="ar"/>
              </w:rPr>
            </w:pPr>
            <w:r>
              <w:rPr>
                <w:rFonts w:hint="default" w:ascii="Times New Roman" w:hAnsi="Times New Roman" w:eastAsia="宋体" w:cs="Times New Roman"/>
                <w:b/>
                <w:bCs/>
                <w:color w:val="auto"/>
                <w:spacing w:val="-2"/>
                <w:kern w:val="0"/>
                <w:sz w:val="21"/>
                <w:szCs w:val="21"/>
                <w:highlight w:val="none"/>
                <w:vertAlign w:val="baseline"/>
                <w:lang w:eastAsia="zh-CN" w:bidi="ar"/>
              </w:rPr>
              <w:t>环境要素</w:t>
            </w:r>
          </w:p>
        </w:tc>
        <w:tc>
          <w:tcPr>
            <w:tcW w:w="822" w:type="pct"/>
            <w:noWrap w:val="0"/>
            <w:vAlign w:val="center"/>
          </w:tcPr>
          <w:p>
            <w:pPr>
              <w:spacing w:line="240" w:lineRule="auto"/>
              <w:jc w:val="center"/>
              <w:rPr>
                <w:rFonts w:hint="default" w:ascii="Times New Roman" w:hAnsi="Times New Roman" w:eastAsia="宋体" w:cs="Times New Roman"/>
                <w:b/>
                <w:bCs/>
                <w:color w:val="auto"/>
                <w:spacing w:val="-2"/>
                <w:kern w:val="0"/>
                <w:sz w:val="21"/>
                <w:szCs w:val="21"/>
                <w:highlight w:val="none"/>
                <w:vertAlign w:val="baseline"/>
                <w:lang w:eastAsia="zh-CN" w:bidi="ar"/>
              </w:rPr>
            </w:pPr>
            <w:r>
              <w:rPr>
                <w:rFonts w:hint="default" w:ascii="Times New Roman" w:hAnsi="Times New Roman" w:eastAsia="宋体" w:cs="Times New Roman"/>
                <w:b/>
                <w:bCs/>
                <w:color w:val="auto"/>
                <w:spacing w:val="-2"/>
                <w:kern w:val="0"/>
                <w:sz w:val="21"/>
                <w:szCs w:val="21"/>
                <w:highlight w:val="none"/>
                <w:vertAlign w:val="baseline"/>
                <w:lang w:eastAsia="zh-CN" w:bidi="ar"/>
              </w:rPr>
              <w:t>评价工作等级</w:t>
            </w:r>
          </w:p>
        </w:tc>
        <w:tc>
          <w:tcPr>
            <w:tcW w:w="3589" w:type="pct"/>
            <w:noWrap w:val="0"/>
            <w:vAlign w:val="center"/>
          </w:tcPr>
          <w:p>
            <w:pPr>
              <w:spacing w:line="240" w:lineRule="auto"/>
              <w:jc w:val="center"/>
              <w:rPr>
                <w:rFonts w:hint="default" w:ascii="Times New Roman" w:hAnsi="Times New Roman" w:eastAsia="宋体" w:cs="Times New Roman"/>
                <w:b/>
                <w:bCs/>
                <w:color w:val="auto"/>
                <w:spacing w:val="-2"/>
                <w:kern w:val="0"/>
                <w:sz w:val="21"/>
                <w:szCs w:val="21"/>
                <w:highlight w:val="none"/>
                <w:vertAlign w:val="baseline"/>
                <w:lang w:eastAsia="zh-CN" w:bidi="ar"/>
              </w:rPr>
            </w:pPr>
            <w:r>
              <w:rPr>
                <w:rFonts w:hint="default" w:ascii="Times New Roman" w:hAnsi="Times New Roman" w:eastAsia="宋体" w:cs="Times New Roman"/>
                <w:b/>
                <w:bCs/>
                <w:color w:val="auto"/>
                <w:spacing w:val="-2"/>
                <w:kern w:val="0"/>
                <w:sz w:val="21"/>
                <w:szCs w:val="21"/>
                <w:highlight w:val="none"/>
                <w:vertAlign w:val="baseline"/>
                <w:lang w:eastAsia="zh-CN" w:bidi="ar"/>
              </w:rPr>
              <w:t>评价工作内容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588"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eastAsia="宋体" w:cs="Times New Roman"/>
                <w:color w:val="auto"/>
                <w:spacing w:val="-2"/>
                <w:kern w:val="0"/>
                <w:sz w:val="21"/>
                <w:szCs w:val="21"/>
                <w:highlight w:val="none"/>
                <w:vertAlign w:val="baseline"/>
                <w:lang w:eastAsia="zh-CN" w:bidi="ar"/>
              </w:rPr>
              <w:t>大气</w:t>
            </w:r>
          </w:p>
        </w:tc>
        <w:tc>
          <w:tcPr>
            <w:tcW w:w="822"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lang w:val="en-US" w:eastAsia="zh-CN" w:bidi="ar-SA"/>
              </w:rPr>
              <w:t>二</w:t>
            </w:r>
          </w:p>
        </w:tc>
        <w:tc>
          <w:tcPr>
            <w:tcW w:w="3589"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eastAsia="宋体" w:cs="Times New Roman"/>
                <w:color w:val="auto"/>
                <w:spacing w:val="-2"/>
                <w:kern w:val="0"/>
                <w:sz w:val="21"/>
                <w:szCs w:val="21"/>
                <w:highlight w:val="none"/>
                <w:vertAlign w:val="baseline"/>
                <w:lang w:eastAsia="zh-CN" w:bidi="ar"/>
              </w:rPr>
              <w:t>二级评价需选取最不利气象条件，选择适用的数值方法进行分析预测，给出风险事故情形下危险物质释放可能造成的大气环境影响范围与程度。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88"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eastAsia="宋体" w:cs="Times New Roman"/>
                <w:color w:val="auto"/>
                <w:spacing w:val="-2"/>
                <w:kern w:val="0"/>
                <w:sz w:val="21"/>
                <w:szCs w:val="21"/>
                <w:highlight w:val="none"/>
                <w:vertAlign w:val="baseline"/>
                <w:lang w:eastAsia="zh-CN" w:bidi="ar"/>
              </w:rPr>
              <w:t>地表水</w:t>
            </w:r>
          </w:p>
        </w:tc>
        <w:tc>
          <w:tcPr>
            <w:tcW w:w="822"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lang w:val="en-US" w:eastAsia="zh-CN" w:bidi="ar-SA"/>
              </w:rPr>
              <w:t>三</w:t>
            </w:r>
          </w:p>
        </w:tc>
        <w:tc>
          <w:tcPr>
            <w:tcW w:w="3589"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eastAsia="宋体" w:cs="Times New Roman"/>
                <w:color w:val="auto"/>
                <w:spacing w:val="-2"/>
                <w:kern w:val="0"/>
                <w:sz w:val="21"/>
                <w:szCs w:val="21"/>
                <w:highlight w:val="none"/>
                <w:vertAlign w:val="baseline"/>
                <w:lang w:eastAsia="zh-CN" w:bidi="ar"/>
              </w:rPr>
              <w:t>三级评价应定性分析说明地表水环境影响后果。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588"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eastAsia="宋体" w:cs="Times New Roman"/>
                <w:color w:val="auto"/>
                <w:spacing w:val="-2"/>
                <w:kern w:val="0"/>
                <w:sz w:val="21"/>
                <w:szCs w:val="21"/>
                <w:highlight w:val="none"/>
                <w:vertAlign w:val="baseline"/>
                <w:lang w:eastAsia="zh-CN" w:bidi="ar"/>
              </w:rPr>
              <w:t>地下水</w:t>
            </w:r>
          </w:p>
        </w:tc>
        <w:tc>
          <w:tcPr>
            <w:tcW w:w="822"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cs="Times New Roman"/>
                <w:color w:val="auto"/>
                <w:kern w:val="0"/>
                <w:sz w:val="21"/>
                <w:szCs w:val="21"/>
                <w:highlight w:val="none"/>
                <w:lang w:val="en-US" w:eastAsia="zh-CN" w:bidi="ar-SA"/>
              </w:rPr>
              <w:t>三</w:t>
            </w:r>
          </w:p>
        </w:tc>
        <w:tc>
          <w:tcPr>
            <w:tcW w:w="3589" w:type="pct"/>
            <w:noWrap w:val="0"/>
            <w:vAlign w:val="center"/>
          </w:tcPr>
          <w:p>
            <w:pPr>
              <w:spacing w:line="240" w:lineRule="auto"/>
              <w:jc w:val="center"/>
              <w:rPr>
                <w:rFonts w:hint="default" w:ascii="Times New Roman" w:hAnsi="Times New Roman" w:eastAsia="宋体" w:cs="Times New Roman"/>
                <w:color w:val="auto"/>
                <w:spacing w:val="-2"/>
                <w:kern w:val="0"/>
                <w:sz w:val="21"/>
                <w:szCs w:val="21"/>
                <w:highlight w:val="none"/>
                <w:vertAlign w:val="baseline"/>
                <w:lang w:eastAsia="zh-CN" w:bidi="ar"/>
              </w:rPr>
            </w:pPr>
            <w:r>
              <w:rPr>
                <w:rFonts w:hint="default" w:ascii="Times New Roman" w:hAnsi="Times New Roman" w:eastAsia="宋体" w:cs="Times New Roman"/>
                <w:color w:val="auto"/>
                <w:spacing w:val="-2"/>
                <w:kern w:val="0"/>
                <w:sz w:val="21"/>
                <w:szCs w:val="21"/>
                <w:highlight w:val="none"/>
                <w:vertAlign w:val="baseline"/>
                <w:lang w:eastAsia="zh-CN" w:bidi="ar"/>
              </w:rPr>
              <w:t>参考《环境影响评价技术导则-地下水环境》(HJ610-2016)三级评价要求，采用解析法或类比分析法进行地下水影响分析与评价</w:t>
            </w:r>
            <w:r>
              <w:rPr>
                <w:rFonts w:hint="default" w:ascii="Times New Roman" w:hAnsi="Times New Roman" w:cs="Times New Roman"/>
                <w:color w:val="auto"/>
                <w:kern w:val="0"/>
                <w:sz w:val="21"/>
                <w:szCs w:val="21"/>
                <w:highlight w:val="none"/>
                <w:lang w:val="en-US" w:eastAsia="zh-CN" w:bidi="ar-SA"/>
              </w:rPr>
              <w:t>。</w:t>
            </w:r>
          </w:p>
        </w:tc>
      </w:tr>
    </w:tbl>
    <w:p>
      <w:pPr>
        <w:spacing w:line="360" w:lineRule="auto"/>
        <w:ind w:firstLine="472" w:firstLineChars="200"/>
        <w:jc w:val="both"/>
        <w:rPr>
          <w:rFonts w:hint="default" w:ascii="Times New Roman" w:hAnsi="Times New Roman" w:eastAsia="宋体" w:cs="Times New Roman"/>
          <w:color w:val="auto"/>
          <w:spacing w:val="-2"/>
          <w:kern w:val="0"/>
          <w:sz w:val="24"/>
          <w:highlight w:val="none"/>
          <w:lang w:bidi="ar"/>
        </w:rPr>
      </w:pPr>
    </w:p>
    <w:p>
      <w:pPr>
        <w:spacing w:line="360" w:lineRule="auto"/>
        <w:ind w:firstLine="472" w:firstLineChars="200"/>
        <w:jc w:val="both"/>
        <w:rPr>
          <w:rFonts w:hint="default" w:ascii="Times New Roman" w:hAnsi="Times New Roman" w:cs="Times New Roman"/>
          <w:color w:val="auto"/>
          <w:spacing w:val="-2"/>
          <w:kern w:val="0"/>
          <w:sz w:val="24"/>
          <w:highlight w:val="none"/>
          <w:lang w:bidi="ar"/>
        </w:rPr>
        <w:sectPr>
          <w:pgSz w:w="11906" w:h="16838"/>
          <w:pgMar w:top="1440" w:right="1080" w:bottom="1440" w:left="1080" w:header="737" w:footer="850" w:gutter="0"/>
          <w:pgNumType w:fmt="decimal"/>
          <w:cols w:space="720" w:num="1"/>
          <w:docGrid w:linePitch="327" w:charSpace="0"/>
        </w:sectPr>
      </w:pPr>
    </w:p>
    <w:p>
      <w:pPr>
        <w:pStyle w:val="116"/>
        <w:bidi w:val="0"/>
        <w:ind w:left="0" w:firstLine="0"/>
        <w:outlineLvl w:val="1"/>
        <w:rPr>
          <w:rFonts w:hint="default" w:ascii="Times New Roman" w:hAnsi="Times New Roman" w:eastAsia="宋体" w:cs="Times New Roman"/>
          <w:color w:val="auto"/>
          <w:lang w:val="en-US" w:eastAsia="zh-CN"/>
        </w:rPr>
      </w:pPr>
      <w:bookmarkStart w:id="74" w:name="_Toc21034"/>
      <w:bookmarkStart w:id="75" w:name="_Toc16338"/>
      <w:bookmarkStart w:id="76" w:name="_Toc21004"/>
      <w:bookmarkStart w:id="77" w:name="_Toc26134"/>
      <w:bookmarkStart w:id="78" w:name="_Toc6215"/>
      <w:r>
        <w:rPr>
          <w:rFonts w:hint="default" w:ascii="Times New Roman" w:hAnsi="Times New Roman" w:eastAsia="宋体" w:cs="Times New Roman"/>
          <w:color w:val="auto"/>
          <w:lang w:val="en-US" w:eastAsia="zh-CN"/>
        </w:rPr>
        <w:t>风险识别</w:t>
      </w:r>
      <w:bookmarkEnd w:id="74"/>
      <w:bookmarkEnd w:id="75"/>
      <w:bookmarkEnd w:id="76"/>
      <w:bookmarkEnd w:id="77"/>
      <w:bookmarkEnd w:id="78"/>
    </w:p>
    <w:p>
      <w:pPr>
        <w:spacing w:line="360" w:lineRule="auto"/>
        <w:ind w:firstLine="472" w:firstLineChars="200"/>
        <w:jc w:val="both"/>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color w:val="auto"/>
          <w:spacing w:val="-2"/>
          <w:kern w:val="0"/>
          <w:sz w:val="24"/>
          <w:highlight w:val="none"/>
          <w:lang w:bidi="ar"/>
        </w:rPr>
        <w:t>根据导则要求，环境风险评价的风险识别范围主要包括物质危险性识别、生产系统危险性识别以及危险物质向环境转移的途径识别。本项目结合项目组成、工艺过程、物料使用情况，识别和筛选本项目生产、储运、装置设施等环节的风险因素</w:t>
      </w:r>
      <w:r>
        <w:rPr>
          <w:rFonts w:hint="default" w:ascii="Times New Roman" w:hAnsi="Times New Roman" w:eastAsia="宋体" w:cs="Times New Roman"/>
          <w:color w:val="auto"/>
          <w:spacing w:val="-2"/>
          <w:kern w:val="0"/>
          <w:sz w:val="24"/>
          <w:highlight w:val="none"/>
          <w:lang w:eastAsia="zh-CN" w:bidi="ar"/>
        </w:rPr>
        <w:t>，</w:t>
      </w:r>
      <w:r>
        <w:rPr>
          <w:rFonts w:hint="default" w:ascii="Times New Roman" w:hAnsi="Times New Roman" w:eastAsia="宋体" w:cs="Times New Roman"/>
          <w:color w:val="auto"/>
          <w:sz w:val="24"/>
          <w:highlight w:val="none"/>
        </w:rPr>
        <w:t>确定本项目的主要风险源有（1）</w:t>
      </w:r>
      <w:r>
        <w:rPr>
          <w:rFonts w:hint="default" w:ascii="Times New Roman" w:hAnsi="Times New Roman" w:cs="Times New Roman"/>
          <w:color w:val="auto"/>
          <w:sz w:val="24"/>
          <w:highlight w:val="none"/>
          <w:lang w:val="en-US" w:eastAsia="zh-CN"/>
        </w:rPr>
        <w:t>化学品</w:t>
      </w:r>
      <w:r>
        <w:rPr>
          <w:rFonts w:hint="default" w:ascii="Times New Roman" w:hAnsi="Times New Roman" w:eastAsia="宋体" w:cs="Times New Roman"/>
          <w:color w:val="auto"/>
          <w:sz w:val="24"/>
          <w:highlight w:val="none"/>
        </w:rPr>
        <w:t>仓库</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2）生产</w:t>
      </w:r>
      <w:r>
        <w:rPr>
          <w:rFonts w:hint="default" w:ascii="Times New Roman" w:hAnsi="Times New Roman" w:cs="Times New Roman"/>
          <w:color w:val="auto"/>
          <w:sz w:val="24"/>
          <w:highlight w:val="none"/>
          <w:lang w:val="en-US" w:eastAsia="zh-CN"/>
        </w:rPr>
        <w:t>车间（含预搅拌</w:t>
      </w:r>
      <w:r>
        <w:rPr>
          <w:rFonts w:hint="default" w:ascii="Times New Roman" w:hAnsi="Times New Roman" w:eastAsia="宋体" w:cs="Times New Roman"/>
          <w:color w:val="auto"/>
          <w:sz w:val="24"/>
          <w:highlight w:val="none"/>
          <w:lang w:val="en-US" w:eastAsia="zh-CN"/>
        </w:rPr>
        <w:t>罐区</w:t>
      </w:r>
      <w:r>
        <w:rPr>
          <w:rFonts w:hint="default"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3</w:t>
      </w:r>
      <w:r>
        <w:rPr>
          <w:rFonts w:hint="default" w:ascii="Times New Roman" w:hAnsi="Times New Roman" w:eastAsia="宋体" w:cs="Times New Roman"/>
          <w:color w:val="auto"/>
          <w:sz w:val="24"/>
          <w:highlight w:val="none"/>
          <w:lang w:val="en-US" w:eastAsia="zh-CN"/>
        </w:rPr>
        <w:t>）危废暂存间</w:t>
      </w:r>
      <w:r>
        <w:rPr>
          <w:rFonts w:hint="default"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4</w:t>
      </w:r>
      <w:r>
        <w:rPr>
          <w:rFonts w:hint="default" w:ascii="Times New Roman" w:hAnsi="Times New Roman" w:eastAsia="宋体" w:cs="Times New Roman"/>
          <w:color w:val="auto"/>
          <w:sz w:val="24"/>
          <w:highlight w:val="none"/>
          <w:lang w:val="en-US" w:eastAsia="zh-CN"/>
        </w:rPr>
        <w:t>）废气处理</w:t>
      </w:r>
      <w:r>
        <w:rPr>
          <w:rFonts w:hint="default" w:ascii="Times New Roman" w:hAnsi="Times New Roman" w:cs="Times New Roman"/>
          <w:color w:val="auto"/>
          <w:sz w:val="24"/>
          <w:highlight w:val="none"/>
          <w:lang w:val="en-US" w:eastAsia="zh-CN"/>
        </w:rPr>
        <w:t>设施</w:t>
      </w:r>
      <w:r>
        <w:rPr>
          <w:rFonts w:hint="default" w:ascii="Times New Roman" w:hAnsi="Times New Roman" w:eastAsia="宋体" w:cs="Times New Roman"/>
          <w:color w:val="auto"/>
          <w:sz w:val="24"/>
          <w:highlight w:val="none"/>
          <w:lang w:val="en-US" w:eastAsia="zh-CN"/>
        </w:rPr>
        <w:t>。</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79" w:name="_Toc12554"/>
      <w:bookmarkStart w:id="80" w:name="_Toc23788"/>
      <w:bookmarkStart w:id="81" w:name="_Toc21243"/>
      <w:bookmarkStart w:id="82" w:name="_Toc28547"/>
      <w:bookmarkStart w:id="83" w:name="_Toc28046"/>
      <w:r>
        <w:rPr>
          <w:rFonts w:hint="default" w:ascii="Times New Roman" w:hAnsi="Times New Roman" w:eastAsia="宋体" w:cs="Times New Roman"/>
          <w:color w:val="auto"/>
          <w:lang w:val="en-US" w:eastAsia="zh-CN"/>
        </w:rPr>
        <w:t>物质危险性识别</w:t>
      </w:r>
      <w:bookmarkEnd w:id="79"/>
      <w:bookmarkEnd w:id="80"/>
      <w:bookmarkEnd w:id="81"/>
      <w:bookmarkEnd w:id="82"/>
      <w:bookmarkEnd w:id="83"/>
    </w:p>
    <w:p>
      <w:pPr>
        <w:spacing w:line="360" w:lineRule="auto"/>
        <w:ind w:firstLine="472" w:firstLineChars="200"/>
        <w:jc w:val="both"/>
        <w:rPr>
          <w:rFonts w:hint="default" w:ascii="Times New Roman" w:hAnsi="Times New Roman" w:eastAsia="宋体" w:cs="Times New Roman"/>
          <w:color w:val="auto"/>
          <w:spacing w:val="-2"/>
          <w:kern w:val="0"/>
          <w:sz w:val="24"/>
          <w:highlight w:val="none"/>
          <w:lang w:eastAsia="zh-CN" w:bidi="ar"/>
        </w:rPr>
      </w:pPr>
      <w:r>
        <w:rPr>
          <w:rFonts w:hint="default" w:ascii="Times New Roman" w:hAnsi="Times New Roman" w:eastAsia="宋体" w:cs="Times New Roman"/>
          <w:color w:val="auto"/>
          <w:spacing w:val="-2"/>
          <w:kern w:val="0"/>
          <w:sz w:val="24"/>
          <w:highlight w:val="none"/>
          <w:lang w:eastAsia="zh-CN" w:bidi="ar"/>
        </w:rPr>
        <w:t>对照《建设项目环境风险评价技术导则》（</w:t>
      </w:r>
      <w:r>
        <w:rPr>
          <w:rFonts w:hint="default" w:ascii="Times New Roman" w:hAnsi="Times New Roman" w:eastAsia="宋体" w:cs="Times New Roman"/>
          <w:color w:val="auto"/>
          <w:spacing w:val="-2"/>
          <w:kern w:val="0"/>
          <w:sz w:val="24"/>
          <w:highlight w:val="none"/>
          <w:lang w:val="en-US" w:eastAsia="zh-CN" w:bidi="ar"/>
        </w:rPr>
        <w:t>HJ169-2018</w:t>
      </w:r>
      <w:r>
        <w:rPr>
          <w:rFonts w:hint="default" w:ascii="Times New Roman" w:hAnsi="Times New Roman" w:eastAsia="宋体" w:cs="Times New Roman"/>
          <w:color w:val="auto"/>
          <w:spacing w:val="-2"/>
          <w:kern w:val="0"/>
          <w:sz w:val="24"/>
          <w:highlight w:val="none"/>
          <w:lang w:eastAsia="zh-CN" w:bidi="ar"/>
        </w:rPr>
        <w:t>）、《危险化学品重大危险源辨识》（</w:t>
      </w:r>
      <w:r>
        <w:rPr>
          <w:rFonts w:hint="default" w:ascii="Times New Roman" w:hAnsi="Times New Roman" w:eastAsia="宋体" w:cs="Times New Roman"/>
          <w:color w:val="auto"/>
          <w:spacing w:val="-2"/>
          <w:kern w:val="0"/>
          <w:sz w:val="24"/>
          <w:highlight w:val="none"/>
          <w:lang w:val="en-US" w:eastAsia="zh-CN" w:bidi="ar"/>
        </w:rPr>
        <w:t>GB18218-2018</w:t>
      </w:r>
      <w:r>
        <w:rPr>
          <w:rFonts w:hint="default" w:ascii="Times New Roman" w:hAnsi="Times New Roman" w:eastAsia="宋体" w:cs="Times New Roman"/>
          <w:color w:val="auto"/>
          <w:spacing w:val="-2"/>
          <w:kern w:val="0"/>
          <w:sz w:val="24"/>
          <w:highlight w:val="none"/>
          <w:lang w:eastAsia="zh-CN" w:bidi="ar"/>
        </w:rPr>
        <w:t>）和《重点环境管理危险化学品名录》（环办</w:t>
      </w:r>
      <w:r>
        <w:rPr>
          <w:rFonts w:hint="default" w:ascii="Times New Roman" w:hAnsi="Times New Roman" w:eastAsia="宋体" w:cs="Times New Roman"/>
          <w:color w:val="auto"/>
          <w:spacing w:val="-2"/>
          <w:kern w:val="0"/>
          <w:sz w:val="24"/>
          <w:highlight w:val="none"/>
          <w:lang w:val="en-US" w:eastAsia="zh-CN" w:bidi="ar"/>
        </w:rPr>
        <w:t>[2014]33号</w:t>
      </w:r>
      <w:r>
        <w:rPr>
          <w:rFonts w:hint="default" w:ascii="Times New Roman" w:hAnsi="Times New Roman" w:eastAsia="宋体" w:cs="Times New Roman"/>
          <w:color w:val="auto"/>
          <w:spacing w:val="-2"/>
          <w:kern w:val="0"/>
          <w:sz w:val="24"/>
          <w:highlight w:val="none"/>
          <w:lang w:eastAsia="zh-CN" w:bidi="ar"/>
        </w:rPr>
        <w:t>），本项目涉及主要物料的危险性及毒性见下表。</w:t>
      </w:r>
    </w:p>
    <w:p>
      <w:pPr>
        <w:pStyle w:val="31"/>
        <w:keepNext w:val="0"/>
        <w:keepLines w:val="0"/>
        <w:pageBreakBefore w:val="0"/>
        <w:widowControl w:val="0"/>
        <w:numPr>
          <w:ilvl w:val="0"/>
          <w:numId w:val="26"/>
        </w:numPr>
        <w:kinsoku/>
        <w:wordWrap/>
        <w:overflowPunct/>
        <w:topLinePunct w:val="0"/>
        <w:autoSpaceDE/>
        <w:autoSpaceDN/>
        <w:bidi w:val="0"/>
        <w:adjustRightInd/>
        <w:snapToGrid/>
        <w:spacing w:after="0" w:line="240" w:lineRule="auto"/>
        <w:ind w:left="0" w:leftChars="0" w:firstLine="403" w:firstLineChars="0"/>
        <w:jc w:val="center"/>
        <w:textAlignment w:val="auto"/>
        <w:rPr>
          <w:rFonts w:hint="default" w:ascii="Times New Roman" w:hAnsi="Times New Roman" w:cs="Times New Roman"/>
          <w:b/>
          <w:color w:val="auto"/>
          <w:highlight w:val="none"/>
          <w:lang w:eastAsia="zh-CN"/>
        </w:rPr>
      </w:pPr>
      <w:r>
        <w:rPr>
          <w:rFonts w:hint="default" w:ascii="Times New Roman" w:hAnsi="Times New Roman" w:eastAsia="宋体" w:cs="Times New Roman"/>
          <w:b/>
          <w:bCs/>
          <w:color w:val="auto"/>
          <w:kern w:val="0"/>
          <w:sz w:val="21"/>
          <w:szCs w:val="21"/>
          <w:highlight w:val="none"/>
          <w:lang w:val="en-US" w:eastAsia="zh-CN" w:bidi="ar"/>
        </w:rPr>
        <w:t>本项目涉及主要危险物质危险特性识别表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1"/>
        <w:gridCol w:w="1515"/>
        <w:gridCol w:w="949"/>
        <w:gridCol w:w="973"/>
        <w:gridCol w:w="966"/>
        <w:gridCol w:w="1085"/>
        <w:gridCol w:w="955"/>
        <w:gridCol w:w="1132"/>
        <w:gridCol w:w="1191"/>
        <w:gridCol w:w="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760"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物质</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名称</w:t>
            </w:r>
          </w:p>
        </w:tc>
        <w:tc>
          <w:tcPr>
            <w:tcW w:w="476"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相态</w:t>
            </w:r>
          </w:p>
        </w:tc>
        <w:tc>
          <w:tcPr>
            <w:tcW w:w="1996" w:type="pct"/>
            <w:gridSpan w:val="4"/>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易燃易爆性</w:t>
            </w:r>
          </w:p>
        </w:tc>
        <w:tc>
          <w:tcPr>
            <w:tcW w:w="1165" w:type="pct"/>
            <w:gridSpan w:val="2"/>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毒性</w:t>
            </w:r>
          </w:p>
        </w:tc>
        <w:tc>
          <w:tcPr>
            <w:tcW w:w="364" w:type="pct"/>
            <w:vMerge w:val="restar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危险</w:t>
            </w:r>
          </w:p>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b/>
                <w:bCs/>
                <w:color w:val="auto"/>
                <w:kern w:val="0"/>
                <w:sz w:val="21"/>
                <w:szCs w:val="21"/>
                <w:highlight w:val="none"/>
              </w:rPr>
              <w:t>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36"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p>
        </w:tc>
        <w:tc>
          <w:tcPr>
            <w:tcW w:w="760"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p>
        </w:tc>
        <w:tc>
          <w:tcPr>
            <w:tcW w:w="476"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p>
        </w:tc>
        <w:tc>
          <w:tcPr>
            <w:tcW w:w="488"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闪点（℃）</w:t>
            </w:r>
          </w:p>
        </w:tc>
        <w:tc>
          <w:tcPr>
            <w:tcW w:w="484"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沸点（℃）</w:t>
            </w:r>
          </w:p>
        </w:tc>
        <w:tc>
          <w:tcPr>
            <w:tcW w:w="544"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爆炸极限%（V/V）</w:t>
            </w:r>
          </w:p>
        </w:tc>
        <w:tc>
          <w:tcPr>
            <w:tcW w:w="479"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爆炸危险度H</w:t>
            </w:r>
          </w:p>
        </w:tc>
        <w:tc>
          <w:tcPr>
            <w:tcW w:w="568"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LD</w:t>
            </w:r>
            <w:r>
              <w:rPr>
                <w:rFonts w:hint="default" w:ascii="Times New Roman" w:hAnsi="Times New Roman" w:eastAsia="宋体" w:cs="Times New Roman"/>
                <w:b/>
                <w:bCs/>
                <w:color w:val="auto"/>
                <w:kern w:val="0"/>
                <w:sz w:val="21"/>
                <w:szCs w:val="21"/>
                <w:highlight w:val="none"/>
                <w:vertAlign w:val="subscript"/>
              </w:rPr>
              <w:t>50</w:t>
            </w:r>
            <w:r>
              <w:rPr>
                <w:rFonts w:hint="default" w:ascii="Times New Roman" w:hAnsi="Times New Roman" w:eastAsia="宋体" w:cs="Times New Roman"/>
                <w:b/>
                <w:bCs/>
                <w:color w:val="auto"/>
                <w:kern w:val="0"/>
                <w:sz w:val="21"/>
                <w:szCs w:val="21"/>
                <w:highlight w:val="none"/>
              </w:rPr>
              <w:t>（mg/kg）</w:t>
            </w:r>
          </w:p>
        </w:tc>
        <w:tc>
          <w:tcPr>
            <w:tcW w:w="597"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LC</w:t>
            </w:r>
            <w:r>
              <w:rPr>
                <w:rFonts w:hint="default" w:ascii="Times New Roman" w:hAnsi="Times New Roman" w:eastAsia="宋体" w:cs="Times New Roman"/>
                <w:b/>
                <w:bCs/>
                <w:color w:val="auto"/>
                <w:kern w:val="0"/>
                <w:sz w:val="21"/>
                <w:szCs w:val="21"/>
                <w:highlight w:val="none"/>
                <w:vertAlign w:val="subscript"/>
              </w:rPr>
              <w:t>50</w:t>
            </w:r>
            <w:r>
              <w:rPr>
                <w:rFonts w:hint="default" w:ascii="Times New Roman" w:hAnsi="Times New Roman" w:eastAsia="宋体" w:cs="Times New Roman"/>
                <w:b/>
                <w:bCs/>
                <w:color w:val="auto"/>
                <w:kern w:val="0"/>
                <w:sz w:val="21"/>
                <w:szCs w:val="21"/>
                <w:highlight w:val="none"/>
              </w:rPr>
              <w:t>（mg/m</w:t>
            </w:r>
            <w:r>
              <w:rPr>
                <w:rFonts w:hint="default" w:ascii="Times New Roman" w:hAnsi="Times New Roman" w:eastAsia="宋体" w:cs="Times New Roman"/>
                <w:b/>
                <w:bCs/>
                <w:color w:val="auto"/>
                <w:kern w:val="0"/>
                <w:sz w:val="21"/>
                <w:szCs w:val="21"/>
                <w:highlight w:val="none"/>
                <w:vertAlign w:val="superscript"/>
              </w:rPr>
              <w:t>3</w:t>
            </w:r>
            <w:r>
              <w:rPr>
                <w:rFonts w:hint="default" w:ascii="Times New Roman" w:hAnsi="Times New Roman" w:eastAsia="宋体" w:cs="Times New Roman"/>
                <w:b/>
                <w:bCs/>
                <w:color w:val="auto"/>
                <w:kern w:val="0"/>
                <w:sz w:val="21"/>
                <w:szCs w:val="21"/>
                <w:highlight w:val="none"/>
              </w:rPr>
              <w:t>）</w:t>
            </w:r>
          </w:p>
        </w:tc>
        <w:tc>
          <w:tcPr>
            <w:tcW w:w="364" w:type="pct"/>
            <w:vMerge w:val="continue"/>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w:t>
            </w:r>
          </w:p>
        </w:tc>
        <w:tc>
          <w:tcPr>
            <w:tcW w:w="76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硅油</w:t>
            </w:r>
          </w:p>
        </w:tc>
        <w:tc>
          <w:tcPr>
            <w:tcW w:w="476"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488"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 xml:space="preserve"> 230℃</w:t>
            </w:r>
          </w:p>
        </w:tc>
        <w:tc>
          <w:tcPr>
            <w:tcW w:w="484"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 xml:space="preserve">&gt;300℃ </w:t>
            </w:r>
          </w:p>
        </w:tc>
        <w:tc>
          <w:tcPr>
            <w:tcW w:w="544"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w:t>
            </w:r>
          </w:p>
        </w:tc>
        <w:tc>
          <w:tcPr>
            <w:tcW w:w="479"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w:t>
            </w:r>
          </w:p>
        </w:tc>
        <w:tc>
          <w:tcPr>
            <w:tcW w:w="568"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9400mg/kg</w:t>
            </w:r>
          </w:p>
        </w:tc>
        <w:tc>
          <w:tcPr>
            <w:tcW w:w="597"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490</w:t>
            </w:r>
            <w:r>
              <w:rPr>
                <w:rFonts w:hint="default" w:ascii="Times New Roman" w:hAnsi="Times New Roman" w:eastAsia="宋体" w:cs="Times New Roman"/>
                <w:b w:val="0"/>
                <w:bCs w:val="0"/>
                <w:color w:val="auto"/>
                <w:kern w:val="0"/>
                <w:sz w:val="21"/>
                <w:szCs w:val="21"/>
                <w:highlight w:val="none"/>
              </w:rPr>
              <w:t>mg/m</w:t>
            </w:r>
            <w:r>
              <w:rPr>
                <w:rFonts w:hint="default" w:ascii="Times New Roman" w:hAnsi="Times New Roman" w:eastAsia="宋体" w:cs="Times New Roman"/>
                <w:b w:val="0"/>
                <w:bCs w:val="0"/>
                <w:color w:val="auto"/>
                <w:kern w:val="0"/>
                <w:sz w:val="21"/>
                <w:szCs w:val="21"/>
                <w:highlight w:val="none"/>
                <w:vertAlign w:val="superscript"/>
              </w:rPr>
              <w:t>3</w:t>
            </w:r>
          </w:p>
        </w:tc>
        <w:tc>
          <w:tcPr>
            <w:tcW w:w="364"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有毒有害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2</w:t>
            </w:r>
          </w:p>
        </w:tc>
        <w:tc>
          <w:tcPr>
            <w:tcW w:w="76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476"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488"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1</w:t>
            </w:r>
            <w:r>
              <w:rPr>
                <w:rFonts w:hint="default" w:ascii="Times New Roman" w:hAnsi="Times New Roman" w:cs="Times New Roman"/>
                <w:color w:val="auto"/>
                <w:kern w:val="0"/>
                <w:sz w:val="21"/>
                <w:szCs w:val="21"/>
                <w:highlight w:val="none"/>
                <w:lang w:val="en-US" w:eastAsia="zh-CN"/>
              </w:rPr>
              <w:t>7</w:t>
            </w:r>
            <w:r>
              <w:rPr>
                <w:rFonts w:hint="default" w:ascii="Times New Roman" w:hAnsi="Times New Roman" w:eastAsia="宋体" w:cs="Times New Roman"/>
                <w:color w:val="auto"/>
                <w:kern w:val="0"/>
                <w:sz w:val="21"/>
                <w:szCs w:val="21"/>
                <w:highlight w:val="none"/>
              </w:rPr>
              <w:t>4°C</w:t>
            </w:r>
          </w:p>
        </w:tc>
        <w:tc>
          <w:tcPr>
            <w:tcW w:w="484"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w:t>
            </w:r>
          </w:p>
        </w:tc>
        <w:tc>
          <w:tcPr>
            <w:tcW w:w="544"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79"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568"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10000mg/kg</w:t>
            </w:r>
          </w:p>
        </w:tc>
        <w:tc>
          <w:tcPr>
            <w:tcW w:w="597"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100 mg/L</w:t>
            </w:r>
          </w:p>
        </w:tc>
        <w:tc>
          <w:tcPr>
            <w:tcW w:w="364"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可燃品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36"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cs="Times New Roman"/>
                <w:color w:val="auto"/>
                <w:kern w:val="0"/>
                <w:sz w:val="21"/>
                <w:szCs w:val="21"/>
                <w:highlight w:val="none"/>
                <w:lang w:val="en-US" w:eastAsia="zh-CN"/>
              </w:rPr>
              <w:t>3</w:t>
            </w:r>
          </w:p>
        </w:tc>
        <w:tc>
          <w:tcPr>
            <w:tcW w:w="760"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476"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488"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w:t>
            </w:r>
          </w:p>
        </w:tc>
        <w:tc>
          <w:tcPr>
            <w:tcW w:w="484" w:type="pct"/>
            <w:noWrap/>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rPr>
              <w:t>210</w:t>
            </w:r>
            <w:r>
              <w:rPr>
                <w:rFonts w:hint="default" w:ascii="Times New Roman" w:hAnsi="Times New Roman" w:eastAsia="宋体" w:cs="Times New Roman"/>
                <w:color w:val="auto"/>
                <w:kern w:val="0"/>
                <w:sz w:val="21"/>
                <w:szCs w:val="21"/>
                <w:highlight w:val="none"/>
              </w:rPr>
              <w:t xml:space="preserve">℃ </w:t>
            </w:r>
          </w:p>
        </w:tc>
        <w:tc>
          <w:tcPr>
            <w:tcW w:w="544"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479"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568"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597"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364" w:type="pct"/>
            <w:noWrap/>
            <w:vAlign w:val="center"/>
          </w:tcPr>
          <w:p>
            <w:pPr>
              <w:keepNext w:val="0"/>
              <w:keepLines w:val="0"/>
              <w:pageBreakBefore w:val="0"/>
              <w:widowControl w:val="0"/>
              <w:kinsoku/>
              <w:wordWrap/>
              <w:overflowPunct/>
              <w:topLinePunct w:val="0"/>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有毒有害</w:t>
            </w:r>
          </w:p>
        </w:tc>
      </w:tr>
    </w:tbl>
    <w:p>
      <w:pPr>
        <w:pStyle w:val="31"/>
        <w:keepNext w:val="0"/>
        <w:keepLines w:val="0"/>
        <w:pageBreakBefore w:val="0"/>
        <w:widowControl w:val="0"/>
        <w:numPr>
          <w:ilvl w:val="0"/>
          <w:numId w:val="26"/>
        </w:numPr>
        <w:kinsoku/>
        <w:wordWrap/>
        <w:overflowPunct/>
        <w:topLinePunct w:val="0"/>
        <w:autoSpaceDE/>
        <w:autoSpaceDN/>
        <w:bidi w:val="0"/>
        <w:adjustRightInd/>
        <w:snapToGrid/>
        <w:spacing w:after="0" w:line="240" w:lineRule="auto"/>
        <w:ind w:left="0" w:leftChars="0" w:firstLine="403" w:firstLineChars="0"/>
        <w:jc w:val="center"/>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危险废物危险性识别表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50"/>
        <w:gridCol w:w="2691"/>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0" w:type="dxa"/>
            <w:noWrap w:val="0"/>
            <w:vAlign w:val="top"/>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类别</w:t>
            </w:r>
          </w:p>
        </w:tc>
        <w:tc>
          <w:tcPr>
            <w:tcW w:w="2691" w:type="dxa"/>
            <w:noWrap w:val="0"/>
            <w:vAlign w:val="top"/>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名称</w:t>
            </w:r>
          </w:p>
        </w:tc>
        <w:tc>
          <w:tcPr>
            <w:tcW w:w="3321" w:type="dxa"/>
            <w:noWrap w:val="0"/>
            <w:vAlign w:val="top"/>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危险特性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950" w:type="dxa"/>
            <w:noWrap w:val="0"/>
            <w:vAlign w:val="center"/>
          </w:tcPr>
          <w:p>
            <w:pPr>
              <w:keepNext w:val="0"/>
              <w:keepLines w:val="0"/>
              <w:pageBreakBefore w:val="0"/>
              <w:kinsoku/>
              <w:wordWrap/>
              <w:overflowPunct/>
              <w:topLinePunct w:val="0"/>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HW49</w:t>
            </w:r>
            <w:r>
              <w:rPr>
                <w:rFonts w:hint="default" w:ascii="Times New Roman" w:hAnsi="Times New Roman" w:eastAsia="宋体" w:cs="Times New Roman"/>
                <w:color w:val="auto"/>
                <w:sz w:val="21"/>
                <w:szCs w:val="21"/>
                <w:highlight w:val="none"/>
              </w:rPr>
              <w:t>其他废物</w:t>
            </w:r>
          </w:p>
        </w:tc>
        <w:tc>
          <w:tcPr>
            <w:tcW w:w="269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废抹布及手套</w:t>
            </w:r>
          </w:p>
        </w:tc>
        <w:tc>
          <w:tcPr>
            <w:tcW w:w="332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50" w:type="dxa"/>
            <w:noWrap w:val="0"/>
            <w:vAlign w:val="center"/>
          </w:tcPr>
          <w:p>
            <w:pPr>
              <w:keepNext w:val="0"/>
              <w:keepLines w:val="0"/>
              <w:pageBreakBefore w:val="0"/>
              <w:kinsoku/>
              <w:wordWrap/>
              <w:overflowPunct/>
              <w:topLinePunct w:val="0"/>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HW49</w:t>
            </w:r>
            <w:r>
              <w:rPr>
                <w:rFonts w:hint="default" w:ascii="Times New Roman" w:hAnsi="Times New Roman" w:eastAsia="宋体" w:cs="Times New Roman"/>
                <w:color w:val="auto"/>
                <w:sz w:val="21"/>
                <w:szCs w:val="21"/>
                <w:highlight w:val="none"/>
              </w:rPr>
              <w:t>其他废物</w:t>
            </w:r>
          </w:p>
        </w:tc>
        <w:tc>
          <w:tcPr>
            <w:tcW w:w="269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废空桶</w:t>
            </w:r>
          </w:p>
        </w:tc>
        <w:tc>
          <w:tcPr>
            <w:tcW w:w="332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0" w:type="dxa"/>
            <w:noWrap w:val="0"/>
            <w:vAlign w:val="center"/>
          </w:tcPr>
          <w:p>
            <w:pPr>
              <w:keepNext w:val="0"/>
              <w:keepLines w:val="0"/>
              <w:pageBreakBefore w:val="0"/>
              <w:kinsoku/>
              <w:wordWrap/>
              <w:overflowPunct/>
              <w:topLinePunct w:val="0"/>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HW49</w:t>
            </w:r>
            <w:r>
              <w:rPr>
                <w:rFonts w:hint="default" w:ascii="Times New Roman" w:hAnsi="Times New Roman" w:eastAsia="宋体" w:cs="Times New Roman"/>
                <w:color w:val="auto"/>
                <w:sz w:val="21"/>
                <w:szCs w:val="21"/>
                <w:highlight w:val="none"/>
              </w:rPr>
              <w:t>其他废物</w:t>
            </w:r>
          </w:p>
        </w:tc>
        <w:tc>
          <w:tcPr>
            <w:tcW w:w="269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p>
        </w:tc>
        <w:tc>
          <w:tcPr>
            <w:tcW w:w="332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0" w:type="dxa"/>
            <w:noWrap w:val="0"/>
            <w:vAlign w:val="center"/>
          </w:tcPr>
          <w:p>
            <w:pPr>
              <w:keepNext w:val="0"/>
              <w:keepLines w:val="0"/>
              <w:pageBreakBefore w:val="0"/>
              <w:kinsoku/>
              <w:wordWrap/>
              <w:overflowPunct/>
              <w:topLinePunct w:val="0"/>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HW49</w:t>
            </w:r>
            <w:r>
              <w:rPr>
                <w:rFonts w:hint="default" w:ascii="Times New Roman" w:hAnsi="Times New Roman" w:eastAsia="宋体" w:cs="Times New Roman"/>
                <w:color w:val="auto"/>
                <w:sz w:val="21"/>
                <w:szCs w:val="21"/>
                <w:highlight w:val="none"/>
              </w:rPr>
              <w:t>其他废物</w:t>
            </w:r>
          </w:p>
        </w:tc>
        <w:tc>
          <w:tcPr>
            <w:tcW w:w="269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废胶水</w:t>
            </w:r>
          </w:p>
        </w:tc>
        <w:tc>
          <w:tcPr>
            <w:tcW w:w="332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0" w:type="dxa"/>
            <w:noWrap w:val="0"/>
            <w:vAlign w:val="center"/>
          </w:tcPr>
          <w:p>
            <w:pPr>
              <w:keepNext w:val="0"/>
              <w:keepLines w:val="0"/>
              <w:pageBreakBefore w:val="0"/>
              <w:kinsoku/>
              <w:wordWrap/>
              <w:overflowPunct/>
              <w:topLinePunct w:val="0"/>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HW09</w:t>
            </w:r>
            <w:r>
              <w:rPr>
                <w:rFonts w:hint="default" w:ascii="Times New Roman" w:hAnsi="Times New Roman" w:eastAsia="宋体" w:cs="Times New Roman"/>
                <w:color w:val="auto"/>
                <w:sz w:val="21"/>
                <w:szCs w:val="21"/>
                <w:highlight w:val="none"/>
              </w:rPr>
              <w:t>油/水、烃/水混合物或乳化液</w:t>
            </w:r>
          </w:p>
        </w:tc>
        <w:tc>
          <w:tcPr>
            <w:tcW w:w="269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喷淋塔废水</w:t>
            </w:r>
          </w:p>
        </w:tc>
        <w:tc>
          <w:tcPr>
            <w:tcW w:w="3321"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T</w:t>
            </w:r>
          </w:p>
        </w:tc>
      </w:tr>
    </w:tbl>
    <w:p>
      <w:pPr>
        <w:keepNext w:val="0"/>
        <w:keepLines w:val="0"/>
        <w:widowControl w:val="0"/>
        <w:suppressLineNumbers w:val="0"/>
        <w:autoSpaceDE w:val="0"/>
        <w:autoSpaceDN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注：危险特性，是指对生态环境和人体健康具有有害影响的毒性（Toxicity，T）、腐蚀性（Corrosivity，C）、易燃性（Ignitability，I）、反应性（Reactivity，R）和感染性（Infectivity，In）。</w:t>
      </w:r>
    </w:p>
    <w:p>
      <w:pPr>
        <w:pStyle w:val="31"/>
        <w:keepNext w:val="0"/>
        <w:keepLines w:val="0"/>
        <w:pageBreakBefore w:val="0"/>
        <w:widowControl w:val="0"/>
        <w:numPr>
          <w:ilvl w:val="0"/>
          <w:numId w:val="26"/>
        </w:numPr>
        <w:kinsoku/>
        <w:wordWrap/>
        <w:overflowPunct/>
        <w:topLinePunct w:val="0"/>
        <w:autoSpaceDE/>
        <w:autoSpaceDN/>
        <w:bidi w:val="0"/>
        <w:adjustRightInd/>
        <w:snapToGrid/>
        <w:spacing w:after="0" w:line="240" w:lineRule="auto"/>
        <w:ind w:left="0" w:leftChars="0" w:firstLine="403" w:firstLineChars="0"/>
        <w:jc w:val="center"/>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本项目涉及主要危险物质危险特性及分布情况</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1588"/>
        <w:gridCol w:w="867"/>
        <w:gridCol w:w="1111"/>
        <w:gridCol w:w="1384"/>
        <w:gridCol w:w="1388"/>
        <w:gridCol w:w="1438"/>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序号</w:t>
            </w:r>
          </w:p>
        </w:tc>
        <w:tc>
          <w:tcPr>
            <w:tcW w:w="158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名称</w:t>
            </w:r>
          </w:p>
        </w:tc>
        <w:tc>
          <w:tcPr>
            <w:tcW w:w="867"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储存方式</w:t>
            </w:r>
          </w:p>
        </w:tc>
        <w:tc>
          <w:tcPr>
            <w:tcW w:w="1111"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val="en-US" w:eastAsia="zh-CN"/>
              </w:rPr>
            </w:pPr>
            <w:r>
              <w:rPr>
                <w:rFonts w:hint="default" w:ascii="Times New Roman" w:hAnsi="Times New Roman" w:eastAsia="宋体" w:cs="Times New Roman"/>
                <w:b/>
                <w:color w:val="auto"/>
                <w:sz w:val="21"/>
                <w:szCs w:val="21"/>
                <w:highlight w:val="none"/>
                <w:vertAlign w:val="baseline"/>
                <w:lang w:eastAsia="zh-CN"/>
              </w:rPr>
              <w:t>最大储存量（</w:t>
            </w:r>
            <w:r>
              <w:rPr>
                <w:rFonts w:hint="default" w:ascii="Times New Roman" w:hAnsi="Times New Roman" w:eastAsia="宋体" w:cs="Times New Roman"/>
                <w:b/>
                <w:color w:val="auto"/>
                <w:sz w:val="21"/>
                <w:szCs w:val="21"/>
                <w:highlight w:val="none"/>
                <w:vertAlign w:val="baseline"/>
                <w:lang w:val="en-US" w:eastAsia="zh-CN"/>
              </w:rPr>
              <w:t>t）</w:t>
            </w:r>
          </w:p>
        </w:tc>
        <w:tc>
          <w:tcPr>
            <w:tcW w:w="1384"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来源及运输</w:t>
            </w:r>
          </w:p>
        </w:tc>
        <w:tc>
          <w:tcPr>
            <w:tcW w:w="138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存储位置</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val="en-US" w:eastAsia="zh-CN"/>
              </w:rPr>
            </w:pPr>
            <w:r>
              <w:rPr>
                <w:rFonts w:hint="default" w:ascii="Times New Roman" w:hAnsi="Times New Roman" w:cs="Times New Roman"/>
                <w:b/>
                <w:color w:val="auto"/>
                <w:sz w:val="21"/>
                <w:szCs w:val="21"/>
                <w:highlight w:val="none"/>
                <w:vertAlign w:val="baseline"/>
                <w:lang w:val="en-US" w:eastAsia="zh-CN"/>
              </w:rPr>
              <w:t>存储位置</w:t>
            </w:r>
            <w:r>
              <w:rPr>
                <w:rFonts w:hint="default" w:ascii="Times New Roman" w:hAnsi="Times New Roman" w:eastAsia="宋体" w:cs="Times New Roman"/>
                <w:b/>
                <w:color w:val="auto"/>
                <w:sz w:val="21"/>
                <w:szCs w:val="21"/>
                <w:highlight w:val="none"/>
                <w:vertAlign w:val="baseline"/>
                <w:lang w:val="en-US" w:eastAsia="zh-CN"/>
              </w:rPr>
              <w:t>大小</w:t>
            </w:r>
          </w:p>
        </w:tc>
        <w:tc>
          <w:tcPr>
            <w:tcW w:w="1246"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储存条件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940"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c>
          <w:tcPr>
            <w:tcW w:w="1588"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867"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lang w:eastAsia="zh-CN"/>
              </w:rPr>
              <w:t>桶装</w:t>
            </w:r>
          </w:p>
        </w:tc>
        <w:tc>
          <w:tcPr>
            <w:tcW w:w="1111"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4.348</w:t>
            </w:r>
          </w:p>
        </w:tc>
        <w:tc>
          <w:tcPr>
            <w:tcW w:w="1384"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汽车运输</w:t>
            </w:r>
          </w:p>
        </w:tc>
        <w:tc>
          <w:tcPr>
            <w:tcW w:w="13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化学品仓库</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val="en-US" w:eastAsia="zh-CN"/>
              </w:rPr>
            </w:pPr>
            <w:r>
              <w:rPr>
                <w:rFonts w:hint="default" w:ascii="Times New Roman" w:hAnsi="Times New Roman" w:cs="Times New Roman"/>
                <w:color w:val="auto"/>
                <w:sz w:val="21"/>
                <w:szCs w:val="21"/>
                <w:highlight w:val="none"/>
                <w:lang w:val="en-US" w:eastAsia="zh-CN"/>
              </w:rPr>
              <w:t>480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常温常压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940"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588"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val="0"/>
                <w:bCs w:val="0"/>
                <w:color w:val="auto"/>
                <w:sz w:val="21"/>
                <w:szCs w:val="21"/>
                <w:lang w:val="en-US" w:eastAsia="zh-CN"/>
              </w:rPr>
            </w:pPr>
          </w:p>
        </w:tc>
        <w:tc>
          <w:tcPr>
            <w:tcW w:w="867"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p>
        </w:tc>
        <w:tc>
          <w:tcPr>
            <w:tcW w:w="1111"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cs="Times New Roman"/>
                <w:color w:val="auto"/>
                <w:kern w:val="2"/>
                <w:sz w:val="21"/>
                <w:szCs w:val="21"/>
                <w:highlight w:val="none"/>
                <w:lang w:val="en-US" w:eastAsia="zh-CN" w:bidi="ar-SA"/>
              </w:rPr>
            </w:pPr>
          </w:p>
        </w:tc>
        <w:tc>
          <w:tcPr>
            <w:tcW w:w="1384"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3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预搅拌罐区</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exact"/>
          <w:jc w:val="center"/>
        </w:trPr>
        <w:tc>
          <w:tcPr>
            <w:tcW w:w="940" w:type="dxa"/>
            <w:vMerge w:val="restart"/>
            <w:noWrap w:val="0"/>
            <w:vAlign w:val="center"/>
          </w:tcPr>
          <w:p>
            <w:pPr>
              <w:pageBreakBefore w:val="0"/>
              <w:kinsoku/>
              <w:wordWrap/>
              <w:overflowPunct/>
              <w:topLinePunct w:val="0"/>
              <w:bidi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w:t>
            </w:r>
          </w:p>
        </w:tc>
        <w:tc>
          <w:tcPr>
            <w:tcW w:w="1588"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硅油</w:t>
            </w:r>
          </w:p>
        </w:tc>
        <w:tc>
          <w:tcPr>
            <w:tcW w:w="867"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eastAsia="zh-CN"/>
              </w:rPr>
              <w:t>桶装</w:t>
            </w:r>
          </w:p>
        </w:tc>
        <w:tc>
          <w:tcPr>
            <w:tcW w:w="1111"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w:t>
            </w:r>
          </w:p>
        </w:tc>
        <w:tc>
          <w:tcPr>
            <w:tcW w:w="1384"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汽车运输</w:t>
            </w:r>
          </w:p>
        </w:tc>
        <w:tc>
          <w:tcPr>
            <w:tcW w:w="13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化学品仓库</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lang w:val="en-US" w:eastAsia="zh-CN"/>
              </w:rPr>
              <w:t>480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exact"/>
          <w:jc w:val="center"/>
        </w:trPr>
        <w:tc>
          <w:tcPr>
            <w:tcW w:w="940" w:type="dxa"/>
            <w:vMerge w:val="continue"/>
            <w:noWrap w:val="0"/>
            <w:vAlign w:val="center"/>
          </w:tcPr>
          <w:p>
            <w:pPr>
              <w:pageBreakBefore w:val="0"/>
              <w:kinsoku/>
              <w:wordWrap/>
              <w:overflowPunct/>
              <w:topLinePunct w:val="0"/>
              <w:bidi w:val="0"/>
              <w:snapToGrid/>
              <w:spacing w:line="240" w:lineRule="auto"/>
              <w:jc w:val="center"/>
              <w:rPr>
                <w:rFonts w:hint="default" w:ascii="Times New Roman" w:hAnsi="Times New Roman" w:cs="Times New Roman"/>
                <w:color w:val="auto"/>
                <w:sz w:val="21"/>
                <w:szCs w:val="21"/>
                <w:highlight w:val="none"/>
                <w:lang w:val="en-US" w:eastAsia="zh-CN"/>
              </w:rPr>
            </w:pPr>
          </w:p>
        </w:tc>
        <w:tc>
          <w:tcPr>
            <w:tcW w:w="1588"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86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111"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p>
        </w:tc>
        <w:tc>
          <w:tcPr>
            <w:tcW w:w="1384"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p>
        </w:tc>
        <w:tc>
          <w:tcPr>
            <w:tcW w:w="13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预搅拌罐区</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40"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w:t>
            </w:r>
          </w:p>
        </w:tc>
        <w:tc>
          <w:tcPr>
            <w:tcW w:w="1588" w:type="dxa"/>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867"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桶装</w:t>
            </w:r>
          </w:p>
        </w:tc>
        <w:tc>
          <w:tcPr>
            <w:tcW w:w="1111" w:type="dxa"/>
            <w:vMerge w:val="restar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0.54</w:t>
            </w:r>
          </w:p>
        </w:tc>
        <w:tc>
          <w:tcPr>
            <w:tcW w:w="1384"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汽车运输</w:t>
            </w:r>
          </w:p>
        </w:tc>
        <w:tc>
          <w:tcPr>
            <w:tcW w:w="13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化学品仓库</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lang w:val="en-US" w:eastAsia="zh-CN"/>
              </w:rPr>
              <w:t>480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940"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cs="Times New Roman"/>
                <w:color w:val="auto"/>
                <w:sz w:val="21"/>
                <w:szCs w:val="21"/>
                <w:highlight w:val="none"/>
                <w:lang w:val="en-US" w:eastAsia="zh-CN"/>
              </w:rPr>
            </w:pPr>
          </w:p>
        </w:tc>
        <w:tc>
          <w:tcPr>
            <w:tcW w:w="1588"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867"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p>
        </w:tc>
        <w:tc>
          <w:tcPr>
            <w:tcW w:w="1111"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cs="Times New Roman"/>
                <w:color w:val="auto"/>
                <w:kern w:val="2"/>
                <w:sz w:val="21"/>
                <w:szCs w:val="21"/>
                <w:highlight w:val="none"/>
                <w:lang w:val="en-US" w:eastAsia="zh-CN" w:bidi="ar-SA"/>
              </w:rPr>
            </w:pPr>
          </w:p>
        </w:tc>
        <w:tc>
          <w:tcPr>
            <w:tcW w:w="1384"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38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预搅拌罐区</w:t>
            </w:r>
          </w:p>
        </w:tc>
        <w:tc>
          <w:tcPr>
            <w:tcW w:w="1438"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w:t>
            </w:r>
          </w:p>
        </w:tc>
        <w:tc>
          <w:tcPr>
            <w:tcW w:w="1588"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废抹布及手套</w:t>
            </w:r>
          </w:p>
        </w:tc>
        <w:tc>
          <w:tcPr>
            <w:tcW w:w="867"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桶装</w:t>
            </w:r>
          </w:p>
        </w:tc>
        <w:tc>
          <w:tcPr>
            <w:tcW w:w="1111"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1384"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汽车运输</w:t>
            </w:r>
          </w:p>
        </w:tc>
        <w:tc>
          <w:tcPr>
            <w:tcW w:w="1388"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危废暂存间</w:t>
            </w:r>
          </w:p>
        </w:tc>
        <w:tc>
          <w:tcPr>
            <w:tcW w:w="1438"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1246" w:type="dxa"/>
            <w:vMerge w:val="restart"/>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常温常压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w:t>
            </w:r>
          </w:p>
        </w:tc>
        <w:tc>
          <w:tcPr>
            <w:tcW w:w="1588"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废空桶</w:t>
            </w:r>
          </w:p>
        </w:tc>
        <w:tc>
          <w:tcPr>
            <w:tcW w:w="867"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桶装</w:t>
            </w:r>
          </w:p>
        </w:tc>
        <w:tc>
          <w:tcPr>
            <w:tcW w:w="1111"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3.685</w:t>
            </w:r>
          </w:p>
        </w:tc>
        <w:tc>
          <w:tcPr>
            <w:tcW w:w="1384"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p>
        </w:tc>
        <w:tc>
          <w:tcPr>
            <w:tcW w:w="138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3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w:t>
            </w:r>
          </w:p>
        </w:tc>
        <w:tc>
          <w:tcPr>
            <w:tcW w:w="1588"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p>
        </w:tc>
        <w:tc>
          <w:tcPr>
            <w:tcW w:w="867"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桶装</w:t>
            </w:r>
          </w:p>
        </w:tc>
        <w:tc>
          <w:tcPr>
            <w:tcW w:w="1111"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1465</w:t>
            </w:r>
          </w:p>
        </w:tc>
        <w:tc>
          <w:tcPr>
            <w:tcW w:w="1384"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p>
        </w:tc>
        <w:tc>
          <w:tcPr>
            <w:tcW w:w="138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3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w:t>
            </w:r>
          </w:p>
        </w:tc>
        <w:tc>
          <w:tcPr>
            <w:tcW w:w="1588"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废胶水</w:t>
            </w:r>
          </w:p>
        </w:tc>
        <w:tc>
          <w:tcPr>
            <w:tcW w:w="867"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桶装</w:t>
            </w:r>
          </w:p>
        </w:tc>
        <w:tc>
          <w:tcPr>
            <w:tcW w:w="1111"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0.0902</w:t>
            </w:r>
          </w:p>
        </w:tc>
        <w:tc>
          <w:tcPr>
            <w:tcW w:w="1384"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p>
        </w:tc>
        <w:tc>
          <w:tcPr>
            <w:tcW w:w="138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3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11</w:t>
            </w:r>
          </w:p>
        </w:tc>
        <w:tc>
          <w:tcPr>
            <w:tcW w:w="1588"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喷淋塔废水</w:t>
            </w:r>
          </w:p>
        </w:tc>
        <w:tc>
          <w:tcPr>
            <w:tcW w:w="867"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桶装</w:t>
            </w:r>
          </w:p>
        </w:tc>
        <w:tc>
          <w:tcPr>
            <w:tcW w:w="1111"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5.024</w:t>
            </w:r>
          </w:p>
        </w:tc>
        <w:tc>
          <w:tcPr>
            <w:tcW w:w="1384"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eastAsia="zh-CN"/>
              </w:rPr>
            </w:pPr>
          </w:p>
        </w:tc>
        <w:tc>
          <w:tcPr>
            <w:tcW w:w="138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438"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246"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sz w:val="21"/>
                <w:szCs w:val="21"/>
                <w:highlight w:val="none"/>
                <w:lang w:val="en-US" w:eastAsia="zh-CN"/>
              </w:rPr>
            </w:pPr>
          </w:p>
        </w:tc>
      </w:tr>
    </w:tbl>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84" w:name="_Toc9127"/>
      <w:bookmarkStart w:id="85" w:name="_Toc1496"/>
      <w:bookmarkStart w:id="86" w:name="_Toc27966"/>
      <w:bookmarkStart w:id="87" w:name="_Toc6706"/>
      <w:bookmarkStart w:id="88" w:name="_Toc24756"/>
      <w:r>
        <w:rPr>
          <w:rFonts w:hint="default" w:ascii="Times New Roman" w:hAnsi="Times New Roman" w:eastAsia="宋体" w:cs="Times New Roman"/>
          <w:color w:val="auto"/>
          <w:lang w:val="en-US" w:eastAsia="zh-CN"/>
        </w:rPr>
        <w:t>生产系统危险性识别</w:t>
      </w:r>
      <w:bookmarkEnd w:id="84"/>
      <w:bookmarkEnd w:id="85"/>
      <w:bookmarkEnd w:id="86"/>
      <w:bookmarkEnd w:id="87"/>
      <w:bookmarkEnd w:id="88"/>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生产系统危险性识别主要是根据建设项目的生产特征，结合物质危险性识别， 划分危险单元并确定单元内危险物质最大存在量。按危险单元分析风险源的危险性、存在条件和转化为事故的触发因素，采用定性或定量分析方法筛选确定重点风险源。根据物质及生产系统危险性识别结果，分析环境风险类型、危险物质向环境转移的可能途径和影响方式。</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生产系统危险性识别，包括：主要生产装置、储运系统、公用工程和辅助生产设施，以及环境保护设施等，本项目生产系统危险性识别见下表。</w:t>
      </w:r>
    </w:p>
    <w:p>
      <w:pPr>
        <w:pStyle w:val="31"/>
        <w:keepNext w:val="0"/>
        <w:keepLines w:val="0"/>
        <w:pageBreakBefore w:val="0"/>
        <w:widowControl w:val="0"/>
        <w:numPr>
          <w:ilvl w:val="0"/>
          <w:numId w:val="26"/>
        </w:numPr>
        <w:kinsoku/>
        <w:wordWrap/>
        <w:overflowPunct/>
        <w:topLinePunct w:val="0"/>
        <w:autoSpaceDE/>
        <w:autoSpaceDN/>
        <w:bidi w:val="0"/>
        <w:adjustRightInd/>
        <w:snapToGrid/>
        <w:spacing w:after="0" w:line="240" w:lineRule="auto"/>
        <w:ind w:left="0" w:leftChars="0" w:firstLine="403" w:firstLineChars="0"/>
        <w:jc w:val="center"/>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生产系统危险性及危险物质向环境转移的途径识别一览表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1140"/>
        <w:gridCol w:w="1443"/>
        <w:gridCol w:w="1472"/>
        <w:gridCol w:w="1917"/>
        <w:gridCol w:w="983"/>
        <w:gridCol w:w="15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危险单元</w:t>
            </w:r>
          </w:p>
        </w:tc>
        <w:tc>
          <w:tcPr>
            <w:tcW w:w="1140"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风险源</w:t>
            </w:r>
          </w:p>
        </w:tc>
        <w:tc>
          <w:tcPr>
            <w:tcW w:w="2915" w:type="dxa"/>
            <w:gridSpan w:val="2"/>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危险物质的最大存在量</w:t>
            </w:r>
          </w:p>
        </w:tc>
        <w:tc>
          <w:tcPr>
            <w:tcW w:w="1917"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事故引发可能原因</w:t>
            </w:r>
          </w:p>
        </w:tc>
        <w:tc>
          <w:tcPr>
            <w:tcW w:w="98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风险</w:t>
            </w:r>
          </w:p>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类型</w:t>
            </w:r>
          </w:p>
        </w:tc>
        <w:tc>
          <w:tcPr>
            <w:tcW w:w="1584"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危险物质向环境转移的途径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b/>
                <w:color w:val="auto"/>
                <w:sz w:val="21"/>
                <w:szCs w:val="21"/>
                <w:highlight w:val="none"/>
                <w:vertAlign w:val="baseline"/>
                <w:lang w:eastAsia="zh-CN"/>
              </w:rPr>
              <w:t>危险物质</w:t>
            </w:r>
          </w:p>
        </w:tc>
        <w:tc>
          <w:tcPr>
            <w:tcW w:w="1472"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val="en-US" w:eastAsia="zh-CN"/>
              </w:rPr>
            </w:pPr>
            <w:r>
              <w:rPr>
                <w:rFonts w:hint="default" w:ascii="Times New Roman" w:hAnsi="Times New Roman" w:eastAsia="宋体" w:cs="Times New Roman"/>
                <w:b/>
                <w:color w:val="auto"/>
                <w:sz w:val="21"/>
                <w:szCs w:val="21"/>
                <w:highlight w:val="none"/>
                <w:vertAlign w:val="baseline"/>
                <w:lang w:eastAsia="zh-CN"/>
              </w:rPr>
              <w:t>存在量</w:t>
            </w:r>
            <w:r>
              <w:rPr>
                <w:rFonts w:hint="default" w:ascii="Times New Roman" w:hAnsi="Times New Roman" w:eastAsia="宋体" w:cs="Times New Roman"/>
                <w:b/>
                <w:color w:val="auto"/>
                <w:sz w:val="21"/>
                <w:szCs w:val="21"/>
                <w:highlight w:val="none"/>
                <w:vertAlign w:val="baseline"/>
                <w:lang w:val="en-US" w:eastAsia="zh-CN"/>
              </w:rPr>
              <w:t>t</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423"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cs="Times New Roman"/>
                <w:b w:val="0"/>
                <w:bCs/>
                <w:color w:val="auto"/>
                <w:sz w:val="21"/>
                <w:szCs w:val="21"/>
                <w:highlight w:val="none"/>
                <w:vertAlign w:val="baseline"/>
                <w:lang w:val="en-US" w:eastAsia="zh-CN"/>
              </w:rPr>
              <w:t>生产车间及预搅拌罐区</w:t>
            </w:r>
          </w:p>
        </w:tc>
        <w:tc>
          <w:tcPr>
            <w:tcW w:w="1140"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cs="Times New Roman"/>
                <w:b w:val="0"/>
                <w:bCs/>
                <w:color w:val="auto"/>
                <w:sz w:val="21"/>
                <w:szCs w:val="21"/>
                <w:highlight w:val="none"/>
                <w:vertAlign w:val="baseline"/>
                <w:lang w:val="en-US" w:eastAsia="zh-CN"/>
              </w:rPr>
              <w:t>预搅拌罐</w:t>
            </w:r>
          </w:p>
        </w:tc>
        <w:tc>
          <w:tcPr>
            <w:tcW w:w="14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改性异氰酸酯</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1.8（按罐体最大装填量时的量）</w:t>
            </w:r>
          </w:p>
        </w:tc>
        <w:tc>
          <w:tcPr>
            <w:tcW w:w="1917" w:type="dxa"/>
            <w:vMerge w:val="restart"/>
            <w:noWrap w:val="0"/>
            <w:vAlign w:val="center"/>
          </w:tcPr>
          <w:p>
            <w:pPr>
              <w:pStyle w:val="56"/>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1</w:t>
            </w:r>
            <w:r>
              <w:rPr>
                <w:rFonts w:hint="default" w:ascii="Times New Roman" w:hAnsi="Times New Roman" w:eastAsia="宋体" w:cs="Times New Roman"/>
                <w:color w:val="auto"/>
                <w:sz w:val="21"/>
                <w:szCs w:val="21"/>
                <w:highlight w:val="none"/>
              </w:rPr>
              <w:t>、容器倾倒、设备选型不</w:t>
            </w:r>
            <w:r>
              <w:rPr>
                <w:rFonts w:hint="default" w:ascii="Times New Roman" w:hAnsi="Times New Roman" w:eastAsia="宋体" w:cs="Times New Roman"/>
                <w:color w:val="auto"/>
                <w:spacing w:val="-1"/>
                <w:sz w:val="21"/>
                <w:szCs w:val="21"/>
                <w:highlight w:val="none"/>
              </w:rPr>
              <w:t>当、材质低劣或产品质量不符合设计要求或其他意外情</w:t>
            </w:r>
            <w:r>
              <w:rPr>
                <w:rFonts w:hint="default" w:ascii="Times New Roman" w:hAnsi="Times New Roman" w:eastAsia="宋体" w:cs="Times New Roman"/>
                <w:color w:val="auto"/>
                <w:spacing w:val="-8"/>
                <w:sz w:val="21"/>
                <w:szCs w:val="21"/>
                <w:highlight w:val="none"/>
              </w:rPr>
              <w:t>况引起泄漏</w:t>
            </w:r>
            <w:r>
              <w:rPr>
                <w:rFonts w:hint="default" w:ascii="Times New Roman" w:hAnsi="Times New Roman" w:eastAsia="宋体" w:cs="Times New Roman"/>
                <w:color w:val="auto"/>
                <w:spacing w:val="-8"/>
                <w:sz w:val="21"/>
                <w:szCs w:val="21"/>
                <w:highlight w:val="none"/>
                <w:lang w:eastAsia="zh-CN"/>
              </w:rPr>
              <w:t>，引发火灾、爆炸</w:t>
            </w:r>
            <w:r>
              <w:rPr>
                <w:rFonts w:hint="default" w:ascii="Times New Roman" w:hAnsi="Times New Roman" w:eastAsia="宋体" w:cs="Times New Roman"/>
                <w:color w:val="auto"/>
                <w:spacing w:val="-8"/>
                <w:sz w:val="21"/>
                <w:szCs w:val="21"/>
                <w:highlight w:val="none"/>
              </w:rPr>
              <w:t>；</w:t>
            </w:r>
          </w:p>
          <w:p>
            <w:pPr>
              <w:pStyle w:val="56"/>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cs="Times New Roman"/>
                <w:color w:val="auto"/>
                <w:sz w:val="21"/>
                <w:szCs w:val="21"/>
                <w:highlight w:val="none"/>
              </w:rPr>
              <w:t>2</w:t>
            </w:r>
            <w:r>
              <w:rPr>
                <w:rFonts w:hint="default" w:ascii="Times New Roman" w:hAnsi="Times New Roman" w:eastAsia="宋体" w:cs="Times New Roman"/>
                <w:color w:val="auto"/>
                <w:sz w:val="21"/>
                <w:szCs w:val="21"/>
                <w:highlight w:val="none"/>
              </w:rPr>
              <w:t>、设备及容器的密封不良，阀门劣化而出现</w:t>
            </w:r>
            <w:r>
              <w:rPr>
                <w:rFonts w:hint="default" w:ascii="Times New Roman" w:hAnsi="Times New Roman" w:eastAsia="宋体" w:cs="Times New Roman"/>
                <w:color w:val="auto"/>
                <w:sz w:val="21"/>
                <w:szCs w:val="21"/>
                <w:highlight w:val="none"/>
                <w:lang w:eastAsia="zh-CN"/>
              </w:rPr>
              <w:t>物料泄漏、引发火灾、爆炸</w:t>
            </w:r>
            <w:r>
              <w:rPr>
                <w:rFonts w:hint="default" w:ascii="Times New Roman" w:hAnsi="Times New Roman" w:eastAsia="宋体" w:cs="Times New Roman"/>
                <w:color w:val="auto"/>
                <w:sz w:val="21"/>
                <w:szCs w:val="21"/>
                <w:highlight w:val="none"/>
              </w:rPr>
              <w:t>；</w:t>
            </w:r>
          </w:p>
        </w:tc>
        <w:tc>
          <w:tcPr>
            <w:tcW w:w="98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泄漏、火灾、爆炸引发的伴生</w:t>
            </w:r>
            <w:r>
              <w:rPr>
                <w:rFonts w:hint="default" w:ascii="Times New Roman" w:hAnsi="Times New Roman" w:eastAsia="宋体" w:cs="Times New Roman"/>
                <w:b w:val="0"/>
                <w:bCs/>
                <w:color w:val="auto"/>
                <w:sz w:val="21"/>
                <w:szCs w:val="21"/>
                <w:highlight w:val="none"/>
                <w:vertAlign w:val="baseline"/>
                <w:lang w:val="en-US" w:eastAsia="zh-CN"/>
              </w:rPr>
              <w:t>/</w:t>
            </w:r>
            <w:r>
              <w:rPr>
                <w:rFonts w:hint="default" w:ascii="Times New Roman" w:hAnsi="Times New Roman" w:eastAsia="宋体" w:cs="Times New Roman"/>
                <w:b w:val="0"/>
                <w:bCs/>
                <w:color w:val="auto"/>
                <w:sz w:val="21"/>
                <w:szCs w:val="21"/>
                <w:highlight w:val="none"/>
                <w:vertAlign w:val="baseline"/>
                <w:lang w:eastAsia="zh-CN"/>
              </w:rPr>
              <w:t>次生污染物排放</w:t>
            </w:r>
          </w:p>
        </w:tc>
        <w:tc>
          <w:tcPr>
            <w:tcW w:w="1584"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eastAsia="zh-CN"/>
              </w:rPr>
              <w:t>泄漏后渗入地下，进而影响土壤和地下水，消防废水进入水体，影响地表水、火灾、爆炸引发的伴生</w:t>
            </w:r>
            <w:r>
              <w:rPr>
                <w:rFonts w:hint="default" w:ascii="Times New Roman" w:hAnsi="Times New Roman" w:eastAsia="宋体" w:cs="Times New Roman"/>
                <w:b w:val="0"/>
                <w:bCs/>
                <w:color w:val="auto"/>
                <w:sz w:val="21"/>
                <w:szCs w:val="21"/>
                <w:highlight w:val="none"/>
                <w:vertAlign w:val="baseline"/>
                <w:lang w:val="en-US" w:eastAsia="zh-CN"/>
              </w:rPr>
              <w:t>/次生污染物影响大气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cs="Times New Roman"/>
                <w:b w:val="0"/>
                <w:bCs/>
                <w:color w:val="auto"/>
                <w:sz w:val="21"/>
                <w:szCs w:val="21"/>
                <w:highlight w:val="none"/>
                <w:vertAlign w:val="baseline"/>
                <w:lang w:val="en-US"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val="0"/>
                <w:bCs/>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聚醚多元醇*</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2.14</w:t>
            </w: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cs="Times New Roman"/>
                <w:i w:val="0"/>
                <w:iCs w:val="0"/>
                <w:color w:val="auto"/>
                <w:kern w:val="0"/>
                <w:sz w:val="21"/>
                <w:szCs w:val="21"/>
                <w:highlight w:val="none"/>
                <w:u w:val="none"/>
                <w:lang w:val="en-US" w:eastAsia="zh-CN" w:bidi="ar"/>
              </w:rPr>
              <w:t>（按罐体最大装填量时的量）</w:t>
            </w:r>
          </w:p>
        </w:tc>
        <w:tc>
          <w:tcPr>
            <w:tcW w:w="1917" w:type="dxa"/>
            <w:vMerge w:val="continue"/>
            <w:noWrap w:val="0"/>
            <w:vAlign w:val="center"/>
          </w:tcPr>
          <w:p>
            <w:pPr>
              <w:pStyle w:val="56"/>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cs="Times New Roman"/>
                <w:color w:val="auto"/>
                <w:sz w:val="21"/>
                <w:szCs w:val="21"/>
                <w:highlight w:val="none"/>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硅油</w:t>
            </w:r>
          </w:p>
        </w:tc>
        <w:tc>
          <w:tcPr>
            <w:tcW w:w="1472" w:type="dxa"/>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0.14</w:t>
            </w:r>
            <w:r>
              <w:rPr>
                <w:rFonts w:hint="default" w:ascii="Times New Roman" w:hAnsi="Times New Roman" w:cs="Times New Roman"/>
                <w:i w:val="0"/>
                <w:iCs w:val="0"/>
                <w:color w:val="auto"/>
                <w:kern w:val="0"/>
                <w:sz w:val="21"/>
                <w:szCs w:val="21"/>
                <w:highlight w:val="none"/>
                <w:u w:val="none"/>
                <w:lang w:val="en-US" w:eastAsia="zh-CN" w:bidi="ar"/>
              </w:rPr>
              <w:t>（按罐体最大装填量时的量）</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trPr>
        <w:tc>
          <w:tcPr>
            <w:tcW w:w="142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cs="Times New Roman"/>
                <w:b w:val="0"/>
                <w:bCs/>
                <w:color w:val="auto"/>
                <w:sz w:val="21"/>
                <w:szCs w:val="21"/>
                <w:highlight w:val="none"/>
                <w:vertAlign w:val="baseline"/>
                <w:lang w:val="en-US" w:eastAsia="zh-CN"/>
              </w:rPr>
              <w:t>化学品</w:t>
            </w:r>
            <w:r>
              <w:rPr>
                <w:rFonts w:hint="default" w:ascii="Times New Roman" w:hAnsi="Times New Roman" w:eastAsia="宋体" w:cs="Times New Roman"/>
                <w:b w:val="0"/>
                <w:bCs/>
                <w:color w:val="auto"/>
                <w:sz w:val="21"/>
                <w:szCs w:val="21"/>
                <w:highlight w:val="none"/>
                <w:vertAlign w:val="baseline"/>
                <w:lang w:val="en-US" w:eastAsia="zh-CN"/>
              </w:rPr>
              <w:t>仓库</w:t>
            </w:r>
          </w:p>
        </w:tc>
        <w:tc>
          <w:tcPr>
            <w:tcW w:w="1140"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cs="Times New Roman"/>
                <w:b w:val="0"/>
                <w:bCs/>
                <w:color w:val="auto"/>
                <w:sz w:val="21"/>
                <w:szCs w:val="21"/>
                <w:highlight w:val="none"/>
                <w:vertAlign w:val="baseline"/>
                <w:lang w:val="en-US" w:eastAsia="zh-CN"/>
              </w:rPr>
              <w:t>包装桶</w:t>
            </w:r>
          </w:p>
        </w:tc>
        <w:tc>
          <w:tcPr>
            <w:tcW w:w="14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 w:val="0"/>
                <w:bCs w:val="0"/>
                <w:color w:val="auto"/>
                <w:sz w:val="21"/>
                <w:szCs w:val="21"/>
                <w:lang w:val="en-US" w:eastAsia="zh-CN"/>
              </w:rPr>
              <w:t>聚醚多元醇</w:t>
            </w:r>
          </w:p>
        </w:tc>
        <w:tc>
          <w:tcPr>
            <w:tcW w:w="1472"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2.2</w:t>
            </w:r>
          </w:p>
        </w:tc>
        <w:tc>
          <w:tcPr>
            <w:tcW w:w="1917" w:type="dxa"/>
            <w:vMerge w:val="restart"/>
            <w:noWrap w:val="0"/>
            <w:vAlign w:val="center"/>
          </w:tcPr>
          <w:p>
            <w:pPr>
              <w:pStyle w:val="56"/>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1</w:t>
            </w:r>
            <w:r>
              <w:rPr>
                <w:rFonts w:hint="default" w:ascii="Times New Roman" w:hAnsi="Times New Roman" w:eastAsia="宋体" w:cs="Times New Roman"/>
                <w:color w:val="auto"/>
                <w:sz w:val="21"/>
                <w:szCs w:val="21"/>
                <w:highlight w:val="none"/>
              </w:rPr>
              <w:t>、容器倾倒、设备选型不</w:t>
            </w:r>
            <w:r>
              <w:rPr>
                <w:rFonts w:hint="default" w:ascii="Times New Roman" w:hAnsi="Times New Roman" w:eastAsia="宋体" w:cs="Times New Roman"/>
                <w:color w:val="auto"/>
                <w:spacing w:val="-1"/>
                <w:sz w:val="21"/>
                <w:szCs w:val="21"/>
                <w:highlight w:val="none"/>
              </w:rPr>
              <w:t>当、材质低劣或产品质量不符合设计要求或其他意外情</w:t>
            </w:r>
            <w:r>
              <w:rPr>
                <w:rFonts w:hint="default" w:ascii="Times New Roman" w:hAnsi="Times New Roman" w:eastAsia="宋体" w:cs="Times New Roman"/>
                <w:color w:val="auto"/>
                <w:spacing w:val="-8"/>
                <w:sz w:val="21"/>
                <w:szCs w:val="21"/>
                <w:highlight w:val="none"/>
              </w:rPr>
              <w:t>况引起泄漏</w:t>
            </w:r>
            <w:r>
              <w:rPr>
                <w:rFonts w:hint="default" w:ascii="Times New Roman" w:hAnsi="Times New Roman" w:eastAsia="宋体" w:cs="Times New Roman"/>
                <w:color w:val="auto"/>
                <w:spacing w:val="-8"/>
                <w:sz w:val="21"/>
                <w:szCs w:val="21"/>
                <w:highlight w:val="none"/>
                <w:lang w:eastAsia="zh-CN"/>
              </w:rPr>
              <w:t>，引发火灾、爆炸</w:t>
            </w:r>
            <w:r>
              <w:rPr>
                <w:rFonts w:hint="default" w:ascii="Times New Roman" w:hAnsi="Times New Roman" w:eastAsia="宋体" w:cs="Times New Roman"/>
                <w:color w:val="auto"/>
                <w:spacing w:val="-8"/>
                <w:sz w:val="21"/>
                <w:szCs w:val="21"/>
                <w:highlight w:val="none"/>
              </w:rPr>
              <w:t>；</w:t>
            </w:r>
          </w:p>
          <w:p>
            <w:pPr>
              <w:pStyle w:val="56"/>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rPr>
              <w:t>2</w:t>
            </w:r>
            <w:r>
              <w:rPr>
                <w:rFonts w:hint="default" w:ascii="Times New Roman" w:hAnsi="Times New Roman" w:eastAsia="宋体" w:cs="Times New Roman"/>
                <w:color w:val="auto"/>
                <w:sz w:val="21"/>
                <w:szCs w:val="21"/>
                <w:highlight w:val="none"/>
              </w:rPr>
              <w:t>、设备及容器的密封不良，阀门劣化而出现</w:t>
            </w:r>
            <w:r>
              <w:rPr>
                <w:rFonts w:hint="default" w:ascii="Times New Roman" w:hAnsi="Times New Roman" w:eastAsia="宋体" w:cs="Times New Roman"/>
                <w:color w:val="auto"/>
                <w:sz w:val="21"/>
                <w:szCs w:val="21"/>
                <w:highlight w:val="none"/>
                <w:lang w:eastAsia="zh-CN"/>
              </w:rPr>
              <w:t>物料泄漏、引发火灾、爆炸</w:t>
            </w:r>
            <w:r>
              <w:rPr>
                <w:rFonts w:hint="default" w:ascii="Times New Roman" w:hAnsi="Times New Roman" w:eastAsia="宋体" w:cs="Times New Roman"/>
                <w:color w:val="auto"/>
                <w:sz w:val="21"/>
                <w:szCs w:val="21"/>
                <w:highlight w:val="none"/>
              </w:rPr>
              <w:t>；</w:t>
            </w:r>
          </w:p>
        </w:tc>
        <w:tc>
          <w:tcPr>
            <w:tcW w:w="983"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eastAsia="zh-CN"/>
              </w:rPr>
              <w:t>泄漏、火灾、爆炸引发的伴生</w:t>
            </w:r>
            <w:r>
              <w:rPr>
                <w:rFonts w:hint="default" w:ascii="Times New Roman" w:hAnsi="Times New Roman" w:eastAsia="宋体" w:cs="Times New Roman"/>
                <w:b w:val="0"/>
                <w:bCs/>
                <w:color w:val="auto"/>
                <w:sz w:val="21"/>
                <w:szCs w:val="21"/>
                <w:highlight w:val="none"/>
                <w:vertAlign w:val="baseline"/>
                <w:lang w:val="en-US" w:eastAsia="zh-CN"/>
              </w:rPr>
              <w:t>/</w:t>
            </w:r>
            <w:r>
              <w:rPr>
                <w:rFonts w:hint="default" w:ascii="Times New Roman" w:hAnsi="Times New Roman" w:eastAsia="宋体" w:cs="Times New Roman"/>
                <w:b w:val="0"/>
                <w:bCs/>
                <w:color w:val="auto"/>
                <w:sz w:val="21"/>
                <w:szCs w:val="21"/>
                <w:highlight w:val="none"/>
                <w:vertAlign w:val="baseline"/>
                <w:lang w:eastAsia="zh-CN"/>
              </w:rPr>
              <w:t>次生污染物排放</w:t>
            </w:r>
          </w:p>
        </w:tc>
        <w:tc>
          <w:tcPr>
            <w:tcW w:w="1584" w:type="dxa"/>
            <w:vMerge w:val="restart"/>
            <w:noWrap w:val="0"/>
            <w:vAlign w:val="center"/>
          </w:tcPr>
          <w:p>
            <w:pPr>
              <w:keepNext w:val="0"/>
              <w:keepLines w:val="0"/>
              <w:pageBreakBefore w:val="0"/>
              <w:kinsoku/>
              <w:wordWrap/>
              <w:overflowPunct/>
              <w:topLinePunct w:val="0"/>
              <w:autoSpaceDE/>
              <w:autoSpaceDN/>
              <w:bidi w:val="0"/>
              <w:spacing w:line="240" w:lineRule="auto"/>
              <w:ind w:left="0" w:leftChars="0" w:right="0" w:rightChars="0"/>
              <w:jc w:val="center"/>
              <w:rPr>
                <w:rFonts w:hint="default" w:ascii="Times New Roman" w:hAnsi="Times New Roman" w:eastAsia="宋体" w:cs="Times New Roman"/>
                <w:b w:val="0"/>
                <w:bCs/>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eastAsia="zh-CN"/>
              </w:rPr>
              <w:t>泄漏后渗入地下，进而影响土壤和地下水，消防废水进入水体，影响地表水、火灾、爆炸引发的伴生</w:t>
            </w:r>
            <w:r>
              <w:rPr>
                <w:rFonts w:hint="default" w:ascii="Times New Roman" w:hAnsi="Times New Roman" w:eastAsia="宋体" w:cs="Times New Roman"/>
                <w:b w:val="0"/>
                <w:bCs/>
                <w:color w:val="auto"/>
                <w:sz w:val="21"/>
                <w:szCs w:val="21"/>
                <w:highlight w:val="none"/>
                <w:vertAlign w:val="baseline"/>
                <w:lang w:val="en-US" w:eastAsia="zh-CN"/>
              </w:rPr>
              <w:t>/次生污染物影响大气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硅油</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0.4</w:t>
            </w:r>
          </w:p>
        </w:tc>
        <w:tc>
          <w:tcPr>
            <w:tcW w:w="1917"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p>
        </w:tc>
        <w:tc>
          <w:tcPr>
            <w:tcW w:w="983" w:type="dxa"/>
            <w:vMerge w:val="continue"/>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c>
          <w:tcPr>
            <w:tcW w:w="1472" w:type="dxa"/>
            <w:noWrap w:val="0"/>
            <w:vAlign w:val="center"/>
          </w:tcPr>
          <w:p>
            <w:pPr>
              <w:pageBreakBefore w:val="0"/>
              <w:kinsoku/>
              <w:wordWrap/>
              <w:overflowPunct/>
              <w:topLinePunct w:val="0"/>
              <w:bidi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危废暂存间</w:t>
            </w:r>
          </w:p>
        </w:tc>
        <w:tc>
          <w:tcPr>
            <w:tcW w:w="1140"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eastAsia="zh-CN"/>
              </w:rPr>
              <w:t>包装桶</w:t>
            </w:r>
            <w:r>
              <w:rPr>
                <w:rFonts w:hint="default" w:ascii="Times New Roman" w:hAnsi="Times New Roman" w:eastAsia="宋体" w:cs="Times New Roman"/>
                <w:b w:val="0"/>
                <w:bCs/>
                <w:color w:val="auto"/>
                <w:sz w:val="21"/>
                <w:szCs w:val="21"/>
                <w:highlight w:val="none"/>
                <w:vertAlign w:val="baseline"/>
                <w:lang w:val="en-US" w:eastAsia="zh-CN"/>
              </w:rPr>
              <w:t>/袋（危险废物）</w:t>
            </w:r>
          </w:p>
        </w:tc>
        <w:tc>
          <w:tcPr>
            <w:tcW w:w="1443"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废抹布及手套</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1917"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rPr>
              <w:t>容器的密封不良</w:t>
            </w:r>
            <w:r>
              <w:rPr>
                <w:rFonts w:hint="default" w:ascii="Times New Roman" w:hAnsi="Times New Roman" w:eastAsia="宋体" w:cs="Times New Roman"/>
                <w:color w:val="auto"/>
                <w:sz w:val="21"/>
                <w:szCs w:val="21"/>
                <w:highlight w:val="none"/>
                <w:lang w:eastAsia="zh-CN"/>
              </w:rPr>
              <w:t>导致泄漏</w:t>
            </w:r>
            <w:r>
              <w:rPr>
                <w:rFonts w:hint="default" w:ascii="Times New Roman" w:hAnsi="Times New Roman" w:eastAsia="宋体" w:cs="Times New Roman"/>
                <w:color w:val="auto"/>
                <w:spacing w:val="-8"/>
                <w:sz w:val="21"/>
                <w:szCs w:val="21"/>
                <w:highlight w:val="none"/>
                <w:lang w:eastAsia="zh-CN"/>
              </w:rPr>
              <w:t>引发火灾、爆炸</w:t>
            </w:r>
            <w:r>
              <w:rPr>
                <w:rFonts w:hint="default" w:ascii="Times New Roman" w:hAnsi="Times New Roman" w:cs="Times New Roman"/>
                <w:color w:val="auto"/>
                <w:spacing w:val="-8"/>
                <w:sz w:val="21"/>
                <w:szCs w:val="21"/>
                <w:highlight w:val="none"/>
                <w:lang w:eastAsia="zh-CN"/>
              </w:rPr>
              <w:t>。</w:t>
            </w:r>
          </w:p>
        </w:tc>
        <w:tc>
          <w:tcPr>
            <w:tcW w:w="98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eastAsia="zh-CN"/>
              </w:rPr>
              <w:t>泄漏、火灾、爆炸引发的伴生</w:t>
            </w:r>
            <w:r>
              <w:rPr>
                <w:rFonts w:hint="default" w:ascii="Times New Roman" w:hAnsi="Times New Roman" w:eastAsia="宋体" w:cs="Times New Roman"/>
                <w:b w:val="0"/>
                <w:bCs/>
                <w:color w:val="auto"/>
                <w:sz w:val="21"/>
                <w:szCs w:val="21"/>
                <w:highlight w:val="none"/>
                <w:vertAlign w:val="baseline"/>
                <w:lang w:val="en-US" w:eastAsia="zh-CN"/>
              </w:rPr>
              <w:t>/</w:t>
            </w:r>
            <w:r>
              <w:rPr>
                <w:rFonts w:hint="default" w:ascii="Times New Roman" w:hAnsi="Times New Roman" w:eastAsia="宋体" w:cs="Times New Roman"/>
                <w:b w:val="0"/>
                <w:bCs/>
                <w:color w:val="auto"/>
                <w:sz w:val="21"/>
                <w:szCs w:val="21"/>
                <w:highlight w:val="none"/>
                <w:vertAlign w:val="baseline"/>
                <w:lang w:eastAsia="zh-CN"/>
              </w:rPr>
              <w:t>次生污染物排放</w:t>
            </w:r>
          </w:p>
        </w:tc>
        <w:tc>
          <w:tcPr>
            <w:tcW w:w="1584"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kern w:val="2"/>
                <w:sz w:val="21"/>
                <w:szCs w:val="21"/>
                <w:highlight w:val="none"/>
                <w:vertAlign w:val="baseline"/>
                <w:lang w:val="en-US" w:eastAsia="zh-CN" w:bidi="ar-SA"/>
              </w:rPr>
            </w:pPr>
            <w:r>
              <w:rPr>
                <w:rFonts w:hint="default" w:ascii="Times New Roman" w:hAnsi="Times New Roman" w:eastAsia="宋体" w:cs="Times New Roman"/>
                <w:b w:val="0"/>
                <w:bCs/>
                <w:color w:val="auto"/>
                <w:sz w:val="21"/>
                <w:szCs w:val="21"/>
                <w:highlight w:val="none"/>
                <w:vertAlign w:val="baseline"/>
                <w:lang w:eastAsia="zh-CN"/>
              </w:rPr>
              <w:t>泄漏后渗入地下，进而影响土壤和地下水，消防废水进入水体，影响地表水。火灾、爆炸引发的伴生</w:t>
            </w:r>
            <w:r>
              <w:rPr>
                <w:rFonts w:hint="default" w:ascii="Times New Roman" w:hAnsi="Times New Roman" w:eastAsia="宋体" w:cs="Times New Roman"/>
                <w:b w:val="0"/>
                <w:bCs/>
                <w:color w:val="auto"/>
                <w:sz w:val="21"/>
                <w:szCs w:val="21"/>
                <w:highlight w:val="none"/>
                <w:vertAlign w:val="baseline"/>
                <w:lang w:val="en-US" w:eastAsia="zh-CN"/>
              </w:rPr>
              <w:t>/次生污染物影响大气。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废空桶</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3.685</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cs="Times New Roman"/>
                <w:color w:val="auto"/>
                <w:sz w:val="21"/>
                <w:szCs w:val="21"/>
                <w:highlight w:val="none"/>
                <w:lang w:val="en-US" w:eastAsia="zh-CN"/>
              </w:rPr>
              <w:t>1465</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废胶水</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0.0902</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喷淋塔废水</w:t>
            </w:r>
          </w:p>
        </w:tc>
        <w:tc>
          <w:tcPr>
            <w:tcW w:w="1472" w:type="dxa"/>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5.024</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142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废气处理</w:t>
            </w:r>
          </w:p>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系统</w:t>
            </w:r>
          </w:p>
        </w:tc>
        <w:tc>
          <w:tcPr>
            <w:tcW w:w="1140"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废气处理</w:t>
            </w:r>
          </w:p>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设施</w:t>
            </w:r>
          </w:p>
        </w:tc>
        <w:tc>
          <w:tcPr>
            <w:tcW w:w="144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vertAlign w:val="baseline"/>
                <w:lang w:val="en-US" w:eastAsia="zh-CN"/>
              </w:rPr>
              <w:t>MDI</w:t>
            </w:r>
            <w:r>
              <w:rPr>
                <w:rFonts w:hint="default" w:ascii="Times New Roman" w:hAnsi="Times New Roman" w:cs="Times New Roman"/>
                <w:color w:val="auto"/>
                <w:sz w:val="21"/>
                <w:szCs w:val="21"/>
                <w:highlight w:val="none"/>
                <w:vertAlign w:val="baseline"/>
                <w:lang w:val="en-US" w:eastAsia="zh-CN"/>
              </w:rPr>
              <w:t>、非甲烷总烃、总VOCs、臭气浓度</w:t>
            </w:r>
          </w:p>
        </w:tc>
        <w:tc>
          <w:tcPr>
            <w:tcW w:w="1472"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917"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val="en-US" w:eastAsia="zh-CN"/>
              </w:rPr>
              <w:t>因设备故障、操作失误、停电、极端天气等原因导致废气处理系统异常，最终使得废气不达标排放。</w:t>
            </w:r>
          </w:p>
        </w:tc>
        <w:tc>
          <w:tcPr>
            <w:tcW w:w="983"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事故</w:t>
            </w:r>
          </w:p>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排放</w:t>
            </w:r>
          </w:p>
        </w:tc>
        <w:tc>
          <w:tcPr>
            <w:tcW w:w="1584" w:type="dxa"/>
            <w:vMerge w:val="restart"/>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废气未经处理直接排放，污染大气环境，影响周边环境及敏感点的空气质量</w:t>
            </w:r>
            <w:r>
              <w:rPr>
                <w:rFonts w:hint="default" w:ascii="Times New Roman" w:hAnsi="Times New Roman" w:cs="Times New Roman"/>
                <w:b w:val="0"/>
                <w:bCs/>
                <w:color w:val="auto"/>
                <w:sz w:val="21"/>
                <w:szCs w:val="21"/>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vertAlign w:val="baseline"/>
                <w:lang w:val="en-US" w:eastAsia="zh-CN"/>
              </w:rPr>
              <w:t>总VOCs</w:t>
            </w:r>
          </w:p>
        </w:tc>
        <w:tc>
          <w:tcPr>
            <w:tcW w:w="1472"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42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140"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44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NOx、SO</w:t>
            </w:r>
            <w:r>
              <w:rPr>
                <w:rFonts w:hint="default" w:ascii="Times New Roman" w:hAnsi="Times New Roman" w:cs="Times New Roman"/>
                <w:color w:val="auto"/>
                <w:sz w:val="21"/>
                <w:szCs w:val="21"/>
                <w:highlight w:val="none"/>
                <w:vertAlign w:val="subscript"/>
                <w:lang w:val="en-US" w:eastAsia="zh-CN"/>
              </w:rPr>
              <w:t>2</w:t>
            </w:r>
            <w:r>
              <w:rPr>
                <w:rFonts w:hint="default" w:ascii="Times New Roman" w:hAnsi="Times New Roman" w:cs="Times New Roman"/>
                <w:color w:val="auto"/>
                <w:sz w:val="21"/>
                <w:szCs w:val="21"/>
                <w:highlight w:val="none"/>
                <w:vertAlign w:val="baseline"/>
                <w:lang w:val="en-US" w:eastAsia="zh-CN"/>
              </w:rPr>
              <w:t>，颗粒物</w:t>
            </w:r>
          </w:p>
        </w:tc>
        <w:tc>
          <w:tcPr>
            <w:tcW w:w="1472"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1917"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983"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c>
          <w:tcPr>
            <w:tcW w:w="1584" w:type="dxa"/>
            <w:vMerge w:val="continue"/>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color w:val="auto"/>
                <w:sz w:val="21"/>
                <w:szCs w:val="21"/>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事故应急池</w:t>
            </w:r>
          </w:p>
        </w:tc>
        <w:tc>
          <w:tcPr>
            <w:tcW w:w="1140"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事故</w:t>
            </w:r>
          </w:p>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eastAsia="zh-CN"/>
              </w:rPr>
            </w:pPr>
            <w:r>
              <w:rPr>
                <w:rFonts w:hint="default" w:ascii="Times New Roman" w:hAnsi="Times New Roman" w:eastAsia="宋体" w:cs="Times New Roman"/>
                <w:b w:val="0"/>
                <w:bCs/>
                <w:color w:val="auto"/>
                <w:sz w:val="21"/>
                <w:szCs w:val="21"/>
                <w:highlight w:val="none"/>
                <w:vertAlign w:val="baseline"/>
                <w:lang w:eastAsia="zh-CN"/>
              </w:rPr>
              <w:t>应急池</w:t>
            </w:r>
          </w:p>
        </w:tc>
        <w:tc>
          <w:tcPr>
            <w:tcW w:w="144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事故废水</w:t>
            </w:r>
          </w:p>
        </w:tc>
        <w:tc>
          <w:tcPr>
            <w:tcW w:w="1472"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532.27</w:t>
            </w:r>
          </w:p>
        </w:tc>
        <w:tc>
          <w:tcPr>
            <w:tcW w:w="1917"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阀门、管道损坏导致泄漏</w:t>
            </w:r>
          </w:p>
        </w:tc>
        <w:tc>
          <w:tcPr>
            <w:tcW w:w="983"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事故</w:t>
            </w:r>
          </w:p>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排放</w:t>
            </w:r>
          </w:p>
        </w:tc>
        <w:tc>
          <w:tcPr>
            <w:tcW w:w="1584" w:type="dxa"/>
            <w:noWrap w:val="0"/>
            <w:vAlign w:val="center"/>
          </w:tcPr>
          <w:p>
            <w:pPr>
              <w:keepNext w:val="0"/>
              <w:keepLines w:val="0"/>
              <w:pageBreakBefore w:val="0"/>
              <w:kinsoku/>
              <w:wordWrap/>
              <w:overflowPunct/>
              <w:topLinePunct w:val="0"/>
              <w:autoSpaceDE/>
              <w:autoSpaceDN/>
              <w:bidi w:val="0"/>
              <w:spacing w:line="240" w:lineRule="auto"/>
              <w:ind w:left="0" w:right="0"/>
              <w:jc w:val="center"/>
              <w:rPr>
                <w:rFonts w:hint="default" w:ascii="Times New Roman" w:hAnsi="Times New Roman" w:eastAsia="宋体" w:cs="Times New Roman"/>
                <w:b w:val="0"/>
                <w:bCs/>
                <w:color w:val="auto"/>
                <w:sz w:val="21"/>
                <w:szCs w:val="21"/>
                <w:highlight w:val="none"/>
                <w:vertAlign w:val="baseline"/>
                <w:lang w:val="en-US" w:eastAsia="zh-CN"/>
              </w:rPr>
            </w:pPr>
            <w:r>
              <w:rPr>
                <w:rFonts w:hint="default" w:ascii="Times New Roman" w:hAnsi="Times New Roman" w:eastAsia="宋体" w:cs="Times New Roman"/>
                <w:b w:val="0"/>
                <w:bCs/>
                <w:color w:val="auto"/>
                <w:sz w:val="21"/>
                <w:szCs w:val="21"/>
                <w:highlight w:val="none"/>
                <w:vertAlign w:val="baseline"/>
                <w:lang w:val="en-US" w:eastAsia="zh-CN"/>
              </w:rPr>
              <w:t>废水经雨水管道排入附近水体，影响地表水、地下水</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bCs/>
          <w:color w:val="auto"/>
          <w:kern w:val="0"/>
          <w:sz w:val="24"/>
          <w:szCs w:val="20"/>
          <w:highlight w:val="none"/>
          <w:lang w:val="en-US" w:eastAsia="zh-CN" w:bidi="ar"/>
        </w:rPr>
      </w:pPr>
      <w:bookmarkStart w:id="89" w:name="_Toc10171"/>
      <w:bookmarkStart w:id="90" w:name="_Toc29554"/>
      <w:bookmarkStart w:id="91" w:name="_Toc18726"/>
      <w:bookmarkStart w:id="92" w:name="_Toc2738"/>
      <w:bookmarkStart w:id="93" w:name="_Toc25665"/>
      <w:r>
        <w:rPr>
          <w:rFonts w:hint="default" w:ascii="Times New Roman" w:hAnsi="Times New Roman" w:eastAsia="宋体" w:cs="Times New Roman"/>
          <w:b/>
          <w:bCs/>
          <w:color w:val="auto"/>
          <w:kern w:val="0"/>
          <w:sz w:val="18"/>
          <w:szCs w:val="18"/>
          <w:highlight w:val="none"/>
          <w:lang w:val="en-US" w:eastAsia="zh-CN" w:bidi="ar"/>
        </w:rPr>
        <w:t>注：</w:t>
      </w:r>
      <w:r>
        <w:rPr>
          <w:rFonts w:hint="eastAsia" w:cs="Times New Roman"/>
          <w:b w:val="0"/>
          <w:bCs w:val="0"/>
          <w:color w:val="auto"/>
          <w:sz w:val="18"/>
          <w:szCs w:val="18"/>
          <w:highlight w:val="none"/>
          <w:lang w:val="en-US" w:eastAsia="zh-CN"/>
        </w:rPr>
        <w:t>根据企业提供资料，</w:t>
      </w:r>
      <w:r>
        <w:rPr>
          <w:rFonts w:hint="default" w:ascii="Times New Roman" w:hAnsi="Times New Roman" w:cs="Times New Roman"/>
          <w:b w:val="0"/>
          <w:bCs w:val="0"/>
          <w:color w:val="auto"/>
          <w:sz w:val="18"/>
          <w:szCs w:val="18"/>
          <w:highlight w:val="none"/>
          <w:lang w:val="en-US" w:eastAsia="zh-CN"/>
        </w:rPr>
        <w:t>活化粉、抗氧剂、氢氧化铝、聚醚多元醇预搅拌</w:t>
      </w:r>
      <w:r>
        <w:rPr>
          <w:rFonts w:hint="eastAsia" w:cs="Times New Roman"/>
          <w:b w:val="0"/>
          <w:bCs w:val="0"/>
          <w:color w:val="auto"/>
          <w:sz w:val="18"/>
          <w:szCs w:val="18"/>
          <w:highlight w:val="none"/>
          <w:lang w:val="en-US" w:eastAsia="zh-CN"/>
        </w:rPr>
        <w:t>罐内</w:t>
      </w:r>
      <w:r>
        <w:rPr>
          <w:rFonts w:hint="default" w:ascii="Times New Roman" w:hAnsi="Times New Roman" w:cs="Times New Roman"/>
          <w:b w:val="0"/>
          <w:bCs w:val="0"/>
          <w:color w:val="auto"/>
          <w:sz w:val="18"/>
          <w:szCs w:val="18"/>
          <w:highlight w:val="none"/>
          <w:lang w:val="en-US" w:eastAsia="zh-CN"/>
        </w:rPr>
        <w:t>活化粉</w:t>
      </w:r>
      <w:r>
        <w:rPr>
          <w:rFonts w:hint="eastAsia" w:cs="Times New Roman"/>
          <w:b w:val="0"/>
          <w:bCs w:val="0"/>
          <w:color w:val="auto"/>
          <w:sz w:val="18"/>
          <w:szCs w:val="18"/>
          <w:highlight w:val="none"/>
          <w:lang w:val="en-US" w:eastAsia="zh-CN"/>
        </w:rPr>
        <w:t>+</w:t>
      </w:r>
      <w:r>
        <w:rPr>
          <w:rFonts w:hint="default" w:ascii="Times New Roman" w:hAnsi="Times New Roman" w:cs="Times New Roman"/>
          <w:b w:val="0"/>
          <w:bCs w:val="0"/>
          <w:color w:val="auto"/>
          <w:sz w:val="18"/>
          <w:szCs w:val="18"/>
          <w:highlight w:val="none"/>
          <w:lang w:val="en-US" w:eastAsia="zh-CN"/>
        </w:rPr>
        <w:t>抗氧剂</w:t>
      </w:r>
      <w:r>
        <w:rPr>
          <w:rFonts w:hint="eastAsia" w:cs="Times New Roman"/>
          <w:b w:val="0"/>
          <w:bCs w:val="0"/>
          <w:color w:val="auto"/>
          <w:sz w:val="18"/>
          <w:szCs w:val="18"/>
          <w:highlight w:val="none"/>
          <w:lang w:val="en-US" w:eastAsia="zh-CN"/>
        </w:rPr>
        <w:t>+</w:t>
      </w:r>
      <w:r>
        <w:rPr>
          <w:rFonts w:hint="default" w:ascii="Times New Roman" w:hAnsi="Times New Roman" w:cs="Times New Roman"/>
          <w:b w:val="0"/>
          <w:bCs w:val="0"/>
          <w:color w:val="auto"/>
          <w:sz w:val="18"/>
          <w:szCs w:val="18"/>
          <w:highlight w:val="none"/>
          <w:lang w:val="en-US" w:eastAsia="zh-CN"/>
        </w:rPr>
        <w:t>氢氧化铝</w:t>
      </w:r>
      <w:r>
        <w:rPr>
          <w:rFonts w:hint="eastAsia" w:cs="Times New Roman"/>
          <w:b w:val="0"/>
          <w:bCs w:val="0"/>
          <w:color w:val="auto"/>
          <w:sz w:val="18"/>
          <w:szCs w:val="18"/>
          <w:highlight w:val="none"/>
          <w:lang w:val="en-US" w:eastAsia="zh-CN"/>
        </w:rPr>
        <w:t>：</w:t>
      </w:r>
      <w:r>
        <w:rPr>
          <w:rFonts w:hint="default" w:ascii="Times New Roman" w:hAnsi="Times New Roman" w:cs="Times New Roman"/>
          <w:b w:val="0"/>
          <w:bCs w:val="0"/>
          <w:color w:val="auto"/>
          <w:sz w:val="18"/>
          <w:szCs w:val="18"/>
          <w:highlight w:val="none"/>
          <w:lang w:val="en-US" w:eastAsia="zh-CN"/>
        </w:rPr>
        <w:t>聚醚多元醇</w:t>
      </w:r>
      <w:r>
        <w:rPr>
          <w:rFonts w:hint="eastAsia" w:cs="Times New Roman"/>
          <w:b w:val="0"/>
          <w:bCs w:val="0"/>
          <w:color w:val="auto"/>
          <w:sz w:val="18"/>
          <w:szCs w:val="18"/>
          <w:highlight w:val="none"/>
          <w:lang w:val="en-US" w:eastAsia="zh-CN"/>
        </w:rPr>
        <w:t>=4:1，则</w:t>
      </w:r>
      <w:r>
        <w:rPr>
          <w:rFonts w:hint="default" w:ascii="Times New Roman" w:hAnsi="Times New Roman" w:cs="Times New Roman"/>
          <w:b w:val="0"/>
          <w:bCs w:val="0"/>
          <w:color w:val="auto"/>
          <w:sz w:val="18"/>
          <w:szCs w:val="18"/>
          <w:highlight w:val="none"/>
          <w:lang w:val="en-US" w:eastAsia="zh-CN"/>
        </w:rPr>
        <w:t>聚醚多元醇</w:t>
      </w:r>
      <w:r>
        <w:rPr>
          <w:rFonts w:hint="eastAsia" w:cs="Times New Roman"/>
          <w:b w:val="0"/>
          <w:bCs w:val="0"/>
          <w:color w:val="auto"/>
          <w:sz w:val="18"/>
          <w:szCs w:val="18"/>
          <w:highlight w:val="none"/>
          <w:lang w:val="en-US" w:eastAsia="zh-CN"/>
        </w:rPr>
        <w:t>的投加量为2.43t×4÷（4+1）=1.94t；聚醚多元醇、炭黑预搅拌罐内聚醚多元醇：炭黑=100:1，则</w:t>
      </w:r>
      <w:r>
        <w:rPr>
          <w:rFonts w:hint="default" w:ascii="Times New Roman" w:hAnsi="Times New Roman" w:cs="Times New Roman"/>
          <w:b w:val="0"/>
          <w:bCs w:val="0"/>
          <w:color w:val="auto"/>
          <w:sz w:val="18"/>
          <w:szCs w:val="18"/>
          <w:highlight w:val="none"/>
          <w:lang w:val="en-US" w:eastAsia="zh-CN"/>
        </w:rPr>
        <w:t>聚醚多元醇</w:t>
      </w:r>
      <w:r>
        <w:rPr>
          <w:rFonts w:hint="eastAsia" w:cs="Times New Roman"/>
          <w:b w:val="0"/>
          <w:bCs w:val="0"/>
          <w:color w:val="auto"/>
          <w:sz w:val="18"/>
          <w:szCs w:val="18"/>
          <w:highlight w:val="none"/>
          <w:lang w:val="en-US" w:eastAsia="zh-CN"/>
        </w:rPr>
        <w:t>的投加量为0.21t×100÷（100+1）=0.208t，则预搅拌罐区内聚醚多元醇总暂存量为1.94t+0.208t=2.148t。</w:t>
      </w:r>
      <w:bookmarkEnd w:id="89"/>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94" w:name="_Toc2689"/>
      <w:r>
        <w:rPr>
          <w:rFonts w:hint="default" w:ascii="Times New Roman" w:hAnsi="Times New Roman" w:eastAsia="宋体" w:cs="Times New Roman"/>
          <w:color w:val="auto"/>
          <w:lang w:val="en-US" w:eastAsia="zh-CN"/>
        </w:rPr>
        <w:t>危险物质向环境转移的途径识别</w:t>
      </w:r>
      <w:bookmarkEnd w:id="90"/>
      <w:bookmarkEnd w:id="91"/>
      <w:bookmarkEnd w:id="92"/>
      <w:bookmarkEnd w:id="93"/>
      <w:bookmarkEnd w:id="94"/>
    </w:p>
    <w:p>
      <w:pPr>
        <w:pStyle w:val="31"/>
        <w:keepNext w:val="0"/>
        <w:keepLines w:val="0"/>
        <w:pageBreakBefore w:val="0"/>
        <w:widowControl w:val="0"/>
        <w:numPr>
          <w:ilvl w:val="0"/>
          <w:numId w:val="26"/>
        </w:numPr>
        <w:kinsoku/>
        <w:wordWrap/>
        <w:overflowPunct/>
        <w:topLinePunct w:val="0"/>
        <w:autoSpaceDE/>
        <w:autoSpaceDN/>
        <w:bidi w:val="0"/>
        <w:adjustRightInd/>
        <w:snapToGrid/>
        <w:spacing w:after="0" w:line="240" w:lineRule="auto"/>
        <w:ind w:left="0" w:leftChars="0" w:firstLine="403" w:firstLineChars="0"/>
        <w:jc w:val="center"/>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本项目环境风险识别表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1389"/>
        <w:gridCol w:w="2261"/>
        <w:gridCol w:w="1799"/>
        <w:gridCol w:w="1349"/>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3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危险单元</w:t>
            </w:r>
          </w:p>
        </w:tc>
        <w:tc>
          <w:tcPr>
            <w:tcW w:w="69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风险源</w:t>
            </w:r>
          </w:p>
        </w:tc>
        <w:tc>
          <w:tcPr>
            <w:tcW w:w="113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主要危险物质</w:t>
            </w:r>
          </w:p>
        </w:tc>
        <w:tc>
          <w:tcPr>
            <w:tcW w:w="90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环境风险</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类型</w:t>
            </w:r>
          </w:p>
        </w:tc>
        <w:tc>
          <w:tcPr>
            <w:tcW w:w="67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环境影响</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途径</w:t>
            </w:r>
          </w:p>
        </w:tc>
        <w:tc>
          <w:tcPr>
            <w:tcW w:w="75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b/>
                <w:bCs/>
                <w:color w:val="auto"/>
                <w:kern w:val="0"/>
                <w:sz w:val="21"/>
                <w:szCs w:val="21"/>
                <w:highlight w:val="none"/>
                <w:vertAlign w:val="baseline"/>
                <w:lang w:val="en-US" w:eastAsia="zh-CN" w:bidi="ar"/>
              </w:rPr>
            </w:pPr>
            <w:r>
              <w:rPr>
                <w:rFonts w:hint="default" w:ascii="Times New Roman" w:hAnsi="Times New Roman" w:eastAsia="宋体" w:cs="Times New Roman"/>
                <w:b/>
                <w:bCs/>
                <w:color w:val="auto"/>
                <w:kern w:val="0"/>
                <w:sz w:val="21"/>
                <w:szCs w:val="21"/>
                <w:highlight w:val="none"/>
                <w:vertAlign w:val="baseline"/>
                <w:lang w:val="en-US" w:eastAsia="zh-CN" w:bidi="ar"/>
              </w:rPr>
              <w:t>可能受影响的环境敏感目标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生产</w:t>
            </w:r>
            <w:r>
              <w:rPr>
                <w:rFonts w:hint="default" w:ascii="Times New Roman" w:hAnsi="Times New Roman" w:cs="Times New Roman"/>
                <w:color w:val="auto"/>
                <w:kern w:val="0"/>
                <w:sz w:val="21"/>
                <w:szCs w:val="21"/>
                <w:highlight w:val="none"/>
                <w:vertAlign w:val="baseline"/>
                <w:lang w:val="en-US" w:eastAsia="zh-CN" w:bidi="ar"/>
              </w:rPr>
              <w:t>车间</w:t>
            </w:r>
          </w:p>
        </w:tc>
        <w:tc>
          <w:tcPr>
            <w:tcW w:w="69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生产线</w:t>
            </w:r>
            <w:r>
              <w:rPr>
                <w:rFonts w:hint="default" w:ascii="Times New Roman" w:hAnsi="Times New Roman" w:cs="Times New Roman"/>
                <w:color w:val="auto"/>
                <w:kern w:val="0"/>
                <w:sz w:val="21"/>
                <w:szCs w:val="21"/>
                <w:highlight w:val="none"/>
                <w:vertAlign w:val="baseline"/>
                <w:lang w:val="en-US" w:eastAsia="zh-CN" w:bidi="ar"/>
              </w:rPr>
              <w:t>及预搅拌罐</w:t>
            </w:r>
          </w:p>
        </w:tc>
        <w:tc>
          <w:tcPr>
            <w:tcW w:w="113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b w:val="0"/>
                <w:bCs w:val="0"/>
                <w:color w:val="auto"/>
                <w:sz w:val="21"/>
                <w:szCs w:val="21"/>
                <w:lang w:val="en-US" w:eastAsia="zh-CN"/>
              </w:rPr>
              <w:t>聚醚多元醇</w:t>
            </w:r>
            <w:r>
              <w:rPr>
                <w:rFonts w:hint="default" w:ascii="Times New Roman" w:hAnsi="Times New Roman" w:cs="Times New Roman"/>
                <w:color w:val="auto"/>
                <w:kern w:val="0"/>
                <w:sz w:val="21"/>
                <w:szCs w:val="21"/>
                <w:highlight w:val="none"/>
                <w:vertAlign w:val="baseli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r>
              <w:rPr>
                <w:rFonts w:hint="default" w:ascii="Times New Roman" w:hAnsi="Times New Roman" w:cs="Times New Roman"/>
                <w:color w:val="auto"/>
                <w:kern w:val="0"/>
                <w:sz w:val="21"/>
                <w:szCs w:val="21"/>
                <w:highlight w:val="none"/>
                <w:vertAlign w:val="baseline"/>
                <w:lang w:val="en-US" w:eastAsia="zh-CN" w:bidi="ar"/>
              </w:rPr>
              <w:t>、硅油</w:t>
            </w:r>
          </w:p>
        </w:tc>
        <w:tc>
          <w:tcPr>
            <w:tcW w:w="90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物料泄漏、火灾、爆炸</w:t>
            </w:r>
          </w:p>
        </w:tc>
        <w:tc>
          <w:tcPr>
            <w:tcW w:w="67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大气、地表水、地下水</w:t>
            </w:r>
          </w:p>
        </w:tc>
        <w:tc>
          <w:tcPr>
            <w:tcW w:w="753" w:type="pct"/>
            <w:vMerge w:val="restar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职工及周边居民、区域地下水、地表水、土壤。</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color w:val="auto"/>
                <w:kern w:val="0"/>
                <w:sz w:val="21"/>
                <w:szCs w:val="21"/>
                <w:highlight w:val="none"/>
                <w:vertAlign w:val="baseline"/>
                <w:lang w:val="en-US" w:eastAsia="zh-CN" w:bidi="ar"/>
              </w:rPr>
              <w:t>化学品</w:t>
            </w:r>
            <w:r>
              <w:rPr>
                <w:rFonts w:hint="default" w:ascii="Times New Roman" w:hAnsi="Times New Roman" w:eastAsia="宋体" w:cs="Times New Roman"/>
                <w:color w:val="auto"/>
                <w:kern w:val="0"/>
                <w:sz w:val="21"/>
                <w:szCs w:val="21"/>
                <w:highlight w:val="none"/>
                <w:vertAlign w:val="baseline"/>
                <w:lang w:val="en-US" w:eastAsia="zh-CN" w:bidi="ar"/>
              </w:rPr>
              <w:t>仓库</w:t>
            </w:r>
          </w:p>
        </w:tc>
        <w:tc>
          <w:tcPr>
            <w:tcW w:w="69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包装桶</w:t>
            </w:r>
          </w:p>
        </w:tc>
        <w:tc>
          <w:tcPr>
            <w:tcW w:w="113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cs="Times New Roman"/>
                <w:b w:val="0"/>
                <w:bCs w:val="0"/>
                <w:color w:val="auto"/>
                <w:sz w:val="21"/>
                <w:szCs w:val="21"/>
                <w:lang w:val="en-US" w:eastAsia="zh-CN"/>
              </w:rPr>
              <w:t>聚醚多元醇</w:t>
            </w:r>
            <w:r>
              <w:rPr>
                <w:rFonts w:hint="default" w:ascii="Times New Roman" w:hAnsi="Times New Roman" w:cs="Times New Roman"/>
                <w:color w:val="auto"/>
                <w:kern w:val="0"/>
                <w:sz w:val="21"/>
                <w:szCs w:val="21"/>
                <w:highlight w:val="none"/>
                <w:vertAlign w:val="baseli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r>
              <w:rPr>
                <w:rFonts w:hint="default" w:ascii="Times New Roman" w:hAnsi="Times New Roman" w:cs="Times New Roman"/>
                <w:color w:val="auto"/>
                <w:kern w:val="0"/>
                <w:sz w:val="21"/>
                <w:szCs w:val="21"/>
                <w:highlight w:val="none"/>
                <w:vertAlign w:val="baseline"/>
                <w:lang w:val="en-US" w:eastAsia="zh-CN" w:bidi="ar"/>
              </w:rPr>
              <w:t>、硅油</w:t>
            </w:r>
            <w:r>
              <w:rPr>
                <w:rFonts w:hint="default" w:ascii="Times New Roman" w:hAnsi="Times New Roman" w:eastAsia="宋体" w:cs="Times New Roman"/>
                <w:color w:val="auto"/>
                <w:kern w:val="0"/>
                <w:sz w:val="21"/>
                <w:szCs w:val="21"/>
                <w:highlight w:val="none"/>
                <w:vertAlign w:val="baseline"/>
                <w:lang w:val="en-US" w:eastAsia="zh-CN" w:bidi="ar"/>
              </w:rPr>
              <w:t>等</w:t>
            </w:r>
          </w:p>
        </w:tc>
        <w:tc>
          <w:tcPr>
            <w:tcW w:w="90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物料泄漏、火灾、爆炸</w:t>
            </w:r>
          </w:p>
        </w:tc>
        <w:tc>
          <w:tcPr>
            <w:tcW w:w="67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大气、地表水、地下水</w:t>
            </w:r>
          </w:p>
        </w:tc>
        <w:tc>
          <w:tcPr>
            <w:tcW w:w="753" w:type="pct"/>
            <w:vMerge w:val="continue"/>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危废暂存间</w:t>
            </w:r>
          </w:p>
        </w:tc>
        <w:tc>
          <w:tcPr>
            <w:tcW w:w="69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包装桶</w:t>
            </w:r>
          </w:p>
        </w:tc>
        <w:tc>
          <w:tcPr>
            <w:tcW w:w="113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废活性炭、</w:t>
            </w:r>
            <w:r>
              <w:rPr>
                <w:rFonts w:hint="default" w:ascii="Times New Roman" w:hAnsi="Times New Roman" w:cs="Times New Roman"/>
                <w:color w:val="auto"/>
                <w:kern w:val="0"/>
                <w:sz w:val="21"/>
                <w:szCs w:val="21"/>
                <w:highlight w:val="none"/>
                <w:vertAlign w:val="baseline"/>
                <w:lang w:val="en-US" w:eastAsia="zh-CN" w:bidi="ar"/>
              </w:rPr>
              <w:t>喷淋废水、废胶水</w:t>
            </w:r>
            <w:r>
              <w:rPr>
                <w:rFonts w:hint="default" w:ascii="Times New Roman" w:hAnsi="Times New Roman" w:eastAsia="宋体" w:cs="Times New Roman"/>
                <w:color w:val="auto"/>
                <w:kern w:val="0"/>
                <w:sz w:val="21"/>
                <w:szCs w:val="21"/>
                <w:highlight w:val="none"/>
                <w:vertAlign w:val="baseline"/>
                <w:lang w:val="en-US" w:eastAsia="zh-CN" w:bidi="ar"/>
              </w:rPr>
              <w:t>等</w:t>
            </w:r>
          </w:p>
        </w:tc>
        <w:tc>
          <w:tcPr>
            <w:tcW w:w="90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物料泄漏、火灾</w:t>
            </w:r>
          </w:p>
        </w:tc>
        <w:tc>
          <w:tcPr>
            <w:tcW w:w="67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大气、地表水、地下水</w:t>
            </w:r>
          </w:p>
        </w:tc>
        <w:tc>
          <w:tcPr>
            <w:tcW w:w="753" w:type="pct"/>
            <w:vMerge w:val="continue"/>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废气处理系统</w:t>
            </w:r>
          </w:p>
        </w:tc>
        <w:tc>
          <w:tcPr>
            <w:tcW w:w="69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废气处理</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设施</w:t>
            </w:r>
          </w:p>
        </w:tc>
        <w:tc>
          <w:tcPr>
            <w:tcW w:w="1135"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MDI、非甲烷总烃</w:t>
            </w:r>
            <w:r>
              <w:rPr>
                <w:rFonts w:hint="default" w:ascii="Times New Roman" w:hAnsi="Times New Roman" w:cs="Times New Roman"/>
                <w:color w:val="auto"/>
                <w:kern w:val="0"/>
                <w:sz w:val="21"/>
                <w:szCs w:val="21"/>
                <w:highlight w:val="none"/>
                <w:vertAlign w:val="baseline"/>
                <w:lang w:val="en-US" w:eastAsia="zh-CN" w:bidi="ar"/>
              </w:rPr>
              <w:t>、总VOCs</w:t>
            </w:r>
            <w:r>
              <w:rPr>
                <w:rFonts w:hint="default" w:ascii="Times New Roman" w:hAnsi="Times New Roman" w:eastAsia="宋体" w:cs="Times New Roman"/>
                <w:color w:val="auto"/>
                <w:kern w:val="0"/>
                <w:sz w:val="21"/>
                <w:szCs w:val="21"/>
                <w:highlight w:val="none"/>
                <w:vertAlign w:val="baseline"/>
                <w:lang w:val="en-US" w:eastAsia="zh-CN" w:bidi="ar"/>
              </w:rPr>
              <w:t>等</w:t>
            </w:r>
          </w:p>
        </w:tc>
        <w:tc>
          <w:tcPr>
            <w:tcW w:w="903"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事故排放</w:t>
            </w:r>
          </w:p>
        </w:tc>
        <w:tc>
          <w:tcPr>
            <w:tcW w:w="677" w:type="pct"/>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r>
              <w:rPr>
                <w:rFonts w:hint="default" w:ascii="Times New Roman" w:hAnsi="Times New Roman" w:eastAsia="宋体" w:cs="Times New Roman"/>
                <w:color w:val="auto"/>
                <w:kern w:val="0"/>
                <w:sz w:val="21"/>
                <w:szCs w:val="21"/>
                <w:highlight w:val="none"/>
                <w:vertAlign w:val="baseline"/>
                <w:lang w:val="en-US" w:eastAsia="zh-CN" w:bidi="ar"/>
              </w:rPr>
              <w:t>大气</w:t>
            </w:r>
          </w:p>
        </w:tc>
        <w:tc>
          <w:tcPr>
            <w:tcW w:w="753" w:type="pct"/>
            <w:vMerge w:val="continue"/>
            <w:noWrap w:val="0"/>
            <w:vAlign w:val="center"/>
          </w:tcPr>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baseline"/>
              <w:rPr>
                <w:rFonts w:hint="default" w:ascii="Times New Roman" w:hAnsi="Times New Roman" w:eastAsia="宋体" w:cs="Times New Roman"/>
                <w:color w:val="auto"/>
                <w:kern w:val="0"/>
                <w:sz w:val="21"/>
                <w:szCs w:val="21"/>
                <w:highlight w:val="none"/>
                <w:vertAlign w:val="baseline"/>
                <w:lang w:val="en-US" w:eastAsia="zh-CN" w:bidi="ar"/>
              </w:rPr>
            </w:pPr>
          </w:p>
        </w:tc>
      </w:tr>
    </w:tbl>
    <w:p>
      <w:pPr>
        <w:rPr>
          <w:rFonts w:hint="default" w:ascii="Times New Roman" w:hAnsi="Times New Roman" w:cs="Times New Roman"/>
          <w:color w:val="auto"/>
          <w:highlight w:val="none"/>
        </w:rPr>
        <w:sectPr>
          <w:pgSz w:w="11906" w:h="16838"/>
          <w:pgMar w:top="1440" w:right="1080" w:bottom="1440" w:left="1080" w:header="1134" w:footer="1134" w:gutter="0"/>
          <w:pgNumType w:fmt="decimal"/>
          <w:cols w:space="720" w:num="1"/>
          <w:docGrid w:linePitch="326" w:charSpace="-4916"/>
        </w:sectPr>
      </w:pPr>
    </w:p>
    <w:p>
      <w:pPr>
        <w:pStyle w:val="116"/>
        <w:bidi w:val="0"/>
        <w:rPr>
          <w:rFonts w:hint="default" w:ascii="Times New Roman" w:hAnsi="Times New Roman" w:eastAsia="宋体" w:cs="Times New Roman"/>
          <w:b/>
          <w:bCs/>
          <w:color w:val="auto"/>
          <w:sz w:val="32"/>
          <w:szCs w:val="32"/>
          <w:highlight w:val="none"/>
        </w:rPr>
      </w:pPr>
      <w:bookmarkStart w:id="95" w:name="_Toc15869"/>
      <w:bookmarkStart w:id="96" w:name="_Toc6657"/>
      <w:bookmarkStart w:id="97" w:name="_Toc4406"/>
      <w:r>
        <w:rPr>
          <w:rFonts w:hint="default" w:ascii="Times New Roman" w:hAnsi="Times New Roman" w:eastAsia="宋体" w:cs="Times New Roman"/>
          <w:b/>
          <w:bCs/>
          <w:color w:val="auto"/>
          <w:kern w:val="0"/>
          <w:sz w:val="32"/>
          <w:szCs w:val="32"/>
          <w:highlight w:val="none"/>
          <w:lang w:val="en-US" w:bidi="ar"/>
        </w:rPr>
        <w:drawing>
          <wp:anchor distT="0" distB="0" distL="114300" distR="114300" simplePos="0" relativeHeight="251682816" behindDoc="0" locked="0" layoutInCell="1" allowOverlap="1">
            <wp:simplePos x="0" y="0"/>
            <wp:positionH relativeFrom="column">
              <wp:posOffset>399415</wp:posOffset>
            </wp:positionH>
            <wp:positionV relativeFrom="paragraph">
              <wp:posOffset>10487660</wp:posOffset>
            </wp:positionV>
            <wp:extent cx="1924050" cy="1619250"/>
            <wp:effectExtent l="0" t="0" r="0" b="0"/>
            <wp:wrapNone/>
            <wp:docPr id="211"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32"/>
                    <pic:cNvPicPr>
                      <a:picLocks noChangeAspect="1"/>
                    </pic:cNvPicPr>
                  </pic:nvPicPr>
                  <pic:blipFill>
                    <a:blip r:embed="rId45"/>
                    <a:stretch>
                      <a:fillRect/>
                    </a:stretch>
                  </pic:blipFill>
                  <pic:spPr>
                    <a:xfrm>
                      <a:off x="0" y="0"/>
                      <a:ext cx="1924050" cy="1619250"/>
                    </a:xfrm>
                    <a:prstGeom prst="rect">
                      <a:avLst/>
                    </a:prstGeom>
                    <a:noFill/>
                    <a:ln>
                      <a:noFill/>
                    </a:ln>
                  </pic:spPr>
                </pic:pic>
              </a:graphicData>
            </a:graphic>
          </wp:anchor>
        </w:drawing>
      </w:r>
      <w:bookmarkStart w:id="98" w:name="_Toc23877"/>
      <w:bookmarkStart w:id="99" w:name="_Toc547_WPSOffice_Level1"/>
      <w:bookmarkStart w:id="100" w:name="_Toc31345_WPSOffice_Level1"/>
      <w:r>
        <w:rPr>
          <w:rFonts w:hint="default" w:ascii="Times New Roman" w:hAnsi="Times New Roman" w:eastAsia="宋体" w:cs="Times New Roman"/>
          <w:b/>
          <w:bCs/>
          <w:color w:val="auto"/>
          <w:kern w:val="44"/>
          <w:sz w:val="32"/>
          <w:szCs w:val="32"/>
          <w:highlight w:val="none"/>
        </w:rPr>
        <w:t>风险事故</w:t>
      </w:r>
      <w:bookmarkEnd w:id="98"/>
      <w:bookmarkEnd w:id="99"/>
      <w:bookmarkEnd w:id="100"/>
      <w:r>
        <w:rPr>
          <w:rFonts w:hint="default" w:ascii="Times New Roman" w:hAnsi="Times New Roman" w:eastAsia="宋体" w:cs="Times New Roman"/>
          <w:b/>
          <w:bCs/>
          <w:color w:val="auto"/>
          <w:kern w:val="44"/>
          <w:sz w:val="32"/>
          <w:szCs w:val="32"/>
          <w:highlight w:val="none"/>
        </w:rPr>
        <w:t>情形分析</w:t>
      </w:r>
      <w:bookmarkEnd w:id="95"/>
      <w:bookmarkEnd w:id="96"/>
      <w:bookmarkEnd w:id="97"/>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101" w:name="_Toc9175"/>
      <w:bookmarkStart w:id="102" w:name="_Toc17686"/>
      <w:bookmarkStart w:id="103" w:name="_Toc16147"/>
      <w:bookmarkStart w:id="104" w:name="_Toc1156"/>
      <w:bookmarkStart w:id="105" w:name="_Toc5725_WPSOffice_Level2"/>
      <w:bookmarkStart w:id="106" w:name="_Toc31692_WPSOffice_Level1"/>
      <w:bookmarkStart w:id="107" w:name="_Toc23847"/>
      <w:bookmarkStart w:id="108" w:name="_Toc31018_WPSOffice_Level1"/>
      <w:bookmarkStart w:id="109" w:name="_Toc30515"/>
      <w:r>
        <w:rPr>
          <w:rFonts w:hint="default" w:ascii="Times New Roman" w:hAnsi="Times New Roman" w:eastAsia="宋体" w:cs="Times New Roman"/>
          <w:color w:val="auto"/>
          <w:lang w:val="en-US" w:eastAsia="zh-CN"/>
        </w:rPr>
        <w:t>风险事故情形设定</w:t>
      </w:r>
      <w:bookmarkEnd w:id="101"/>
      <w:bookmarkEnd w:id="102"/>
      <w:bookmarkEnd w:id="103"/>
      <w:bookmarkEnd w:id="104"/>
    </w:p>
    <w:p>
      <w:pPr>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结合项目工艺特点，综合考虑危险物质数量、性状及危险特性，本项目环境风险事故隐患较大的主要为</w:t>
      </w:r>
      <w:r>
        <w:rPr>
          <w:rFonts w:hint="default" w:ascii="Times New Roman" w:hAnsi="Times New Roman" w:eastAsia="宋体" w:cs="Times New Roman"/>
          <w:color w:val="auto"/>
          <w:sz w:val="24"/>
          <w:szCs w:val="24"/>
          <w:highlight w:val="none"/>
          <w:lang w:eastAsia="zh-CN"/>
        </w:rPr>
        <w:t>物料</w:t>
      </w:r>
      <w:r>
        <w:rPr>
          <w:rFonts w:hint="default" w:ascii="Times New Roman" w:hAnsi="Times New Roman" w:eastAsia="宋体" w:cs="Times New Roman"/>
          <w:color w:val="auto"/>
          <w:sz w:val="24"/>
          <w:szCs w:val="24"/>
          <w:highlight w:val="none"/>
        </w:rPr>
        <w:t>泄漏、废气事故排放、火灾</w:t>
      </w:r>
      <w:r>
        <w:rPr>
          <w:rFonts w:hint="default" w:ascii="Times New Roman" w:hAnsi="Times New Roman" w:eastAsia="宋体" w:cs="Times New Roman"/>
          <w:color w:val="auto"/>
          <w:sz w:val="24"/>
          <w:szCs w:val="24"/>
          <w:highlight w:val="none"/>
          <w:lang w:eastAsia="zh-CN"/>
        </w:rPr>
        <w:t>、爆炸</w:t>
      </w:r>
      <w:r>
        <w:rPr>
          <w:rFonts w:hint="default" w:ascii="Times New Roman" w:hAnsi="Times New Roman" w:eastAsia="宋体" w:cs="Times New Roman"/>
          <w:color w:val="auto"/>
          <w:sz w:val="24"/>
          <w:szCs w:val="24"/>
          <w:highlight w:val="none"/>
        </w:rPr>
        <w:t>引发的</w:t>
      </w:r>
      <w:r>
        <w:rPr>
          <w:rFonts w:hint="default" w:ascii="Times New Roman" w:hAnsi="Times New Roman" w:eastAsia="宋体" w:cs="Times New Roman"/>
          <w:color w:val="auto"/>
          <w:sz w:val="24"/>
          <w:szCs w:val="24"/>
          <w:highlight w:val="none"/>
          <w:lang w:eastAsia="zh-CN"/>
        </w:rPr>
        <w:t>伴生</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次生环境风险等几个方面，针对已识别出的危险因素和风险类型，确定合理泄漏源强。</w:t>
      </w:r>
    </w:p>
    <w:p>
      <w:pPr>
        <w:numPr>
          <w:ilvl w:val="2"/>
          <w:numId w:val="27"/>
        </w:numPr>
        <w:spacing w:line="360" w:lineRule="auto"/>
        <w:ind w:left="709" w:leftChars="0" w:hanging="709" w:firstLineChars="0"/>
        <w:jc w:val="left"/>
        <w:outlineLvl w:val="2"/>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污染大气的事故情形</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结合环境风险识别章节可知，项目对大气产生的影响事故包括物料泄漏发生泄漏事故；项目厂房发生火灾、爆炸等引发的伴生/次生污染物排放。</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1）物料泄漏</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项目</w:t>
      </w:r>
      <w:r>
        <w:rPr>
          <w:rFonts w:hint="default" w:ascii="Times New Roman" w:hAnsi="Times New Roman" w:cs="Times New Roman"/>
          <w:color w:val="auto"/>
          <w:kern w:val="0"/>
          <w:sz w:val="24"/>
          <w:szCs w:val="24"/>
          <w:highlight w:val="none"/>
          <w:lang w:val="en-US" w:eastAsia="zh-CN" w:bidi="ar"/>
        </w:rPr>
        <w:t>化学品仓库</w:t>
      </w:r>
      <w:r>
        <w:rPr>
          <w:rFonts w:hint="default" w:ascii="Times New Roman" w:hAnsi="Times New Roman" w:eastAsia="宋体" w:cs="Times New Roman"/>
          <w:color w:val="auto"/>
          <w:kern w:val="0"/>
          <w:sz w:val="24"/>
          <w:szCs w:val="24"/>
          <w:highlight w:val="none"/>
          <w:lang w:val="en-US" w:eastAsia="zh-CN" w:bidi="ar"/>
        </w:rPr>
        <w:t>内贮存有聚醚多元醇、改性异氰酸酯、硅油</w:t>
      </w:r>
      <w:r>
        <w:rPr>
          <w:rFonts w:hint="default" w:ascii="Times New Roman" w:hAnsi="Times New Roman" w:eastAsia="宋体" w:cs="Times New Roman"/>
          <w:color w:val="auto"/>
          <w:kern w:val="0"/>
          <w:sz w:val="24"/>
          <w:szCs w:val="20"/>
          <w:highlight w:val="none"/>
          <w:lang w:val="en-US" w:eastAsia="zh-CN" w:bidi="ar"/>
        </w:rPr>
        <w:t>等</w:t>
      </w:r>
      <w:r>
        <w:rPr>
          <w:rFonts w:hint="default" w:ascii="Times New Roman" w:hAnsi="Times New Roman" w:cs="Times New Roman"/>
          <w:color w:val="auto"/>
          <w:kern w:val="0"/>
          <w:sz w:val="24"/>
          <w:szCs w:val="20"/>
          <w:highlight w:val="none"/>
          <w:lang w:val="en-US" w:eastAsia="zh-CN" w:bidi="ar"/>
        </w:rPr>
        <w:t>风险物质</w:t>
      </w:r>
      <w:r>
        <w:rPr>
          <w:rFonts w:hint="default" w:ascii="Times New Roman" w:hAnsi="Times New Roman" w:eastAsia="宋体" w:cs="Times New Roman"/>
          <w:color w:val="auto"/>
          <w:kern w:val="0"/>
          <w:sz w:val="24"/>
          <w:szCs w:val="20"/>
          <w:highlight w:val="none"/>
          <w:lang w:val="en-US" w:eastAsia="zh-CN" w:bidi="ar"/>
        </w:rPr>
        <w:t>，以</w:t>
      </w:r>
      <w:r>
        <w:rPr>
          <w:rFonts w:hint="default" w:ascii="Times New Roman" w:hAnsi="Times New Roman" w:cs="Times New Roman"/>
          <w:color w:val="auto"/>
          <w:kern w:val="0"/>
          <w:sz w:val="24"/>
          <w:szCs w:val="20"/>
          <w:highlight w:val="none"/>
          <w:lang w:val="en-US" w:eastAsia="zh-CN" w:bidi="ar"/>
        </w:rPr>
        <w:t>铁皮</w:t>
      </w:r>
      <w:r>
        <w:rPr>
          <w:rFonts w:hint="default" w:ascii="Times New Roman" w:hAnsi="Times New Roman" w:eastAsia="宋体" w:cs="Times New Roman"/>
          <w:color w:val="auto"/>
          <w:kern w:val="0"/>
          <w:sz w:val="24"/>
          <w:szCs w:val="20"/>
          <w:highlight w:val="none"/>
          <w:lang w:val="en-US" w:eastAsia="zh-CN" w:bidi="ar"/>
        </w:rPr>
        <w:t>包装桶储存，单桶最大储存量为</w:t>
      </w:r>
      <w:r>
        <w:rPr>
          <w:rFonts w:hint="default" w:ascii="Times New Roman" w:hAnsi="Times New Roman" w:cs="Times New Roman"/>
          <w:color w:val="auto"/>
          <w:kern w:val="0"/>
          <w:sz w:val="24"/>
          <w:szCs w:val="20"/>
          <w:highlight w:val="none"/>
          <w:lang w:val="en-US" w:eastAsia="zh-CN" w:bidi="ar"/>
        </w:rPr>
        <w:t>200</w:t>
      </w:r>
      <w:r>
        <w:rPr>
          <w:rFonts w:hint="default" w:ascii="Times New Roman" w:hAnsi="Times New Roman" w:eastAsia="宋体" w:cs="Times New Roman"/>
          <w:color w:val="auto"/>
          <w:kern w:val="0"/>
          <w:sz w:val="24"/>
          <w:szCs w:val="20"/>
          <w:highlight w:val="none"/>
          <w:lang w:val="en-US" w:eastAsia="zh-CN" w:bidi="ar"/>
        </w:rPr>
        <w:t>kg</w:t>
      </w:r>
      <w:r>
        <w:rPr>
          <w:rFonts w:hint="default" w:ascii="Times New Roman" w:hAnsi="Times New Roman" w:cs="Times New Roman"/>
          <w:color w:val="auto"/>
          <w:kern w:val="0"/>
          <w:sz w:val="24"/>
          <w:szCs w:val="20"/>
          <w:highlight w:val="none"/>
          <w:lang w:val="en-US" w:eastAsia="zh-CN" w:bidi="ar"/>
        </w:rPr>
        <w:t>；</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eastAsia" w:cs="Times New Roman"/>
          <w:color w:val="auto"/>
          <w:kern w:val="0"/>
          <w:sz w:val="24"/>
          <w:szCs w:val="20"/>
          <w:highlight w:val="none"/>
          <w:lang w:val="en-US" w:eastAsia="zh-CN" w:bidi="ar"/>
        </w:rPr>
      </w:pPr>
      <w:r>
        <w:rPr>
          <w:rFonts w:hint="default" w:ascii="Times New Roman" w:hAnsi="Times New Roman" w:cs="Times New Roman"/>
          <w:color w:val="auto"/>
          <w:kern w:val="0"/>
          <w:sz w:val="24"/>
          <w:szCs w:val="20"/>
          <w:highlight w:val="none"/>
          <w:lang w:val="en-US" w:eastAsia="zh-CN" w:bidi="ar"/>
        </w:rPr>
        <w:t>项目设</w:t>
      </w:r>
      <w:r>
        <w:rPr>
          <w:rFonts w:hint="default" w:ascii="Times New Roman" w:hAnsi="Times New Roman" w:eastAsia="宋体" w:cs="Times New Roman"/>
          <w:color w:val="auto"/>
          <w:kern w:val="0"/>
          <w:sz w:val="24"/>
          <w:szCs w:val="20"/>
          <w:highlight w:val="none"/>
          <w:lang w:val="en-US" w:eastAsia="zh-CN" w:bidi="ar"/>
        </w:rPr>
        <w:t>有</w:t>
      </w:r>
      <w:r>
        <w:rPr>
          <w:rFonts w:hint="default" w:ascii="Times New Roman" w:hAnsi="Times New Roman" w:cs="Times New Roman"/>
          <w:color w:val="auto"/>
          <w:kern w:val="0"/>
          <w:sz w:val="24"/>
          <w:szCs w:val="20"/>
          <w:highlight w:val="none"/>
          <w:lang w:val="en-US" w:eastAsia="zh-CN" w:bidi="ar"/>
        </w:rPr>
        <w:t>一</w:t>
      </w:r>
      <w:r>
        <w:rPr>
          <w:rFonts w:hint="default" w:ascii="Times New Roman" w:hAnsi="Times New Roman" w:eastAsia="宋体" w:cs="Times New Roman"/>
          <w:color w:val="auto"/>
          <w:kern w:val="0"/>
          <w:sz w:val="24"/>
          <w:szCs w:val="20"/>
          <w:highlight w:val="none"/>
          <w:lang w:val="en-US" w:eastAsia="zh-CN" w:bidi="ar"/>
        </w:rPr>
        <w:t>个</w:t>
      </w:r>
      <w:r>
        <w:rPr>
          <w:rFonts w:hint="default" w:ascii="Times New Roman" w:hAnsi="Times New Roman" w:cs="Times New Roman"/>
          <w:color w:val="auto"/>
          <w:kern w:val="0"/>
          <w:sz w:val="24"/>
          <w:szCs w:val="20"/>
          <w:highlight w:val="none"/>
          <w:lang w:val="en-US" w:eastAsia="zh-CN" w:bidi="ar"/>
        </w:rPr>
        <w:t>预搅拌</w:t>
      </w:r>
      <w:r>
        <w:rPr>
          <w:rFonts w:hint="default" w:ascii="Times New Roman" w:hAnsi="Times New Roman" w:eastAsia="宋体" w:cs="Times New Roman"/>
          <w:color w:val="auto"/>
          <w:kern w:val="0"/>
          <w:sz w:val="24"/>
          <w:szCs w:val="20"/>
          <w:highlight w:val="none"/>
          <w:lang w:val="en-US" w:eastAsia="zh-CN" w:bidi="ar"/>
        </w:rPr>
        <w:t>罐区，</w:t>
      </w:r>
      <w:r>
        <w:rPr>
          <w:rFonts w:hint="default" w:ascii="Times New Roman" w:hAnsi="Times New Roman" w:cs="Times New Roman"/>
          <w:color w:val="auto"/>
          <w:kern w:val="0"/>
          <w:sz w:val="24"/>
          <w:szCs w:val="20"/>
          <w:highlight w:val="none"/>
          <w:lang w:val="en-US" w:eastAsia="zh-CN" w:bidi="ar"/>
        </w:rPr>
        <w:t>预搅拌罐涉及风险物料为</w:t>
      </w:r>
      <w:r>
        <w:rPr>
          <w:rFonts w:hint="default" w:ascii="Times New Roman" w:hAnsi="Times New Roman" w:eastAsia="宋体" w:cs="Times New Roman"/>
          <w:color w:val="auto"/>
          <w:kern w:val="0"/>
          <w:sz w:val="24"/>
          <w:szCs w:val="24"/>
          <w:highlight w:val="none"/>
          <w:lang w:val="en-US" w:eastAsia="zh-CN" w:bidi="ar"/>
        </w:rPr>
        <w:t>聚醚多元醇、改性异氰酸酯、硅油</w:t>
      </w:r>
      <w:r>
        <w:rPr>
          <w:rFonts w:hint="default" w:ascii="Times New Roman" w:hAnsi="Times New Roman" w:cs="Times New Roman"/>
          <w:color w:val="auto"/>
          <w:kern w:val="0"/>
          <w:sz w:val="24"/>
          <w:szCs w:val="20"/>
          <w:highlight w:val="none"/>
          <w:lang w:val="en-US" w:eastAsia="zh-CN" w:bidi="ar"/>
        </w:rPr>
        <w:t>等，其中改性异氰酸酯预搅拌罐最大装填量为1.8t，预搅拌聚醚多元醇的搅拌罐最大装填量为2.14</w:t>
      </w:r>
      <w:r>
        <w:rPr>
          <w:rFonts w:hint="eastAsia" w:cs="Times New Roman"/>
          <w:color w:val="auto"/>
          <w:kern w:val="0"/>
          <w:sz w:val="24"/>
          <w:szCs w:val="20"/>
          <w:highlight w:val="none"/>
          <w:lang w:val="en-US" w:eastAsia="zh-CN" w:bidi="ar"/>
        </w:rPr>
        <w:t>8</w:t>
      </w:r>
      <w:r>
        <w:rPr>
          <w:rFonts w:hint="default" w:ascii="Times New Roman" w:hAnsi="Times New Roman" w:cs="Times New Roman"/>
          <w:color w:val="auto"/>
          <w:kern w:val="0"/>
          <w:sz w:val="24"/>
          <w:szCs w:val="20"/>
          <w:highlight w:val="none"/>
          <w:lang w:val="en-US" w:eastAsia="zh-CN" w:bidi="ar"/>
        </w:rPr>
        <w:t>t，涉及硅油的预搅拌罐最大装填量为0.14t</w:t>
      </w:r>
      <w:r>
        <w:rPr>
          <w:rFonts w:hint="eastAsia" w:cs="Times New Roman"/>
          <w:color w:val="auto"/>
          <w:kern w:val="0"/>
          <w:sz w:val="24"/>
          <w:szCs w:val="20"/>
          <w:highlight w:val="none"/>
          <w:lang w:val="en-US" w:eastAsia="zh-CN" w:bidi="ar"/>
        </w:rPr>
        <w:t>；</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本次评价</w:t>
      </w:r>
      <w:r>
        <w:rPr>
          <w:rFonts w:hint="default" w:ascii="Times New Roman" w:hAnsi="Times New Roman" w:cs="Times New Roman"/>
          <w:color w:val="auto"/>
          <w:kern w:val="0"/>
          <w:sz w:val="24"/>
          <w:szCs w:val="20"/>
          <w:highlight w:val="none"/>
          <w:lang w:val="en-US" w:eastAsia="zh-CN" w:bidi="ar"/>
        </w:rPr>
        <w:t>考虑预搅拌罐区内改性异氰酸酯预搅拌罐</w:t>
      </w:r>
      <w:r>
        <w:rPr>
          <w:rFonts w:hint="default" w:ascii="Times New Roman" w:hAnsi="Times New Roman" w:eastAsia="宋体" w:cs="Times New Roman"/>
          <w:color w:val="auto"/>
          <w:kern w:val="0"/>
          <w:sz w:val="24"/>
          <w:szCs w:val="20"/>
          <w:highlight w:val="none"/>
          <w:lang w:val="en-US" w:eastAsia="zh-CN" w:bidi="ar"/>
        </w:rPr>
        <w:t>破裂</w:t>
      </w:r>
      <w:r>
        <w:rPr>
          <w:rFonts w:hint="eastAsia" w:cs="Times New Roman"/>
          <w:color w:val="auto"/>
          <w:kern w:val="0"/>
          <w:sz w:val="24"/>
          <w:szCs w:val="20"/>
          <w:highlight w:val="none"/>
          <w:lang w:val="en-US" w:eastAsia="zh-CN" w:bidi="ar"/>
        </w:rPr>
        <w:t>、化学品仓库内</w:t>
      </w:r>
      <w:r>
        <w:rPr>
          <w:rFonts w:hint="default" w:ascii="Times New Roman" w:hAnsi="Times New Roman" w:cs="Times New Roman"/>
          <w:color w:val="auto"/>
          <w:kern w:val="0"/>
          <w:sz w:val="24"/>
          <w:szCs w:val="20"/>
          <w:highlight w:val="none"/>
          <w:lang w:val="en-US" w:eastAsia="zh-CN" w:bidi="ar"/>
        </w:rPr>
        <w:t>改性异氰酸酯</w:t>
      </w:r>
      <w:r>
        <w:rPr>
          <w:rFonts w:hint="eastAsia" w:cs="Times New Roman"/>
          <w:color w:val="auto"/>
          <w:kern w:val="0"/>
          <w:sz w:val="24"/>
          <w:szCs w:val="20"/>
          <w:highlight w:val="none"/>
          <w:lang w:val="en-US" w:eastAsia="zh-CN" w:bidi="ar"/>
        </w:rPr>
        <w:t>包装桶破裂</w:t>
      </w:r>
      <w:r>
        <w:rPr>
          <w:rFonts w:hint="default" w:ascii="Times New Roman" w:hAnsi="Times New Roman" w:eastAsia="宋体" w:cs="Times New Roman"/>
          <w:color w:val="auto"/>
          <w:kern w:val="0"/>
          <w:sz w:val="24"/>
          <w:szCs w:val="20"/>
          <w:highlight w:val="none"/>
          <w:lang w:val="en-US" w:eastAsia="zh-CN" w:bidi="ar"/>
        </w:rPr>
        <w:t>导致</w:t>
      </w:r>
      <w:r>
        <w:rPr>
          <w:rFonts w:hint="default" w:ascii="Times New Roman" w:hAnsi="Times New Roman" w:cs="Times New Roman"/>
          <w:color w:val="auto"/>
          <w:kern w:val="0"/>
          <w:sz w:val="24"/>
          <w:szCs w:val="20"/>
          <w:highlight w:val="none"/>
          <w:lang w:val="en-US" w:eastAsia="zh-CN" w:bidi="ar"/>
        </w:rPr>
        <w:t>的</w:t>
      </w:r>
      <w:r>
        <w:rPr>
          <w:rFonts w:hint="default" w:ascii="Times New Roman" w:hAnsi="Times New Roman" w:eastAsia="宋体" w:cs="Times New Roman"/>
          <w:color w:val="auto"/>
          <w:kern w:val="0"/>
          <w:sz w:val="24"/>
          <w:szCs w:val="20"/>
          <w:highlight w:val="none"/>
          <w:lang w:val="en-US" w:eastAsia="zh-CN" w:bidi="ar"/>
        </w:rPr>
        <w:t>泄漏</w:t>
      </w:r>
      <w:r>
        <w:rPr>
          <w:rFonts w:hint="default" w:ascii="Times New Roman" w:hAnsi="Times New Roman" w:cs="Times New Roman"/>
          <w:color w:val="auto"/>
          <w:kern w:val="0"/>
          <w:sz w:val="24"/>
          <w:szCs w:val="20"/>
          <w:highlight w:val="none"/>
          <w:lang w:val="en-US" w:eastAsia="zh-CN" w:bidi="ar"/>
        </w:rPr>
        <w:t>情形</w:t>
      </w:r>
      <w:r>
        <w:rPr>
          <w:rFonts w:hint="default" w:ascii="Times New Roman" w:hAnsi="Times New Roman" w:eastAsia="宋体" w:cs="Times New Roman"/>
          <w:color w:val="auto"/>
          <w:kern w:val="0"/>
          <w:sz w:val="24"/>
          <w:szCs w:val="20"/>
          <w:highlight w:val="none"/>
          <w:lang w:val="en-US" w:eastAsia="zh-CN" w:bidi="ar"/>
        </w:rPr>
        <w:t>。</w:t>
      </w:r>
    </w:p>
    <w:p>
      <w:pPr>
        <w:spacing w:line="360" w:lineRule="auto"/>
        <w:ind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2）火灾、爆炸等引发的伴生/次生污染物排放。</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项目</w:t>
      </w:r>
      <w:r>
        <w:rPr>
          <w:rFonts w:hint="default" w:ascii="Times New Roman" w:hAnsi="Times New Roman" w:cs="Times New Roman"/>
          <w:color w:val="auto"/>
          <w:kern w:val="0"/>
          <w:sz w:val="24"/>
          <w:szCs w:val="24"/>
          <w:highlight w:val="none"/>
          <w:lang w:val="en-US" w:eastAsia="zh-CN" w:bidi="ar"/>
        </w:rPr>
        <w:t>化学品</w:t>
      </w:r>
      <w:r>
        <w:rPr>
          <w:rFonts w:hint="default" w:ascii="Times New Roman" w:hAnsi="Times New Roman" w:eastAsia="宋体" w:cs="Times New Roman"/>
          <w:color w:val="auto"/>
          <w:kern w:val="0"/>
          <w:sz w:val="24"/>
          <w:szCs w:val="24"/>
          <w:highlight w:val="none"/>
          <w:lang w:val="en-US" w:eastAsia="zh-CN" w:bidi="ar"/>
        </w:rPr>
        <w:t>仓库内贮存有聚醚多元醇、改性异氰酸酯、硅油</w:t>
      </w:r>
      <w:r>
        <w:rPr>
          <w:rFonts w:hint="default" w:ascii="Times New Roman" w:hAnsi="Times New Roman" w:cs="Times New Roman"/>
          <w:color w:val="auto"/>
          <w:kern w:val="0"/>
          <w:sz w:val="24"/>
          <w:szCs w:val="20"/>
          <w:highlight w:val="none"/>
          <w:lang w:val="en-US" w:eastAsia="zh-CN" w:bidi="ar"/>
        </w:rPr>
        <w:t>等</w:t>
      </w:r>
      <w:r>
        <w:rPr>
          <w:rFonts w:hint="default" w:ascii="Times New Roman" w:hAnsi="Times New Roman" w:eastAsia="宋体" w:cs="Times New Roman"/>
          <w:color w:val="auto"/>
          <w:kern w:val="0"/>
          <w:sz w:val="24"/>
          <w:szCs w:val="20"/>
          <w:highlight w:val="none"/>
          <w:lang w:val="en-US" w:eastAsia="zh-CN" w:bidi="ar"/>
        </w:rPr>
        <w:t>原辅料，原辅料易燃，发生泄漏后容易引发火灾、爆炸。项目</w:t>
      </w:r>
      <w:r>
        <w:rPr>
          <w:rFonts w:hint="default" w:ascii="Times New Roman" w:hAnsi="Times New Roman" w:cs="Times New Roman"/>
          <w:color w:val="auto"/>
          <w:kern w:val="0"/>
          <w:sz w:val="24"/>
          <w:szCs w:val="20"/>
          <w:highlight w:val="none"/>
          <w:lang w:val="en-US" w:eastAsia="zh-CN" w:bidi="ar"/>
        </w:rPr>
        <w:t>预搅拌</w:t>
      </w:r>
      <w:r>
        <w:rPr>
          <w:rFonts w:hint="default" w:ascii="Times New Roman" w:hAnsi="Times New Roman" w:eastAsia="宋体" w:cs="Times New Roman"/>
          <w:color w:val="auto"/>
          <w:kern w:val="0"/>
          <w:sz w:val="24"/>
          <w:szCs w:val="20"/>
          <w:highlight w:val="none"/>
          <w:lang w:val="en-US" w:eastAsia="zh-CN" w:bidi="ar"/>
        </w:rPr>
        <w:t>罐区贮存有</w:t>
      </w:r>
      <w:r>
        <w:rPr>
          <w:rFonts w:hint="default" w:ascii="Times New Roman" w:hAnsi="Times New Roman" w:eastAsia="宋体" w:cs="Times New Roman"/>
          <w:color w:val="auto"/>
          <w:kern w:val="0"/>
          <w:sz w:val="24"/>
          <w:szCs w:val="24"/>
          <w:highlight w:val="none"/>
          <w:lang w:val="en-US" w:eastAsia="zh-CN" w:bidi="ar"/>
        </w:rPr>
        <w:t>聚醚多元醇、改性异氰酸酯、硅油</w:t>
      </w:r>
      <w:r>
        <w:rPr>
          <w:rFonts w:hint="default" w:ascii="Times New Roman" w:hAnsi="Times New Roman" w:cs="Times New Roman"/>
          <w:color w:val="auto"/>
          <w:kern w:val="0"/>
          <w:sz w:val="24"/>
          <w:szCs w:val="20"/>
          <w:highlight w:val="none"/>
          <w:lang w:val="en-US" w:eastAsia="zh-CN" w:bidi="ar"/>
        </w:rPr>
        <w:t>，</w:t>
      </w:r>
      <w:r>
        <w:rPr>
          <w:rFonts w:hint="default" w:ascii="Times New Roman" w:hAnsi="Times New Roman" w:eastAsia="宋体" w:cs="Times New Roman"/>
          <w:color w:val="auto"/>
          <w:kern w:val="0"/>
          <w:sz w:val="24"/>
          <w:szCs w:val="20"/>
          <w:highlight w:val="none"/>
          <w:lang w:val="en-US" w:eastAsia="zh-CN" w:bidi="ar"/>
        </w:rPr>
        <w:t>罐</w:t>
      </w:r>
      <w:r>
        <w:rPr>
          <w:rFonts w:hint="default" w:ascii="Times New Roman" w:hAnsi="Times New Roman" w:cs="Times New Roman"/>
          <w:color w:val="auto"/>
          <w:kern w:val="0"/>
          <w:sz w:val="24"/>
          <w:szCs w:val="20"/>
          <w:highlight w:val="none"/>
          <w:lang w:val="en-US" w:eastAsia="zh-CN" w:bidi="ar"/>
        </w:rPr>
        <w:t>体</w:t>
      </w:r>
      <w:r>
        <w:rPr>
          <w:rFonts w:hint="default" w:ascii="Times New Roman" w:hAnsi="Times New Roman" w:eastAsia="宋体" w:cs="Times New Roman"/>
          <w:color w:val="auto"/>
          <w:kern w:val="0"/>
          <w:sz w:val="24"/>
          <w:szCs w:val="20"/>
          <w:highlight w:val="none"/>
          <w:lang w:val="en-US" w:eastAsia="zh-CN" w:bidi="ar"/>
        </w:rPr>
        <w:t>破裂时导致物料泄漏，原辅料易燃，容易引发火灾、爆炸。当发生火灾时，</w:t>
      </w:r>
      <w:r>
        <w:rPr>
          <w:rFonts w:hint="default" w:ascii="Times New Roman" w:hAnsi="Times New Roman" w:cs="Times New Roman"/>
          <w:color w:val="auto"/>
          <w:kern w:val="0"/>
          <w:sz w:val="24"/>
          <w:szCs w:val="20"/>
          <w:highlight w:val="none"/>
          <w:lang w:val="en-US" w:eastAsia="zh-CN" w:bidi="ar"/>
        </w:rPr>
        <w:t>改性</w:t>
      </w:r>
      <w:r>
        <w:rPr>
          <w:rFonts w:hint="default" w:ascii="Times New Roman" w:hAnsi="Times New Roman" w:eastAsia="宋体" w:cs="Times New Roman"/>
          <w:color w:val="auto"/>
          <w:kern w:val="0"/>
          <w:sz w:val="24"/>
          <w:szCs w:val="20"/>
          <w:highlight w:val="none"/>
          <w:lang w:val="en-US" w:eastAsia="zh-CN" w:bidi="ar"/>
        </w:rPr>
        <w:t>异氰酸酯物料受热分解产生氰化氢进入大气，另外考虑火灾伴生/次生污染物CO的产生。</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（3）废气事故排放</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发生故障时，废气未经处理直排对大气环境造成影响。但本项目各废气污染物产生浓度较低，在非正常排放情况下的排放浓度均可满足标准要求。故项目废气处理装置故障不设为最大可信事故。</w:t>
      </w:r>
    </w:p>
    <w:p>
      <w:pPr>
        <w:spacing w:line="360" w:lineRule="auto"/>
        <w:ind w:firstLine="480" w:firstLineChars="200"/>
        <w:jc w:val="left"/>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（4）运输过程风险</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b/>
          <w:bCs/>
          <w:color w:val="auto"/>
          <w:kern w:val="0"/>
          <w:sz w:val="24"/>
          <w:szCs w:val="20"/>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项目在运输物料的过程中会有物料泄露的风险，本项目危险废物由危废处置单位安排车辆运输，公司仅对运输单位资质进行审核，同时对进厂接收车辆的相关情况进行审核登记。运输单位需具备相应得到危化品运输资质，运输槽车需为专用槽车，阻火器必须完</w:t>
      </w:r>
      <w:r>
        <w:rPr>
          <w:rFonts w:hint="default" w:ascii="Times New Roman" w:hAnsi="Times New Roman" w:cs="Times New Roman"/>
          <w:color w:val="auto"/>
          <w:kern w:val="0"/>
          <w:sz w:val="24"/>
          <w:szCs w:val="24"/>
          <w:highlight w:val="none"/>
          <w:lang w:val="en-US" w:eastAsia="zh-CN" w:bidi="ar"/>
        </w:rPr>
        <w:t>善</w:t>
      </w:r>
      <w:r>
        <w:rPr>
          <w:rFonts w:hint="default" w:ascii="Times New Roman" w:hAnsi="Times New Roman" w:eastAsia="宋体" w:cs="Times New Roman"/>
          <w:color w:val="auto"/>
          <w:kern w:val="0"/>
          <w:sz w:val="24"/>
          <w:szCs w:val="24"/>
          <w:highlight w:val="none"/>
          <w:lang w:val="en-US" w:eastAsia="zh-CN" w:bidi="ar"/>
        </w:rPr>
        <w:t>，配有相应的导静电拖线及灭活工具，同时加强对驾驶员的安全教育，避免运输过程中产生的风险。</w:t>
      </w:r>
    </w:p>
    <w:p>
      <w:pPr>
        <w:numPr>
          <w:ilvl w:val="2"/>
          <w:numId w:val="27"/>
        </w:numPr>
        <w:spacing w:line="360" w:lineRule="auto"/>
        <w:ind w:left="709" w:leftChars="0" w:hanging="709" w:firstLineChars="0"/>
        <w:jc w:val="left"/>
        <w:outlineLvl w:val="2"/>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污染地表水的事故情形</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根据环境风险识别章节可知，项目对地表水产生的影响事故主要为火灾事故时灭火产生的消防废水未经有效收集事故性排放。</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本项目设总容积不低于为</w:t>
      </w:r>
      <w:r>
        <w:rPr>
          <w:rFonts w:hint="eastAsia" w:cs="Times New Roman"/>
          <w:color w:val="auto"/>
          <w:sz w:val="24"/>
          <w:szCs w:val="24"/>
          <w:highlight w:val="none"/>
          <w:lang w:val="en-US" w:eastAsia="zh-CN"/>
        </w:rPr>
        <w:t>6</w:t>
      </w:r>
      <w:r>
        <w:rPr>
          <w:rFonts w:hint="default" w:ascii="Times New Roman" w:hAnsi="Times New Roman" w:cs="Times New Roman"/>
          <w:color w:val="auto"/>
          <w:sz w:val="24"/>
          <w:szCs w:val="24"/>
          <w:highlight w:val="none"/>
          <w:lang w:val="en-US" w:eastAsia="zh-CN"/>
        </w:rPr>
        <w:t>50</w:t>
      </w:r>
      <w:r>
        <w:rPr>
          <w:rFonts w:hint="default" w:ascii="Times New Roman" w:hAnsi="Times New Roman" w:eastAsia="宋体" w:cs="Times New Roman"/>
          <w:color w:val="auto"/>
          <w:kern w:val="0"/>
          <w:sz w:val="24"/>
          <w:szCs w:val="24"/>
          <w:highlight w:val="none"/>
          <w:lang w:val="en-US" w:eastAsia="zh-CN" w:bidi="ar"/>
        </w:rPr>
        <w:t>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vertAlign w:val="baseline"/>
          <w:lang w:val="en-US" w:eastAsia="zh-CN" w:bidi="ar"/>
        </w:rPr>
        <w:t>的</w:t>
      </w:r>
      <w:r>
        <w:rPr>
          <w:rFonts w:hint="default" w:ascii="Times New Roman" w:hAnsi="Times New Roman" w:eastAsia="宋体" w:cs="Times New Roman"/>
          <w:color w:val="auto"/>
          <w:kern w:val="0"/>
          <w:sz w:val="24"/>
          <w:szCs w:val="24"/>
          <w:highlight w:val="none"/>
          <w:lang w:val="en-US" w:eastAsia="zh-CN" w:bidi="ar"/>
        </w:rPr>
        <w:t>事故应急池，火灾事故产生的消防废水由事故废水收集系统收集，进入事故应急池；雨水总排口设置截流阀，事故发生时截流阀进行堵截，确保受污染液体不进入项目附近河流。</w:t>
      </w:r>
    </w:p>
    <w:p>
      <w:pPr>
        <w:numPr>
          <w:ilvl w:val="2"/>
          <w:numId w:val="27"/>
        </w:numPr>
        <w:spacing w:line="360" w:lineRule="auto"/>
        <w:ind w:left="709" w:leftChars="0" w:hanging="709" w:firstLineChars="0"/>
        <w:jc w:val="left"/>
        <w:outlineLvl w:val="2"/>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污染地下水的事故情形</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项目</w:t>
      </w:r>
      <w:r>
        <w:rPr>
          <w:rFonts w:hint="default" w:ascii="Times New Roman" w:hAnsi="Times New Roman" w:cs="Times New Roman"/>
          <w:color w:val="auto"/>
          <w:sz w:val="24"/>
          <w:szCs w:val="24"/>
          <w:highlight w:val="none"/>
          <w:lang w:val="en-US" w:eastAsia="zh-CN"/>
        </w:rPr>
        <w:t>化学品</w:t>
      </w:r>
      <w:r>
        <w:rPr>
          <w:rFonts w:hint="default" w:ascii="Times New Roman" w:hAnsi="Times New Roman" w:eastAsia="宋体" w:cs="Times New Roman"/>
          <w:color w:val="auto"/>
          <w:sz w:val="24"/>
          <w:szCs w:val="24"/>
          <w:highlight w:val="none"/>
          <w:lang w:eastAsia="zh-CN"/>
        </w:rPr>
        <w:t>仓库内贮存有</w:t>
      </w:r>
      <w:r>
        <w:rPr>
          <w:rFonts w:hint="default" w:ascii="Times New Roman" w:hAnsi="Times New Roman" w:eastAsia="宋体" w:cs="Times New Roman"/>
          <w:color w:val="auto"/>
          <w:kern w:val="0"/>
          <w:sz w:val="24"/>
          <w:szCs w:val="24"/>
          <w:highlight w:val="none"/>
          <w:lang w:val="en-US" w:eastAsia="zh-CN" w:bidi="ar"/>
        </w:rPr>
        <w:t>聚醚多元醇、改性异氰酸酯、硅油</w:t>
      </w:r>
      <w:r>
        <w:rPr>
          <w:rFonts w:hint="default" w:ascii="Times New Roman" w:hAnsi="Times New Roman" w:eastAsia="宋体" w:cs="Times New Roman"/>
          <w:color w:val="auto"/>
          <w:sz w:val="24"/>
          <w:szCs w:val="24"/>
          <w:highlight w:val="none"/>
          <w:lang w:eastAsia="zh-CN"/>
        </w:rPr>
        <w:t>等原辅料，</w:t>
      </w:r>
      <w:r>
        <w:rPr>
          <w:rFonts w:hint="default" w:ascii="Times New Roman" w:hAnsi="Times New Roman" w:eastAsia="宋体" w:cs="Times New Roman"/>
          <w:color w:val="auto"/>
          <w:sz w:val="24"/>
          <w:szCs w:val="24"/>
          <w:highlight w:val="none"/>
          <w:lang w:val="en-US" w:eastAsia="zh-CN"/>
        </w:rPr>
        <w:t>项目</w:t>
      </w:r>
      <w:r>
        <w:rPr>
          <w:rFonts w:hint="default" w:ascii="Times New Roman" w:hAnsi="Times New Roman" w:cs="Times New Roman"/>
          <w:color w:val="auto"/>
          <w:sz w:val="24"/>
          <w:szCs w:val="24"/>
          <w:highlight w:val="none"/>
          <w:lang w:val="en-US" w:eastAsia="zh-CN"/>
        </w:rPr>
        <w:t>预搅拌</w:t>
      </w:r>
      <w:r>
        <w:rPr>
          <w:rFonts w:hint="default" w:ascii="Times New Roman" w:hAnsi="Times New Roman" w:eastAsia="宋体" w:cs="Times New Roman"/>
          <w:color w:val="auto"/>
          <w:sz w:val="24"/>
          <w:szCs w:val="24"/>
          <w:highlight w:val="none"/>
          <w:lang w:val="en-US" w:eastAsia="zh-CN"/>
        </w:rPr>
        <w:t>罐区</w:t>
      </w:r>
      <w:r>
        <w:rPr>
          <w:rFonts w:hint="default" w:ascii="Times New Roman" w:hAnsi="Times New Roman" w:cs="Times New Roman"/>
          <w:color w:val="auto"/>
          <w:sz w:val="24"/>
          <w:szCs w:val="24"/>
          <w:highlight w:val="none"/>
          <w:lang w:val="en-US" w:eastAsia="zh-CN"/>
        </w:rPr>
        <w:t>暂存</w:t>
      </w:r>
      <w:r>
        <w:rPr>
          <w:rFonts w:hint="default" w:ascii="Times New Roman" w:hAnsi="Times New Roman" w:eastAsia="宋体" w:cs="Times New Roman"/>
          <w:color w:val="auto"/>
          <w:kern w:val="0"/>
          <w:sz w:val="24"/>
          <w:szCs w:val="24"/>
          <w:highlight w:val="none"/>
          <w:lang w:val="en-US" w:eastAsia="zh-CN" w:bidi="ar"/>
        </w:rPr>
        <w:t>聚醚多元醇、改性异氰酸酯、硅油</w:t>
      </w:r>
      <w:r>
        <w:rPr>
          <w:rFonts w:hint="default" w:ascii="Times New Roman" w:hAnsi="Times New Roman" w:cs="Times New Roman"/>
          <w:color w:val="auto"/>
          <w:lang w:val="en-US" w:eastAsia="zh-CN"/>
        </w:rPr>
        <w:t>等</w:t>
      </w:r>
      <w:r>
        <w:rPr>
          <w:rFonts w:hint="default" w:ascii="Times New Roman" w:hAnsi="Times New Roman" w:eastAsia="宋体" w:cs="Times New Roman"/>
          <w:color w:val="auto"/>
          <w:sz w:val="24"/>
          <w:szCs w:val="24"/>
          <w:highlight w:val="none"/>
          <w:lang w:eastAsia="zh-CN"/>
        </w:rPr>
        <w:t>，罐</w:t>
      </w:r>
      <w:r>
        <w:rPr>
          <w:rFonts w:hint="default" w:ascii="Times New Roman" w:hAnsi="Times New Roman" w:cs="Times New Roman"/>
          <w:color w:val="auto"/>
          <w:sz w:val="24"/>
          <w:szCs w:val="24"/>
          <w:highlight w:val="none"/>
          <w:lang w:val="en-US" w:eastAsia="zh-CN"/>
        </w:rPr>
        <w:t>体</w:t>
      </w:r>
      <w:r>
        <w:rPr>
          <w:rFonts w:hint="default" w:ascii="Times New Roman" w:hAnsi="Times New Roman" w:eastAsia="宋体" w:cs="Times New Roman"/>
          <w:color w:val="auto"/>
          <w:sz w:val="24"/>
          <w:szCs w:val="24"/>
          <w:highlight w:val="none"/>
          <w:lang w:eastAsia="zh-CN"/>
        </w:rPr>
        <w:t>破裂时导致物料泄漏，原辅料易燃，发生泄漏后容易引发火灾、爆炸</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物料泄漏、消防废水后容易渗入地下，进而影响土壤和地下水。</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110" w:name="_Toc17416"/>
      <w:bookmarkStart w:id="111" w:name="_Toc21183"/>
      <w:bookmarkStart w:id="112" w:name="_Toc2401"/>
      <w:bookmarkStart w:id="113" w:name="_Toc25793"/>
      <w:bookmarkStart w:id="114" w:name="_Toc23312"/>
      <w:r>
        <w:rPr>
          <w:rFonts w:hint="default" w:ascii="Times New Roman" w:hAnsi="Times New Roman" w:eastAsia="宋体" w:cs="Times New Roman"/>
          <w:color w:val="auto"/>
          <w:lang w:val="en-US" w:eastAsia="zh-CN"/>
        </w:rPr>
        <w:t>最大可信度事故确定</w:t>
      </w:r>
      <w:bookmarkEnd w:id="110"/>
      <w:bookmarkEnd w:id="111"/>
      <w:bookmarkEnd w:id="112"/>
      <w:bookmarkEnd w:id="113"/>
      <w:bookmarkEnd w:id="114"/>
    </w:p>
    <w:p>
      <w:pPr>
        <w:pStyle w:val="19"/>
        <w:keepNext w:val="0"/>
        <w:keepLines w:val="0"/>
        <w:pageBreakBefore w:val="0"/>
        <w:widowControl/>
        <w:kinsoku/>
        <w:wordWrap/>
        <w:overflowPunct/>
        <w:topLinePunct w:val="0"/>
        <w:autoSpaceDE/>
        <w:autoSpaceDN/>
        <w:bidi w:val="0"/>
        <w:adjustRightInd w:val="0"/>
        <w:snapToGrid w:val="0"/>
        <w:spacing w:before="0" w:after="0" w:line="360" w:lineRule="auto"/>
        <w:ind w:right="0" w:firstLine="482" w:firstLineChars="20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根据《建设项目环境风险评价技术导则》（HJ169-2018），发生频率小于10</w:t>
      </w:r>
      <w:r>
        <w:rPr>
          <w:rFonts w:hint="default" w:ascii="Times New Roman" w:hAnsi="Times New Roman" w:eastAsia="宋体" w:cs="Times New Roman"/>
          <w:color w:val="auto"/>
          <w:kern w:val="2"/>
          <w:sz w:val="24"/>
          <w:szCs w:val="24"/>
          <w:highlight w:val="none"/>
          <w:vertAlign w:val="superscript"/>
          <w:lang w:val="en-US" w:eastAsia="zh-CN" w:bidi="ar-SA"/>
        </w:rPr>
        <w:t>-6</w:t>
      </w:r>
      <w:r>
        <w:rPr>
          <w:rFonts w:hint="default" w:ascii="Times New Roman" w:hAnsi="Times New Roman" w:eastAsia="宋体" w:cs="Times New Roman"/>
          <w:color w:val="auto"/>
          <w:kern w:val="2"/>
          <w:sz w:val="24"/>
          <w:szCs w:val="24"/>
          <w:highlight w:val="none"/>
          <w:lang w:val="en-US" w:eastAsia="zh-CN" w:bidi="ar-SA"/>
        </w:rPr>
        <w:t>/年的时间是极小概率事件，可作为代表性事故情形中最大可信事故设定的参考。事故情形的设定应在环境风险识别的基础上筛选，设定的事故情形应具有危险物质、环境危害、影响途径等方面的代表性。</w:t>
      </w:r>
    </w:p>
    <w:p>
      <w:pPr>
        <w:pStyle w:val="19"/>
        <w:keepNext w:val="0"/>
        <w:keepLines w:val="0"/>
        <w:pageBreakBefore w:val="0"/>
        <w:widowControl/>
        <w:kinsoku/>
        <w:wordWrap/>
        <w:overflowPunct/>
        <w:topLinePunct w:val="0"/>
        <w:autoSpaceDE/>
        <w:autoSpaceDN/>
        <w:bidi w:val="0"/>
        <w:adjustRightInd w:val="0"/>
        <w:snapToGrid w:val="0"/>
        <w:spacing w:before="0" w:after="0" w:line="360" w:lineRule="auto"/>
        <w:ind w:right="0" w:firstLine="482"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kern w:val="2"/>
          <w:sz w:val="24"/>
          <w:szCs w:val="24"/>
          <w:highlight w:val="none"/>
          <w:lang w:val="en-US" w:eastAsia="zh-CN" w:bidi="ar-SA"/>
        </w:rPr>
        <w:t>本次评价主要考虑</w:t>
      </w:r>
      <w:r>
        <w:rPr>
          <w:rFonts w:hint="default" w:ascii="Times New Roman" w:hAnsi="Times New Roman" w:cs="Times New Roman"/>
          <w:color w:val="auto"/>
          <w:kern w:val="2"/>
          <w:sz w:val="24"/>
          <w:szCs w:val="24"/>
          <w:highlight w:val="none"/>
          <w:lang w:val="en-US" w:eastAsia="zh-CN" w:bidi="ar-SA"/>
        </w:rPr>
        <w:t>预搅拌罐区内的</w:t>
      </w:r>
      <w:r>
        <w:rPr>
          <w:rFonts w:hint="default" w:ascii="Times New Roman" w:hAnsi="Times New Roman" w:eastAsia="宋体" w:cs="Times New Roman"/>
          <w:color w:val="auto"/>
          <w:kern w:val="2"/>
          <w:sz w:val="24"/>
          <w:szCs w:val="24"/>
          <w:highlight w:val="none"/>
          <w:lang w:val="en-US" w:eastAsia="zh-CN" w:bidi="ar-SA"/>
        </w:rPr>
        <w:t>罐</w:t>
      </w:r>
      <w:r>
        <w:rPr>
          <w:rFonts w:hint="default" w:ascii="Times New Roman" w:hAnsi="Times New Roman" w:cs="Times New Roman"/>
          <w:color w:val="auto"/>
          <w:kern w:val="2"/>
          <w:sz w:val="24"/>
          <w:szCs w:val="24"/>
          <w:highlight w:val="none"/>
          <w:lang w:val="en-US" w:eastAsia="zh-CN" w:bidi="ar-SA"/>
        </w:rPr>
        <w:t>体</w:t>
      </w:r>
      <w:r>
        <w:rPr>
          <w:rFonts w:hint="default" w:ascii="Times New Roman" w:hAnsi="Times New Roman" w:eastAsia="宋体" w:cs="Times New Roman"/>
          <w:color w:val="auto"/>
          <w:kern w:val="2"/>
          <w:sz w:val="24"/>
          <w:szCs w:val="24"/>
          <w:highlight w:val="none"/>
          <w:lang w:val="en-US" w:eastAsia="zh-CN" w:bidi="ar-SA"/>
        </w:rPr>
        <w:t>破裂</w:t>
      </w:r>
      <w:r>
        <w:rPr>
          <w:rFonts w:hint="eastAsia" w:cs="Times New Roman"/>
          <w:color w:val="auto"/>
          <w:kern w:val="2"/>
          <w:sz w:val="24"/>
          <w:szCs w:val="24"/>
          <w:highlight w:val="none"/>
          <w:lang w:val="en-US" w:eastAsia="zh-CN" w:bidi="ar-SA"/>
        </w:rPr>
        <w:t>、化学品仓库内包装桶破裂</w:t>
      </w:r>
      <w:r>
        <w:rPr>
          <w:rFonts w:hint="default" w:ascii="Times New Roman" w:hAnsi="Times New Roman" w:eastAsia="宋体" w:cs="Times New Roman"/>
          <w:color w:val="auto"/>
          <w:kern w:val="2"/>
          <w:sz w:val="24"/>
          <w:szCs w:val="24"/>
          <w:highlight w:val="none"/>
          <w:lang w:val="en-US" w:eastAsia="zh-CN" w:bidi="ar-SA"/>
        </w:rPr>
        <w:t>导致物料泄漏。</w:t>
      </w:r>
      <w:r>
        <w:rPr>
          <w:rFonts w:hint="default" w:ascii="Times New Roman" w:hAnsi="Times New Roman" w:eastAsia="宋体" w:cs="Times New Roman"/>
          <w:color w:val="auto"/>
          <w:spacing w:val="5"/>
          <w:sz w:val="24"/>
          <w:szCs w:val="24"/>
          <w:highlight w:val="none"/>
        </w:rPr>
        <w:t>参考《建设项目环境风险评价技术导则</w:t>
      </w: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HJ169-2018</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pacing w:val="-20"/>
          <w:sz w:val="24"/>
          <w:szCs w:val="24"/>
          <w:highlight w:val="none"/>
        </w:rPr>
        <w:t>附录</w:t>
      </w:r>
      <w:r>
        <w:rPr>
          <w:rFonts w:hint="default" w:ascii="Times New Roman" w:hAnsi="Times New Roman" w:eastAsia="Times New Roman" w:cs="Times New Roman"/>
          <w:color w:val="auto"/>
          <w:sz w:val="24"/>
          <w:szCs w:val="24"/>
          <w:highlight w:val="none"/>
        </w:rPr>
        <w:t>E</w:t>
      </w:r>
      <w:r>
        <w:rPr>
          <w:rFonts w:hint="default" w:ascii="Times New Roman" w:hAnsi="Times New Roman" w:eastAsia="宋体" w:cs="Times New Roman"/>
          <w:color w:val="auto"/>
          <w:spacing w:val="-3"/>
          <w:sz w:val="24"/>
          <w:szCs w:val="24"/>
          <w:highlight w:val="none"/>
        </w:rPr>
        <w:t>的泄漏频率推荐值，</w:t>
      </w:r>
      <w:r>
        <w:rPr>
          <w:rFonts w:hint="default" w:ascii="Times New Roman" w:hAnsi="Times New Roman" w:cs="Times New Roman"/>
          <w:color w:val="auto"/>
          <w:spacing w:val="-3"/>
          <w:sz w:val="24"/>
          <w:szCs w:val="24"/>
          <w:highlight w:val="none"/>
          <w:lang w:val="en-US" w:eastAsia="zh-CN"/>
        </w:rPr>
        <w:t>罐体</w:t>
      </w:r>
      <w:r>
        <w:rPr>
          <w:rFonts w:hint="default" w:ascii="Times New Roman" w:hAnsi="Times New Roman" w:eastAsia="宋体" w:cs="Times New Roman"/>
          <w:color w:val="auto"/>
          <w:spacing w:val="-3"/>
          <w:sz w:val="24"/>
          <w:szCs w:val="24"/>
          <w:highlight w:val="none"/>
        </w:rPr>
        <w:t>泄漏模式分为泄漏孔径为</w:t>
      </w:r>
      <w:r>
        <w:rPr>
          <w:rFonts w:hint="default" w:ascii="Times New Roman" w:hAnsi="Times New Roman" w:eastAsia="Times New Roman" w:cs="Times New Roman"/>
          <w:color w:val="auto"/>
          <w:sz w:val="24"/>
          <w:szCs w:val="24"/>
          <w:highlight w:val="none"/>
        </w:rPr>
        <w:t>10mm</w:t>
      </w:r>
      <w:r>
        <w:rPr>
          <w:rFonts w:hint="default" w:ascii="Times New Roman" w:hAnsi="Times New Roman" w:eastAsia="宋体" w:cs="Times New Roman"/>
          <w:color w:val="auto"/>
          <w:sz w:val="24"/>
          <w:szCs w:val="24"/>
          <w:highlight w:val="none"/>
        </w:rPr>
        <w:t>孔径、</w:t>
      </w:r>
      <w:r>
        <w:rPr>
          <w:rFonts w:hint="default" w:ascii="Times New Roman" w:hAnsi="Times New Roman" w:eastAsia="Times New Roman" w:cs="Times New Roman"/>
          <w:color w:val="auto"/>
          <w:sz w:val="24"/>
          <w:szCs w:val="24"/>
          <w:highlight w:val="none"/>
        </w:rPr>
        <w:t>10min</w:t>
      </w:r>
      <w:r>
        <w:rPr>
          <w:rFonts w:hint="default" w:ascii="Times New Roman" w:hAnsi="Times New Roman" w:eastAsia="宋体" w:cs="Times New Roman"/>
          <w:color w:val="auto"/>
          <w:sz w:val="24"/>
          <w:szCs w:val="24"/>
          <w:highlight w:val="none"/>
        </w:rPr>
        <w:t>内</w:t>
      </w:r>
      <w:r>
        <w:rPr>
          <w:rFonts w:hint="default" w:ascii="Times New Roman" w:hAnsi="Times New Roman" w:cs="Times New Roman"/>
          <w:color w:val="auto"/>
          <w:spacing w:val="-3"/>
          <w:sz w:val="24"/>
          <w:szCs w:val="24"/>
          <w:highlight w:val="none"/>
          <w:lang w:val="en-US" w:eastAsia="zh-CN"/>
        </w:rPr>
        <w:t>罐体</w:t>
      </w:r>
      <w:r>
        <w:rPr>
          <w:rFonts w:hint="default" w:ascii="Times New Roman" w:hAnsi="Times New Roman" w:eastAsia="宋体" w:cs="Times New Roman"/>
          <w:color w:val="auto"/>
          <w:spacing w:val="3"/>
          <w:sz w:val="24"/>
          <w:szCs w:val="24"/>
          <w:highlight w:val="none"/>
        </w:rPr>
        <w:t>泄漏完、</w:t>
      </w:r>
      <w:r>
        <w:rPr>
          <w:rFonts w:hint="default" w:ascii="Times New Roman" w:hAnsi="Times New Roman" w:cs="Times New Roman"/>
          <w:color w:val="auto"/>
          <w:spacing w:val="-3"/>
          <w:sz w:val="24"/>
          <w:szCs w:val="24"/>
          <w:highlight w:val="none"/>
          <w:lang w:val="en-US" w:eastAsia="zh-CN"/>
        </w:rPr>
        <w:t>罐体</w:t>
      </w:r>
      <w:r>
        <w:rPr>
          <w:rFonts w:hint="default" w:ascii="Times New Roman" w:hAnsi="Times New Roman" w:eastAsia="宋体" w:cs="Times New Roman"/>
          <w:color w:val="auto"/>
          <w:spacing w:val="3"/>
          <w:sz w:val="24"/>
          <w:szCs w:val="24"/>
          <w:highlight w:val="none"/>
        </w:rPr>
        <w:t>全破裂，泄漏频率分别为</w:t>
      </w:r>
      <w:r>
        <w:rPr>
          <w:rFonts w:hint="default" w:ascii="Times New Roman" w:hAnsi="Times New Roman" w:eastAsia="Times New Roman" w:cs="Times New Roman"/>
          <w:color w:val="auto"/>
          <w:sz w:val="24"/>
          <w:szCs w:val="24"/>
          <w:highlight w:val="none"/>
        </w:rPr>
        <w:t>1.00×10</w:t>
      </w:r>
      <w:r>
        <w:rPr>
          <w:rFonts w:hint="default" w:ascii="Times New Roman" w:hAnsi="Times New Roman" w:eastAsia="Times New Roman" w:cs="Times New Roman"/>
          <w:color w:val="auto"/>
          <w:position w:val="8"/>
          <w:sz w:val="24"/>
          <w:szCs w:val="24"/>
          <w:highlight w:val="none"/>
          <w:vertAlign w:val="superscript"/>
        </w:rPr>
        <w:t>-4</w:t>
      </w:r>
      <w:r>
        <w:rPr>
          <w:rFonts w:hint="default" w:ascii="Times New Roman" w:hAnsi="Times New Roman" w:eastAsia="Times New Roman" w:cs="Times New Roman"/>
          <w:color w:val="auto"/>
          <w:sz w:val="24"/>
          <w:szCs w:val="24"/>
          <w:highlight w:val="none"/>
        </w:rPr>
        <w:t>/a</w:t>
      </w:r>
      <w:r>
        <w:rPr>
          <w:rFonts w:hint="default" w:ascii="Times New Roman" w:hAnsi="Times New Roman" w:eastAsia="宋体" w:cs="Times New Roman"/>
          <w:color w:val="auto"/>
          <w:spacing w:val="9"/>
          <w:sz w:val="24"/>
          <w:szCs w:val="24"/>
          <w:highlight w:val="none"/>
        </w:rPr>
        <w:t>、</w:t>
      </w:r>
      <w:r>
        <w:rPr>
          <w:rFonts w:hint="default" w:ascii="Times New Roman" w:hAnsi="Times New Roman" w:eastAsia="Times New Roman" w:cs="Times New Roman"/>
          <w:color w:val="auto"/>
          <w:sz w:val="24"/>
          <w:szCs w:val="24"/>
          <w:highlight w:val="none"/>
        </w:rPr>
        <w:t>5.00×10</w:t>
      </w:r>
      <w:r>
        <w:rPr>
          <w:rFonts w:hint="default" w:ascii="Times New Roman" w:hAnsi="Times New Roman" w:eastAsia="Times New Roman" w:cs="Times New Roman"/>
          <w:color w:val="auto"/>
          <w:position w:val="8"/>
          <w:sz w:val="24"/>
          <w:szCs w:val="24"/>
          <w:highlight w:val="none"/>
          <w:vertAlign w:val="superscript"/>
        </w:rPr>
        <w:t>-6</w:t>
      </w:r>
      <w:r>
        <w:rPr>
          <w:rFonts w:hint="default" w:ascii="Times New Roman" w:hAnsi="Times New Roman" w:eastAsia="Times New Roman" w:cs="Times New Roman"/>
          <w:color w:val="auto"/>
          <w:sz w:val="24"/>
          <w:szCs w:val="24"/>
          <w:highlight w:val="none"/>
        </w:rPr>
        <w:t>/a</w:t>
      </w:r>
      <w:r>
        <w:rPr>
          <w:rFonts w:hint="default" w:ascii="Times New Roman" w:hAnsi="Times New Roman" w:eastAsia="宋体" w:cs="Times New Roman"/>
          <w:color w:val="auto"/>
          <w:spacing w:val="9"/>
          <w:sz w:val="24"/>
          <w:szCs w:val="24"/>
          <w:highlight w:val="none"/>
        </w:rPr>
        <w:t>、</w:t>
      </w:r>
      <w:r>
        <w:rPr>
          <w:rFonts w:hint="default" w:ascii="Times New Roman" w:hAnsi="Times New Roman" w:eastAsia="Times New Roman" w:cs="Times New Roman"/>
          <w:color w:val="auto"/>
          <w:sz w:val="24"/>
          <w:szCs w:val="24"/>
          <w:highlight w:val="none"/>
        </w:rPr>
        <w:t>5.00×10</w:t>
      </w:r>
      <w:r>
        <w:rPr>
          <w:rFonts w:hint="default" w:ascii="Times New Roman" w:hAnsi="Times New Roman" w:eastAsia="Times New Roman" w:cs="Times New Roman"/>
          <w:color w:val="auto"/>
          <w:position w:val="8"/>
          <w:sz w:val="24"/>
          <w:szCs w:val="24"/>
          <w:highlight w:val="none"/>
          <w:vertAlign w:val="superscript"/>
        </w:rPr>
        <w:t>-6</w:t>
      </w:r>
      <w:r>
        <w:rPr>
          <w:rFonts w:hint="default" w:ascii="Times New Roman" w:hAnsi="Times New Roman" w:eastAsia="Times New Roman" w:cs="Times New Roman"/>
          <w:color w:val="auto"/>
          <w:sz w:val="24"/>
          <w:szCs w:val="24"/>
          <w:highlight w:val="none"/>
        </w:rPr>
        <w:t>/a</w:t>
      </w:r>
      <w:r>
        <w:rPr>
          <w:rFonts w:hint="default" w:ascii="Times New Roman" w:hAnsi="Times New Roman" w:eastAsia="宋体" w:cs="Times New Roman"/>
          <w:color w:val="auto"/>
          <w:spacing w:val="6"/>
          <w:sz w:val="24"/>
          <w:szCs w:val="24"/>
          <w:highlight w:val="none"/>
        </w:rPr>
        <w:t>。本项</w:t>
      </w:r>
      <w:r>
        <w:rPr>
          <w:rFonts w:hint="default" w:ascii="Times New Roman" w:hAnsi="Times New Roman" w:eastAsia="宋体" w:cs="Times New Roman"/>
          <w:color w:val="auto"/>
          <w:spacing w:val="2"/>
          <w:sz w:val="24"/>
          <w:szCs w:val="24"/>
          <w:highlight w:val="none"/>
        </w:rPr>
        <w:t>目取容器</w:t>
      </w:r>
      <w:r>
        <w:rPr>
          <w:rFonts w:hint="default" w:ascii="Times New Roman" w:hAnsi="Times New Roman" w:eastAsia="宋体" w:cs="Times New Roman"/>
          <w:color w:val="auto"/>
          <w:spacing w:val="-3"/>
          <w:sz w:val="24"/>
          <w:szCs w:val="24"/>
          <w:highlight w:val="none"/>
        </w:rPr>
        <w:t>泄漏</w:t>
      </w:r>
      <w:r>
        <w:rPr>
          <w:rFonts w:hint="default" w:ascii="Times New Roman" w:hAnsi="Times New Roman" w:eastAsia="宋体" w:cs="Times New Roman"/>
          <w:color w:val="auto"/>
          <w:sz w:val="24"/>
          <w:szCs w:val="24"/>
          <w:highlight w:val="none"/>
        </w:rPr>
        <w:t>孔径</w:t>
      </w:r>
      <w:r>
        <w:rPr>
          <w:rFonts w:hint="default" w:ascii="Times New Roman" w:hAnsi="Times New Roman" w:eastAsia="Times New Roman" w:cs="Times New Roman"/>
          <w:color w:val="auto"/>
          <w:sz w:val="24"/>
          <w:szCs w:val="24"/>
          <w:highlight w:val="none"/>
        </w:rPr>
        <w:t>10mm</w:t>
      </w:r>
      <w:r>
        <w:rPr>
          <w:rFonts w:hint="default" w:ascii="Times New Roman" w:hAnsi="Times New Roman" w:eastAsia="宋体" w:cs="Times New Roman"/>
          <w:color w:val="auto"/>
          <w:sz w:val="24"/>
          <w:szCs w:val="24"/>
          <w:highlight w:val="none"/>
          <w:lang w:eastAsia="zh-CN"/>
        </w:rPr>
        <w:t>泄漏模式</w:t>
      </w:r>
      <w:r>
        <w:rPr>
          <w:rFonts w:hint="default" w:ascii="Times New Roman" w:hAnsi="Times New Roman" w:eastAsia="宋体" w:cs="Times New Roman"/>
          <w:color w:val="auto"/>
          <w:spacing w:val="2"/>
          <w:sz w:val="24"/>
          <w:szCs w:val="24"/>
          <w:highlight w:val="none"/>
        </w:rPr>
        <w:t xml:space="preserve">，泄漏频率分别为 </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Times New Roman" w:cs="Times New Roman"/>
          <w:color w:val="auto"/>
          <w:sz w:val="24"/>
          <w:szCs w:val="24"/>
          <w:highlight w:val="none"/>
        </w:rPr>
        <w:t>.00×10</w:t>
      </w:r>
      <w:r>
        <w:rPr>
          <w:rFonts w:hint="default" w:ascii="Times New Roman" w:hAnsi="Times New Roman" w:eastAsia="Times New Roman" w:cs="Times New Roman"/>
          <w:color w:val="auto"/>
          <w:position w:val="8"/>
          <w:sz w:val="24"/>
          <w:szCs w:val="24"/>
          <w:highlight w:val="none"/>
          <w:vertAlign w:val="superscript"/>
        </w:rPr>
        <w:t>-</w:t>
      </w:r>
      <w:r>
        <w:rPr>
          <w:rFonts w:hint="default" w:ascii="Times New Roman" w:hAnsi="Times New Roman" w:eastAsia="宋体" w:cs="Times New Roman"/>
          <w:color w:val="auto"/>
          <w:position w:val="8"/>
          <w:sz w:val="24"/>
          <w:szCs w:val="24"/>
          <w:highlight w:val="none"/>
          <w:vertAlign w:val="superscript"/>
          <w:lang w:val="en-US" w:eastAsia="zh-CN"/>
        </w:rPr>
        <w:t>4</w:t>
      </w:r>
      <w:r>
        <w:rPr>
          <w:rFonts w:hint="default" w:ascii="Times New Roman" w:hAnsi="Times New Roman" w:eastAsia="Times New Roman" w:cs="Times New Roman"/>
          <w:color w:val="auto"/>
          <w:sz w:val="24"/>
          <w:szCs w:val="24"/>
          <w:highlight w:val="none"/>
        </w:rPr>
        <w:t>/a</w:t>
      </w:r>
      <w:r>
        <w:rPr>
          <w:rFonts w:hint="default" w:ascii="Times New Roman" w:hAnsi="Times New Roman" w:eastAsia="宋体" w:cs="Times New Roman"/>
          <w:color w:val="auto"/>
          <w:sz w:val="24"/>
          <w:szCs w:val="24"/>
          <w:highlight w:val="none"/>
        </w:rPr>
        <w:t>。根据同类型事故的情形和影响分析，同时结合环境风险识别结果，确定本项目的最大可信事故为：</w:t>
      </w:r>
    </w:p>
    <w:p>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lang w:val="en-US" w:eastAsia="zh-CN"/>
        </w:rPr>
        <w:t>1）物料泄漏</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kern w:val="2"/>
          <w:sz w:val="24"/>
          <w:szCs w:val="24"/>
          <w:highlight w:val="none"/>
          <w:lang w:val="en-US" w:eastAsia="zh-CN" w:bidi="ar-SA"/>
        </w:rPr>
        <w:t>本次评价主要考虑MDI</w:t>
      </w:r>
      <w:r>
        <w:rPr>
          <w:rFonts w:hint="default" w:ascii="Times New Roman" w:hAnsi="Times New Roman" w:cs="Times New Roman"/>
          <w:color w:val="auto"/>
          <w:kern w:val="2"/>
          <w:sz w:val="24"/>
          <w:szCs w:val="24"/>
          <w:highlight w:val="none"/>
          <w:lang w:val="en-US" w:eastAsia="zh-CN" w:bidi="ar-SA"/>
        </w:rPr>
        <w:t>预搅拌罐</w:t>
      </w:r>
      <w:r>
        <w:rPr>
          <w:rFonts w:hint="eastAsia" w:cs="Times New Roman"/>
          <w:color w:val="auto"/>
          <w:kern w:val="2"/>
          <w:sz w:val="24"/>
          <w:szCs w:val="24"/>
          <w:highlight w:val="none"/>
          <w:lang w:val="en-US" w:eastAsia="zh-CN" w:bidi="ar-SA"/>
        </w:rPr>
        <w:t>和包装桶</w:t>
      </w:r>
      <w:r>
        <w:rPr>
          <w:rFonts w:hint="default" w:ascii="Times New Roman" w:hAnsi="Times New Roman" w:eastAsia="宋体" w:cs="Times New Roman"/>
          <w:color w:val="auto"/>
          <w:kern w:val="2"/>
          <w:sz w:val="24"/>
          <w:szCs w:val="24"/>
          <w:highlight w:val="none"/>
          <w:lang w:val="en-US" w:eastAsia="zh-CN" w:bidi="ar-SA"/>
        </w:rPr>
        <w:t>破裂导致物质泄漏情形，将MDI泄漏设定为最大可信事故。</w:t>
      </w:r>
    </w:p>
    <w:p>
      <w:pPr>
        <w:spacing w:line="360" w:lineRule="auto"/>
        <w:ind w:firstLine="482" w:firstLineChars="20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eastAsia="zh-CN"/>
        </w:rPr>
        <w:t>（</w:t>
      </w:r>
      <w:r>
        <w:rPr>
          <w:rFonts w:hint="default" w:ascii="Times New Roman" w:hAnsi="Times New Roman" w:eastAsia="宋体" w:cs="Times New Roman"/>
          <w:b/>
          <w:bCs/>
          <w:color w:val="auto"/>
          <w:sz w:val="24"/>
          <w:szCs w:val="24"/>
          <w:highlight w:val="none"/>
          <w:lang w:val="en-US" w:eastAsia="zh-CN"/>
        </w:rPr>
        <w:t>2）火灾、爆炸等引发的伴生/次生污染物排放</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当发生火灾时，</w:t>
      </w:r>
      <w:r>
        <w:rPr>
          <w:rFonts w:hint="default" w:ascii="Times New Roman" w:hAnsi="Times New Roman" w:cs="Times New Roman"/>
          <w:color w:val="auto"/>
          <w:kern w:val="0"/>
          <w:sz w:val="24"/>
          <w:szCs w:val="20"/>
          <w:highlight w:val="none"/>
          <w:lang w:val="en-US" w:eastAsia="zh-CN" w:bidi="ar"/>
        </w:rPr>
        <w:t>改性</w:t>
      </w:r>
      <w:r>
        <w:rPr>
          <w:rFonts w:hint="default" w:ascii="Times New Roman" w:hAnsi="Times New Roman" w:eastAsia="宋体" w:cs="Times New Roman"/>
          <w:color w:val="auto"/>
          <w:kern w:val="0"/>
          <w:sz w:val="24"/>
          <w:szCs w:val="20"/>
          <w:highlight w:val="none"/>
          <w:lang w:val="en-US" w:eastAsia="zh-CN" w:bidi="ar"/>
        </w:rPr>
        <w:t>异氰酸酯物料受热分解产生氰化氢进入大气，另外考虑火灾伴生/次生污染物CO的产生。</w:t>
      </w:r>
    </w:p>
    <w:p>
      <w:pPr>
        <w:keepNext w:val="0"/>
        <w:keepLines w:val="0"/>
        <w:pageBreakBefore w:val="0"/>
        <w:widowControl w:val="0"/>
        <w:numPr>
          <w:ilvl w:val="0"/>
          <w:numId w:val="2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项目风险事故情形设定</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2250"/>
        <w:gridCol w:w="1467"/>
        <w:gridCol w:w="1650"/>
        <w:gridCol w:w="1417"/>
        <w:gridCol w:w="2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序号</w:t>
            </w:r>
          </w:p>
        </w:tc>
        <w:tc>
          <w:tcPr>
            <w:tcW w:w="225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风险事故情形描述</w:t>
            </w:r>
          </w:p>
        </w:tc>
        <w:tc>
          <w:tcPr>
            <w:tcW w:w="1467"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危险单元</w:t>
            </w:r>
          </w:p>
        </w:tc>
        <w:tc>
          <w:tcPr>
            <w:tcW w:w="1650"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风险源</w:t>
            </w:r>
          </w:p>
        </w:tc>
        <w:tc>
          <w:tcPr>
            <w:tcW w:w="1417"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危险物质</w:t>
            </w:r>
          </w:p>
        </w:tc>
        <w:tc>
          <w:tcPr>
            <w:tcW w:w="2181" w:type="dxa"/>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eastAsia="zh-CN"/>
              </w:rPr>
            </w:pPr>
            <w:r>
              <w:rPr>
                <w:rFonts w:hint="default" w:ascii="Times New Roman" w:hAnsi="Times New Roman" w:eastAsia="宋体" w:cs="Times New Roman"/>
                <w:b/>
                <w:bCs/>
                <w:color w:val="auto"/>
                <w:sz w:val="21"/>
                <w:szCs w:val="21"/>
                <w:highlight w:val="none"/>
                <w:vertAlign w:val="baseline"/>
                <w:lang w:eastAsia="zh-CN"/>
              </w:rPr>
              <w:t>影响途径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物料泄漏</w:t>
            </w:r>
          </w:p>
        </w:tc>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预搅拌罐</w:t>
            </w:r>
            <w:r>
              <w:rPr>
                <w:rFonts w:hint="default" w:ascii="Times New Roman" w:hAnsi="Times New Roman" w:eastAsia="宋体" w:cs="Times New Roman"/>
                <w:color w:val="auto"/>
                <w:sz w:val="21"/>
                <w:szCs w:val="21"/>
                <w:highlight w:val="none"/>
                <w:vertAlign w:val="baseline"/>
                <w:lang w:eastAsia="zh-CN"/>
              </w:rPr>
              <w:t>区</w:t>
            </w:r>
            <w:r>
              <w:rPr>
                <w:rFonts w:hint="eastAsia" w:cs="Times New Roman"/>
                <w:color w:val="auto"/>
                <w:sz w:val="21"/>
                <w:szCs w:val="21"/>
                <w:highlight w:val="none"/>
                <w:vertAlign w:val="baseline"/>
                <w:lang w:eastAsia="zh-CN"/>
              </w:rPr>
              <w:t>、</w:t>
            </w:r>
            <w:r>
              <w:rPr>
                <w:rFonts w:hint="eastAsia" w:cs="Times New Roman"/>
                <w:color w:val="auto"/>
                <w:sz w:val="21"/>
                <w:szCs w:val="21"/>
                <w:highlight w:val="none"/>
                <w:vertAlign w:val="baseline"/>
                <w:lang w:val="en-US" w:eastAsia="zh-CN"/>
              </w:rPr>
              <w:t>化学品仓库</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预搅拌罐</w:t>
            </w:r>
            <w:r>
              <w:rPr>
                <w:rFonts w:hint="eastAsia" w:cs="Times New Roman"/>
                <w:color w:val="auto"/>
                <w:sz w:val="21"/>
                <w:szCs w:val="21"/>
                <w:highlight w:val="none"/>
                <w:vertAlign w:val="baseline"/>
                <w:lang w:val="en-US" w:eastAsia="zh-CN"/>
              </w:rPr>
              <w:t>、MDI包装桶</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MDI</w:t>
            </w:r>
          </w:p>
        </w:tc>
        <w:tc>
          <w:tcPr>
            <w:tcW w:w="21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大气、地表水、地下水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22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eastAsia="zh-CN"/>
              </w:rPr>
              <w:t>火灾、爆炸等引发的伴生</w:t>
            </w:r>
            <w:r>
              <w:rPr>
                <w:rFonts w:hint="default" w:ascii="Times New Roman" w:hAnsi="Times New Roman" w:eastAsia="宋体" w:cs="Times New Roman"/>
                <w:color w:val="auto"/>
                <w:sz w:val="21"/>
                <w:szCs w:val="21"/>
                <w:highlight w:val="none"/>
                <w:vertAlign w:val="baseline"/>
                <w:lang w:val="en-US" w:eastAsia="zh-CN"/>
              </w:rPr>
              <w:t>/次生污染物排放</w:t>
            </w:r>
          </w:p>
        </w:tc>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预搅拌罐</w:t>
            </w:r>
            <w:r>
              <w:rPr>
                <w:rFonts w:hint="default" w:ascii="Times New Roman" w:hAnsi="Times New Roman" w:eastAsia="宋体" w:cs="Times New Roman"/>
                <w:color w:val="auto"/>
                <w:sz w:val="21"/>
                <w:szCs w:val="21"/>
                <w:highlight w:val="none"/>
                <w:vertAlign w:val="baseline"/>
                <w:lang w:eastAsia="zh-CN"/>
              </w:rPr>
              <w:t>区</w:t>
            </w:r>
            <w:r>
              <w:rPr>
                <w:rFonts w:hint="eastAsia" w:cs="Times New Roman"/>
                <w:color w:val="auto"/>
                <w:sz w:val="21"/>
                <w:szCs w:val="21"/>
                <w:highlight w:val="none"/>
                <w:vertAlign w:val="baseline"/>
                <w:lang w:eastAsia="zh-CN"/>
              </w:rPr>
              <w:t>、</w:t>
            </w:r>
            <w:r>
              <w:rPr>
                <w:rFonts w:hint="eastAsia" w:cs="Times New Roman"/>
                <w:color w:val="auto"/>
                <w:sz w:val="21"/>
                <w:szCs w:val="21"/>
                <w:highlight w:val="none"/>
                <w:vertAlign w:val="baseline"/>
                <w:lang w:val="en-US" w:eastAsia="zh-CN"/>
              </w:rPr>
              <w:t>化学品仓库</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预搅拌罐</w:t>
            </w:r>
            <w:r>
              <w:rPr>
                <w:rFonts w:hint="eastAsia" w:cs="Times New Roman"/>
                <w:color w:val="auto"/>
                <w:sz w:val="21"/>
                <w:szCs w:val="21"/>
                <w:highlight w:val="none"/>
                <w:vertAlign w:val="baseline"/>
                <w:lang w:val="en-US" w:eastAsia="zh-CN"/>
              </w:rPr>
              <w:t>、MDI包装桶</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HCN、CO</w:t>
            </w:r>
          </w:p>
        </w:tc>
        <w:tc>
          <w:tcPr>
            <w:tcW w:w="218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大气、地表水、地下水</w:t>
            </w:r>
          </w:p>
        </w:tc>
      </w:tr>
      <w:bookmarkEnd w:id="105"/>
      <w:bookmarkEnd w:id="106"/>
      <w:bookmarkEnd w:id="107"/>
      <w:bookmarkEnd w:id="108"/>
      <w:bookmarkEnd w:id="109"/>
    </w:tbl>
    <w:p>
      <w:pPr>
        <w:pStyle w:val="117"/>
        <w:numPr>
          <w:ilvl w:val="1"/>
          <w:numId w:val="12"/>
        </w:numPr>
        <w:bidi w:val="0"/>
        <w:ind w:left="850" w:leftChars="0" w:hanging="453" w:firstLineChars="0"/>
        <w:outlineLvl w:val="1"/>
        <w:rPr>
          <w:rFonts w:hint="default" w:ascii="Times New Roman" w:hAnsi="Times New Roman" w:eastAsia="宋体" w:cs="Times New Roman"/>
          <w:b/>
          <w:bCs/>
          <w:color w:val="auto"/>
          <w:sz w:val="24"/>
          <w:highlight w:val="none"/>
          <w:lang w:val="en-US" w:eastAsia="zh-CN"/>
        </w:rPr>
      </w:pPr>
      <w:bookmarkStart w:id="115" w:name="_Toc14268"/>
      <w:bookmarkStart w:id="116" w:name="_Toc29959"/>
      <w:bookmarkStart w:id="117" w:name="_Toc4371"/>
      <w:bookmarkStart w:id="118" w:name="_Toc8501"/>
      <w:bookmarkStart w:id="119" w:name="_Toc29031"/>
      <w:bookmarkStart w:id="120" w:name="_Toc13185_WPSOffice_Level2"/>
      <w:bookmarkStart w:id="121" w:name="_Toc24940_WPSOffice_Level2"/>
      <w:r>
        <w:rPr>
          <w:rFonts w:hint="default" w:ascii="Times New Roman" w:hAnsi="Times New Roman" w:eastAsia="宋体" w:cs="Times New Roman"/>
          <w:color w:val="auto"/>
          <w:lang w:val="en-US" w:eastAsia="zh-CN"/>
        </w:rPr>
        <w:t>源项分析</w:t>
      </w:r>
      <w:bookmarkEnd w:id="115"/>
      <w:bookmarkEnd w:id="116"/>
      <w:bookmarkEnd w:id="117"/>
      <w:bookmarkEnd w:id="118"/>
      <w:bookmarkEnd w:id="119"/>
    </w:p>
    <w:p>
      <w:pPr>
        <w:numPr>
          <w:ilvl w:val="2"/>
          <w:numId w:val="29"/>
        </w:numPr>
        <w:spacing w:line="360" w:lineRule="auto"/>
        <w:ind w:left="709" w:leftChars="0" w:hanging="709" w:firstLineChars="0"/>
        <w:jc w:val="left"/>
        <w:outlineLvl w:val="2"/>
        <w:rPr>
          <w:rFonts w:hint="default" w:ascii="Times New Roman" w:hAnsi="Times New Roman" w:eastAsia="宋体"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物</w:t>
      </w:r>
      <w:r>
        <w:rPr>
          <w:rFonts w:hint="default" w:ascii="Times New Roman" w:hAnsi="Times New Roman" w:eastAsia="宋体" w:cs="Times New Roman"/>
          <w:b/>
          <w:bCs/>
          <w:color w:val="auto"/>
          <w:sz w:val="24"/>
          <w:highlight w:val="none"/>
          <w:lang w:val="en-US" w:eastAsia="zh-CN"/>
        </w:rPr>
        <w:t>质泄漏量计算</w:t>
      </w:r>
    </w:p>
    <w:p>
      <w:pPr>
        <w:spacing w:line="360" w:lineRule="auto"/>
        <w:ind w:firstLine="480" w:firstLineChars="200"/>
        <w:jc w:val="left"/>
        <w:outlineLvl w:val="2"/>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1）泄漏事故源强</w:t>
      </w:r>
    </w:p>
    <w:p>
      <w:pPr>
        <w:widowControl w:val="0"/>
        <w:spacing w:before="1" w:after="120" w:line="364" w:lineRule="auto"/>
        <w:ind w:left="246" w:right="277" w:firstLine="480" w:firstLineChars="200"/>
        <w:rPr>
          <w:rFonts w:hint="default" w:ascii="Times New Roman" w:hAnsi="Times New Roman" w:eastAsia="宋体" w:cs="Times New Roman"/>
          <w:color w:val="auto"/>
          <w:kern w:val="2"/>
          <w:positio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假定泄漏事件均发生在常温、常压状态下。利用液体泄漏的源模式计算泄漏流量，公式为：</w:t>
      </w:r>
    </w:p>
    <w:p>
      <w:pPr>
        <w:keepNext w:val="0"/>
        <w:keepLines w:val="0"/>
        <w:widowControl w:val="0"/>
        <w:suppressLineNumbers w:val="0"/>
        <w:autoSpaceDE w:val="0"/>
        <w:autoSpaceDN w:val="0"/>
        <w:adjustRightInd w:val="0"/>
        <w:spacing w:before="0" w:beforeAutospacing="0" w:after="0" w:afterAutospacing="0"/>
        <w:ind w:left="0" w:right="0"/>
        <w:jc w:val="center"/>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drawing>
          <wp:inline distT="0" distB="0" distL="114300" distR="114300">
            <wp:extent cx="2042160" cy="538480"/>
            <wp:effectExtent l="0" t="0" r="15240" b="13970"/>
            <wp:docPr id="2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4"/>
                    <pic:cNvPicPr>
                      <a:picLocks noChangeAspect="1"/>
                    </pic:cNvPicPr>
                  </pic:nvPicPr>
                  <pic:blipFill>
                    <a:blip r:embed="rId46"/>
                    <a:stretch>
                      <a:fillRect/>
                    </a:stretch>
                  </pic:blipFill>
                  <pic:spPr>
                    <a:xfrm>
                      <a:off x="0" y="0"/>
                      <a:ext cx="2042160" cy="538480"/>
                    </a:xfrm>
                    <a:prstGeom prst="rect">
                      <a:avLst/>
                    </a:prstGeom>
                    <a:noFill/>
                    <a:ln>
                      <a:noFill/>
                    </a:ln>
                  </pic:spPr>
                </pic:pic>
              </a:graphicData>
            </a:graphic>
          </wp:inline>
        </w:drawing>
      </w:r>
    </w:p>
    <w:p>
      <w:pPr>
        <w:widowControl w:val="0"/>
        <w:adjustRightInd w:val="0"/>
        <w:snapToGrid w:val="0"/>
        <w:spacing w:beforeLines="15" w:line="312" w:lineRule="auto"/>
        <w:ind w:firstLine="567"/>
        <w:jc w:val="both"/>
        <w:rPr>
          <w:rFonts w:hint="default" w:ascii="Times New Roman" w:hAnsi="Times New Roman" w:eastAsia="宋体" w:cs="Times New Roman"/>
          <w:color w:val="auto"/>
          <w:kern w:val="2"/>
          <w:sz w:val="21"/>
          <w:szCs w:val="22"/>
          <w:highlight w:val="none"/>
          <w:lang w:val="en-US" w:eastAsia="zh-CN" w:bidi="ar-SA"/>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720" w:firstLineChars="300"/>
        <w:jc w:val="left"/>
        <w:textAlignment w:val="auto"/>
        <w:rPr>
          <w:rFonts w:hint="default" w:ascii="Times New Roman" w:hAnsi="Times New Roman" w:eastAsia="宋体" w:cs="Times New Roman"/>
          <w:color w:val="auto"/>
          <w:kern w:val="2"/>
          <w:position w:val="2"/>
          <w:sz w:val="24"/>
          <w:szCs w:val="24"/>
          <w:highlight w:val="none"/>
          <w:vertAlign w:val="baseline"/>
          <w:lang w:val="en-US" w:eastAsia="zh-CN" w:bidi="ar-SA"/>
        </w:rPr>
      </w:pPr>
      <w:r>
        <w:rPr>
          <w:rFonts w:hint="default" w:ascii="Times New Roman" w:hAnsi="Times New Roman" w:eastAsia="宋体" w:cs="Times New Roman"/>
          <w:color w:val="auto"/>
          <w:kern w:val="2"/>
          <w:position w:val="2"/>
          <w:sz w:val="24"/>
          <w:szCs w:val="24"/>
          <w:highlight w:val="none"/>
          <w:lang w:val="en-US" w:eastAsia="zh-CN" w:bidi="ar-SA"/>
        </w:rPr>
        <w:t>式中：</w:t>
      </w:r>
      <w:r>
        <w:rPr>
          <w:rFonts w:hint="default" w:ascii="Times New Roman" w:hAnsi="Times New Roman" w:eastAsia="Times New Roman" w:cs="Times New Roman"/>
          <w:color w:val="auto"/>
          <w:kern w:val="2"/>
          <w:position w:val="2"/>
          <w:sz w:val="24"/>
          <w:szCs w:val="24"/>
          <w:highlight w:val="none"/>
          <w:lang w:val="en-US" w:eastAsia="zh-CN" w:bidi="ar-SA"/>
        </w:rPr>
        <w:t>Q</w:t>
      </w:r>
      <w:r>
        <w:rPr>
          <w:rFonts w:hint="default" w:ascii="Times New Roman" w:hAnsi="Times New Roman" w:eastAsia="Times New Roman" w:cs="Times New Roman"/>
          <w:color w:val="auto"/>
          <w:kern w:val="2"/>
          <w:position w:val="2"/>
          <w:sz w:val="24"/>
          <w:szCs w:val="24"/>
          <w:highlight w:val="none"/>
          <w:vertAlign w:val="subscript"/>
          <w:lang w:val="en-US" w:eastAsia="zh-CN" w:bidi="ar-SA"/>
        </w:rPr>
        <w:t>L</w:t>
      </w:r>
      <w:r>
        <w:rPr>
          <w:rFonts w:hint="default" w:ascii="Times New Roman" w:hAnsi="Times New Roman" w:eastAsia="Times New Roman" w:cs="Times New Roman"/>
          <w:color w:val="auto"/>
          <w:kern w:val="2"/>
          <w:position w:val="2"/>
          <w:sz w:val="24"/>
          <w:szCs w:val="24"/>
          <w:highlight w:val="none"/>
          <w:vertAlign w:val="baseline"/>
          <w:lang w:val="en-US" w:eastAsia="zh-CN" w:bidi="ar-SA"/>
        </w:rPr>
        <w:t>——</w:t>
      </w:r>
      <w:r>
        <w:rPr>
          <w:rFonts w:hint="default" w:ascii="Times New Roman" w:hAnsi="Times New Roman" w:eastAsia="宋体" w:cs="Times New Roman"/>
          <w:color w:val="auto"/>
          <w:kern w:val="2"/>
          <w:position w:val="2"/>
          <w:sz w:val="24"/>
          <w:szCs w:val="24"/>
          <w:highlight w:val="none"/>
          <w:vertAlign w:val="baseline"/>
          <w:lang w:val="en-US" w:eastAsia="zh-CN" w:bidi="ar-SA"/>
        </w:rPr>
        <w:t>流量，</w:t>
      </w:r>
      <w:r>
        <w:rPr>
          <w:rFonts w:hint="default" w:ascii="Times New Roman" w:hAnsi="Times New Roman" w:eastAsia="Times New Roman" w:cs="Times New Roman"/>
          <w:color w:val="auto"/>
          <w:kern w:val="2"/>
          <w:position w:val="2"/>
          <w:sz w:val="24"/>
          <w:szCs w:val="24"/>
          <w:highlight w:val="none"/>
          <w:vertAlign w:val="baseline"/>
          <w:lang w:val="en-US" w:eastAsia="zh-CN" w:bidi="ar-SA"/>
        </w:rPr>
        <w:t>kg/s</w:t>
      </w:r>
      <w:r>
        <w:rPr>
          <w:rFonts w:hint="default" w:ascii="Times New Roman" w:hAnsi="Times New Roman" w:eastAsia="宋体" w:cs="Times New Roman"/>
          <w:color w:val="auto"/>
          <w:kern w:val="2"/>
          <w:position w:val="2"/>
          <w:sz w:val="24"/>
          <w:szCs w:val="24"/>
          <w:highlight w:val="none"/>
          <w:vertAlign w:val="baseline"/>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firstLine="720" w:firstLineChars="300"/>
        <w:jc w:val="left"/>
        <w:textAlignment w:val="auto"/>
        <w:rPr>
          <w:rFonts w:hint="default" w:ascii="Times New Roman" w:hAnsi="Times New Roman" w:eastAsia="Times New Roman" w:cs="Times New Roman"/>
          <w:color w:val="auto"/>
          <w:kern w:val="2"/>
          <w:sz w:val="24"/>
          <w:szCs w:val="24"/>
          <w:highlight w:val="none"/>
          <w:vertAlign w:val="baseline"/>
          <w:lang w:val="en-US" w:eastAsia="zh-CN" w:bidi="ar-SA"/>
        </w:rPr>
      </w:pPr>
      <w:r>
        <w:rPr>
          <w:rFonts w:hint="default" w:ascii="Times New Roman" w:hAnsi="Times New Roman" w:eastAsia="Times New Roman" w:cs="Times New Roman"/>
          <w:color w:val="auto"/>
          <w:kern w:val="2"/>
          <w:sz w:val="24"/>
          <w:szCs w:val="24"/>
          <w:highlight w:val="none"/>
          <w:vertAlign w:val="baseline"/>
          <w:lang w:val="en-US" w:eastAsia="zh-CN" w:bidi="ar-SA"/>
        </w:rPr>
        <w:t>Cd——液体泄漏系数，取0.5；</w:t>
      </w:r>
    </w:p>
    <w:p>
      <w:pPr>
        <w:keepNext w:val="0"/>
        <w:keepLines w:val="0"/>
        <w:pageBreakBefore w:val="0"/>
        <w:widowControl w:val="0"/>
        <w:kinsoku/>
        <w:wordWrap/>
        <w:overflowPunct/>
        <w:topLinePunct w:val="0"/>
        <w:autoSpaceDE w:val="0"/>
        <w:autoSpaceDN w:val="0"/>
        <w:bidi w:val="0"/>
        <w:adjustRightInd/>
        <w:snapToGrid/>
        <w:spacing w:after="0" w:line="360" w:lineRule="auto"/>
        <w:ind w:right="0" w:firstLine="720" w:firstLineChars="300"/>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Times New Roman" w:cs="Times New Roman"/>
          <w:color w:val="auto"/>
          <w:kern w:val="2"/>
          <w:sz w:val="24"/>
          <w:szCs w:val="24"/>
          <w:highlight w:val="none"/>
          <w:lang w:val="en-US" w:eastAsia="zh-CN" w:bidi="ar-SA"/>
        </w:rPr>
        <w:t>A——</w:t>
      </w:r>
      <w:r>
        <w:rPr>
          <w:rFonts w:hint="default" w:ascii="Times New Roman" w:hAnsi="Times New Roman" w:eastAsia="宋体" w:cs="Times New Roman"/>
          <w:color w:val="auto"/>
          <w:kern w:val="2"/>
          <w:sz w:val="24"/>
          <w:szCs w:val="24"/>
          <w:highlight w:val="none"/>
          <w:lang w:val="en-US" w:eastAsia="zh-CN" w:bidi="ar-SA"/>
        </w:rPr>
        <w:t>小孔横截面积，</w:t>
      </w:r>
      <w:r>
        <w:rPr>
          <w:rFonts w:hint="default" w:ascii="Times New Roman" w:hAnsi="Times New Roman" w:eastAsia="Times New Roman" w:cs="Times New Roman"/>
          <w:color w:val="auto"/>
          <w:kern w:val="2"/>
          <w:sz w:val="24"/>
          <w:szCs w:val="24"/>
          <w:highlight w:val="none"/>
          <w:lang w:val="en-US" w:eastAsia="zh-CN" w:bidi="ar-SA"/>
        </w:rPr>
        <w:t>m</w:t>
      </w:r>
      <w:r>
        <w:rPr>
          <w:rFonts w:hint="default" w:ascii="Times New Roman" w:hAnsi="Times New Roman" w:eastAsia="Times New Roman" w:cs="Times New Roman"/>
          <w:color w:val="auto"/>
          <w:kern w:val="2"/>
          <w:position w:val="8"/>
          <w:sz w:val="15"/>
          <w:szCs w:val="24"/>
          <w:highlight w:val="none"/>
          <w:lang w:val="en-US" w:eastAsia="zh-CN" w:bidi="ar-SA"/>
        </w:rPr>
        <w:t>2</w:t>
      </w:r>
      <w:r>
        <w:rPr>
          <w:rFonts w:hint="default" w:ascii="Times New Roman" w:hAnsi="Times New Roman" w:eastAsia="宋体" w:cs="Times New Roman"/>
          <w:color w:val="auto"/>
          <w:kern w:val="2"/>
          <w:sz w:val="24"/>
          <w:szCs w:val="24"/>
          <w:highlight w:val="none"/>
          <w:lang w:val="en-US" w:eastAsia="zh-CN" w:bidi="ar-SA"/>
        </w:rPr>
        <w:t>；（</w:t>
      </w:r>
      <w:r>
        <w:rPr>
          <w:rFonts w:hint="default" w:ascii="Times New Roman" w:hAnsi="Times New Roman" w:cs="Times New Roman"/>
          <w:color w:val="auto"/>
          <w:kern w:val="2"/>
          <w:sz w:val="24"/>
          <w:szCs w:val="24"/>
          <w:highlight w:val="none"/>
          <w:lang w:val="en-US" w:eastAsia="zh-CN" w:bidi="ar-SA"/>
        </w:rPr>
        <w:t>罐体</w:t>
      </w:r>
      <w:r>
        <w:rPr>
          <w:rFonts w:hint="eastAsia" w:cs="Times New Roman"/>
          <w:color w:val="auto"/>
          <w:kern w:val="2"/>
          <w:sz w:val="24"/>
          <w:szCs w:val="24"/>
          <w:highlight w:val="none"/>
          <w:lang w:val="en-US" w:eastAsia="zh-CN" w:bidi="ar-SA"/>
        </w:rPr>
        <w:t>和包装桶</w:t>
      </w:r>
      <w:r>
        <w:rPr>
          <w:rFonts w:hint="default" w:ascii="Times New Roman" w:hAnsi="Times New Roman" w:eastAsia="宋体" w:cs="Times New Roman"/>
          <w:color w:val="auto"/>
          <w:kern w:val="2"/>
          <w:sz w:val="24"/>
          <w:szCs w:val="24"/>
          <w:highlight w:val="none"/>
          <w:lang w:val="en-US" w:eastAsia="zh-CN" w:bidi="ar-SA"/>
        </w:rPr>
        <w:t>泄漏模式分为泄漏孔径为10mm孔径</w:t>
      </w:r>
      <w:r>
        <w:rPr>
          <w:rFonts w:hint="default" w:ascii="Times New Roman" w:hAnsi="Times New Roman" w:cs="Times New Roman"/>
          <w:color w:val="auto"/>
          <w:kern w:val="2"/>
          <w:sz w:val="24"/>
          <w:szCs w:val="24"/>
          <w:highlight w:val="none"/>
          <w:lang w:val="en-US" w:eastAsia="zh-CN" w:bidi="ar-SA"/>
        </w:rPr>
        <w:t>，本项目</w:t>
      </w:r>
      <w:r>
        <w:rPr>
          <w:rFonts w:hint="default" w:ascii="Times New Roman" w:hAnsi="Times New Roman" w:eastAsia="宋体" w:cs="Times New Roman"/>
          <w:color w:val="auto"/>
          <w:kern w:val="2"/>
          <w:sz w:val="24"/>
          <w:szCs w:val="24"/>
          <w:highlight w:val="none"/>
          <w:lang w:val="en-US" w:eastAsia="zh-CN" w:bidi="ar-SA"/>
        </w:rPr>
        <w:t>取裂口半径5</w:t>
      </w:r>
      <w:r>
        <w:rPr>
          <w:rFonts w:hint="default" w:ascii="Times New Roman" w:hAnsi="Times New Roman" w:cs="Times New Roman"/>
          <w:color w:val="auto"/>
          <w:kern w:val="2"/>
          <w:sz w:val="24"/>
          <w:szCs w:val="24"/>
          <w:highlight w:val="none"/>
          <w:lang w:val="en-US" w:eastAsia="zh-CN" w:bidi="ar-SA"/>
        </w:rPr>
        <w:t>m</w:t>
      </w:r>
      <w:r>
        <w:rPr>
          <w:rFonts w:hint="default" w:ascii="Times New Roman" w:hAnsi="Times New Roman" w:eastAsia="Times New Roman" w:cs="Times New Roman"/>
          <w:color w:val="auto"/>
          <w:kern w:val="2"/>
          <w:sz w:val="24"/>
          <w:szCs w:val="24"/>
          <w:highlight w:val="none"/>
          <w:lang w:val="en-US" w:eastAsia="zh-CN" w:bidi="ar-SA"/>
        </w:rPr>
        <w:t>m</w:t>
      </w:r>
      <w:r>
        <w:rPr>
          <w:rFonts w:hint="default" w:ascii="Times New Roman" w:hAnsi="Times New Roman" w:eastAsia="宋体" w:cs="Times New Roman"/>
          <w:color w:val="auto"/>
          <w:kern w:val="2"/>
          <w:sz w:val="24"/>
          <w:szCs w:val="24"/>
          <w:highlight w:val="none"/>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after="0" w:line="360" w:lineRule="auto"/>
        <w:ind w:right="0" w:firstLine="720" w:firstLineChars="300"/>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Times New Roman" w:cs="Times New Roman"/>
          <w:color w:val="auto"/>
          <w:kern w:val="2"/>
          <w:position w:val="2"/>
          <w:sz w:val="24"/>
          <w:szCs w:val="24"/>
          <w:highlight w:val="none"/>
          <w:lang w:val="en-US" w:eastAsia="zh-CN" w:bidi="ar-SA"/>
        </w:rPr>
        <w:t>P——</w:t>
      </w:r>
      <w:r>
        <w:rPr>
          <w:rFonts w:hint="default" w:ascii="Times New Roman" w:hAnsi="Times New Roman" w:eastAsia="宋体" w:cs="Times New Roman"/>
          <w:color w:val="auto"/>
          <w:kern w:val="2"/>
          <w:position w:val="2"/>
          <w:sz w:val="24"/>
          <w:szCs w:val="24"/>
          <w:highlight w:val="none"/>
          <w:lang w:val="en-US" w:eastAsia="zh-CN" w:bidi="ar-SA"/>
        </w:rPr>
        <w:t>容器内介质压力；</w:t>
      </w:r>
      <w:r>
        <w:rPr>
          <w:rFonts w:hint="default" w:ascii="Times New Roman" w:hAnsi="Times New Roman" w:eastAsia="Times New Roman" w:cs="Times New Roman"/>
          <w:color w:val="auto"/>
          <w:kern w:val="2"/>
          <w:position w:val="2"/>
          <w:sz w:val="24"/>
          <w:szCs w:val="24"/>
          <w:highlight w:val="none"/>
          <w:lang w:val="en-US" w:eastAsia="zh-CN" w:bidi="ar-SA"/>
        </w:rPr>
        <w:t>Pa</w:t>
      </w:r>
      <w:r>
        <w:rPr>
          <w:rFonts w:hint="default" w:ascii="Times New Roman" w:hAnsi="Times New Roman" w:eastAsia="宋体" w:cs="Times New Roman"/>
          <w:color w:val="auto"/>
          <w:kern w:val="2"/>
          <w:position w:val="2"/>
          <w:sz w:val="24"/>
          <w:szCs w:val="24"/>
          <w:highlight w:val="none"/>
          <w:lang w:val="en-US" w:eastAsia="zh-CN" w:bidi="ar-SA"/>
        </w:rPr>
        <w:t>（</w:t>
      </w:r>
      <w:r>
        <w:rPr>
          <w:rFonts w:hint="default" w:ascii="Times New Roman" w:hAnsi="Times New Roman" w:eastAsia="Times New Roman" w:cs="Times New Roman"/>
          <w:color w:val="auto"/>
          <w:kern w:val="2"/>
          <w:position w:val="2"/>
          <w:sz w:val="24"/>
          <w:szCs w:val="24"/>
          <w:highlight w:val="none"/>
          <w:lang w:val="en-US" w:eastAsia="zh-CN" w:bidi="ar-SA"/>
        </w:rPr>
        <w:t>P=P</w:t>
      </w:r>
      <w:r>
        <w:rPr>
          <w:rFonts w:hint="default" w:ascii="Times New Roman" w:hAnsi="Times New Roman" w:eastAsia="Times New Roman" w:cs="Times New Roman"/>
          <w:color w:val="auto"/>
          <w:kern w:val="2"/>
          <w:position w:val="2"/>
          <w:sz w:val="24"/>
          <w:szCs w:val="24"/>
          <w:highlight w:val="none"/>
          <w:vertAlign w:val="subscript"/>
          <w:lang w:val="en-US" w:eastAsia="zh-CN" w:bidi="ar-SA"/>
        </w:rPr>
        <w:t>0</w:t>
      </w:r>
      <w:r>
        <w:rPr>
          <w:rFonts w:hint="default" w:ascii="Times New Roman" w:hAnsi="Times New Roman" w:eastAsia="宋体" w:cs="Times New Roman"/>
          <w:color w:val="auto"/>
          <w:kern w:val="2"/>
          <w:position w:val="2"/>
          <w:sz w:val="24"/>
          <w:szCs w:val="24"/>
          <w:highlight w:val="none"/>
          <w:vertAlign w:val="baseline"/>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after="0" w:line="360" w:lineRule="auto"/>
        <w:ind w:right="0" w:firstLine="720" w:firstLineChars="300"/>
        <w:jc w:val="left"/>
        <w:textAlignment w:val="auto"/>
        <w:rPr>
          <w:rFonts w:hint="default" w:ascii="Times New Roman" w:hAnsi="Times New Roman" w:eastAsia="宋体" w:cs="Times New Roman"/>
          <w:color w:val="auto"/>
          <w:kern w:val="2"/>
          <w:position w:val="2"/>
          <w:sz w:val="24"/>
          <w:szCs w:val="24"/>
          <w:highlight w:val="none"/>
          <w:vertAlign w:val="baseline"/>
          <w:lang w:val="en-US" w:eastAsia="zh-CN" w:bidi="ar-SA"/>
        </w:rPr>
      </w:pPr>
      <w:r>
        <w:rPr>
          <w:rFonts w:hint="default" w:ascii="Times New Roman" w:hAnsi="Times New Roman" w:eastAsia="Times New Roman" w:cs="Times New Roman"/>
          <w:color w:val="auto"/>
          <w:kern w:val="2"/>
          <w:position w:val="2"/>
          <w:sz w:val="24"/>
          <w:szCs w:val="24"/>
          <w:highlight w:val="none"/>
          <w:lang w:val="en-US" w:eastAsia="zh-CN" w:bidi="ar-SA"/>
        </w:rPr>
        <w:t>P</w:t>
      </w:r>
      <w:r>
        <w:rPr>
          <w:rFonts w:hint="default" w:ascii="Times New Roman" w:hAnsi="Times New Roman" w:eastAsia="Times New Roman" w:cs="Times New Roman"/>
          <w:color w:val="auto"/>
          <w:kern w:val="2"/>
          <w:position w:val="2"/>
          <w:sz w:val="24"/>
          <w:szCs w:val="24"/>
          <w:highlight w:val="none"/>
          <w:vertAlign w:val="subscript"/>
          <w:lang w:val="en-US" w:eastAsia="zh-CN" w:bidi="ar-SA"/>
        </w:rPr>
        <w:t>0</w:t>
      </w:r>
      <w:r>
        <w:rPr>
          <w:rFonts w:hint="default" w:ascii="Times New Roman" w:hAnsi="Times New Roman" w:eastAsia="Times New Roman" w:cs="Times New Roman"/>
          <w:color w:val="auto"/>
          <w:kern w:val="2"/>
          <w:position w:val="2"/>
          <w:sz w:val="24"/>
          <w:szCs w:val="24"/>
          <w:highlight w:val="none"/>
          <w:vertAlign w:val="baseline"/>
          <w:lang w:val="en-US" w:eastAsia="zh-CN" w:bidi="ar-SA"/>
        </w:rPr>
        <w:t>——</w:t>
      </w:r>
      <w:r>
        <w:rPr>
          <w:rFonts w:hint="default" w:ascii="Times New Roman" w:hAnsi="Times New Roman" w:eastAsia="宋体" w:cs="Times New Roman"/>
          <w:color w:val="auto"/>
          <w:kern w:val="2"/>
          <w:position w:val="2"/>
          <w:sz w:val="24"/>
          <w:szCs w:val="24"/>
          <w:highlight w:val="none"/>
          <w:vertAlign w:val="baseline"/>
          <w:lang w:val="en-US" w:eastAsia="zh-CN" w:bidi="ar-SA"/>
        </w:rPr>
        <w:t>环境压力，</w:t>
      </w:r>
      <w:r>
        <w:rPr>
          <w:rFonts w:hint="default" w:ascii="Times New Roman" w:hAnsi="Times New Roman" w:eastAsia="Times New Roman" w:cs="Times New Roman"/>
          <w:color w:val="auto"/>
          <w:kern w:val="2"/>
          <w:position w:val="2"/>
          <w:sz w:val="24"/>
          <w:szCs w:val="24"/>
          <w:highlight w:val="none"/>
          <w:vertAlign w:val="baseline"/>
          <w:lang w:val="en-US" w:eastAsia="zh-CN" w:bidi="ar-SA"/>
        </w:rPr>
        <w:t>101325Pa</w:t>
      </w:r>
      <w:r>
        <w:rPr>
          <w:rFonts w:hint="default" w:ascii="Times New Roman" w:hAnsi="Times New Roman" w:eastAsia="宋体" w:cs="Times New Roman"/>
          <w:color w:val="auto"/>
          <w:kern w:val="2"/>
          <w:position w:val="2"/>
          <w:sz w:val="24"/>
          <w:szCs w:val="24"/>
          <w:highlight w:val="none"/>
          <w:vertAlign w:val="baseline"/>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after="0" w:line="360" w:lineRule="auto"/>
        <w:ind w:right="0" w:firstLine="720" w:firstLineChars="300"/>
        <w:jc w:val="left"/>
        <w:textAlignment w:val="auto"/>
        <w:rPr>
          <w:rFonts w:hint="default" w:ascii="Times New Roman" w:hAnsi="Times New Roman" w:eastAsia="宋体" w:cs="Times New Roman"/>
          <w:color w:val="auto"/>
          <w:kern w:val="2"/>
          <w:position w:val="2"/>
          <w:sz w:val="24"/>
          <w:szCs w:val="24"/>
          <w:highlight w:val="none"/>
          <w:vertAlign w:val="baseline"/>
          <w:lang w:val="en-US" w:eastAsia="zh-CN" w:bidi="ar-SA"/>
        </w:rPr>
      </w:pPr>
      <w:r>
        <w:rPr>
          <w:rFonts w:hint="default" w:ascii="Times New Roman" w:hAnsi="Times New Roman" w:eastAsia="Times New Roman" w:cs="Times New Roman"/>
          <w:color w:val="auto"/>
          <w:kern w:val="2"/>
          <w:sz w:val="24"/>
          <w:szCs w:val="24"/>
          <w:highlight w:val="none"/>
          <w:vertAlign w:val="baseline"/>
          <w:lang w:val="en-US" w:eastAsia="zh-CN" w:bidi="ar-SA"/>
        </w:rPr>
        <w:t>ρ——</w:t>
      </w:r>
      <w:r>
        <w:rPr>
          <w:rFonts w:hint="default" w:ascii="Times New Roman" w:hAnsi="Times New Roman" w:eastAsia="宋体" w:cs="Times New Roman"/>
          <w:color w:val="auto"/>
          <w:kern w:val="2"/>
          <w:sz w:val="24"/>
          <w:szCs w:val="24"/>
          <w:highlight w:val="none"/>
          <w:vertAlign w:val="baseline"/>
          <w:lang w:val="en-US" w:eastAsia="zh-CN" w:bidi="ar-SA"/>
        </w:rPr>
        <w:t>密度；</w:t>
      </w:r>
      <w:r>
        <w:rPr>
          <w:rFonts w:hint="default" w:ascii="Times New Roman" w:hAnsi="Times New Roman" w:eastAsia="Times New Roman" w:cs="Times New Roman"/>
          <w:color w:val="auto"/>
          <w:kern w:val="2"/>
          <w:sz w:val="24"/>
          <w:szCs w:val="24"/>
          <w:highlight w:val="none"/>
          <w:vertAlign w:val="baseline"/>
          <w:lang w:val="en-US" w:eastAsia="zh-CN" w:bidi="ar-SA"/>
        </w:rPr>
        <w:t>kg/m</w:t>
      </w:r>
      <w:r>
        <w:rPr>
          <w:rFonts w:hint="default" w:ascii="Times New Roman" w:hAnsi="Times New Roman" w:eastAsia="Times New Roman" w:cs="Times New Roman"/>
          <w:color w:val="auto"/>
          <w:kern w:val="2"/>
          <w:position w:val="8"/>
          <w:sz w:val="15"/>
          <w:szCs w:val="24"/>
          <w:highlight w:val="none"/>
          <w:vertAlign w:val="baseline"/>
          <w:lang w:val="en-US" w:eastAsia="zh-CN" w:bidi="ar-SA"/>
        </w:rPr>
        <w:t>3</w:t>
      </w:r>
      <w:r>
        <w:rPr>
          <w:rFonts w:hint="default" w:ascii="Times New Roman" w:hAnsi="Times New Roman" w:cs="Times New Roman"/>
          <w:color w:val="auto"/>
          <w:kern w:val="2"/>
          <w:position w:val="2"/>
          <w:sz w:val="24"/>
          <w:szCs w:val="24"/>
          <w:highlight w:val="none"/>
          <w:vertAlign w:val="baseline"/>
          <w:lang w:val="en-US" w:eastAsia="zh-CN" w:bidi="ar-SA"/>
        </w:rPr>
        <w:t>，本项目改性异氰酸酯密度为1200</w:t>
      </w:r>
      <w:r>
        <w:rPr>
          <w:rFonts w:hint="default" w:ascii="Times New Roman" w:hAnsi="Times New Roman" w:eastAsia="Times New Roman" w:cs="Times New Roman"/>
          <w:color w:val="auto"/>
          <w:kern w:val="2"/>
          <w:sz w:val="24"/>
          <w:szCs w:val="24"/>
          <w:highlight w:val="none"/>
          <w:vertAlign w:val="baseline"/>
          <w:lang w:val="en-US" w:eastAsia="zh-CN" w:bidi="ar-SA"/>
        </w:rPr>
        <w:t>kg/m</w:t>
      </w:r>
      <w:r>
        <w:rPr>
          <w:rFonts w:hint="default" w:ascii="Times New Roman" w:hAnsi="Times New Roman" w:eastAsia="Times New Roman" w:cs="Times New Roman"/>
          <w:color w:val="auto"/>
          <w:kern w:val="2"/>
          <w:position w:val="8"/>
          <w:sz w:val="15"/>
          <w:szCs w:val="24"/>
          <w:highlight w:val="none"/>
          <w:vertAlign w:val="baseline"/>
          <w:lang w:val="en-US" w:eastAsia="zh-CN" w:bidi="ar-SA"/>
        </w:rPr>
        <w:t>3</w:t>
      </w:r>
      <w:r>
        <w:rPr>
          <w:rFonts w:hint="default" w:ascii="Times New Roman" w:hAnsi="Times New Roman" w:eastAsia="宋体" w:cs="Times New Roman"/>
          <w:color w:val="auto"/>
          <w:kern w:val="2"/>
          <w:position w:val="2"/>
          <w:sz w:val="24"/>
          <w:szCs w:val="24"/>
          <w:highlight w:val="none"/>
          <w:vertAlign w:val="baseline"/>
          <w:lang w:val="en-US" w:eastAsia="zh-CN" w:bidi="ar-SA"/>
        </w:rPr>
        <w:t>；</w:t>
      </w:r>
      <w:r>
        <w:rPr>
          <w:rFonts w:hint="default" w:ascii="Times New Roman" w:hAnsi="Times New Roman" w:cs="Times New Roman"/>
          <w:color w:val="auto"/>
          <w:kern w:val="2"/>
          <w:position w:val="2"/>
          <w:sz w:val="24"/>
          <w:szCs w:val="24"/>
          <w:highlight w:val="none"/>
          <w:vertAlign w:val="baseline"/>
          <w:lang w:val="en-US" w:eastAsia="zh-CN" w:bidi="ar-SA"/>
        </w:rPr>
        <w:t>硅油密度为970</w:t>
      </w:r>
      <w:r>
        <w:rPr>
          <w:rFonts w:hint="default" w:ascii="Times New Roman" w:hAnsi="Times New Roman" w:eastAsia="Times New Roman" w:cs="Times New Roman"/>
          <w:color w:val="auto"/>
          <w:kern w:val="2"/>
          <w:sz w:val="24"/>
          <w:szCs w:val="24"/>
          <w:highlight w:val="none"/>
          <w:vertAlign w:val="baseline"/>
          <w:lang w:val="en-US" w:eastAsia="zh-CN" w:bidi="ar-SA"/>
        </w:rPr>
        <w:t>kg/m</w:t>
      </w:r>
      <w:r>
        <w:rPr>
          <w:rFonts w:hint="default" w:ascii="Times New Roman" w:hAnsi="Times New Roman" w:eastAsia="Times New Roman" w:cs="Times New Roman"/>
          <w:color w:val="auto"/>
          <w:kern w:val="2"/>
          <w:position w:val="8"/>
          <w:sz w:val="15"/>
          <w:szCs w:val="24"/>
          <w:highlight w:val="none"/>
          <w:vertAlign w:val="baseline"/>
          <w:lang w:val="en-US" w:eastAsia="zh-CN" w:bidi="ar-SA"/>
        </w:rPr>
        <w:t>3</w:t>
      </w:r>
      <w:r>
        <w:rPr>
          <w:rFonts w:hint="default" w:ascii="Times New Roman" w:hAnsi="Times New Roman" w:eastAsia="宋体" w:cs="Times New Roman"/>
          <w:color w:val="auto"/>
          <w:kern w:val="2"/>
          <w:position w:val="2"/>
          <w:sz w:val="24"/>
          <w:szCs w:val="24"/>
          <w:highlight w:val="none"/>
          <w:vertAlign w:val="baseline"/>
          <w:lang w:val="en-US" w:eastAsia="zh-CN" w:bidi="ar-SA"/>
        </w:rPr>
        <w:t>；</w:t>
      </w:r>
      <w:r>
        <w:rPr>
          <w:rFonts w:hint="default" w:ascii="Times New Roman" w:hAnsi="Times New Roman" w:cs="Times New Roman"/>
          <w:color w:val="auto"/>
          <w:kern w:val="2"/>
          <w:position w:val="2"/>
          <w:sz w:val="24"/>
          <w:szCs w:val="24"/>
          <w:highlight w:val="none"/>
          <w:vertAlign w:val="baseline"/>
          <w:lang w:val="en-US" w:eastAsia="zh-CN" w:bidi="ar-SA"/>
        </w:rPr>
        <w:t>聚醚多元醇密度为1002</w:t>
      </w:r>
      <w:r>
        <w:rPr>
          <w:rFonts w:hint="default" w:ascii="Times New Roman" w:hAnsi="Times New Roman" w:eastAsia="Times New Roman" w:cs="Times New Roman"/>
          <w:color w:val="auto"/>
          <w:kern w:val="2"/>
          <w:sz w:val="24"/>
          <w:szCs w:val="24"/>
          <w:highlight w:val="none"/>
          <w:vertAlign w:val="baseline"/>
          <w:lang w:val="en-US" w:eastAsia="zh-CN" w:bidi="ar-SA"/>
        </w:rPr>
        <w:t>kg/m</w:t>
      </w:r>
      <w:r>
        <w:rPr>
          <w:rFonts w:hint="default" w:ascii="Times New Roman" w:hAnsi="Times New Roman" w:eastAsia="Times New Roman" w:cs="Times New Roman"/>
          <w:color w:val="auto"/>
          <w:kern w:val="2"/>
          <w:position w:val="8"/>
          <w:sz w:val="15"/>
          <w:szCs w:val="24"/>
          <w:highlight w:val="none"/>
          <w:vertAlign w:val="baseline"/>
          <w:lang w:val="en-US" w:eastAsia="zh-CN" w:bidi="ar-SA"/>
        </w:rPr>
        <w:t>3</w:t>
      </w:r>
      <w:r>
        <w:rPr>
          <w:rFonts w:hint="default" w:ascii="Times New Roman" w:hAnsi="Times New Roman" w:eastAsia="宋体" w:cs="Times New Roman"/>
          <w:color w:val="auto"/>
          <w:kern w:val="2"/>
          <w:position w:val="2"/>
          <w:sz w:val="24"/>
          <w:szCs w:val="24"/>
          <w:highlight w:val="none"/>
          <w:vertAlign w:val="baseline"/>
          <w:lang w:val="en-US" w:eastAsia="zh-CN" w:bidi="ar-SA"/>
        </w:rPr>
        <w:t>；</w:t>
      </w:r>
    </w:p>
    <w:p>
      <w:pPr>
        <w:keepNext w:val="0"/>
        <w:keepLines w:val="0"/>
        <w:pageBreakBefore w:val="0"/>
        <w:widowControl w:val="0"/>
        <w:kinsoku/>
        <w:wordWrap/>
        <w:overflowPunct/>
        <w:topLinePunct w:val="0"/>
        <w:autoSpaceDE w:val="0"/>
        <w:autoSpaceDN w:val="0"/>
        <w:bidi w:val="0"/>
        <w:adjustRightInd/>
        <w:snapToGrid/>
        <w:spacing w:after="0" w:line="360" w:lineRule="auto"/>
        <w:ind w:right="0" w:firstLine="720" w:firstLineChars="300"/>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Times New Roman" w:cs="Times New Roman"/>
          <w:color w:val="auto"/>
          <w:kern w:val="2"/>
          <w:sz w:val="24"/>
          <w:szCs w:val="24"/>
          <w:highlight w:val="none"/>
          <w:vertAlign w:val="baseline"/>
          <w:lang w:val="en-US" w:eastAsia="zh-CN" w:bidi="ar-SA"/>
        </w:rPr>
        <w:t>g ——</w:t>
      </w:r>
      <w:r>
        <w:rPr>
          <w:rFonts w:hint="default" w:ascii="Times New Roman" w:hAnsi="Times New Roman" w:eastAsia="宋体" w:cs="Times New Roman"/>
          <w:color w:val="auto"/>
          <w:kern w:val="2"/>
          <w:sz w:val="24"/>
          <w:szCs w:val="24"/>
          <w:highlight w:val="none"/>
          <w:vertAlign w:val="baseline"/>
          <w:lang w:val="en-US" w:eastAsia="zh-CN" w:bidi="ar-SA"/>
        </w:rPr>
        <w:t>重力加速度，</w:t>
      </w:r>
      <w:r>
        <w:rPr>
          <w:rFonts w:hint="default" w:ascii="Times New Roman" w:hAnsi="Times New Roman" w:eastAsia="Times New Roman" w:cs="Times New Roman"/>
          <w:color w:val="auto"/>
          <w:kern w:val="2"/>
          <w:sz w:val="24"/>
          <w:szCs w:val="24"/>
          <w:highlight w:val="none"/>
          <w:vertAlign w:val="baseline"/>
          <w:lang w:val="en-US" w:eastAsia="zh-CN" w:bidi="ar-SA"/>
        </w:rPr>
        <w:t>9.8m/s</w:t>
      </w:r>
      <w:r>
        <w:rPr>
          <w:rFonts w:hint="default" w:ascii="Times New Roman" w:hAnsi="Times New Roman" w:eastAsia="Times New Roman" w:cs="Times New Roman"/>
          <w:color w:val="auto"/>
          <w:kern w:val="2"/>
          <w:position w:val="8"/>
          <w:sz w:val="15"/>
          <w:szCs w:val="24"/>
          <w:highlight w:val="none"/>
          <w:vertAlign w:val="baseline"/>
          <w:lang w:val="en-US" w:eastAsia="zh-CN" w:bidi="ar-SA"/>
        </w:rPr>
        <w:t>2</w:t>
      </w:r>
      <w:r>
        <w:rPr>
          <w:rFonts w:hint="default" w:ascii="Times New Roman" w:hAnsi="Times New Roman" w:eastAsia="宋体" w:cs="Times New Roman"/>
          <w:color w:val="auto"/>
          <w:kern w:val="2"/>
          <w:sz w:val="24"/>
          <w:szCs w:val="24"/>
          <w:highlight w:val="none"/>
          <w:vertAlign w:val="baseline"/>
          <w:lang w:val="en-US" w:eastAsia="zh-CN" w:bidi="ar-SA"/>
        </w:rPr>
        <w:t>；</w:t>
      </w:r>
    </w:p>
    <w:p>
      <w:pPr>
        <w:keepNext w:val="0"/>
        <w:keepLines w:val="0"/>
        <w:pageBreakBefore w:val="0"/>
        <w:widowControl w:val="0"/>
        <w:numPr>
          <w:ilvl w:val="0"/>
          <w:numId w:val="0"/>
        </w:numPr>
        <w:kinsoku/>
        <w:wordWrap/>
        <w:overflowPunct/>
        <w:topLinePunct w:val="0"/>
        <w:bidi w:val="0"/>
        <w:adjustRightInd w:val="0"/>
        <w:snapToGrid w:val="0"/>
        <w:spacing w:line="360" w:lineRule="auto"/>
        <w:ind w:firstLine="720" w:firstLineChars="300"/>
        <w:jc w:val="left"/>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Times New Roman" w:cs="Times New Roman"/>
          <w:color w:val="auto"/>
          <w:sz w:val="24"/>
          <w:highlight w:val="none"/>
        </w:rPr>
        <w:t>h ——</w:t>
      </w:r>
      <w:r>
        <w:rPr>
          <w:rFonts w:hint="default" w:ascii="Times New Roman" w:hAnsi="Times New Roman" w:eastAsia="宋体" w:cs="Times New Roman"/>
          <w:color w:val="auto"/>
          <w:sz w:val="24"/>
          <w:highlight w:val="none"/>
        </w:rPr>
        <w:t>罐内液面距小孔距离；</w:t>
      </w:r>
      <w:r>
        <w:rPr>
          <w:rFonts w:hint="default" w:ascii="Times New Roman" w:hAnsi="Times New Roman" w:eastAsia="Times New Roman" w:cs="Times New Roman"/>
          <w:color w:val="auto"/>
          <w:sz w:val="24"/>
          <w:highlight w:val="none"/>
        </w:rPr>
        <w:t>m</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kern w:val="2"/>
          <w:sz w:val="24"/>
          <w:szCs w:val="24"/>
          <w:highlight w:val="none"/>
          <w:lang w:val="en-US" w:eastAsia="zh-CN" w:bidi="ar-SA"/>
        </w:rPr>
        <w:t>罐体</w:t>
      </w:r>
      <w:r>
        <w:rPr>
          <w:rFonts w:hint="eastAsia" w:cs="Times New Roman"/>
          <w:color w:val="auto"/>
          <w:kern w:val="2"/>
          <w:sz w:val="24"/>
          <w:szCs w:val="24"/>
          <w:highlight w:val="none"/>
          <w:lang w:val="en-US" w:eastAsia="zh-CN" w:bidi="ar-SA"/>
        </w:rPr>
        <w:t>和包装桶均</w:t>
      </w:r>
      <w:r>
        <w:rPr>
          <w:rFonts w:hint="default" w:ascii="Times New Roman" w:hAnsi="Times New Roman" w:eastAsia="宋体" w:cs="Times New Roman"/>
          <w:color w:val="auto"/>
          <w:sz w:val="24"/>
          <w:highlight w:val="none"/>
        </w:rPr>
        <w:t xml:space="preserve">取 </w:t>
      </w:r>
      <w:r>
        <w:rPr>
          <w:rFonts w:hint="default" w:ascii="Times New Roman" w:hAnsi="Times New Roman" w:eastAsia="Times New Roman" w:cs="Times New Roman"/>
          <w:color w:val="auto"/>
          <w:sz w:val="24"/>
          <w:highlight w:val="none"/>
        </w:rPr>
        <w:t>h=</w:t>
      </w:r>
      <w:r>
        <w:rPr>
          <w:rFonts w:hint="default" w:ascii="Times New Roman" w:hAnsi="Times New Roman" w:eastAsia="宋体" w:cs="Times New Roman"/>
          <w:color w:val="auto"/>
          <w:sz w:val="24"/>
          <w:highlight w:val="none"/>
          <w:lang w:val="en-US" w:eastAsia="zh-CN"/>
        </w:rPr>
        <w:t>0.2</w:t>
      </w:r>
      <w:r>
        <w:rPr>
          <w:rFonts w:hint="default" w:ascii="Times New Roman" w:hAnsi="Times New Roman" w:eastAsia="宋体" w:cs="Times New Roman"/>
          <w:color w:val="auto"/>
          <w:sz w:val="24"/>
          <w:highlight w:val="none"/>
        </w:rPr>
        <w:t>）</w:t>
      </w:r>
    </w:p>
    <w:p>
      <w:pPr>
        <w:keepNext w:val="0"/>
        <w:keepLines w:val="0"/>
        <w:pageBreakBefore w:val="0"/>
        <w:widowControl w:val="0"/>
        <w:numPr>
          <w:ilvl w:val="0"/>
          <w:numId w:val="2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液体化学品事故泄漏量</w:t>
      </w:r>
    </w:p>
    <w:tbl>
      <w:tblPr>
        <w:tblStyle w:val="32"/>
        <w:tblW w:w="4870" w:type="pct"/>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1299"/>
        <w:gridCol w:w="1668"/>
        <w:gridCol w:w="1532"/>
        <w:gridCol w:w="1618"/>
        <w:gridCol w:w="1899"/>
        <w:gridCol w:w="1688"/>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669" w:type="pct"/>
            <w:tcBorders>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事故地点</w:t>
            </w:r>
          </w:p>
        </w:tc>
        <w:tc>
          <w:tcPr>
            <w:tcW w:w="859" w:type="pct"/>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名称</w:t>
            </w:r>
          </w:p>
        </w:tc>
        <w:tc>
          <w:tcPr>
            <w:tcW w:w="789" w:type="pct"/>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 xml:space="preserve">密度 </w:t>
            </w:r>
            <w:r>
              <w:rPr>
                <w:rFonts w:hint="default" w:ascii="Times New Roman" w:hAnsi="Times New Roman" w:eastAsia="宋体" w:cs="Times New Roman"/>
                <w:b/>
                <w:color w:val="auto"/>
                <w:sz w:val="21"/>
                <w:szCs w:val="21"/>
                <w:highlight w:val="none"/>
                <w:lang w:val="en-US" w:eastAsia="zh-CN"/>
              </w:rPr>
              <w:t>k</w:t>
            </w:r>
            <w:r>
              <w:rPr>
                <w:rFonts w:hint="default" w:ascii="Times New Roman" w:hAnsi="Times New Roman" w:eastAsia="宋体" w:cs="Times New Roman"/>
                <w:b/>
                <w:color w:val="auto"/>
                <w:sz w:val="21"/>
                <w:szCs w:val="21"/>
                <w:highlight w:val="none"/>
              </w:rPr>
              <w:t>g/m</w:t>
            </w:r>
            <w:r>
              <w:rPr>
                <w:rFonts w:hint="default" w:ascii="Times New Roman" w:hAnsi="Times New Roman" w:eastAsia="宋体" w:cs="Times New Roman"/>
                <w:b/>
                <w:color w:val="auto"/>
                <w:sz w:val="21"/>
                <w:szCs w:val="21"/>
                <w:highlight w:val="none"/>
                <w:vertAlign w:val="superscript"/>
              </w:rPr>
              <w:t>3</w:t>
            </w:r>
          </w:p>
        </w:tc>
        <w:tc>
          <w:tcPr>
            <w:tcW w:w="833" w:type="pct"/>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泄漏速率(kg/s)</w:t>
            </w:r>
          </w:p>
        </w:tc>
        <w:tc>
          <w:tcPr>
            <w:tcW w:w="978" w:type="pct"/>
            <w:tcBorders>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泄漏时间(min)</w:t>
            </w:r>
          </w:p>
        </w:tc>
        <w:tc>
          <w:tcPr>
            <w:tcW w:w="869" w:type="pct"/>
            <w:tcBorders>
              <w:left w:val="single" w:color="000000" w:sz="8" w:space="0"/>
              <w:bottom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rPr>
              <w:t>泄漏量</w:t>
            </w:r>
            <w:r>
              <w:rPr>
                <w:rFonts w:hint="default" w:ascii="Times New Roman" w:hAnsi="Times New Roman" w:cs="Times New Roman"/>
                <w:b/>
                <w:color w:val="auto"/>
                <w:sz w:val="21"/>
                <w:szCs w:val="21"/>
                <w:highlight w:val="none"/>
                <w:lang w:eastAsia="zh-CN"/>
              </w:rPr>
              <w:t>（</w:t>
            </w:r>
            <w:r>
              <w:rPr>
                <w:rFonts w:hint="default" w:ascii="Times New Roman" w:hAnsi="Times New Roman" w:eastAsia="宋体" w:cs="Times New Roman"/>
                <w:b/>
                <w:color w:val="auto"/>
                <w:sz w:val="21"/>
                <w:szCs w:val="21"/>
                <w:highlight w:val="none"/>
              </w:rPr>
              <w:t>kg</w:t>
            </w:r>
            <w:r>
              <w:rPr>
                <w:rFonts w:hint="default" w:ascii="Times New Roman" w:hAnsi="Times New Roman" w:cs="Times New Roman"/>
                <w:b/>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77" w:hRule="atLeast"/>
          <w:jc w:val="center"/>
        </w:trPr>
        <w:tc>
          <w:tcPr>
            <w:tcW w:w="669" w:type="pct"/>
            <w:vMerge w:val="restart"/>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cs="Times New Roman"/>
                <w:bCs/>
                <w:color w:val="auto"/>
                <w:sz w:val="21"/>
                <w:szCs w:val="21"/>
                <w:highlight w:val="none"/>
                <w:lang w:val="en-US" w:eastAsia="zh-CN"/>
              </w:rPr>
              <w:t>预搅拌罐</w:t>
            </w:r>
            <w:r>
              <w:rPr>
                <w:rFonts w:hint="default" w:ascii="Times New Roman" w:hAnsi="Times New Roman" w:eastAsia="宋体" w:cs="Times New Roman"/>
                <w:bCs/>
                <w:color w:val="auto"/>
                <w:sz w:val="21"/>
                <w:szCs w:val="21"/>
                <w:highlight w:val="none"/>
                <w:lang w:eastAsia="zh-CN"/>
              </w:rPr>
              <w:t>区</w:t>
            </w: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硅油</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970</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0.0754</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45.2301</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continue"/>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cs="Times New Roman"/>
                <w:bCs/>
                <w:color w:val="auto"/>
                <w:sz w:val="21"/>
                <w:szCs w:val="21"/>
                <w:highlight w:val="none"/>
                <w:lang w:val="en-US" w:eastAsia="zh-CN"/>
              </w:rPr>
              <w:t>改性</w:t>
            </w:r>
            <w:r>
              <w:rPr>
                <w:rFonts w:hint="default" w:ascii="Times New Roman" w:hAnsi="Times New Roman" w:eastAsia="宋体" w:cs="Times New Roman"/>
                <w:bCs/>
                <w:color w:val="auto"/>
                <w:sz w:val="21"/>
                <w:szCs w:val="21"/>
                <w:highlight w:val="none"/>
              </w:rPr>
              <w:t>异氰酸酯</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1200</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0.0933</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55.9548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continue"/>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聚醚多元醇</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1002</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0.0779</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46.7223</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restart"/>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化学品仓库</w:t>
            </w: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硅油</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970</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0.0754</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45.2301</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continue"/>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改性</w:t>
            </w:r>
            <w:r>
              <w:rPr>
                <w:rFonts w:hint="default" w:ascii="Times New Roman" w:hAnsi="Times New Roman" w:eastAsia="宋体" w:cs="Times New Roman"/>
                <w:bCs/>
                <w:color w:val="auto"/>
                <w:sz w:val="21"/>
                <w:szCs w:val="21"/>
                <w:highlight w:val="none"/>
              </w:rPr>
              <w:t>异氰酸酯</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1200</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0.0933</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55.9548</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continue"/>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聚醚多元醇</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1002</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0.0779</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46.7223</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restart"/>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Cs/>
                <w:color w:val="auto"/>
                <w:sz w:val="21"/>
                <w:szCs w:val="21"/>
                <w:highlight w:val="none"/>
                <w:lang w:val="en-US" w:eastAsia="zh-CN"/>
              </w:rPr>
            </w:pPr>
            <w:r>
              <w:rPr>
                <w:rFonts w:hint="eastAsia" w:cs="Times New Roman"/>
                <w:b/>
                <w:bCs w:val="0"/>
                <w:color w:val="auto"/>
                <w:sz w:val="21"/>
                <w:szCs w:val="21"/>
                <w:highlight w:val="none"/>
                <w:lang w:val="en-US" w:eastAsia="zh-CN"/>
              </w:rPr>
              <w:t>合计</w:t>
            </w: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硅油</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970</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0.1508</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90.4602</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38" w:hRule="atLeast"/>
          <w:jc w:val="center"/>
        </w:trPr>
        <w:tc>
          <w:tcPr>
            <w:tcW w:w="669" w:type="pct"/>
            <w:vMerge w:val="continue"/>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改性</w:t>
            </w:r>
            <w:r>
              <w:rPr>
                <w:rFonts w:hint="default" w:ascii="Times New Roman" w:hAnsi="Times New Roman" w:eastAsia="宋体" w:cs="Times New Roman"/>
                <w:bCs/>
                <w:color w:val="auto"/>
                <w:sz w:val="21"/>
                <w:szCs w:val="21"/>
                <w:highlight w:val="none"/>
              </w:rPr>
              <w:t>异氰酸酯</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1200</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0.1866</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111.9096</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669" w:type="pct"/>
            <w:vMerge w:val="continue"/>
            <w:tcBorders>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85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聚醚多元醇</w:t>
            </w:r>
          </w:p>
        </w:tc>
        <w:tc>
          <w:tcPr>
            <w:tcW w:w="789"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1002</w:t>
            </w:r>
          </w:p>
        </w:tc>
        <w:tc>
          <w:tcPr>
            <w:tcW w:w="833"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0.1558</w:t>
            </w:r>
          </w:p>
        </w:tc>
        <w:tc>
          <w:tcPr>
            <w:tcW w:w="978" w:type="pc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10</w:t>
            </w:r>
          </w:p>
        </w:tc>
        <w:tc>
          <w:tcPr>
            <w:tcW w:w="869" w:type="pct"/>
            <w:tcBorders>
              <w:top w:val="single" w:color="000000" w:sz="8" w:space="0"/>
              <w:left w:val="single" w:color="000000" w:sz="8" w:space="0"/>
              <w:bottom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93.4446</w:t>
            </w:r>
          </w:p>
        </w:tc>
      </w:tr>
    </w:tbl>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发生泄漏后，现场人员立即使用沙袋等应急物资将泄露危险物质围堵在厂区内，并使用干砂、吸油棉等应急物资进行必要的吸收处理，防止其进入雨水管网，根据《建设项目环境风险评价技术导则》（HJ169-2018）规定，泄露时间可设定为10min。</w:t>
      </w:r>
    </w:p>
    <w:p>
      <w:pPr>
        <w:numPr>
          <w:ilvl w:val="0"/>
          <w:numId w:val="30"/>
        </w:numPr>
        <w:spacing w:line="360" w:lineRule="auto"/>
        <w:ind w:firstLine="482" w:firstLineChars="200"/>
        <w:jc w:val="left"/>
        <w:outlineLvl w:val="2"/>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泄漏液体蒸发速率</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泄漏液体的蒸发分为闪蒸蒸发、热量蒸发和质量蒸</w:t>
      </w:r>
      <w:r>
        <w:rPr>
          <w:rFonts w:hint="default" w:ascii="Times New Roman" w:hAnsi="Times New Roman" w:eastAsia="宋体" w:cs="Times New Roman"/>
          <w:bCs/>
          <w:color w:val="auto"/>
          <w:kern w:val="2"/>
          <w:sz w:val="24"/>
          <w:szCs w:val="24"/>
          <w:highlight w:val="none"/>
          <w:lang w:val="en-US" w:eastAsia="zh-CN" w:bidi="ar-SA"/>
        </w:rPr>
        <w:t>发3</w:t>
      </w:r>
      <w:r>
        <w:rPr>
          <w:rFonts w:hint="default" w:ascii="Times New Roman" w:hAnsi="Times New Roman" w:eastAsia="宋体" w:cs="Times New Roman"/>
          <w:color w:val="auto"/>
          <w:kern w:val="0"/>
          <w:sz w:val="24"/>
          <w:szCs w:val="20"/>
          <w:highlight w:val="none"/>
          <w:lang w:val="en-US" w:eastAsia="zh-CN" w:bidi="ar"/>
        </w:rPr>
        <w:t>种，其蒸发总量为这3种蒸发之和。本次评价仅考虑质量蒸发。</w:t>
      </w:r>
    </w:p>
    <w:p>
      <w:pPr>
        <w:keepNext w:val="0"/>
        <w:keepLines w:val="0"/>
        <w:pageBreakBefore w:val="0"/>
        <w:widowControl w:val="0"/>
        <w:kinsoku/>
        <w:wordWrap/>
        <w:overflowPunct/>
        <w:topLinePunct w:val="0"/>
        <w:bidi w:val="0"/>
        <w:adjustRightInd w:val="0"/>
        <w:snapToGrid w:val="0"/>
        <w:spacing w:beforeLines="0" w:line="360" w:lineRule="auto"/>
        <w:ind w:left="0" w:leftChars="0" w:firstLine="480" w:firstLineChars="200"/>
        <w:jc w:val="both"/>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根据《建设项目环境风险评价技术导则》</w:t>
      </w:r>
      <w:r>
        <w:rPr>
          <w:rFonts w:hint="default" w:ascii="Times New Roman" w:hAnsi="Times New Roman" w:eastAsia="宋体" w:cs="Times New Roman"/>
          <w:bCs/>
          <w:color w:val="auto"/>
          <w:kern w:val="2"/>
          <w:sz w:val="24"/>
          <w:szCs w:val="24"/>
          <w:highlight w:val="none"/>
          <w:lang w:val="en-US" w:eastAsia="zh-CN" w:bidi="ar-SA"/>
        </w:rPr>
        <w:t>(HJ169-2018)</w:t>
      </w:r>
      <w:r>
        <w:rPr>
          <w:rFonts w:hint="default" w:ascii="Times New Roman" w:hAnsi="Times New Roman" w:eastAsia="宋体" w:cs="Times New Roman"/>
          <w:color w:val="auto"/>
          <w:kern w:val="0"/>
          <w:sz w:val="24"/>
          <w:szCs w:val="24"/>
          <w:highlight w:val="none"/>
          <w:lang w:val="en-US" w:eastAsia="zh-CN" w:bidi="ar"/>
        </w:rPr>
        <w:t>，蒸发时间应结合物质特性、气象条件、工况等综合考虑，一般情况下，可按</w:t>
      </w:r>
      <w:r>
        <w:rPr>
          <w:rFonts w:hint="default" w:ascii="Times New Roman" w:hAnsi="Times New Roman" w:eastAsia="宋体" w:cs="Times New Roman"/>
          <w:bCs/>
          <w:color w:val="auto"/>
          <w:kern w:val="2"/>
          <w:sz w:val="24"/>
          <w:szCs w:val="24"/>
          <w:highlight w:val="none"/>
          <w:lang w:val="en-US" w:eastAsia="zh-CN" w:bidi="ar-SA"/>
        </w:rPr>
        <w:t>15~30min</w:t>
      </w:r>
      <w:r>
        <w:rPr>
          <w:rFonts w:hint="default" w:ascii="Times New Roman" w:hAnsi="Times New Roman" w:eastAsia="宋体" w:cs="Times New Roman"/>
          <w:color w:val="auto"/>
          <w:kern w:val="0"/>
          <w:sz w:val="24"/>
          <w:szCs w:val="24"/>
          <w:highlight w:val="none"/>
          <w:lang w:val="en-US" w:eastAsia="zh-CN" w:bidi="ar"/>
        </w:rPr>
        <w:t>计。本评价蒸发时间取</w:t>
      </w:r>
      <w:r>
        <w:rPr>
          <w:rFonts w:hint="default" w:ascii="Times New Roman" w:hAnsi="Times New Roman" w:eastAsia="宋体" w:cs="Times New Roman"/>
          <w:bCs/>
          <w:color w:val="auto"/>
          <w:kern w:val="2"/>
          <w:sz w:val="24"/>
          <w:szCs w:val="24"/>
          <w:highlight w:val="none"/>
          <w:lang w:val="en-US" w:eastAsia="zh-CN" w:bidi="ar-SA"/>
        </w:rPr>
        <w:t>30min</w:t>
      </w:r>
      <w:r>
        <w:rPr>
          <w:rFonts w:hint="default" w:ascii="Times New Roman" w:hAnsi="Times New Roman" w:eastAsia="宋体" w:cs="Times New Roman"/>
          <w:color w:val="auto"/>
          <w:kern w:val="0"/>
          <w:sz w:val="24"/>
          <w:szCs w:val="24"/>
          <w:highlight w:val="none"/>
          <w:lang w:val="en-US" w:eastAsia="zh-CN" w:bidi="ar"/>
        </w:rPr>
        <w:t>。质量蒸发公式如下：</w:t>
      </w:r>
    </w:p>
    <w:p>
      <w:pPr>
        <w:pStyle w:val="49"/>
        <w:keepNext w:val="0"/>
        <w:keepLines w:val="0"/>
        <w:pageBreakBefore w:val="0"/>
        <w:kinsoku/>
        <w:wordWrap/>
        <w:overflowPunct/>
        <w:topLinePunct w:val="0"/>
        <w:bidi w:val="0"/>
        <w:adjustRightInd w:val="0"/>
        <w:snapToGrid w:val="0"/>
        <w:spacing w:before="0" w:after="0" w:line="36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2066925" cy="713105"/>
            <wp:effectExtent l="0" t="0" r="9525" b="10795"/>
            <wp:docPr id="19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5"/>
                    <pic:cNvPicPr>
                      <a:picLocks noChangeAspect="1"/>
                    </pic:cNvPicPr>
                  </pic:nvPicPr>
                  <pic:blipFill>
                    <a:blip r:embed="rId47"/>
                    <a:stretch>
                      <a:fillRect/>
                    </a:stretch>
                  </pic:blipFill>
                  <pic:spPr>
                    <a:xfrm>
                      <a:off x="0" y="0"/>
                      <a:ext cx="2066925" cy="713105"/>
                    </a:xfrm>
                    <a:prstGeom prst="rect">
                      <a:avLst/>
                    </a:prstGeom>
                    <a:noFill/>
                    <a:ln>
                      <a:noFill/>
                    </a:ln>
                  </pic:spPr>
                </pic:pic>
              </a:graphicData>
            </a:graphic>
          </wp:inline>
        </w:drawing>
      </w:r>
    </w:p>
    <w:p>
      <w:pPr>
        <w:jc w:val="both"/>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eastAsia="宋体" w:cs="Times New Roman"/>
          <w:color w:val="auto"/>
          <w:position w:val="2"/>
          <w:sz w:val="24"/>
          <w:szCs w:val="24"/>
          <w:highlight w:val="none"/>
          <w:vertAlign w:val="baseline"/>
          <w:lang w:val="en-US" w:eastAsia="zh-CN" w:bidi="zh-CN"/>
        </w:rPr>
        <w:t>式中：</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eastAsia="宋体" w:cs="Times New Roman"/>
          <w:color w:val="auto"/>
          <w:position w:val="2"/>
          <w:sz w:val="24"/>
          <w:szCs w:val="24"/>
          <w:highlight w:val="none"/>
          <w:vertAlign w:val="baseline"/>
          <w:lang w:val="zh-CN" w:eastAsia="zh-CN" w:bidi="zh-CN"/>
        </w:rPr>
      </w:pPr>
      <w:r>
        <w:rPr>
          <w:rFonts w:hint="default" w:ascii="Times New Roman" w:hAnsi="Times New Roman" w:eastAsia="Times New Roman" w:cs="Times New Roman"/>
          <w:color w:val="auto"/>
          <w:position w:val="2"/>
          <w:sz w:val="24"/>
          <w:szCs w:val="24"/>
          <w:highlight w:val="none"/>
          <w:lang w:val="zh-CN" w:eastAsia="zh-CN" w:bidi="zh-CN"/>
        </w:rPr>
        <w:t>Q</w:t>
      </w:r>
      <w:r>
        <w:rPr>
          <w:rFonts w:hint="default" w:ascii="Times New Roman" w:hAnsi="Times New Roman" w:eastAsia="Times New Roman" w:cs="Times New Roman"/>
          <w:color w:val="auto"/>
          <w:position w:val="2"/>
          <w:sz w:val="24"/>
          <w:szCs w:val="24"/>
          <w:highlight w:val="none"/>
          <w:vertAlign w:val="subscript"/>
          <w:lang w:val="zh-CN" w:eastAsia="zh-CN" w:bidi="zh-CN"/>
        </w:rPr>
        <w:t>3</w:t>
      </w:r>
      <w:r>
        <w:rPr>
          <w:rFonts w:hint="default" w:ascii="Times New Roman" w:hAnsi="Times New Roman" w:eastAsia="Times New Roman" w:cs="Times New Roman"/>
          <w:color w:val="auto"/>
          <w:position w:val="2"/>
          <w:sz w:val="24"/>
          <w:szCs w:val="24"/>
          <w:highlight w:val="none"/>
          <w:vertAlign w:val="baseline"/>
          <w:lang w:val="zh-CN" w:eastAsia="zh-CN" w:bidi="zh-CN"/>
        </w:rPr>
        <w:t>——</w:t>
      </w:r>
      <w:r>
        <w:rPr>
          <w:rFonts w:hint="default" w:ascii="Times New Roman" w:hAnsi="Times New Roman" w:eastAsia="宋体" w:cs="Times New Roman"/>
          <w:color w:val="auto"/>
          <w:position w:val="2"/>
          <w:sz w:val="24"/>
          <w:szCs w:val="24"/>
          <w:highlight w:val="none"/>
          <w:vertAlign w:val="baseline"/>
          <w:lang w:val="zh-CN" w:eastAsia="zh-CN" w:bidi="zh-CN"/>
        </w:rPr>
        <w:t>质量蒸发速率，</w:t>
      </w:r>
      <w:r>
        <w:rPr>
          <w:rFonts w:hint="default" w:ascii="Times New Roman" w:hAnsi="Times New Roman" w:eastAsia="Times New Roman" w:cs="Times New Roman"/>
          <w:color w:val="auto"/>
          <w:position w:val="2"/>
          <w:sz w:val="24"/>
          <w:szCs w:val="24"/>
          <w:highlight w:val="none"/>
          <w:vertAlign w:val="baseline"/>
          <w:lang w:val="zh-CN" w:eastAsia="zh-CN" w:bidi="zh-CN"/>
        </w:rPr>
        <w:t>kg/s</w:t>
      </w:r>
      <w:r>
        <w:rPr>
          <w:rFonts w:hint="default" w:ascii="Times New Roman" w:hAnsi="Times New Roman" w:eastAsia="宋体" w:cs="Times New Roman"/>
          <w:color w:val="auto"/>
          <w:position w:val="2"/>
          <w:sz w:val="24"/>
          <w:szCs w:val="24"/>
          <w:highlight w:val="none"/>
          <w:vertAlign w:val="baseline"/>
          <w:lang w:val="zh-CN" w:eastAsia="zh-CN"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eastAsia="Times New Roman" w:cs="Times New Roman"/>
          <w:color w:val="auto"/>
          <w:sz w:val="24"/>
          <w:szCs w:val="24"/>
          <w:highlight w:val="none"/>
          <w:vertAlign w:val="baseline"/>
          <w:lang w:val="en-US" w:eastAsia="zh-CN" w:bidi="zh-CN"/>
        </w:rPr>
      </w:pPr>
      <w:r>
        <w:rPr>
          <w:rFonts w:hint="default" w:ascii="Times New Roman" w:hAnsi="Times New Roman" w:eastAsia="Times New Roman" w:cs="Times New Roman"/>
          <w:color w:val="auto"/>
          <w:sz w:val="24"/>
          <w:szCs w:val="24"/>
          <w:highlight w:val="none"/>
          <w:vertAlign w:val="baseline"/>
          <w:lang w:val="zh-CN" w:eastAsia="zh-CN" w:bidi="zh-CN"/>
        </w:rPr>
        <w:t>p——</w:t>
      </w:r>
      <w:r>
        <w:rPr>
          <w:rFonts w:hint="default" w:ascii="Times New Roman" w:hAnsi="Times New Roman" w:eastAsia="宋体" w:cs="Times New Roman"/>
          <w:color w:val="auto"/>
          <w:sz w:val="24"/>
          <w:szCs w:val="24"/>
          <w:highlight w:val="none"/>
          <w:vertAlign w:val="baseline"/>
          <w:lang w:val="zh-CN" w:eastAsia="zh-CN" w:bidi="zh-CN"/>
        </w:rPr>
        <w:t>液体表面蒸气压，</w:t>
      </w:r>
      <w:r>
        <w:rPr>
          <w:rFonts w:hint="default" w:ascii="Times New Roman" w:hAnsi="Times New Roman" w:eastAsia="Times New Roman" w:cs="Times New Roman"/>
          <w:color w:val="auto"/>
          <w:sz w:val="24"/>
          <w:szCs w:val="24"/>
          <w:highlight w:val="none"/>
          <w:vertAlign w:val="baseline"/>
          <w:lang w:val="zh-CN" w:eastAsia="zh-CN" w:bidi="zh-CN"/>
        </w:rPr>
        <w:t>Pa，</w:t>
      </w:r>
      <w:r>
        <w:rPr>
          <w:rFonts w:hint="default" w:ascii="Times New Roman" w:hAnsi="Times New Roman" w:eastAsia="Times New Roman" w:cs="Times New Roman"/>
          <w:color w:val="auto"/>
          <w:sz w:val="24"/>
          <w:szCs w:val="24"/>
          <w:highlight w:val="none"/>
          <w:vertAlign w:val="baseline"/>
          <w:lang w:val="en-US" w:eastAsia="zh-CN" w:bidi="zh-CN"/>
        </w:rPr>
        <w:t>MDI的表面蒸汽压为0.0013Pa；</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cs="Times New Roman"/>
          <w:color w:val="auto"/>
          <w:sz w:val="24"/>
          <w:szCs w:val="24"/>
          <w:highlight w:val="none"/>
          <w:vertAlign w:val="baseline"/>
          <w:lang w:val="zh-CN" w:eastAsia="zh-CN" w:bidi="zh-CN"/>
        </w:rPr>
      </w:pPr>
      <w:r>
        <w:rPr>
          <w:rFonts w:hint="default" w:ascii="Times New Roman" w:hAnsi="Times New Roman" w:eastAsia="Times New Roman" w:cs="Times New Roman"/>
          <w:color w:val="auto"/>
          <w:sz w:val="24"/>
          <w:szCs w:val="24"/>
          <w:highlight w:val="none"/>
          <w:vertAlign w:val="baseline"/>
          <w:lang w:val="zh-CN" w:eastAsia="zh-CN" w:bidi="zh-CN"/>
        </w:rPr>
        <w:t>R——</w:t>
      </w:r>
      <w:r>
        <w:rPr>
          <w:rFonts w:hint="default" w:ascii="Times New Roman" w:hAnsi="Times New Roman" w:eastAsia="宋体" w:cs="Times New Roman"/>
          <w:color w:val="auto"/>
          <w:sz w:val="24"/>
          <w:szCs w:val="24"/>
          <w:highlight w:val="none"/>
          <w:vertAlign w:val="baseline"/>
          <w:lang w:val="zh-CN" w:eastAsia="zh-CN" w:bidi="zh-CN"/>
        </w:rPr>
        <w:t>气体常数，</w:t>
      </w:r>
      <w:r>
        <w:rPr>
          <w:rFonts w:hint="default" w:ascii="Times New Roman" w:hAnsi="Times New Roman" w:eastAsia="Times New Roman" w:cs="Times New Roman"/>
          <w:color w:val="auto"/>
          <w:sz w:val="24"/>
          <w:szCs w:val="24"/>
          <w:highlight w:val="none"/>
          <w:vertAlign w:val="baseline"/>
          <w:lang w:val="zh-CN" w:eastAsia="zh-CN" w:bidi="zh-CN"/>
        </w:rPr>
        <w:t>J/</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eastAsia="Times New Roman" w:cs="Times New Roman"/>
          <w:color w:val="auto"/>
          <w:sz w:val="24"/>
          <w:szCs w:val="24"/>
          <w:highlight w:val="none"/>
          <w:vertAlign w:val="baseline"/>
          <w:lang w:val="zh-CN" w:eastAsia="zh-CN" w:bidi="zh-CN"/>
        </w:rPr>
        <w:t>mol·K</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cs="Times New Roman"/>
          <w:color w:val="auto"/>
          <w:sz w:val="24"/>
          <w:szCs w:val="24"/>
          <w:highlight w:val="none"/>
          <w:vertAlign w:val="baseline"/>
          <w:lang w:val="zh-CN" w:eastAsia="zh-CN" w:bidi="zh-CN"/>
        </w:rPr>
        <w:t>，</w:t>
      </w:r>
      <w:r>
        <w:rPr>
          <w:rFonts w:hint="default" w:ascii="Times New Roman" w:hAnsi="Times New Roman" w:cs="Times New Roman"/>
          <w:color w:val="auto"/>
          <w:sz w:val="24"/>
          <w:szCs w:val="24"/>
          <w:highlight w:val="none"/>
          <w:vertAlign w:val="baseline"/>
          <w:lang w:val="en-US" w:eastAsia="zh-CN" w:bidi="zh-CN"/>
        </w:rPr>
        <w:t>为8.314</w:t>
      </w:r>
      <w:r>
        <w:rPr>
          <w:rFonts w:hint="default" w:ascii="Times New Roman" w:hAnsi="Times New Roman" w:eastAsia="Times New Roman" w:cs="Times New Roman"/>
          <w:color w:val="auto"/>
          <w:sz w:val="24"/>
          <w:szCs w:val="24"/>
          <w:highlight w:val="none"/>
          <w:vertAlign w:val="baseline"/>
          <w:lang w:val="zh-CN" w:eastAsia="zh-CN" w:bidi="zh-CN"/>
        </w:rPr>
        <w:t>J/</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eastAsia="Times New Roman" w:cs="Times New Roman"/>
          <w:color w:val="auto"/>
          <w:sz w:val="24"/>
          <w:szCs w:val="24"/>
          <w:highlight w:val="none"/>
          <w:vertAlign w:val="baseline"/>
          <w:lang w:val="zh-CN" w:eastAsia="zh-CN" w:bidi="zh-CN"/>
        </w:rPr>
        <w:t>mol·K</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cs="Times New Roman"/>
          <w:color w:val="auto"/>
          <w:sz w:val="24"/>
          <w:szCs w:val="24"/>
          <w:highlight w:val="none"/>
          <w:vertAlign w:val="baseline"/>
          <w:lang w:val="zh-CN" w:eastAsia="zh-CN" w:bidi="zh-CN"/>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eastAsia="宋体" w:cs="Times New Roman"/>
          <w:color w:val="auto"/>
          <w:position w:val="2"/>
          <w:sz w:val="24"/>
          <w:szCs w:val="24"/>
          <w:highlight w:val="none"/>
          <w:vertAlign w:val="baseline"/>
          <w:lang w:val="zh-CN" w:eastAsia="zh-CN" w:bidi="zh-CN"/>
        </w:rPr>
      </w:pPr>
      <w:r>
        <w:rPr>
          <w:rFonts w:hint="default" w:ascii="Times New Roman" w:hAnsi="Times New Roman" w:eastAsia="Times New Roman" w:cs="Times New Roman"/>
          <w:color w:val="auto"/>
          <w:position w:val="2"/>
          <w:sz w:val="24"/>
          <w:szCs w:val="24"/>
          <w:highlight w:val="none"/>
          <w:vertAlign w:val="baseline"/>
          <w:lang w:val="zh-CN" w:eastAsia="zh-CN" w:bidi="zh-CN"/>
        </w:rPr>
        <w:t>T</w:t>
      </w:r>
      <w:r>
        <w:rPr>
          <w:rFonts w:hint="default" w:ascii="Times New Roman" w:hAnsi="Times New Roman" w:eastAsia="Times New Roman" w:cs="Times New Roman"/>
          <w:color w:val="auto"/>
          <w:position w:val="2"/>
          <w:sz w:val="24"/>
          <w:szCs w:val="24"/>
          <w:highlight w:val="none"/>
          <w:vertAlign w:val="subscript"/>
          <w:lang w:val="zh-CN" w:eastAsia="zh-CN" w:bidi="zh-CN"/>
        </w:rPr>
        <w:t>0</w:t>
      </w:r>
      <w:r>
        <w:rPr>
          <w:rFonts w:hint="default" w:ascii="Times New Roman" w:hAnsi="Times New Roman" w:eastAsia="Times New Roman" w:cs="Times New Roman"/>
          <w:color w:val="auto"/>
          <w:position w:val="2"/>
          <w:sz w:val="24"/>
          <w:szCs w:val="24"/>
          <w:highlight w:val="none"/>
          <w:vertAlign w:val="baseline"/>
          <w:lang w:val="zh-CN" w:eastAsia="zh-CN" w:bidi="zh-CN"/>
        </w:rPr>
        <w:t>——</w:t>
      </w:r>
      <w:r>
        <w:rPr>
          <w:rFonts w:hint="default" w:ascii="Times New Roman" w:hAnsi="Times New Roman" w:eastAsia="宋体" w:cs="Times New Roman"/>
          <w:color w:val="auto"/>
          <w:position w:val="2"/>
          <w:sz w:val="24"/>
          <w:szCs w:val="24"/>
          <w:highlight w:val="none"/>
          <w:vertAlign w:val="baseline"/>
          <w:lang w:val="zh-CN" w:eastAsia="zh-CN" w:bidi="zh-CN"/>
        </w:rPr>
        <w:t>环境温度，</w:t>
      </w:r>
      <w:r>
        <w:rPr>
          <w:rFonts w:hint="default" w:ascii="Times New Roman" w:hAnsi="Times New Roman" w:eastAsia="Times New Roman" w:cs="Times New Roman"/>
          <w:color w:val="auto"/>
          <w:position w:val="2"/>
          <w:sz w:val="24"/>
          <w:szCs w:val="24"/>
          <w:highlight w:val="none"/>
          <w:vertAlign w:val="baseline"/>
          <w:lang w:val="zh-CN" w:eastAsia="zh-CN" w:bidi="zh-CN"/>
        </w:rPr>
        <w:t>K，</w:t>
      </w:r>
      <w:r>
        <w:rPr>
          <w:rFonts w:hint="default" w:ascii="Times New Roman" w:hAnsi="Times New Roman" w:eastAsia="Times New Roman" w:cs="Times New Roman"/>
          <w:color w:val="auto"/>
          <w:position w:val="2"/>
          <w:sz w:val="24"/>
          <w:szCs w:val="24"/>
          <w:highlight w:val="none"/>
          <w:vertAlign w:val="baseline"/>
          <w:lang w:val="en-US" w:eastAsia="zh-CN" w:bidi="zh-CN"/>
        </w:rPr>
        <w:t>为298K</w:t>
      </w:r>
      <w:r>
        <w:rPr>
          <w:rFonts w:hint="default" w:ascii="Times New Roman" w:hAnsi="Times New Roman" w:eastAsia="宋体" w:cs="Times New Roman"/>
          <w:color w:val="auto"/>
          <w:position w:val="2"/>
          <w:sz w:val="24"/>
          <w:szCs w:val="24"/>
          <w:highlight w:val="none"/>
          <w:vertAlign w:val="baseline"/>
          <w:lang w:val="zh-CN" w:eastAsia="zh-CN" w:bidi="zh-CN"/>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Times New Roman" w:cs="Times New Roman"/>
          <w:color w:val="auto"/>
          <w:sz w:val="24"/>
          <w:szCs w:val="24"/>
          <w:highlight w:val="none"/>
          <w:lang w:val="zh-CN" w:eastAsia="zh-CN" w:bidi="zh-CN"/>
        </w:rPr>
        <w:t>M——</w:t>
      </w:r>
      <w:r>
        <w:rPr>
          <w:rFonts w:hint="default" w:ascii="Times New Roman" w:hAnsi="Times New Roman" w:eastAsia="宋体" w:cs="Times New Roman"/>
          <w:color w:val="auto"/>
          <w:sz w:val="24"/>
          <w:szCs w:val="24"/>
          <w:highlight w:val="none"/>
          <w:lang w:val="zh-CN" w:eastAsia="zh-CN" w:bidi="zh-CN"/>
        </w:rPr>
        <w:t>物质的摩尔质量，</w:t>
      </w:r>
      <w:r>
        <w:rPr>
          <w:rFonts w:hint="default" w:ascii="Times New Roman" w:hAnsi="Times New Roman" w:eastAsia="Times New Roman" w:cs="Times New Roman"/>
          <w:color w:val="auto"/>
          <w:sz w:val="24"/>
          <w:szCs w:val="24"/>
          <w:highlight w:val="none"/>
          <w:lang w:val="zh-CN" w:eastAsia="zh-CN" w:bidi="zh-CN"/>
        </w:rPr>
        <w:t>kg/mol，</w:t>
      </w:r>
      <w:r>
        <w:rPr>
          <w:rFonts w:hint="default" w:ascii="Times New Roman" w:hAnsi="Times New Roman" w:eastAsia="Times New Roman" w:cs="Times New Roman"/>
          <w:color w:val="auto"/>
          <w:sz w:val="24"/>
          <w:szCs w:val="24"/>
          <w:highlight w:val="none"/>
          <w:vertAlign w:val="baseline"/>
          <w:lang w:val="en-US" w:eastAsia="zh-CN" w:bidi="zh-CN"/>
        </w:rPr>
        <w:t>MDI的</w:t>
      </w:r>
      <w:r>
        <w:rPr>
          <w:rFonts w:hint="default" w:ascii="Times New Roman" w:hAnsi="Times New Roman" w:eastAsia="宋体" w:cs="Times New Roman"/>
          <w:color w:val="auto"/>
          <w:sz w:val="24"/>
          <w:szCs w:val="24"/>
          <w:highlight w:val="none"/>
          <w:lang w:val="zh-CN" w:eastAsia="zh-CN" w:bidi="zh-CN"/>
        </w:rPr>
        <w:t>物质的摩尔质量</w:t>
      </w:r>
      <w:r>
        <w:rPr>
          <w:rFonts w:hint="default" w:ascii="Times New Roman" w:hAnsi="Times New Roman" w:cs="Times New Roman"/>
          <w:color w:val="auto"/>
          <w:sz w:val="24"/>
          <w:szCs w:val="24"/>
          <w:highlight w:val="none"/>
          <w:lang w:val="en-US" w:eastAsia="zh-CN" w:bidi="zh-CN"/>
        </w:rPr>
        <w:t>为0.25</w:t>
      </w:r>
      <w:r>
        <w:rPr>
          <w:rFonts w:hint="default" w:ascii="Times New Roman" w:hAnsi="Times New Roman" w:eastAsia="Times New Roman" w:cs="Times New Roman"/>
          <w:color w:val="auto"/>
          <w:sz w:val="24"/>
          <w:szCs w:val="24"/>
          <w:highlight w:val="none"/>
          <w:lang w:val="zh-CN" w:eastAsia="zh-CN" w:bidi="zh-CN"/>
        </w:rPr>
        <w:t>kg/mol</w:t>
      </w:r>
      <w:r>
        <w:rPr>
          <w:rFonts w:hint="default" w:ascii="Times New Roman" w:hAnsi="Times New Roman" w:eastAsia="宋体" w:cs="Times New Roman"/>
          <w:color w:val="auto"/>
          <w:sz w:val="24"/>
          <w:szCs w:val="24"/>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Times New Roman" w:cs="Times New Roman"/>
          <w:color w:val="auto"/>
          <w:sz w:val="24"/>
          <w:szCs w:val="24"/>
          <w:highlight w:val="none"/>
          <w:lang w:val="zh-CN" w:eastAsia="zh-CN" w:bidi="zh-CN"/>
        </w:rPr>
        <w:t>u——</w:t>
      </w:r>
      <w:r>
        <w:rPr>
          <w:rFonts w:hint="default" w:ascii="Times New Roman" w:hAnsi="Times New Roman" w:eastAsia="宋体" w:cs="Times New Roman"/>
          <w:color w:val="auto"/>
          <w:sz w:val="24"/>
          <w:szCs w:val="24"/>
          <w:highlight w:val="none"/>
          <w:lang w:val="zh-CN" w:eastAsia="zh-CN" w:bidi="zh-CN"/>
        </w:rPr>
        <w:t>风速，</w:t>
      </w:r>
      <w:r>
        <w:rPr>
          <w:rFonts w:hint="default" w:ascii="Times New Roman" w:hAnsi="Times New Roman" w:eastAsia="Times New Roman" w:cs="Times New Roman"/>
          <w:color w:val="auto"/>
          <w:sz w:val="24"/>
          <w:szCs w:val="24"/>
          <w:highlight w:val="none"/>
          <w:lang w:val="zh-CN" w:eastAsia="zh-CN" w:bidi="zh-CN"/>
        </w:rPr>
        <w:t>m/s，</w:t>
      </w:r>
      <w:r>
        <w:rPr>
          <w:rFonts w:hint="default" w:ascii="Times New Roman" w:hAnsi="Times New Roman" w:eastAsia="Times New Roman" w:cs="Times New Roman"/>
          <w:color w:val="auto"/>
          <w:sz w:val="24"/>
          <w:szCs w:val="24"/>
          <w:highlight w:val="none"/>
          <w:lang w:val="en-US" w:eastAsia="zh-CN" w:bidi="zh-CN"/>
        </w:rPr>
        <w:t>本项目取1.5m/s</w:t>
      </w:r>
      <w:r>
        <w:rPr>
          <w:rFonts w:hint="default" w:ascii="Times New Roman" w:hAnsi="Times New Roman" w:eastAsia="宋体" w:cs="Times New Roman"/>
          <w:color w:val="auto"/>
          <w:sz w:val="24"/>
          <w:szCs w:val="24"/>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both"/>
        <w:textAlignment w:val="auto"/>
        <w:rPr>
          <w:rFonts w:hint="default" w:ascii="Times New Roman" w:hAnsi="Times New Roman" w:eastAsia="宋体" w:cs="Times New Roman"/>
          <w:color w:val="auto"/>
          <w:kern w:val="0"/>
          <w:sz w:val="24"/>
          <w:szCs w:val="24"/>
          <w:highlight w:val="none"/>
          <w:lang w:val="zh-CN" w:bidi="zh-CN"/>
        </w:rPr>
      </w:pPr>
      <w:r>
        <w:rPr>
          <w:rFonts w:hint="default" w:ascii="Times New Roman" w:hAnsi="Times New Roman" w:eastAsia="Times New Roman" w:cs="Times New Roman"/>
          <w:color w:val="auto"/>
          <w:kern w:val="2"/>
          <w:sz w:val="24"/>
          <w:szCs w:val="24"/>
          <w:highlight w:val="none"/>
          <w:lang w:val="zh-CN" w:eastAsia="zh-CN" w:bidi="zh-CN"/>
        </w:rPr>
        <w:t>r——液池半径，m</w:t>
      </w:r>
      <w:r>
        <w:rPr>
          <w:rFonts w:hint="default" w:ascii="Times New Roman" w:hAnsi="Times New Roman" w:eastAsia="Times New Roman" w:cs="Times New Roman"/>
          <w:color w:val="auto"/>
          <w:kern w:val="2"/>
          <w:sz w:val="24"/>
          <w:szCs w:val="24"/>
          <w:highlight w:val="none"/>
          <w:lang w:val="en-US" w:eastAsia="zh-CN" w:bidi="zh-CN"/>
        </w:rPr>
        <w:t>，</w:t>
      </w:r>
      <w:r>
        <w:rPr>
          <w:rFonts w:hint="default" w:ascii="Times New Roman" w:hAnsi="Times New Roman" w:eastAsia="宋体" w:cs="Times New Roman"/>
          <w:color w:val="auto"/>
          <w:kern w:val="0"/>
          <w:sz w:val="24"/>
          <w:szCs w:val="24"/>
          <w:highlight w:val="none"/>
          <w:lang w:val="zh-CN" w:bidi="zh-CN"/>
        </w:rPr>
        <w:t>液池最大直径取决于泄漏点附近的低于构型、泄漏的连续性或瞬时性以围堰最大等效半径为液池半径；无围堰时，设定液体瞬间扩散到最小厚度时，推算液池等效半径。本项目</w:t>
      </w:r>
      <w:r>
        <w:rPr>
          <w:rFonts w:hint="eastAsia" w:cs="Times New Roman"/>
          <w:color w:val="auto"/>
          <w:kern w:val="0"/>
          <w:sz w:val="24"/>
          <w:szCs w:val="24"/>
          <w:highlight w:val="none"/>
          <w:lang w:val="en-US" w:bidi="zh-CN"/>
        </w:rPr>
        <w:t>预搅拌罐区</w:t>
      </w:r>
      <w:r>
        <w:rPr>
          <w:rFonts w:hint="default" w:ascii="Times New Roman" w:hAnsi="Times New Roman" w:cs="Times New Roman"/>
          <w:color w:val="auto"/>
          <w:kern w:val="0"/>
          <w:sz w:val="24"/>
          <w:szCs w:val="24"/>
          <w:highlight w:val="none"/>
          <w:lang w:val="en-US" w:bidi="zh-CN"/>
        </w:rPr>
        <w:t>拟设</w:t>
      </w:r>
      <w:r>
        <w:rPr>
          <w:rFonts w:hint="default" w:ascii="Times New Roman" w:hAnsi="Times New Roman" w:eastAsia="宋体" w:cs="Times New Roman"/>
          <w:color w:val="auto"/>
          <w:kern w:val="0"/>
          <w:sz w:val="24"/>
          <w:szCs w:val="24"/>
          <w:highlight w:val="none"/>
          <w:lang w:val="en-US" w:bidi="zh-CN"/>
        </w:rPr>
        <w:t>MDI</w:t>
      </w:r>
      <w:r>
        <w:rPr>
          <w:rFonts w:hint="default" w:ascii="Times New Roman" w:hAnsi="Times New Roman" w:eastAsia="宋体" w:cs="Times New Roman"/>
          <w:color w:val="auto"/>
          <w:kern w:val="0"/>
          <w:sz w:val="24"/>
          <w:szCs w:val="24"/>
          <w:highlight w:val="none"/>
          <w:lang w:val="zh-CN" w:bidi="zh-CN"/>
        </w:rPr>
        <w:t>液体的泄漏面积为</w:t>
      </w:r>
      <w:r>
        <w:rPr>
          <w:rFonts w:hint="default" w:ascii="Times New Roman" w:hAnsi="Times New Roman" w:cs="Times New Roman"/>
          <w:color w:val="auto"/>
          <w:kern w:val="0"/>
          <w:sz w:val="24"/>
          <w:szCs w:val="24"/>
          <w:highlight w:val="none"/>
          <w:lang w:val="en-US" w:bidi="zh-CN"/>
        </w:rPr>
        <w:t>24</w:t>
      </w:r>
      <w:r>
        <w:rPr>
          <w:rFonts w:hint="default" w:ascii="Times New Roman" w:hAnsi="Times New Roman" w:eastAsia="宋体" w:cs="Times New Roman"/>
          <w:color w:val="auto"/>
          <w:kern w:val="0"/>
          <w:sz w:val="24"/>
          <w:szCs w:val="24"/>
          <w:highlight w:val="none"/>
          <w:lang w:val="en-US" w:bidi="zh-CN"/>
        </w:rPr>
        <w:t>m</w:t>
      </w:r>
      <w:r>
        <w:rPr>
          <w:rFonts w:hint="default" w:ascii="Times New Roman" w:hAnsi="Times New Roman" w:eastAsia="宋体" w:cs="Times New Roman"/>
          <w:color w:val="auto"/>
          <w:kern w:val="0"/>
          <w:sz w:val="24"/>
          <w:szCs w:val="24"/>
          <w:highlight w:val="none"/>
          <w:vertAlign w:val="superscript"/>
          <w:lang w:val="en-US" w:bidi="zh-CN"/>
        </w:rPr>
        <w:t>2</w:t>
      </w:r>
      <w:r>
        <w:rPr>
          <w:rFonts w:hint="default" w:ascii="Times New Roman" w:hAnsi="Times New Roman" w:eastAsia="宋体" w:cs="Times New Roman"/>
          <w:color w:val="auto"/>
          <w:kern w:val="0"/>
          <w:sz w:val="24"/>
          <w:szCs w:val="24"/>
          <w:highlight w:val="none"/>
          <w:vertAlign w:val="baseline"/>
          <w:lang w:val="en-US" w:bidi="zh-CN"/>
        </w:rPr>
        <w:t>（项目</w:t>
      </w:r>
      <w:r>
        <w:rPr>
          <w:rFonts w:hint="default" w:ascii="Times New Roman" w:hAnsi="Times New Roman" w:cs="Times New Roman"/>
          <w:color w:val="auto"/>
          <w:kern w:val="0"/>
          <w:sz w:val="24"/>
          <w:szCs w:val="24"/>
          <w:highlight w:val="none"/>
          <w:vertAlign w:val="baseline"/>
          <w:lang w:val="en-US" w:bidi="zh-CN"/>
        </w:rPr>
        <w:t>预搅拌罐区拟设置总面积为24</w:t>
      </w:r>
      <w:r>
        <w:rPr>
          <w:rFonts w:hint="default" w:ascii="Times New Roman" w:hAnsi="Times New Roman" w:eastAsia="宋体" w:cs="Times New Roman"/>
          <w:color w:val="auto"/>
          <w:kern w:val="0"/>
          <w:sz w:val="24"/>
          <w:szCs w:val="24"/>
          <w:highlight w:val="none"/>
          <w:vertAlign w:val="baseline"/>
          <w:lang w:val="en-US" w:bidi="zh-CN"/>
        </w:rPr>
        <w:t>m</w:t>
      </w:r>
      <w:r>
        <w:rPr>
          <w:rFonts w:hint="default" w:ascii="Times New Roman" w:hAnsi="Times New Roman" w:eastAsia="宋体" w:cs="Times New Roman"/>
          <w:color w:val="auto"/>
          <w:kern w:val="0"/>
          <w:sz w:val="24"/>
          <w:szCs w:val="24"/>
          <w:highlight w:val="none"/>
          <w:vertAlign w:val="superscript"/>
          <w:lang w:val="en-US" w:bidi="zh-CN"/>
        </w:rPr>
        <w:t>2</w:t>
      </w:r>
      <w:r>
        <w:rPr>
          <w:rFonts w:hint="default" w:ascii="Times New Roman" w:hAnsi="Times New Roman" w:cs="Times New Roman"/>
          <w:color w:val="auto"/>
          <w:kern w:val="0"/>
          <w:sz w:val="24"/>
          <w:szCs w:val="24"/>
          <w:highlight w:val="none"/>
          <w:vertAlign w:val="baseline"/>
          <w:lang w:val="en-US" w:bidi="zh-CN"/>
        </w:rPr>
        <w:t>，拟设置一个0.5</w:t>
      </w:r>
      <w:r>
        <w:rPr>
          <w:rFonts w:hint="default" w:ascii="Times New Roman" w:hAnsi="Times New Roman" w:eastAsia="宋体" w:cs="Times New Roman"/>
          <w:color w:val="auto"/>
          <w:kern w:val="0"/>
          <w:sz w:val="24"/>
          <w:szCs w:val="24"/>
          <w:highlight w:val="none"/>
          <w:vertAlign w:val="baseline"/>
          <w:lang w:val="en-US" w:bidi="zh-CN"/>
        </w:rPr>
        <w:t>m高</w:t>
      </w:r>
      <w:r>
        <w:rPr>
          <w:rFonts w:hint="default" w:ascii="Times New Roman" w:hAnsi="Times New Roman" w:cs="Times New Roman"/>
          <w:color w:val="auto"/>
          <w:kern w:val="0"/>
          <w:sz w:val="24"/>
          <w:szCs w:val="24"/>
          <w:highlight w:val="none"/>
          <w:vertAlign w:val="baseline"/>
          <w:lang w:val="en-US" w:bidi="zh-CN"/>
        </w:rPr>
        <w:t>的</w:t>
      </w:r>
      <w:r>
        <w:rPr>
          <w:rFonts w:hint="default" w:ascii="Times New Roman" w:hAnsi="Times New Roman" w:eastAsia="宋体" w:cs="Times New Roman"/>
          <w:color w:val="auto"/>
          <w:kern w:val="0"/>
          <w:sz w:val="24"/>
          <w:szCs w:val="24"/>
          <w:highlight w:val="none"/>
          <w:vertAlign w:val="baseline"/>
          <w:lang w:val="en-US" w:bidi="zh-CN"/>
        </w:rPr>
        <w:t>围堰</w:t>
      </w:r>
      <w:r>
        <w:rPr>
          <w:rFonts w:hint="default" w:ascii="Times New Roman" w:hAnsi="Times New Roman" w:cs="Times New Roman"/>
          <w:color w:val="auto"/>
          <w:kern w:val="0"/>
          <w:sz w:val="24"/>
          <w:szCs w:val="24"/>
          <w:highlight w:val="none"/>
          <w:vertAlign w:val="baseline"/>
          <w:lang w:val="en-US" w:bidi="zh-CN"/>
        </w:rPr>
        <w:t>，推算出液池半径为2.76m）</w:t>
      </w:r>
      <w:r>
        <w:rPr>
          <w:rFonts w:hint="eastAsia" w:cs="Times New Roman"/>
          <w:color w:val="auto"/>
          <w:kern w:val="0"/>
          <w:sz w:val="24"/>
          <w:szCs w:val="24"/>
          <w:highlight w:val="none"/>
          <w:vertAlign w:val="baseline"/>
          <w:lang w:val="en-US" w:bidi="zh-CN"/>
        </w:rPr>
        <w:t>；</w:t>
      </w:r>
      <w:r>
        <w:rPr>
          <w:rFonts w:hint="eastAsia" w:cs="Times New Roman"/>
          <w:color w:val="auto"/>
          <w:kern w:val="0"/>
          <w:sz w:val="24"/>
          <w:szCs w:val="24"/>
          <w:highlight w:val="none"/>
          <w:lang w:val="en-US" w:bidi="zh-CN"/>
        </w:rPr>
        <w:t>化学品仓库</w:t>
      </w:r>
      <w:r>
        <w:rPr>
          <w:rFonts w:hint="default" w:ascii="Times New Roman" w:hAnsi="Times New Roman" w:cs="Times New Roman"/>
          <w:color w:val="auto"/>
          <w:kern w:val="0"/>
          <w:sz w:val="24"/>
          <w:szCs w:val="24"/>
          <w:highlight w:val="none"/>
          <w:lang w:val="en-US" w:bidi="zh-CN"/>
        </w:rPr>
        <w:t>拟设</w:t>
      </w:r>
      <w:r>
        <w:rPr>
          <w:rFonts w:hint="default" w:ascii="Times New Roman" w:hAnsi="Times New Roman" w:eastAsia="宋体" w:cs="Times New Roman"/>
          <w:color w:val="auto"/>
          <w:kern w:val="0"/>
          <w:sz w:val="24"/>
          <w:szCs w:val="24"/>
          <w:highlight w:val="none"/>
          <w:lang w:val="en-US" w:bidi="zh-CN"/>
        </w:rPr>
        <w:t>MDI</w:t>
      </w:r>
      <w:r>
        <w:rPr>
          <w:rFonts w:hint="default" w:ascii="Times New Roman" w:hAnsi="Times New Roman" w:eastAsia="宋体" w:cs="Times New Roman"/>
          <w:color w:val="auto"/>
          <w:kern w:val="0"/>
          <w:sz w:val="24"/>
          <w:szCs w:val="24"/>
          <w:highlight w:val="none"/>
          <w:lang w:val="zh-CN" w:bidi="zh-CN"/>
        </w:rPr>
        <w:t>液体的泄漏面积为</w:t>
      </w:r>
      <w:r>
        <w:rPr>
          <w:rFonts w:hint="eastAsia" w:cs="Times New Roman"/>
          <w:color w:val="auto"/>
          <w:kern w:val="0"/>
          <w:sz w:val="24"/>
          <w:szCs w:val="24"/>
          <w:highlight w:val="none"/>
          <w:lang w:val="en-US" w:bidi="zh-CN"/>
        </w:rPr>
        <w:t>10</w:t>
      </w:r>
      <w:r>
        <w:rPr>
          <w:rFonts w:hint="default" w:ascii="Times New Roman" w:hAnsi="Times New Roman" w:eastAsia="宋体" w:cs="Times New Roman"/>
          <w:color w:val="auto"/>
          <w:kern w:val="0"/>
          <w:sz w:val="24"/>
          <w:szCs w:val="24"/>
          <w:highlight w:val="none"/>
          <w:lang w:val="en-US" w:bidi="zh-CN"/>
        </w:rPr>
        <w:t>m</w:t>
      </w:r>
      <w:r>
        <w:rPr>
          <w:rFonts w:hint="default" w:ascii="Times New Roman" w:hAnsi="Times New Roman" w:eastAsia="宋体" w:cs="Times New Roman"/>
          <w:color w:val="auto"/>
          <w:kern w:val="0"/>
          <w:sz w:val="24"/>
          <w:szCs w:val="24"/>
          <w:highlight w:val="none"/>
          <w:vertAlign w:val="superscript"/>
          <w:lang w:val="en-US" w:bidi="zh-CN"/>
        </w:rPr>
        <w:t>2</w:t>
      </w:r>
      <w:r>
        <w:rPr>
          <w:rFonts w:hint="default" w:ascii="Times New Roman" w:hAnsi="Times New Roman" w:eastAsia="宋体" w:cs="Times New Roman"/>
          <w:color w:val="auto"/>
          <w:kern w:val="0"/>
          <w:sz w:val="24"/>
          <w:szCs w:val="24"/>
          <w:highlight w:val="none"/>
          <w:vertAlign w:val="baseline"/>
          <w:lang w:val="en-US" w:bidi="zh-CN"/>
        </w:rPr>
        <w:t>（项目</w:t>
      </w:r>
      <w:r>
        <w:rPr>
          <w:rFonts w:hint="eastAsia" w:cs="Times New Roman"/>
          <w:color w:val="auto"/>
          <w:kern w:val="0"/>
          <w:sz w:val="24"/>
          <w:szCs w:val="24"/>
          <w:highlight w:val="none"/>
          <w:vertAlign w:val="baseline"/>
          <w:lang w:val="en-US" w:bidi="zh-CN"/>
        </w:rPr>
        <w:t>化学品仓库每种化学品均各自设一个贮存区，每个贮存区设立围堰，MDI在化学品仓库内的贮存区</w:t>
      </w:r>
      <w:r>
        <w:rPr>
          <w:rFonts w:hint="default" w:ascii="Times New Roman" w:hAnsi="Times New Roman" w:cs="Times New Roman"/>
          <w:color w:val="auto"/>
          <w:kern w:val="0"/>
          <w:sz w:val="24"/>
          <w:szCs w:val="24"/>
          <w:highlight w:val="none"/>
          <w:vertAlign w:val="baseline"/>
          <w:lang w:val="en-US" w:bidi="zh-CN"/>
        </w:rPr>
        <w:t>拟设置面积为</w:t>
      </w:r>
      <w:r>
        <w:rPr>
          <w:rFonts w:hint="eastAsia" w:cs="Times New Roman"/>
          <w:color w:val="auto"/>
          <w:kern w:val="0"/>
          <w:sz w:val="24"/>
          <w:szCs w:val="24"/>
          <w:highlight w:val="none"/>
          <w:vertAlign w:val="baseline"/>
          <w:lang w:val="en-US" w:bidi="zh-CN"/>
        </w:rPr>
        <w:t>10</w:t>
      </w:r>
      <w:r>
        <w:rPr>
          <w:rFonts w:hint="default" w:ascii="Times New Roman" w:hAnsi="Times New Roman" w:eastAsia="宋体" w:cs="Times New Roman"/>
          <w:color w:val="auto"/>
          <w:kern w:val="0"/>
          <w:sz w:val="24"/>
          <w:szCs w:val="24"/>
          <w:highlight w:val="none"/>
          <w:vertAlign w:val="baseline"/>
          <w:lang w:val="en-US" w:bidi="zh-CN"/>
        </w:rPr>
        <w:t>m</w:t>
      </w:r>
      <w:r>
        <w:rPr>
          <w:rFonts w:hint="default" w:ascii="Times New Roman" w:hAnsi="Times New Roman" w:eastAsia="宋体" w:cs="Times New Roman"/>
          <w:color w:val="auto"/>
          <w:kern w:val="0"/>
          <w:sz w:val="24"/>
          <w:szCs w:val="24"/>
          <w:highlight w:val="none"/>
          <w:vertAlign w:val="superscript"/>
          <w:lang w:val="en-US" w:bidi="zh-CN"/>
        </w:rPr>
        <w:t>2</w:t>
      </w:r>
      <w:r>
        <w:rPr>
          <w:rFonts w:hint="default" w:ascii="Times New Roman" w:hAnsi="Times New Roman" w:cs="Times New Roman"/>
          <w:color w:val="auto"/>
          <w:kern w:val="0"/>
          <w:sz w:val="24"/>
          <w:szCs w:val="24"/>
          <w:highlight w:val="none"/>
          <w:vertAlign w:val="baseline"/>
          <w:lang w:val="en-US" w:bidi="zh-CN"/>
        </w:rPr>
        <w:t>，拟设置一个0.5</w:t>
      </w:r>
      <w:r>
        <w:rPr>
          <w:rFonts w:hint="default" w:ascii="Times New Roman" w:hAnsi="Times New Roman" w:eastAsia="宋体" w:cs="Times New Roman"/>
          <w:color w:val="auto"/>
          <w:kern w:val="0"/>
          <w:sz w:val="24"/>
          <w:szCs w:val="24"/>
          <w:highlight w:val="none"/>
          <w:vertAlign w:val="baseline"/>
          <w:lang w:val="en-US" w:bidi="zh-CN"/>
        </w:rPr>
        <w:t>m高</w:t>
      </w:r>
      <w:r>
        <w:rPr>
          <w:rFonts w:hint="default" w:ascii="Times New Roman" w:hAnsi="Times New Roman" w:cs="Times New Roman"/>
          <w:color w:val="auto"/>
          <w:kern w:val="0"/>
          <w:sz w:val="24"/>
          <w:szCs w:val="24"/>
          <w:highlight w:val="none"/>
          <w:vertAlign w:val="baseline"/>
          <w:lang w:val="en-US" w:bidi="zh-CN"/>
        </w:rPr>
        <w:t>的</w:t>
      </w:r>
      <w:r>
        <w:rPr>
          <w:rFonts w:hint="default" w:ascii="Times New Roman" w:hAnsi="Times New Roman" w:eastAsia="宋体" w:cs="Times New Roman"/>
          <w:color w:val="auto"/>
          <w:kern w:val="0"/>
          <w:sz w:val="24"/>
          <w:szCs w:val="24"/>
          <w:highlight w:val="none"/>
          <w:vertAlign w:val="baseline"/>
          <w:lang w:val="en-US" w:bidi="zh-CN"/>
        </w:rPr>
        <w:t>围堰</w:t>
      </w:r>
      <w:r>
        <w:rPr>
          <w:rFonts w:hint="default" w:ascii="Times New Roman" w:hAnsi="Times New Roman" w:cs="Times New Roman"/>
          <w:color w:val="auto"/>
          <w:kern w:val="0"/>
          <w:sz w:val="24"/>
          <w:szCs w:val="24"/>
          <w:highlight w:val="none"/>
          <w:vertAlign w:val="baseline"/>
          <w:lang w:val="en-US" w:bidi="zh-CN"/>
        </w:rPr>
        <w:t>，推算出液池半径为</w:t>
      </w:r>
      <w:r>
        <w:rPr>
          <w:rFonts w:hint="eastAsia" w:cs="Times New Roman"/>
          <w:color w:val="auto"/>
          <w:kern w:val="0"/>
          <w:sz w:val="24"/>
          <w:szCs w:val="24"/>
          <w:highlight w:val="none"/>
          <w:vertAlign w:val="baseline"/>
          <w:lang w:val="en-US" w:bidi="zh-CN"/>
        </w:rPr>
        <w:t>1.78</w:t>
      </w:r>
      <w:r>
        <w:rPr>
          <w:rFonts w:hint="default" w:ascii="Times New Roman" w:hAnsi="Times New Roman" w:cs="Times New Roman"/>
          <w:color w:val="auto"/>
          <w:kern w:val="0"/>
          <w:sz w:val="24"/>
          <w:szCs w:val="24"/>
          <w:highlight w:val="none"/>
          <w:vertAlign w:val="baseline"/>
          <w:lang w:val="en-US" w:bidi="zh-CN"/>
        </w:rPr>
        <w:t>m）。</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960" w:firstLineChars="400"/>
        <w:jc w:val="both"/>
        <w:textAlignment w:val="auto"/>
        <w:rPr>
          <w:rFonts w:hint="default" w:ascii="Times New Roman" w:hAnsi="Times New Roman" w:eastAsia="宋体" w:cs="Times New Roman"/>
          <w:b w:val="0"/>
          <w:bCs w:val="0"/>
          <w:color w:val="auto"/>
          <w:sz w:val="24"/>
          <w:szCs w:val="24"/>
          <w:highlight w:val="none"/>
          <w:lang w:val="zh-CN" w:eastAsia="zh-CN" w:bidi="zh-CN"/>
        </w:rPr>
      </w:pPr>
      <w:r>
        <w:rPr>
          <w:rFonts w:hint="default" w:ascii="Times New Roman" w:hAnsi="Times New Roman" w:eastAsia="Times New Roman" w:cs="Times New Roman"/>
          <w:color w:val="auto"/>
          <w:sz w:val="24"/>
          <w:szCs w:val="24"/>
          <w:highlight w:val="none"/>
          <w:lang w:val="zh-CN" w:eastAsia="zh-CN" w:bidi="zh-CN"/>
        </w:rPr>
        <w:t>α，n——</w:t>
      </w:r>
      <w:r>
        <w:rPr>
          <w:rFonts w:hint="default" w:ascii="Times New Roman" w:hAnsi="Times New Roman" w:eastAsia="宋体" w:cs="Times New Roman"/>
          <w:color w:val="auto"/>
          <w:sz w:val="24"/>
          <w:szCs w:val="24"/>
          <w:highlight w:val="none"/>
          <w:lang w:val="zh-CN" w:eastAsia="zh-CN" w:bidi="zh-CN"/>
        </w:rPr>
        <w:t>大气稳定度系数。</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4"/>
          <w:szCs w:val="24"/>
          <w:highlight w:val="none"/>
          <w:lang w:val="zh-CN" w:eastAsia="zh-CN" w:bidi="zh-CN"/>
        </w:rPr>
        <w:t>按大气稳定度</w:t>
      </w:r>
      <w:r>
        <w:rPr>
          <w:rFonts w:hint="default" w:ascii="Times New Roman" w:hAnsi="Times New Roman" w:eastAsia="Times New Roman" w:cs="Times New Roman"/>
          <w:b w:val="0"/>
          <w:bCs w:val="0"/>
          <w:color w:val="auto"/>
          <w:sz w:val="24"/>
          <w:szCs w:val="24"/>
          <w:highlight w:val="none"/>
          <w:lang w:val="zh-CN" w:eastAsia="zh-CN" w:bidi="zh-CN"/>
        </w:rPr>
        <w:t>E~F</w:t>
      </w:r>
      <w:r>
        <w:rPr>
          <w:rFonts w:hint="default" w:ascii="Times New Roman" w:hAnsi="Times New Roman" w:eastAsia="宋体" w:cs="Times New Roman"/>
          <w:b w:val="0"/>
          <w:bCs w:val="0"/>
          <w:color w:val="auto"/>
          <w:sz w:val="24"/>
          <w:szCs w:val="24"/>
          <w:highlight w:val="none"/>
          <w:lang w:val="zh-CN" w:eastAsia="zh-CN" w:bidi="zh-CN"/>
        </w:rPr>
        <w:t>取值，风速为</w:t>
      </w:r>
      <w:r>
        <w:rPr>
          <w:rFonts w:hint="default" w:ascii="Times New Roman" w:hAnsi="Times New Roman" w:eastAsia="Times New Roman" w:cs="Times New Roman"/>
          <w:b w:val="0"/>
          <w:bCs w:val="0"/>
          <w:color w:val="auto"/>
          <w:sz w:val="24"/>
          <w:szCs w:val="24"/>
          <w:highlight w:val="none"/>
          <w:lang w:val="zh-CN" w:eastAsia="zh-CN" w:bidi="zh-CN"/>
        </w:rPr>
        <w:t>1.5m/s</w:t>
      </w:r>
      <w:r>
        <w:rPr>
          <w:rFonts w:hint="default" w:ascii="Times New Roman" w:hAnsi="Times New Roman" w:eastAsia="宋体" w:cs="Times New Roman"/>
          <w:b w:val="0"/>
          <w:bCs w:val="0"/>
          <w:color w:val="auto"/>
          <w:sz w:val="24"/>
          <w:szCs w:val="24"/>
          <w:highlight w:val="none"/>
          <w:lang w:val="zh-CN" w:eastAsia="zh-CN" w:bidi="zh-CN"/>
        </w:rPr>
        <w:t>，其他各参数见下表。</w:t>
      </w:r>
    </w:p>
    <w:p>
      <w:pPr>
        <w:keepNext w:val="0"/>
        <w:keepLines w:val="0"/>
        <w:pageBreakBefore w:val="0"/>
        <w:widowControl w:val="0"/>
        <w:numPr>
          <w:ilvl w:val="0"/>
          <w:numId w:val="2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color w:val="auto"/>
          <w:sz w:val="21"/>
          <w:szCs w:val="21"/>
          <w:highlight w:val="none"/>
          <w:lang w:val="en-US" w:eastAsia="zh-CN"/>
        </w:rPr>
        <w:t>蒸发量计算参数</w:t>
      </w:r>
    </w:p>
    <w:tbl>
      <w:tblPr>
        <w:tblStyle w:val="32"/>
        <w:tblW w:w="500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47"/>
        <w:gridCol w:w="947"/>
        <w:gridCol w:w="597"/>
        <w:gridCol w:w="657"/>
        <w:gridCol w:w="1325"/>
        <w:gridCol w:w="587"/>
        <w:gridCol w:w="927"/>
        <w:gridCol w:w="745"/>
        <w:gridCol w:w="879"/>
        <w:gridCol w:w="1074"/>
        <w:gridCol w:w="10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4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泄漏位置</w:t>
            </w:r>
          </w:p>
        </w:tc>
        <w:tc>
          <w:tcPr>
            <w:tcW w:w="4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危险物质</w:t>
            </w:r>
          </w:p>
        </w:tc>
        <w:tc>
          <w:tcPr>
            <w:tcW w:w="3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参数</w:t>
            </w:r>
          </w:p>
        </w:tc>
        <w:tc>
          <w:tcPr>
            <w:tcW w:w="33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p</w:t>
            </w:r>
          </w:p>
        </w:tc>
        <w:tc>
          <w:tcPr>
            <w:tcW w:w="6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R</w:t>
            </w:r>
          </w:p>
        </w:tc>
        <w:tc>
          <w:tcPr>
            <w:tcW w:w="30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T</w:t>
            </w:r>
            <w:r>
              <w:rPr>
                <w:rFonts w:hint="default" w:ascii="Times New Roman" w:hAnsi="Times New Roman" w:eastAsia="宋体" w:cs="Times New Roman"/>
                <w:b/>
                <w:bCs/>
                <w:color w:val="auto"/>
                <w:sz w:val="21"/>
                <w:szCs w:val="21"/>
                <w:highlight w:val="none"/>
                <w:vertAlign w:val="subscript"/>
              </w:rPr>
              <w:t>0</w:t>
            </w:r>
          </w:p>
        </w:tc>
        <w:tc>
          <w:tcPr>
            <w:tcW w:w="4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38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u</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r</w:t>
            </w:r>
          </w:p>
        </w:tc>
        <w:tc>
          <w:tcPr>
            <w:tcW w:w="5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α</w:t>
            </w:r>
          </w:p>
        </w:tc>
        <w:tc>
          <w:tcPr>
            <w:tcW w:w="55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4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p>
        </w:tc>
        <w:tc>
          <w:tcPr>
            <w:tcW w:w="484" w:type="pct"/>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p>
        </w:tc>
        <w:tc>
          <w:tcPr>
            <w:tcW w:w="3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单位</w:t>
            </w:r>
          </w:p>
        </w:tc>
        <w:tc>
          <w:tcPr>
            <w:tcW w:w="33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Pa</w:t>
            </w:r>
          </w:p>
        </w:tc>
        <w:tc>
          <w:tcPr>
            <w:tcW w:w="6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J/（mol•K）</w:t>
            </w:r>
          </w:p>
        </w:tc>
        <w:tc>
          <w:tcPr>
            <w:tcW w:w="30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w:t>
            </w:r>
          </w:p>
        </w:tc>
        <w:tc>
          <w:tcPr>
            <w:tcW w:w="4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kg/mol</w:t>
            </w:r>
          </w:p>
        </w:tc>
        <w:tc>
          <w:tcPr>
            <w:tcW w:w="38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m/s</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5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w:t>
            </w:r>
          </w:p>
        </w:tc>
        <w:tc>
          <w:tcPr>
            <w:tcW w:w="55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4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预搅拌罐区</w:t>
            </w:r>
          </w:p>
        </w:tc>
        <w:tc>
          <w:tcPr>
            <w:tcW w:w="4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改性异氰酸酯</w:t>
            </w:r>
          </w:p>
        </w:tc>
        <w:tc>
          <w:tcPr>
            <w:tcW w:w="3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取值</w:t>
            </w:r>
          </w:p>
        </w:tc>
        <w:tc>
          <w:tcPr>
            <w:tcW w:w="33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0.0013</w:t>
            </w:r>
          </w:p>
        </w:tc>
        <w:tc>
          <w:tcPr>
            <w:tcW w:w="6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8.314</w:t>
            </w:r>
          </w:p>
        </w:tc>
        <w:tc>
          <w:tcPr>
            <w:tcW w:w="30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298</w:t>
            </w:r>
          </w:p>
        </w:tc>
        <w:tc>
          <w:tcPr>
            <w:tcW w:w="4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0.25</w:t>
            </w:r>
          </w:p>
        </w:tc>
        <w:tc>
          <w:tcPr>
            <w:tcW w:w="38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2.76</w:t>
            </w:r>
          </w:p>
        </w:tc>
        <w:tc>
          <w:tcPr>
            <w:tcW w:w="5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5.285×10</w:t>
            </w:r>
            <w:r>
              <w:rPr>
                <w:rFonts w:hint="default" w:ascii="Times New Roman" w:hAnsi="Times New Roman" w:eastAsia="宋体" w:cs="Times New Roman"/>
                <w:color w:val="auto"/>
                <w:sz w:val="21"/>
                <w:szCs w:val="21"/>
                <w:highlight w:val="none"/>
                <w:vertAlign w:val="superscript"/>
              </w:rPr>
              <w:t>-3</w:t>
            </w:r>
          </w:p>
        </w:tc>
        <w:tc>
          <w:tcPr>
            <w:tcW w:w="55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4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化学品仓库</w:t>
            </w:r>
          </w:p>
        </w:tc>
        <w:tc>
          <w:tcPr>
            <w:tcW w:w="4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改性异氰酸酯</w:t>
            </w:r>
          </w:p>
        </w:tc>
        <w:tc>
          <w:tcPr>
            <w:tcW w:w="30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取值</w:t>
            </w:r>
          </w:p>
        </w:tc>
        <w:tc>
          <w:tcPr>
            <w:tcW w:w="33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0.0013</w:t>
            </w:r>
          </w:p>
        </w:tc>
        <w:tc>
          <w:tcPr>
            <w:tcW w:w="6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8.314</w:t>
            </w:r>
          </w:p>
        </w:tc>
        <w:tc>
          <w:tcPr>
            <w:tcW w:w="30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298</w:t>
            </w:r>
          </w:p>
        </w:tc>
        <w:tc>
          <w:tcPr>
            <w:tcW w:w="4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0.25</w:t>
            </w:r>
          </w:p>
        </w:tc>
        <w:tc>
          <w:tcPr>
            <w:tcW w:w="38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1.78</w:t>
            </w:r>
          </w:p>
        </w:tc>
        <w:tc>
          <w:tcPr>
            <w:tcW w:w="54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5.285×10</w:t>
            </w:r>
            <w:r>
              <w:rPr>
                <w:rFonts w:hint="default" w:ascii="Times New Roman" w:hAnsi="Times New Roman" w:eastAsia="宋体" w:cs="Times New Roman"/>
                <w:color w:val="auto"/>
                <w:sz w:val="21"/>
                <w:szCs w:val="21"/>
                <w:highlight w:val="none"/>
                <w:vertAlign w:val="superscript"/>
              </w:rPr>
              <w:t>-3</w:t>
            </w:r>
          </w:p>
        </w:tc>
        <w:tc>
          <w:tcPr>
            <w:tcW w:w="55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0.3</w:t>
            </w:r>
          </w:p>
        </w:tc>
      </w:tr>
    </w:tbl>
    <w:p>
      <w:pPr>
        <w:keepNext w:val="0"/>
        <w:keepLines w:val="0"/>
        <w:pageBreakBefore w:val="0"/>
        <w:widowControl w:val="0"/>
        <w:numPr>
          <w:ilvl w:val="0"/>
          <w:numId w:val="2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物质泄漏时的总蒸发量</w:t>
      </w:r>
    </w:p>
    <w:tbl>
      <w:tblPr>
        <w:tblStyle w:val="33"/>
        <w:tblW w:w="0" w:type="auto"/>
        <w:tblInd w:w="1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6"/>
        <w:gridCol w:w="1992"/>
        <w:gridCol w:w="1993"/>
        <w:gridCol w:w="1993"/>
        <w:gridCol w:w="1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66"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危险物质</w:t>
            </w:r>
          </w:p>
        </w:tc>
        <w:tc>
          <w:tcPr>
            <w:tcW w:w="1992"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color w:val="auto"/>
                <w:sz w:val="21"/>
                <w:szCs w:val="21"/>
                <w:highlight w:val="none"/>
                <w:lang w:val="zh-CN" w:eastAsia="zh-CN" w:bidi="zh-CN"/>
              </w:rPr>
              <w:t>闪蒸量</w:t>
            </w:r>
            <w:r>
              <w:rPr>
                <w:rFonts w:hint="default" w:ascii="Times New Roman" w:hAnsi="Times New Roman" w:eastAsia="Times New Roman" w:cs="Times New Roman"/>
                <w:b/>
                <w:color w:val="auto"/>
                <w:sz w:val="21"/>
                <w:szCs w:val="21"/>
                <w:highlight w:val="none"/>
                <w:lang w:val="zh-CN" w:eastAsia="zh-CN" w:bidi="zh-CN"/>
              </w:rPr>
              <w:t>（kg</w:t>
            </w:r>
            <w:r>
              <w:rPr>
                <w:rFonts w:hint="default" w:ascii="Times New Roman" w:hAnsi="Times New Roman" w:eastAsia="Times New Roman" w:cs="Times New Roman"/>
                <w:b/>
                <w:color w:val="auto"/>
                <w:sz w:val="21"/>
                <w:szCs w:val="21"/>
                <w:highlight w:val="none"/>
                <w:lang w:val="en-US" w:eastAsia="zh-CN" w:bidi="zh-CN"/>
              </w:rPr>
              <w:t>/s</w:t>
            </w:r>
            <w:r>
              <w:rPr>
                <w:rFonts w:hint="default" w:ascii="Times New Roman" w:hAnsi="Times New Roman" w:eastAsia="Times New Roman" w:cs="Times New Roman"/>
                <w:b/>
                <w:color w:val="auto"/>
                <w:sz w:val="21"/>
                <w:szCs w:val="21"/>
                <w:highlight w:val="none"/>
                <w:lang w:val="zh-CN" w:eastAsia="zh-CN" w:bidi="zh-CN"/>
              </w:rPr>
              <w:t>）</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color w:val="auto"/>
                <w:sz w:val="21"/>
                <w:szCs w:val="21"/>
                <w:highlight w:val="none"/>
                <w:lang w:val="zh-CN" w:eastAsia="zh-CN" w:bidi="zh-CN"/>
              </w:rPr>
              <w:t>热量蒸发量</w:t>
            </w:r>
            <w:r>
              <w:rPr>
                <w:rFonts w:hint="default" w:ascii="Times New Roman" w:hAnsi="Times New Roman" w:eastAsia="Times New Roman" w:cs="Times New Roman"/>
                <w:b/>
                <w:color w:val="auto"/>
                <w:sz w:val="21"/>
                <w:szCs w:val="21"/>
                <w:highlight w:val="none"/>
                <w:lang w:val="zh-CN" w:eastAsia="zh-CN" w:bidi="zh-CN"/>
              </w:rPr>
              <w:t>（kg</w:t>
            </w:r>
            <w:r>
              <w:rPr>
                <w:rFonts w:hint="default" w:ascii="Times New Roman" w:hAnsi="Times New Roman" w:eastAsia="Times New Roman" w:cs="Times New Roman"/>
                <w:b/>
                <w:color w:val="auto"/>
                <w:sz w:val="21"/>
                <w:szCs w:val="21"/>
                <w:highlight w:val="none"/>
                <w:lang w:val="en-US" w:eastAsia="zh-CN" w:bidi="zh-CN"/>
              </w:rPr>
              <w:t>/s</w:t>
            </w:r>
            <w:r>
              <w:rPr>
                <w:rFonts w:hint="default" w:ascii="Times New Roman" w:hAnsi="Times New Roman" w:eastAsia="Times New Roman" w:cs="Times New Roman"/>
                <w:b/>
                <w:color w:val="auto"/>
                <w:sz w:val="21"/>
                <w:szCs w:val="21"/>
                <w:highlight w:val="none"/>
                <w:lang w:val="zh-CN" w:eastAsia="zh-CN" w:bidi="zh-CN"/>
              </w:rPr>
              <w:t>）</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color w:val="auto"/>
                <w:sz w:val="21"/>
                <w:szCs w:val="21"/>
                <w:highlight w:val="none"/>
                <w:lang w:val="zh-CN" w:eastAsia="zh-CN" w:bidi="zh-CN"/>
              </w:rPr>
              <w:t>质量蒸发量</w:t>
            </w:r>
            <w:r>
              <w:rPr>
                <w:rFonts w:hint="default" w:ascii="Times New Roman" w:hAnsi="Times New Roman" w:eastAsia="Times New Roman" w:cs="Times New Roman"/>
                <w:b/>
                <w:color w:val="auto"/>
                <w:sz w:val="21"/>
                <w:szCs w:val="21"/>
                <w:highlight w:val="none"/>
                <w:lang w:val="zh-CN" w:eastAsia="zh-CN" w:bidi="zh-CN"/>
              </w:rPr>
              <w:t>（kg</w:t>
            </w:r>
            <w:r>
              <w:rPr>
                <w:rFonts w:hint="default" w:ascii="Times New Roman" w:hAnsi="Times New Roman" w:eastAsia="Times New Roman" w:cs="Times New Roman"/>
                <w:b/>
                <w:color w:val="auto"/>
                <w:sz w:val="21"/>
                <w:szCs w:val="21"/>
                <w:highlight w:val="none"/>
                <w:lang w:val="en-US" w:eastAsia="zh-CN" w:bidi="zh-CN"/>
              </w:rPr>
              <w:t>/s</w:t>
            </w:r>
            <w:r>
              <w:rPr>
                <w:rFonts w:hint="default" w:ascii="Times New Roman" w:hAnsi="Times New Roman" w:eastAsia="Times New Roman" w:cs="Times New Roman"/>
                <w:b/>
                <w:color w:val="auto"/>
                <w:sz w:val="21"/>
                <w:szCs w:val="21"/>
                <w:highlight w:val="none"/>
                <w:lang w:val="zh-CN" w:eastAsia="zh-CN" w:bidi="zh-CN"/>
              </w:rPr>
              <w:t>）</w:t>
            </w:r>
          </w:p>
        </w:tc>
        <w:tc>
          <w:tcPr>
            <w:tcW w:w="1861"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color w:val="auto"/>
                <w:sz w:val="21"/>
                <w:szCs w:val="21"/>
                <w:highlight w:val="none"/>
                <w:lang w:val="zh-CN" w:eastAsia="zh-CN" w:bidi="zh-CN"/>
              </w:rPr>
              <w:t>总蒸发量</w:t>
            </w:r>
            <w:r>
              <w:rPr>
                <w:rFonts w:hint="default" w:ascii="Times New Roman" w:hAnsi="Times New Roman" w:eastAsia="Times New Roman" w:cs="Times New Roman"/>
                <w:b/>
                <w:color w:val="auto"/>
                <w:sz w:val="21"/>
                <w:szCs w:val="21"/>
                <w:highlight w:val="none"/>
                <w:lang w:val="zh-CN" w:eastAsia="zh-CN" w:bidi="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86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改性异氰酸酯</w:t>
            </w:r>
          </w:p>
        </w:tc>
        <w:tc>
          <w:tcPr>
            <w:tcW w:w="1992"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0.00000000624</w:t>
            </w:r>
          </w:p>
        </w:tc>
        <w:tc>
          <w:tcPr>
            <w:tcW w:w="1861"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0.0000112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86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1992"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0.00000000</w:t>
            </w:r>
            <w:r>
              <w:rPr>
                <w:rFonts w:hint="eastAsia" w:cs="Times New Roman"/>
                <w:color w:val="auto"/>
                <w:sz w:val="21"/>
                <w:szCs w:val="21"/>
                <w:highlight w:val="none"/>
                <w:vertAlign w:val="baseline"/>
                <w:lang w:val="en-US" w:eastAsia="zh-CN"/>
              </w:rPr>
              <w:t>275</w:t>
            </w:r>
          </w:p>
        </w:tc>
        <w:tc>
          <w:tcPr>
            <w:tcW w:w="1861"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0.0000</w:t>
            </w:r>
            <w:r>
              <w:rPr>
                <w:rFonts w:hint="eastAsia" w:cs="Times New Roman"/>
                <w:color w:val="auto"/>
                <w:sz w:val="21"/>
                <w:szCs w:val="21"/>
                <w:highlight w:val="none"/>
                <w:vertAlign w:val="baseline"/>
                <w:lang w:val="en-US" w:eastAsia="zh-CN"/>
              </w:rPr>
              <w:t>0495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186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合计</w:t>
            </w:r>
          </w:p>
        </w:tc>
        <w:tc>
          <w:tcPr>
            <w:tcW w:w="1992"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w:t>
            </w:r>
          </w:p>
        </w:tc>
        <w:tc>
          <w:tcPr>
            <w:tcW w:w="1993"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0.00000000899</w:t>
            </w:r>
          </w:p>
        </w:tc>
        <w:tc>
          <w:tcPr>
            <w:tcW w:w="1861" w:type="dxa"/>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0.00001615</w:t>
            </w:r>
          </w:p>
        </w:tc>
      </w:tr>
    </w:tbl>
    <w:p>
      <w:pPr>
        <w:numPr>
          <w:ilvl w:val="2"/>
          <w:numId w:val="29"/>
        </w:numPr>
        <w:spacing w:line="360" w:lineRule="auto"/>
        <w:ind w:left="709" w:leftChars="0" w:hanging="709" w:firstLineChars="0"/>
        <w:jc w:val="left"/>
        <w:outlineLvl w:val="2"/>
        <w:rPr>
          <w:rFonts w:hint="default" w:ascii="Times New Roman" w:hAnsi="Times New Roman"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火灾爆炸伴生/次生污染物</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通过分析本项目使用的风险物质原料，属于可燃品，本次评价考虑泄漏后引发的火灾、爆炸，MDI物料受热分解产生的污染物氰化氢进入大气的影响。</w:t>
      </w:r>
    </w:p>
    <w:p>
      <w:pPr>
        <w:keepNext w:val="0"/>
        <w:keepLines w:val="0"/>
        <w:pageBreakBefore w:val="0"/>
        <w:widowControl w:val="0"/>
        <w:numPr>
          <w:ilvl w:val="0"/>
          <w:numId w:val="31"/>
        </w:numPr>
        <w:kinsoku/>
        <w:wordWrap/>
        <w:overflowPunct/>
        <w:topLinePunct w:val="0"/>
        <w:autoSpaceDE/>
        <w:autoSpaceDN/>
        <w:bidi w:val="0"/>
        <w:adjustRightInd w:val="0"/>
        <w:snapToGrid w:val="0"/>
        <w:spacing w:beforeLines="0" w:line="360" w:lineRule="auto"/>
        <w:ind w:left="-12" w:leftChars="0" w:firstLine="567" w:firstLineChars="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氰化氢</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4"/>
          <w:highlight w:val="none"/>
          <w:lang w:val="en-US" w:eastAsia="zh-CN" w:bidi="zh-CN"/>
        </w:rPr>
      </w:pPr>
      <w:r>
        <w:rPr>
          <w:rFonts w:hint="default" w:ascii="Times New Roman" w:hAnsi="Times New Roman" w:eastAsia="宋体" w:cs="Times New Roman"/>
          <w:color w:val="auto"/>
          <w:kern w:val="0"/>
          <w:sz w:val="24"/>
          <w:szCs w:val="20"/>
          <w:highlight w:val="none"/>
          <w:lang w:val="en-US" w:eastAsia="zh-CN" w:bidi="ar"/>
        </w:rPr>
        <w:t>火灾、爆炸事故情况下，改性异氰酸酯物料受热分解会产生氰化氢。</w:t>
      </w:r>
      <w:r>
        <w:rPr>
          <w:rFonts w:hint="default" w:ascii="Times New Roman" w:hAnsi="Times New Roman" w:cs="Times New Roman"/>
          <w:color w:val="auto"/>
          <w:kern w:val="0"/>
          <w:sz w:val="24"/>
          <w:szCs w:val="20"/>
          <w:highlight w:val="none"/>
          <w:lang w:val="en-US" w:eastAsia="zh-CN" w:bidi="ar"/>
        </w:rPr>
        <w:t>本项目按</w:t>
      </w:r>
      <w:r>
        <w:rPr>
          <w:rFonts w:hint="default" w:ascii="Times New Roman" w:hAnsi="Times New Roman" w:eastAsia="宋体" w:cs="Times New Roman"/>
          <w:color w:val="auto"/>
          <w:kern w:val="0"/>
          <w:sz w:val="24"/>
          <w:szCs w:val="20"/>
          <w:highlight w:val="none"/>
          <w:lang w:val="en-US" w:eastAsia="zh-CN" w:bidi="ar"/>
        </w:rPr>
        <w:t>改性异氰酸酯</w:t>
      </w:r>
      <w:r>
        <w:rPr>
          <w:rFonts w:hint="default" w:ascii="Times New Roman" w:hAnsi="Times New Roman" w:cs="Times New Roman"/>
          <w:color w:val="auto"/>
          <w:kern w:val="0"/>
          <w:sz w:val="24"/>
          <w:szCs w:val="20"/>
          <w:highlight w:val="none"/>
          <w:lang w:val="en-US" w:eastAsia="zh-CN" w:bidi="ar"/>
        </w:rPr>
        <w:t>在预搅拌罐内的</w:t>
      </w:r>
      <w:r>
        <w:rPr>
          <w:rFonts w:hint="default" w:ascii="Times New Roman" w:hAnsi="Times New Roman" w:eastAsia="宋体" w:cs="Times New Roman"/>
          <w:color w:val="auto"/>
          <w:kern w:val="0"/>
          <w:sz w:val="24"/>
          <w:szCs w:val="20"/>
          <w:highlight w:val="none"/>
          <w:lang w:val="en-US" w:eastAsia="zh-CN" w:bidi="ar"/>
        </w:rPr>
        <w:t>最大</w:t>
      </w:r>
      <w:r>
        <w:rPr>
          <w:rFonts w:hint="default" w:ascii="Times New Roman" w:hAnsi="Times New Roman" w:cs="Times New Roman"/>
          <w:color w:val="auto"/>
          <w:kern w:val="0"/>
          <w:sz w:val="24"/>
          <w:szCs w:val="20"/>
          <w:highlight w:val="none"/>
          <w:lang w:val="en-US" w:eastAsia="zh-CN" w:bidi="ar"/>
        </w:rPr>
        <w:t>存在</w:t>
      </w:r>
      <w:r>
        <w:rPr>
          <w:rFonts w:hint="default" w:ascii="Times New Roman" w:hAnsi="Times New Roman" w:eastAsia="宋体" w:cs="Times New Roman"/>
          <w:color w:val="auto"/>
          <w:kern w:val="0"/>
          <w:sz w:val="24"/>
          <w:szCs w:val="20"/>
          <w:highlight w:val="none"/>
          <w:lang w:val="en-US" w:eastAsia="zh-CN" w:bidi="ar"/>
        </w:rPr>
        <w:t>量</w:t>
      </w:r>
      <w:r>
        <w:rPr>
          <w:rFonts w:hint="default" w:ascii="Times New Roman" w:hAnsi="Times New Roman" w:cs="Times New Roman"/>
          <w:color w:val="auto"/>
          <w:kern w:val="0"/>
          <w:sz w:val="24"/>
          <w:szCs w:val="20"/>
          <w:highlight w:val="none"/>
          <w:lang w:val="en-US" w:eastAsia="zh-CN" w:bidi="ar"/>
        </w:rPr>
        <w:t>1.8</w:t>
      </w:r>
      <w:r>
        <w:rPr>
          <w:rFonts w:hint="default" w:ascii="Times New Roman" w:hAnsi="Times New Roman" w:eastAsia="宋体" w:cs="Times New Roman"/>
          <w:color w:val="auto"/>
          <w:kern w:val="0"/>
          <w:sz w:val="24"/>
          <w:szCs w:val="20"/>
          <w:highlight w:val="none"/>
          <w:lang w:val="en-US" w:eastAsia="zh-CN" w:bidi="ar"/>
        </w:rPr>
        <w:t>t</w:t>
      </w:r>
      <w:r>
        <w:rPr>
          <w:rFonts w:hint="eastAsia" w:cs="Times New Roman"/>
          <w:color w:val="auto"/>
          <w:kern w:val="0"/>
          <w:sz w:val="24"/>
          <w:szCs w:val="20"/>
          <w:highlight w:val="none"/>
          <w:lang w:val="en-US" w:eastAsia="zh-CN" w:bidi="ar"/>
        </w:rPr>
        <w:t>、在化学品仓库内最大存在量2t</w:t>
      </w:r>
      <w:r>
        <w:rPr>
          <w:rFonts w:hint="default" w:ascii="Times New Roman" w:hAnsi="Times New Roman" w:cs="Times New Roman"/>
          <w:color w:val="auto"/>
          <w:kern w:val="0"/>
          <w:sz w:val="24"/>
          <w:szCs w:val="20"/>
          <w:highlight w:val="none"/>
          <w:lang w:val="en-US" w:eastAsia="zh-CN" w:bidi="ar"/>
        </w:rPr>
        <w:t>考虑</w:t>
      </w:r>
      <w:r>
        <w:rPr>
          <w:rFonts w:hint="default" w:ascii="Times New Roman" w:hAnsi="Times New Roman" w:eastAsia="宋体" w:cs="Times New Roman"/>
          <w:color w:val="auto"/>
          <w:kern w:val="0"/>
          <w:sz w:val="24"/>
          <w:szCs w:val="20"/>
          <w:highlight w:val="none"/>
          <w:lang w:val="en-US" w:eastAsia="zh-CN" w:bidi="ar"/>
        </w:rPr>
        <w:t>，根据元素平衡，氰化氢产生量为参与燃烧物质的3%，计算得出氰化氢</w:t>
      </w:r>
      <w:r>
        <w:rPr>
          <w:rFonts w:hint="eastAsia" w:cs="Times New Roman"/>
          <w:color w:val="auto"/>
          <w:kern w:val="0"/>
          <w:sz w:val="24"/>
          <w:szCs w:val="20"/>
          <w:highlight w:val="none"/>
          <w:lang w:val="en-US" w:eastAsia="zh-CN" w:bidi="ar"/>
        </w:rPr>
        <w:t>总产生量</w:t>
      </w:r>
      <w:r>
        <w:rPr>
          <w:rFonts w:hint="default" w:ascii="Times New Roman" w:hAnsi="Times New Roman" w:eastAsia="宋体" w:cs="Times New Roman"/>
          <w:color w:val="auto"/>
          <w:kern w:val="0"/>
          <w:sz w:val="24"/>
          <w:szCs w:val="20"/>
          <w:highlight w:val="none"/>
          <w:lang w:val="en-US" w:eastAsia="zh-CN" w:bidi="ar"/>
        </w:rPr>
        <w:t>约</w:t>
      </w:r>
      <w:r>
        <w:rPr>
          <w:rFonts w:hint="eastAsia" w:cs="Times New Roman"/>
          <w:color w:val="auto"/>
          <w:kern w:val="0"/>
          <w:sz w:val="24"/>
          <w:szCs w:val="20"/>
          <w:highlight w:val="none"/>
          <w:lang w:val="en-US" w:eastAsia="zh-CN" w:bidi="ar"/>
        </w:rPr>
        <w:t>为</w:t>
      </w:r>
      <w:r>
        <w:rPr>
          <w:rFonts w:hint="default" w:ascii="Times New Roman" w:hAnsi="Times New Roman" w:cs="Times New Roman"/>
          <w:color w:val="auto"/>
          <w:kern w:val="0"/>
          <w:sz w:val="24"/>
          <w:szCs w:val="20"/>
          <w:highlight w:val="none"/>
          <w:lang w:val="en-US" w:eastAsia="zh-CN" w:bidi="ar"/>
        </w:rPr>
        <w:t>0.</w:t>
      </w:r>
      <w:r>
        <w:rPr>
          <w:rFonts w:hint="eastAsia" w:cs="Times New Roman"/>
          <w:color w:val="auto"/>
          <w:kern w:val="0"/>
          <w:sz w:val="24"/>
          <w:szCs w:val="20"/>
          <w:highlight w:val="none"/>
          <w:lang w:val="en-US" w:eastAsia="zh-CN" w:bidi="ar"/>
        </w:rPr>
        <w:t>11</w:t>
      </w:r>
      <w:r>
        <w:rPr>
          <w:rFonts w:hint="default" w:ascii="Times New Roman" w:hAnsi="Times New Roman" w:cs="Times New Roman"/>
          <w:color w:val="auto"/>
          <w:kern w:val="0"/>
          <w:sz w:val="24"/>
          <w:szCs w:val="20"/>
          <w:highlight w:val="none"/>
          <w:lang w:val="en-US" w:eastAsia="zh-CN" w:bidi="ar"/>
        </w:rPr>
        <w:t>4</w:t>
      </w:r>
      <w:r>
        <w:rPr>
          <w:rFonts w:hint="default" w:ascii="Times New Roman" w:hAnsi="Times New Roman" w:eastAsia="宋体" w:cs="Times New Roman"/>
          <w:color w:val="auto"/>
          <w:kern w:val="0"/>
          <w:sz w:val="24"/>
          <w:szCs w:val="20"/>
          <w:highlight w:val="none"/>
          <w:lang w:val="en-US" w:eastAsia="zh-CN" w:bidi="ar"/>
        </w:rPr>
        <w:t>t。</w:t>
      </w:r>
      <w:r>
        <w:rPr>
          <w:rFonts w:hint="default" w:ascii="Times New Roman" w:hAnsi="Times New Roman" w:eastAsia="宋体" w:cs="Times New Roman"/>
          <w:color w:val="auto"/>
          <w:kern w:val="0"/>
          <w:sz w:val="24"/>
          <w:szCs w:val="24"/>
          <w:highlight w:val="none"/>
          <w:lang w:val="zh-CN" w:eastAsia="zh-CN" w:bidi="zh-CN"/>
        </w:rPr>
        <w:t>根据导则附录F表F4，火灾、爆炸事故有毒有害物质释放比例</w:t>
      </w:r>
      <w:r>
        <w:rPr>
          <w:rFonts w:hint="default" w:ascii="Times New Roman" w:hAnsi="Times New Roman" w:eastAsia="宋体" w:cs="Times New Roman"/>
          <w:color w:val="auto"/>
          <w:kern w:val="0"/>
          <w:sz w:val="24"/>
          <w:szCs w:val="24"/>
          <w:highlight w:val="none"/>
          <w:lang w:val="en-US" w:eastAsia="zh-CN" w:bidi="zh-CN"/>
        </w:rPr>
        <w:t>0.5%，故本项目氰化氢的产生量为</w:t>
      </w:r>
      <w:r>
        <w:rPr>
          <w:rFonts w:hint="default" w:ascii="Times New Roman" w:hAnsi="Times New Roman" w:cs="Times New Roman"/>
          <w:color w:val="auto"/>
          <w:kern w:val="0"/>
          <w:sz w:val="24"/>
          <w:szCs w:val="24"/>
          <w:highlight w:val="none"/>
          <w:lang w:val="en-US" w:eastAsia="zh-CN" w:bidi="zh-CN"/>
        </w:rPr>
        <w:t>0.000</w:t>
      </w:r>
      <w:r>
        <w:rPr>
          <w:rFonts w:hint="eastAsia" w:cs="Times New Roman"/>
          <w:color w:val="auto"/>
          <w:kern w:val="0"/>
          <w:sz w:val="24"/>
          <w:szCs w:val="24"/>
          <w:highlight w:val="none"/>
          <w:lang w:val="en-US" w:eastAsia="zh-CN" w:bidi="zh-CN"/>
        </w:rPr>
        <w:t>5</w:t>
      </w:r>
      <w:r>
        <w:rPr>
          <w:rFonts w:hint="default" w:ascii="Times New Roman" w:hAnsi="Times New Roman" w:cs="Times New Roman"/>
          <w:color w:val="auto"/>
          <w:kern w:val="0"/>
          <w:sz w:val="24"/>
          <w:szCs w:val="24"/>
          <w:highlight w:val="none"/>
          <w:lang w:val="en-US" w:eastAsia="zh-CN" w:bidi="zh-CN"/>
        </w:rPr>
        <w:t>7</w:t>
      </w:r>
      <w:r>
        <w:rPr>
          <w:rFonts w:hint="default" w:ascii="Times New Roman" w:hAnsi="Times New Roman" w:eastAsia="宋体" w:cs="Times New Roman"/>
          <w:color w:val="auto"/>
          <w:kern w:val="0"/>
          <w:sz w:val="24"/>
          <w:szCs w:val="24"/>
          <w:highlight w:val="none"/>
          <w:lang w:val="en-US" w:eastAsia="zh-CN" w:bidi="zh-CN"/>
        </w:rPr>
        <w:t>t，考虑</w:t>
      </w:r>
      <w:r>
        <w:rPr>
          <w:rFonts w:hint="default" w:ascii="Times New Roman" w:hAnsi="Times New Roman" w:cs="Times New Roman"/>
          <w:color w:val="auto"/>
          <w:kern w:val="0"/>
          <w:sz w:val="24"/>
          <w:szCs w:val="24"/>
          <w:highlight w:val="none"/>
          <w:lang w:val="en-US" w:eastAsia="zh-CN" w:bidi="zh-CN"/>
        </w:rPr>
        <w:t>本</w:t>
      </w:r>
      <w:r>
        <w:rPr>
          <w:rFonts w:hint="default" w:ascii="Times New Roman" w:hAnsi="Times New Roman" w:eastAsia="宋体" w:cs="Times New Roman"/>
          <w:color w:val="auto"/>
          <w:kern w:val="0"/>
          <w:sz w:val="24"/>
          <w:szCs w:val="24"/>
          <w:highlight w:val="none"/>
          <w:lang w:val="en-US" w:eastAsia="zh-CN" w:bidi="zh-CN"/>
        </w:rPr>
        <w:t>项目实际情况结合类似事故持续时间，发生火灾时燃烧时间以30min计算，则氰化氢的产生量为</w:t>
      </w:r>
      <w:r>
        <w:rPr>
          <w:rFonts w:hint="default" w:ascii="Times New Roman" w:hAnsi="Times New Roman" w:cs="Times New Roman"/>
          <w:color w:val="auto"/>
          <w:kern w:val="0"/>
          <w:sz w:val="24"/>
          <w:szCs w:val="24"/>
          <w:highlight w:val="none"/>
          <w:lang w:val="en-US" w:eastAsia="zh-CN" w:bidi="zh-CN"/>
        </w:rPr>
        <w:t>0.000</w:t>
      </w:r>
      <w:r>
        <w:rPr>
          <w:rFonts w:hint="eastAsia" w:cs="Times New Roman"/>
          <w:color w:val="auto"/>
          <w:kern w:val="0"/>
          <w:sz w:val="24"/>
          <w:szCs w:val="24"/>
          <w:highlight w:val="none"/>
          <w:lang w:val="en-US" w:eastAsia="zh-CN" w:bidi="zh-CN"/>
        </w:rPr>
        <w:t>32</w:t>
      </w:r>
      <w:r>
        <w:rPr>
          <w:rFonts w:hint="default" w:ascii="Times New Roman" w:hAnsi="Times New Roman" w:eastAsia="宋体" w:cs="Times New Roman"/>
          <w:color w:val="auto"/>
          <w:kern w:val="0"/>
          <w:sz w:val="24"/>
          <w:szCs w:val="24"/>
          <w:highlight w:val="none"/>
          <w:u w:val="none"/>
          <w:lang w:val="en-US" w:eastAsia="zh-CN" w:bidi="zh-CN"/>
        </w:rPr>
        <w:t>kg/s。</w:t>
      </w:r>
    </w:p>
    <w:p>
      <w:pPr>
        <w:keepNext w:val="0"/>
        <w:keepLines w:val="0"/>
        <w:pageBreakBefore w:val="0"/>
        <w:widowControl w:val="0"/>
        <w:numPr>
          <w:ilvl w:val="0"/>
          <w:numId w:val="31"/>
        </w:numPr>
        <w:kinsoku/>
        <w:wordWrap/>
        <w:overflowPunct/>
        <w:topLinePunct w:val="0"/>
        <w:autoSpaceDE/>
        <w:autoSpaceDN/>
        <w:bidi w:val="0"/>
        <w:adjustRightInd w:val="0"/>
        <w:snapToGrid w:val="0"/>
        <w:spacing w:beforeLines="0" w:line="360" w:lineRule="auto"/>
        <w:ind w:left="0" w:leftChars="0" w:firstLine="567" w:firstLineChars="0"/>
        <w:jc w:val="both"/>
        <w:textAlignment w:val="auto"/>
        <w:rPr>
          <w:rFonts w:hint="default" w:ascii="Times New Roman" w:hAnsi="Times New Roman" w:eastAsia="宋体" w:cs="Times New Roman"/>
          <w:color w:val="auto"/>
          <w:kern w:val="2"/>
          <w:sz w:val="21"/>
          <w:szCs w:val="22"/>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zh-CN"/>
        </w:rPr>
        <w:t>一氧化碳</w:t>
      </w:r>
    </w:p>
    <w:p>
      <w:pPr>
        <w:pStyle w:val="49"/>
        <w:keepNext w:val="0"/>
        <w:keepLines w:val="0"/>
        <w:pageBreakBefore w:val="0"/>
        <w:kinsoku/>
        <w:wordWrap/>
        <w:overflowPunct/>
        <w:topLinePunct w:val="0"/>
        <w:autoSpaceDE/>
        <w:autoSpaceDN/>
        <w:bidi w:val="0"/>
        <w:adjustRightInd w:val="0"/>
        <w:snapToGrid w:val="0"/>
        <w:spacing w:before="0" w:after="0" w:line="360" w:lineRule="auto"/>
        <w:ind w:left="0" w:firstLine="480" w:firstLineChars="200"/>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火灾事故物质燃烧分解产污源强参照《建设项目环境风险评价技术导则》（HJ169-2018）中油品火灾伴生/次生一氧化碳产生量计算方法为：</w:t>
      </w:r>
    </w:p>
    <w:p>
      <w:pPr>
        <w:topLinePunct/>
        <w:autoSpaceDE w:val="0"/>
        <w:autoSpaceDN w:val="0"/>
        <w:snapToGrid w:val="0"/>
        <w:spacing w:line="480" w:lineRule="exact"/>
        <w:jc w:val="center"/>
        <w:textAlignment w:val="center"/>
        <w:rPr>
          <w:rFonts w:hint="default" w:ascii="Times New Roman" w:hAnsi="Times New Roman" w:eastAsia="华文仿宋" w:cs="Times New Roman"/>
          <w:i/>
          <w:color w:val="auto"/>
          <w:sz w:val="28"/>
          <w:szCs w:val="21"/>
          <w:highlight w:val="none"/>
        </w:rPr>
      </w:pPr>
      <w:r>
        <w:rPr>
          <w:rFonts w:hint="default" w:ascii="Times New Roman" w:hAnsi="Times New Roman" w:eastAsia="华文仿宋" w:cs="Times New Roman"/>
          <w:i/>
          <w:color w:val="auto"/>
          <w:sz w:val="28"/>
          <w:szCs w:val="21"/>
          <w:highlight w:val="none"/>
        </w:rPr>
        <w:t>G</w:t>
      </w:r>
      <w:r>
        <w:rPr>
          <w:rFonts w:hint="default" w:ascii="Times New Roman" w:hAnsi="Times New Roman" w:eastAsia="华文仿宋" w:cs="Times New Roman"/>
          <w:i/>
          <w:color w:val="auto"/>
          <w:sz w:val="28"/>
          <w:szCs w:val="21"/>
          <w:highlight w:val="none"/>
          <w:vertAlign w:val="subscript"/>
        </w:rPr>
        <w:t>CO</w:t>
      </w:r>
      <w:r>
        <w:rPr>
          <w:rFonts w:hint="default" w:ascii="Times New Roman" w:hAnsi="Times New Roman" w:eastAsia="华文仿宋" w:cs="Times New Roman"/>
          <w:i/>
          <w:color w:val="auto"/>
          <w:sz w:val="28"/>
          <w:szCs w:val="21"/>
          <w:highlight w:val="none"/>
        </w:rPr>
        <w:t>=</w:t>
      </w:r>
      <w:r>
        <w:rPr>
          <w:rFonts w:hint="default" w:ascii="Times New Roman" w:hAnsi="Times New Roman" w:eastAsia="华文仿宋" w:cs="Times New Roman"/>
          <w:color w:val="auto"/>
          <w:sz w:val="28"/>
          <w:szCs w:val="21"/>
          <w:highlight w:val="none"/>
        </w:rPr>
        <w:t>2330</w:t>
      </w:r>
      <w:r>
        <w:rPr>
          <w:rFonts w:hint="default" w:ascii="Times New Roman" w:hAnsi="Times New Roman" w:eastAsia="华文仿宋" w:cs="Times New Roman"/>
          <w:i/>
          <w:color w:val="auto"/>
          <w:sz w:val="28"/>
          <w:szCs w:val="21"/>
          <w:highlight w:val="none"/>
        </w:rPr>
        <w:t>qCQ</w:t>
      </w:r>
    </w:p>
    <w:p>
      <w:pPr>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式中：G</w:t>
      </w:r>
      <w:r>
        <w:rPr>
          <w:rFonts w:hint="default" w:ascii="Times New Roman" w:hAnsi="Times New Roman" w:eastAsia="宋体" w:cs="Times New Roman"/>
          <w:color w:val="auto"/>
          <w:sz w:val="24"/>
          <w:szCs w:val="24"/>
          <w:highlight w:val="none"/>
          <w:vertAlign w:val="subscript"/>
        </w:rPr>
        <w:t>CO</w:t>
      </w:r>
      <w:r>
        <w:rPr>
          <w:rFonts w:hint="default" w:ascii="Times New Roman" w:hAnsi="Times New Roman" w:eastAsia="宋体" w:cs="Times New Roman"/>
          <w:color w:val="auto"/>
          <w:sz w:val="24"/>
          <w:szCs w:val="24"/>
          <w:highlight w:val="none"/>
        </w:rPr>
        <w:t>——一氧化碳的产生量，kg/s；</w:t>
      </w:r>
    </w:p>
    <w:p>
      <w:pPr>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C——物质中碳的质量百分比含量，%。由改性异氰酸酯</w:t>
      </w:r>
      <w:r>
        <w:rPr>
          <w:rFonts w:hint="default" w:ascii="Times New Roman" w:hAnsi="Times New Roman" w:cs="Times New Roman"/>
          <w:color w:val="auto"/>
          <w:sz w:val="24"/>
          <w:szCs w:val="24"/>
          <w:highlight w:val="none"/>
          <w:lang w:val="en-US" w:eastAsia="zh-CN"/>
        </w:rPr>
        <w:t>的化学式</w:t>
      </w:r>
      <w:r>
        <w:rPr>
          <w:rFonts w:hint="default" w:ascii="Times New Roman" w:hAnsi="Times New Roman" w:eastAsia="宋体" w:cs="Times New Roman"/>
          <w:color w:val="auto"/>
          <w:sz w:val="24"/>
          <w:szCs w:val="24"/>
          <w:highlight w:val="none"/>
        </w:rPr>
        <w:t>C</w:t>
      </w:r>
      <w:r>
        <w:rPr>
          <w:rFonts w:hint="default" w:ascii="Times New Roman" w:hAnsi="Times New Roman" w:eastAsia="宋体" w:cs="Times New Roman"/>
          <w:color w:val="auto"/>
          <w:sz w:val="24"/>
          <w:szCs w:val="24"/>
          <w:highlight w:val="none"/>
          <w:vertAlign w:val="subscript"/>
        </w:rPr>
        <w:t>15</w:t>
      </w:r>
      <w:r>
        <w:rPr>
          <w:rFonts w:hint="default" w:ascii="Times New Roman" w:hAnsi="Times New Roman" w:eastAsia="宋体" w:cs="Times New Roman"/>
          <w:color w:val="auto"/>
          <w:sz w:val="24"/>
          <w:szCs w:val="24"/>
          <w:highlight w:val="none"/>
        </w:rPr>
        <w:t>H</w:t>
      </w:r>
      <w:r>
        <w:rPr>
          <w:rFonts w:hint="default" w:ascii="Times New Roman" w:hAnsi="Times New Roman" w:eastAsia="宋体" w:cs="Times New Roman"/>
          <w:color w:val="auto"/>
          <w:sz w:val="24"/>
          <w:szCs w:val="24"/>
          <w:highlight w:val="none"/>
          <w:vertAlign w:val="subscript"/>
        </w:rPr>
        <w:t>10</w:t>
      </w:r>
      <w:r>
        <w:rPr>
          <w:rFonts w:hint="default" w:ascii="Times New Roman" w:hAnsi="Times New Roman" w:eastAsia="宋体" w:cs="Times New Roman"/>
          <w:color w:val="auto"/>
          <w:sz w:val="24"/>
          <w:szCs w:val="24"/>
          <w:highlight w:val="none"/>
        </w:rPr>
        <w:t>N</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cs="Times New Roman"/>
          <w:color w:val="auto"/>
          <w:sz w:val="24"/>
          <w:szCs w:val="24"/>
          <w:highlight w:val="none"/>
          <w:vertAlign w:val="baseline"/>
          <w:lang w:val="en-US" w:eastAsia="zh-CN"/>
        </w:rPr>
        <w:t>可知，MDI的C质量百分比为72%</w:t>
      </w:r>
      <w:r>
        <w:rPr>
          <w:rFonts w:hint="default" w:ascii="Times New Roman" w:hAnsi="Times New Roman" w:eastAsia="宋体" w:cs="Times New Roman"/>
          <w:color w:val="auto"/>
          <w:sz w:val="24"/>
          <w:szCs w:val="24"/>
          <w:highlight w:val="none"/>
        </w:rPr>
        <w:t>；</w:t>
      </w:r>
    </w:p>
    <w:p>
      <w:pPr>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q——化学不完全燃烧值，取1.5%~6.0%，本次评价取2%；</w:t>
      </w:r>
    </w:p>
    <w:p>
      <w:pPr>
        <w:bidi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Q——参与燃烧的物质量，t/s。经计算，</w:t>
      </w:r>
      <w:r>
        <w:rPr>
          <w:rFonts w:hint="default" w:ascii="Times New Roman" w:hAnsi="Times New Roman" w:eastAsia="宋体" w:cs="Times New Roman"/>
          <w:color w:val="auto"/>
          <w:kern w:val="0"/>
          <w:sz w:val="24"/>
          <w:szCs w:val="20"/>
          <w:highlight w:val="none"/>
          <w:lang w:val="en-US" w:eastAsia="zh-CN" w:bidi="ar"/>
        </w:rPr>
        <w:t>改性异氰酸酯</w:t>
      </w:r>
      <w:r>
        <w:rPr>
          <w:rFonts w:hint="default" w:ascii="Times New Roman" w:hAnsi="Times New Roman" w:eastAsia="宋体" w:cs="Times New Roman"/>
          <w:color w:val="auto"/>
          <w:sz w:val="24"/>
          <w:szCs w:val="24"/>
          <w:highlight w:val="none"/>
          <w:lang w:val="en-US" w:eastAsia="zh-CN"/>
        </w:rPr>
        <w:t>的</w:t>
      </w:r>
      <w:r>
        <w:rPr>
          <w:rFonts w:hint="default" w:ascii="Times New Roman" w:hAnsi="Times New Roman" w:eastAsia="宋体" w:cs="Times New Roman"/>
          <w:color w:val="auto"/>
          <w:sz w:val="24"/>
          <w:szCs w:val="24"/>
          <w:highlight w:val="none"/>
        </w:rPr>
        <w:t>Q值为</w:t>
      </w:r>
      <w:r>
        <w:rPr>
          <w:rFonts w:hint="default" w:ascii="Times New Roman" w:hAnsi="Times New Roman"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rPr>
        <w:t>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1800s</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1800s</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0.</w:t>
      </w:r>
      <w:r>
        <w:rPr>
          <w:rFonts w:hint="eastAsia" w:cs="Times New Roman"/>
          <w:color w:val="auto"/>
          <w:sz w:val="24"/>
          <w:szCs w:val="24"/>
          <w:highlight w:val="none"/>
          <w:lang w:val="en-US" w:eastAsia="zh-CN"/>
        </w:rPr>
        <w:t>000022</w:t>
      </w:r>
      <w:r>
        <w:rPr>
          <w:rFonts w:hint="default" w:ascii="Times New Roman" w:hAnsi="Times New Roman" w:eastAsia="宋体" w:cs="Times New Roman"/>
          <w:color w:val="auto"/>
          <w:sz w:val="24"/>
          <w:szCs w:val="24"/>
          <w:highlight w:val="none"/>
        </w:rPr>
        <w:t>t/s。</w:t>
      </w:r>
    </w:p>
    <w:p>
      <w:pPr>
        <w:pStyle w:val="49"/>
        <w:keepNext w:val="0"/>
        <w:keepLines w:val="0"/>
        <w:pageBreakBefore w:val="0"/>
        <w:kinsoku/>
        <w:wordWrap/>
        <w:overflowPunct/>
        <w:topLinePunct w:val="0"/>
        <w:autoSpaceDE/>
        <w:autoSpaceDN/>
        <w:bidi w:val="0"/>
        <w:adjustRightInd w:val="0"/>
        <w:snapToGrid w:val="0"/>
        <w:spacing w:before="0" w:after="0" w:line="360" w:lineRule="auto"/>
        <w:ind w:left="0" w:firstLine="480" w:firstLineChars="200"/>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color w:val="auto"/>
          <w:sz w:val="24"/>
          <w:szCs w:val="24"/>
          <w:highlight w:val="none"/>
          <w:lang w:val="zh-CN" w:eastAsia="zh-CN" w:bidi="zh-CN"/>
        </w:rPr>
        <w:t>根据上式计算得出</w:t>
      </w:r>
      <w:r>
        <w:rPr>
          <w:rFonts w:hint="default" w:ascii="Times New Roman" w:hAnsi="Times New Roman" w:eastAsia="宋体" w:cs="Times New Roman"/>
          <w:color w:val="auto"/>
          <w:kern w:val="0"/>
          <w:sz w:val="24"/>
          <w:szCs w:val="20"/>
          <w:highlight w:val="none"/>
          <w:lang w:val="en-US" w:eastAsia="zh-CN" w:bidi="ar"/>
        </w:rPr>
        <w:t>改性异氰酸酯</w:t>
      </w:r>
      <w:r>
        <w:rPr>
          <w:rFonts w:hint="default" w:ascii="Times New Roman" w:hAnsi="Times New Roman" w:eastAsia="宋体" w:cs="Times New Roman"/>
          <w:color w:val="auto"/>
          <w:sz w:val="24"/>
          <w:szCs w:val="24"/>
          <w:highlight w:val="none"/>
          <w:lang w:val="zh-CN" w:eastAsia="zh-CN" w:bidi="zh-CN"/>
        </w:rPr>
        <w:t>燃烧产生CO的产生量G</w:t>
      </w:r>
      <w:r>
        <w:rPr>
          <w:rFonts w:hint="default" w:ascii="Times New Roman" w:hAnsi="Times New Roman" w:eastAsia="宋体" w:cs="Times New Roman"/>
          <w:color w:val="auto"/>
          <w:sz w:val="24"/>
          <w:szCs w:val="24"/>
          <w:highlight w:val="none"/>
          <w:vertAlign w:val="subscript"/>
          <w:lang w:val="zh-CN" w:eastAsia="zh-CN" w:bidi="zh-CN"/>
        </w:rPr>
        <w:t>CO</w:t>
      </w:r>
      <w:r>
        <w:rPr>
          <w:rFonts w:hint="default" w:ascii="Times New Roman" w:hAnsi="Times New Roman" w:eastAsia="宋体" w:cs="Times New Roman"/>
          <w:color w:val="auto"/>
          <w:sz w:val="24"/>
          <w:szCs w:val="24"/>
          <w:highlight w:val="none"/>
          <w:lang w:val="zh-CN" w:eastAsia="zh-CN" w:bidi="zh-CN"/>
        </w:rPr>
        <w:t>为</w:t>
      </w:r>
      <w:r>
        <w:rPr>
          <w:rFonts w:hint="default" w:ascii="Times New Roman" w:hAnsi="Times New Roman" w:cs="Times New Roman"/>
          <w:color w:val="auto"/>
          <w:sz w:val="24"/>
          <w:szCs w:val="24"/>
          <w:highlight w:val="none"/>
          <w:lang w:val="en-US" w:eastAsia="zh-CN" w:bidi="zh-CN"/>
        </w:rPr>
        <w:t>0.000</w:t>
      </w:r>
      <w:r>
        <w:rPr>
          <w:rFonts w:hint="eastAsia" w:cs="Times New Roman"/>
          <w:color w:val="auto"/>
          <w:sz w:val="24"/>
          <w:szCs w:val="24"/>
          <w:highlight w:val="none"/>
          <w:lang w:val="en-US" w:eastAsia="zh-CN" w:bidi="zh-CN"/>
        </w:rPr>
        <w:t>75</w:t>
      </w:r>
      <w:r>
        <w:rPr>
          <w:rFonts w:hint="default" w:ascii="Times New Roman" w:hAnsi="Times New Roman" w:eastAsia="宋体" w:cs="Times New Roman"/>
          <w:color w:val="auto"/>
          <w:sz w:val="24"/>
          <w:szCs w:val="24"/>
          <w:highlight w:val="none"/>
          <w:lang w:val="zh-CN" w:eastAsia="zh-CN" w:bidi="zh-CN"/>
        </w:rPr>
        <w:t>kg/s。</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122" w:name="_Toc5937"/>
      <w:bookmarkStart w:id="123" w:name="_Toc28374"/>
      <w:bookmarkStart w:id="124" w:name="_Toc24001"/>
      <w:bookmarkStart w:id="125" w:name="_Toc16369"/>
      <w:bookmarkStart w:id="126" w:name="_Toc9690"/>
      <w:r>
        <w:rPr>
          <w:rFonts w:hint="default" w:ascii="Times New Roman" w:hAnsi="Times New Roman" w:eastAsia="宋体" w:cs="Times New Roman"/>
          <w:color w:val="auto"/>
          <w:lang w:val="en-US" w:eastAsia="zh-CN"/>
        </w:rPr>
        <w:t>大气风险源强参数确定</w:t>
      </w:r>
      <w:bookmarkEnd w:id="122"/>
      <w:bookmarkEnd w:id="123"/>
      <w:bookmarkEnd w:id="124"/>
      <w:bookmarkEnd w:id="125"/>
      <w:bookmarkEnd w:id="126"/>
    </w:p>
    <w:p>
      <w:pPr>
        <w:pStyle w:val="27"/>
        <w:tabs>
          <w:tab w:val="right" w:leader="dot" w:pos="9060"/>
        </w:tabs>
        <w:spacing w:line="360" w:lineRule="auto"/>
        <w:ind w:left="0" w:leftChars="0" w:firstLine="480" w:firstLineChars="200"/>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根据上述分析，项目风险事故情形下的事故源强情况见下表。</w:t>
      </w:r>
    </w:p>
    <w:p>
      <w:pPr>
        <w:rPr>
          <w:rFonts w:hint="default" w:ascii="Times New Roman" w:hAnsi="Times New Roman" w:eastAsia="宋体" w:cs="Times New Roman"/>
          <w:color w:val="auto"/>
          <w:kern w:val="2"/>
          <w:sz w:val="24"/>
          <w:szCs w:val="24"/>
          <w:highlight w:val="none"/>
          <w:lang w:val="en-US" w:eastAsia="zh-CN" w:bidi="zh-CN"/>
        </w:rPr>
      </w:pPr>
    </w:p>
    <w:p>
      <w:pPr>
        <w:pStyle w:val="2"/>
        <w:numPr>
          <w:ilvl w:val="0"/>
          <w:numId w:val="0"/>
        </w:numPr>
        <w:ind w:leftChars="0"/>
        <w:rPr>
          <w:rFonts w:hint="default"/>
          <w:color w:val="auto"/>
          <w:lang w:val="en-US" w:eastAsia="zh-CN"/>
        </w:rPr>
      </w:pPr>
    </w:p>
    <w:p>
      <w:pPr>
        <w:rPr>
          <w:rFonts w:hint="default"/>
          <w:color w:val="auto"/>
          <w:lang w:val="en-US" w:eastAsia="zh-CN"/>
        </w:rPr>
      </w:pPr>
    </w:p>
    <w:p>
      <w:pPr>
        <w:keepNext w:val="0"/>
        <w:keepLines w:val="0"/>
        <w:pageBreakBefore w:val="0"/>
        <w:widowControl w:val="0"/>
        <w:numPr>
          <w:ilvl w:val="0"/>
          <w:numId w:val="28"/>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项目风险源强一览表</w:t>
      </w:r>
    </w:p>
    <w:tbl>
      <w:tblPr>
        <w:tblStyle w:val="33"/>
        <w:tblW w:w="98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
        <w:gridCol w:w="1176"/>
        <w:gridCol w:w="943"/>
        <w:gridCol w:w="917"/>
        <w:gridCol w:w="1133"/>
        <w:gridCol w:w="967"/>
        <w:gridCol w:w="1100"/>
        <w:gridCol w:w="183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4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11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风险事故情形描述</w:t>
            </w:r>
          </w:p>
        </w:tc>
        <w:tc>
          <w:tcPr>
            <w:tcW w:w="94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危险单元</w:t>
            </w:r>
          </w:p>
        </w:tc>
        <w:tc>
          <w:tcPr>
            <w:tcW w:w="9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风险源</w:t>
            </w:r>
          </w:p>
        </w:tc>
        <w:tc>
          <w:tcPr>
            <w:tcW w:w="11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危险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物质</w:t>
            </w:r>
          </w:p>
        </w:tc>
        <w:tc>
          <w:tcPr>
            <w:tcW w:w="9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影响途径</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释放或泄漏速率kg/s</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释放时间或泄漏时间min</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泄漏液体蒸发量kg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44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11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物料泄漏</w:t>
            </w:r>
          </w:p>
        </w:tc>
        <w:tc>
          <w:tcPr>
            <w:tcW w:w="94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预搅拌罐</w:t>
            </w:r>
            <w:r>
              <w:rPr>
                <w:rFonts w:hint="default" w:ascii="Times New Roman" w:hAnsi="Times New Roman" w:eastAsia="宋体" w:cs="Times New Roman"/>
                <w:color w:val="auto"/>
                <w:sz w:val="21"/>
                <w:szCs w:val="21"/>
                <w:highlight w:val="none"/>
                <w:vertAlign w:val="baseline"/>
                <w:lang w:val="en-US" w:eastAsia="zh-CN"/>
              </w:rPr>
              <w:t>区</w:t>
            </w:r>
            <w:r>
              <w:rPr>
                <w:rFonts w:hint="eastAsia" w:cs="Times New Roman"/>
                <w:color w:val="auto"/>
                <w:sz w:val="21"/>
                <w:szCs w:val="21"/>
                <w:highlight w:val="none"/>
                <w:vertAlign w:val="baseline"/>
                <w:lang w:val="en-US" w:eastAsia="zh-CN"/>
              </w:rPr>
              <w:t>和化学品仓库</w:t>
            </w:r>
          </w:p>
        </w:tc>
        <w:tc>
          <w:tcPr>
            <w:tcW w:w="9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预搅拌罐</w:t>
            </w:r>
            <w:r>
              <w:rPr>
                <w:rFonts w:hint="eastAsia" w:cs="Times New Roman"/>
                <w:color w:val="auto"/>
                <w:sz w:val="21"/>
                <w:szCs w:val="21"/>
                <w:highlight w:val="none"/>
                <w:vertAlign w:val="baseline"/>
                <w:lang w:val="en-US" w:eastAsia="zh-CN"/>
              </w:rPr>
              <w:t>和MDI包装桶</w:t>
            </w:r>
          </w:p>
        </w:tc>
        <w:tc>
          <w:tcPr>
            <w:tcW w:w="11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改性异氰酸酯</w:t>
            </w:r>
          </w:p>
        </w:tc>
        <w:tc>
          <w:tcPr>
            <w:tcW w:w="9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0.00000000899</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30</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0.00001615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4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17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火灾、爆炸等引发的伴生/次生污染物排放</w:t>
            </w:r>
          </w:p>
        </w:tc>
        <w:tc>
          <w:tcPr>
            <w:tcW w:w="94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预搅拌罐</w:t>
            </w:r>
            <w:r>
              <w:rPr>
                <w:rFonts w:hint="default" w:ascii="Times New Roman" w:hAnsi="Times New Roman" w:eastAsia="宋体" w:cs="Times New Roman"/>
                <w:color w:val="auto"/>
                <w:sz w:val="21"/>
                <w:szCs w:val="21"/>
                <w:highlight w:val="none"/>
                <w:vertAlign w:val="baseline"/>
                <w:lang w:val="en-US" w:eastAsia="zh-CN"/>
              </w:rPr>
              <w:t>区</w:t>
            </w:r>
            <w:r>
              <w:rPr>
                <w:rFonts w:hint="eastAsia" w:cs="Times New Roman"/>
                <w:color w:val="auto"/>
                <w:sz w:val="21"/>
                <w:szCs w:val="21"/>
                <w:highlight w:val="none"/>
                <w:vertAlign w:val="baseline"/>
                <w:lang w:val="en-US" w:eastAsia="zh-CN"/>
              </w:rPr>
              <w:t>和化学品仓库</w:t>
            </w:r>
          </w:p>
        </w:tc>
        <w:tc>
          <w:tcPr>
            <w:tcW w:w="91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预搅拌罐</w:t>
            </w:r>
            <w:r>
              <w:rPr>
                <w:rFonts w:hint="eastAsia" w:cs="Times New Roman"/>
                <w:color w:val="auto"/>
                <w:sz w:val="21"/>
                <w:szCs w:val="21"/>
                <w:highlight w:val="none"/>
                <w:vertAlign w:val="baseline"/>
                <w:lang w:val="en-US" w:eastAsia="zh-CN"/>
              </w:rPr>
              <w:t>和MDI包装桶</w:t>
            </w:r>
          </w:p>
        </w:tc>
        <w:tc>
          <w:tcPr>
            <w:tcW w:w="11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氰化氢</w:t>
            </w:r>
          </w:p>
        </w:tc>
        <w:tc>
          <w:tcPr>
            <w:tcW w:w="9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0.00032</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0.576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44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117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94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91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11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CO</w:t>
            </w:r>
          </w:p>
        </w:tc>
        <w:tc>
          <w:tcPr>
            <w:tcW w:w="96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w:t>
            </w:r>
          </w:p>
        </w:tc>
        <w:tc>
          <w:tcPr>
            <w:tcW w:w="110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0.00075</w:t>
            </w:r>
          </w:p>
        </w:tc>
        <w:tc>
          <w:tcPr>
            <w:tcW w:w="183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1.35</w:t>
            </w:r>
          </w:p>
        </w:tc>
      </w:tr>
      <w:bookmarkEnd w:id="120"/>
      <w:bookmarkEnd w:id="121"/>
    </w:tbl>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127" w:name="_Toc22464"/>
      <w:r>
        <w:rPr>
          <w:rFonts w:hint="default" w:ascii="Times New Roman" w:hAnsi="Times New Roman" w:eastAsia="宋体" w:cs="Times New Roman"/>
          <w:color w:val="auto"/>
          <w:lang w:val="en-US" w:eastAsia="zh-CN"/>
        </w:rPr>
        <w:t>地表水参数确定</w:t>
      </w:r>
      <w:bookmarkEnd w:id="127"/>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根据导则要求，地表水环境风险预测等级为</w:t>
      </w:r>
      <w:r>
        <w:rPr>
          <w:rFonts w:hint="default" w:ascii="Times New Roman" w:hAnsi="Times New Roman" w:cs="Times New Roman"/>
          <w:color w:val="auto"/>
          <w:kern w:val="2"/>
          <w:sz w:val="24"/>
          <w:szCs w:val="24"/>
          <w:highlight w:val="none"/>
          <w:lang w:val="en-US" w:eastAsia="zh-CN" w:bidi="zh-CN"/>
        </w:rPr>
        <w:t>三</w:t>
      </w:r>
      <w:r>
        <w:rPr>
          <w:rFonts w:hint="default" w:ascii="Times New Roman" w:hAnsi="Times New Roman" w:eastAsia="宋体" w:cs="Times New Roman"/>
          <w:color w:val="auto"/>
          <w:kern w:val="2"/>
          <w:sz w:val="24"/>
          <w:szCs w:val="24"/>
          <w:highlight w:val="none"/>
          <w:lang w:val="en-US" w:eastAsia="zh-CN" w:bidi="zh-CN"/>
        </w:rPr>
        <w:t>级评价</w:t>
      </w:r>
      <w:r>
        <w:rPr>
          <w:rFonts w:hint="default" w:ascii="Times New Roman" w:hAnsi="Times New Roman" w:cs="Times New Roman"/>
          <w:color w:val="auto"/>
          <w:kern w:val="2"/>
          <w:sz w:val="24"/>
          <w:szCs w:val="24"/>
          <w:highlight w:val="none"/>
          <w:lang w:val="en-US" w:eastAsia="zh-CN" w:bidi="zh-CN"/>
        </w:rPr>
        <w:t>，仅需定性分析说明地表水环境影响后果</w:t>
      </w:r>
      <w:r>
        <w:rPr>
          <w:rFonts w:hint="default" w:ascii="Times New Roman" w:hAnsi="Times New Roman" w:eastAsia="宋体" w:cs="Times New Roman"/>
          <w:color w:val="auto"/>
          <w:kern w:val="2"/>
          <w:sz w:val="24"/>
          <w:szCs w:val="24"/>
          <w:highlight w:val="none"/>
          <w:lang w:val="en-US" w:eastAsia="zh-CN" w:bidi="zh-CN"/>
        </w:rPr>
        <w:t>。</w:t>
      </w:r>
    </w:p>
    <w:p>
      <w:pPr>
        <w:pStyle w:val="117"/>
        <w:numPr>
          <w:ilvl w:val="1"/>
          <w:numId w:val="12"/>
        </w:numPr>
        <w:bidi w:val="0"/>
        <w:ind w:left="850" w:leftChars="0" w:hanging="453" w:firstLineChars="0"/>
        <w:outlineLvl w:val="1"/>
        <w:rPr>
          <w:rFonts w:hint="default" w:ascii="Times New Roman" w:hAnsi="Times New Roman" w:eastAsia="宋体" w:cs="Times New Roman"/>
          <w:color w:val="auto"/>
          <w:lang w:val="en-US" w:eastAsia="zh-CN"/>
        </w:rPr>
      </w:pPr>
      <w:bookmarkStart w:id="128" w:name="_Toc234"/>
      <w:bookmarkStart w:id="129" w:name="_Toc1252"/>
      <w:bookmarkStart w:id="130" w:name="_Toc23771"/>
      <w:bookmarkStart w:id="131" w:name="_Toc1441"/>
      <w:bookmarkStart w:id="132" w:name="_Toc23997"/>
      <w:r>
        <w:rPr>
          <w:rFonts w:hint="default" w:ascii="Times New Roman" w:hAnsi="Times New Roman" w:eastAsia="宋体" w:cs="Times New Roman"/>
          <w:color w:val="auto"/>
          <w:lang w:val="en-US" w:eastAsia="zh-CN"/>
        </w:rPr>
        <w:t>地下水参数确定</w:t>
      </w:r>
      <w:bookmarkEnd w:id="128"/>
      <w:bookmarkEnd w:id="129"/>
      <w:bookmarkEnd w:id="130"/>
      <w:bookmarkEnd w:id="131"/>
      <w:bookmarkEnd w:id="132"/>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根据导则要求，地下水环境风险预测等级为二级评价。</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zh-CN"/>
        </w:rPr>
        <w:sectPr>
          <w:footerReference r:id="rId15" w:type="default"/>
          <w:pgSz w:w="11907" w:h="16840"/>
          <w:pgMar w:top="1440" w:right="1080" w:bottom="1440" w:left="1080" w:header="1134" w:footer="1134" w:gutter="0"/>
          <w:pgNumType w:fmt="decimal"/>
          <w:cols w:space="720" w:num="1"/>
          <w:docGrid w:linePitch="326" w:charSpace="-4916"/>
        </w:sectPr>
      </w:pPr>
      <w:r>
        <w:rPr>
          <w:rFonts w:hint="default" w:ascii="Times New Roman" w:hAnsi="Times New Roman" w:eastAsia="宋体" w:cs="Times New Roman"/>
          <w:color w:val="auto"/>
          <w:kern w:val="2"/>
          <w:sz w:val="24"/>
          <w:szCs w:val="24"/>
          <w:highlight w:val="none"/>
          <w:lang w:val="en-US" w:eastAsia="zh-CN" w:bidi="zh-CN"/>
        </w:rPr>
        <w:t>本项目不取用地下水，生产过程涉及到有毒有害的危险化学品，在生产过程中，如果发生跑、冒、滴、漏等现象，大气降水会使污染物随水通过非饱水带，周期性的深入含水层，属间歇入渗型，主要污染对象为潜水；连续入渗是指污染物随水不断的渗入含水层，主要也是污染潜水。</w:t>
      </w:r>
      <w:r>
        <w:rPr>
          <w:rFonts w:hint="default" w:ascii="Times New Roman" w:hAnsi="Times New Roman" w:cs="Times New Roman"/>
          <w:color w:val="auto"/>
          <w:kern w:val="2"/>
          <w:sz w:val="24"/>
          <w:szCs w:val="24"/>
          <w:highlight w:val="none"/>
          <w:lang w:val="en-US" w:eastAsia="zh-CN" w:bidi="zh-CN"/>
        </w:rPr>
        <w:t>预搅拌罐</w:t>
      </w:r>
      <w:r>
        <w:rPr>
          <w:rFonts w:hint="default" w:ascii="Times New Roman" w:hAnsi="Times New Roman" w:eastAsia="宋体" w:cs="Times New Roman"/>
          <w:color w:val="auto"/>
          <w:kern w:val="2"/>
          <w:sz w:val="24"/>
          <w:szCs w:val="24"/>
          <w:highlight w:val="none"/>
          <w:lang w:val="en-US" w:eastAsia="zh-CN" w:bidi="zh-CN"/>
        </w:rPr>
        <w:t>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连续渗漏造成地下水污染；从污染物的来源可以看出，本项目主要污染物选取</w:t>
      </w:r>
      <w:r>
        <w:rPr>
          <w:rFonts w:hint="default" w:ascii="Times New Roman" w:hAnsi="Times New Roman" w:cs="Times New Roman"/>
          <w:color w:val="auto"/>
          <w:kern w:val="2"/>
          <w:sz w:val="24"/>
          <w:szCs w:val="24"/>
          <w:highlight w:val="none"/>
          <w:lang w:val="en-US" w:eastAsia="zh-CN" w:bidi="zh-CN"/>
        </w:rPr>
        <w:t>MD</w:t>
      </w:r>
      <w:r>
        <w:rPr>
          <w:rFonts w:hint="default" w:ascii="Times New Roman" w:hAnsi="Times New Roman" w:eastAsia="宋体" w:cs="Times New Roman"/>
          <w:color w:val="auto"/>
          <w:kern w:val="2"/>
          <w:sz w:val="24"/>
          <w:szCs w:val="24"/>
          <w:highlight w:val="none"/>
          <w:lang w:val="en-US" w:eastAsia="zh-CN" w:bidi="zh-CN"/>
        </w:rPr>
        <w:t>I（以CODcr计）。根据相应导则要求，其评价预测因子应选取有环境质量标准的，故本次预测取CODcr为评价因子。工程各构筑物按规范设置防渗措施，在正生产情况下，一般不会发生地下水污染事件，本环评主要考虑最恶劣情况</w:t>
      </w:r>
      <w:r>
        <w:rPr>
          <w:rFonts w:hint="default" w:ascii="Times New Roman" w:hAnsi="Times New Roman" w:cs="Times New Roman"/>
          <w:color w:val="auto"/>
          <w:kern w:val="2"/>
          <w:sz w:val="24"/>
          <w:szCs w:val="24"/>
          <w:highlight w:val="none"/>
          <w:lang w:val="en-US" w:eastAsia="zh-CN" w:bidi="zh-CN"/>
        </w:rPr>
        <w:t>（预搅拌罐</w:t>
      </w:r>
      <w:r>
        <w:rPr>
          <w:rFonts w:hint="default" w:ascii="Times New Roman" w:hAnsi="Times New Roman" w:eastAsia="宋体" w:cs="Times New Roman"/>
          <w:color w:val="auto"/>
          <w:kern w:val="2"/>
          <w:sz w:val="24"/>
          <w:szCs w:val="24"/>
          <w:highlight w:val="none"/>
          <w:lang w:val="en-US" w:eastAsia="zh-CN" w:bidi="zh-CN"/>
        </w:rPr>
        <w:t>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防渗措施失效</w:t>
      </w:r>
      <w:r>
        <w:rPr>
          <w:rFonts w:hint="default" w:ascii="Times New Roman" w:hAnsi="Times New Roman" w:cs="Times New Roman"/>
          <w:color w:val="auto"/>
          <w:kern w:val="2"/>
          <w:sz w:val="24"/>
          <w:szCs w:val="24"/>
          <w:highlight w:val="none"/>
          <w:lang w:val="en-US" w:eastAsia="zh-CN" w:bidi="zh-CN"/>
        </w:rPr>
        <w:t>）</w:t>
      </w:r>
      <w:r>
        <w:rPr>
          <w:rFonts w:hint="default" w:ascii="Times New Roman" w:hAnsi="Times New Roman" w:eastAsia="宋体" w:cs="Times New Roman"/>
          <w:color w:val="auto"/>
          <w:kern w:val="2"/>
          <w:sz w:val="24"/>
          <w:szCs w:val="24"/>
          <w:highlight w:val="none"/>
          <w:lang w:val="en-US" w:eastAsia="zh-CN" w:bidi="zh-CN"/>
        </w:rPr>
        <w:t>下废水下渗，造成地下水污染情况。假设</w:t>
      </w:r>
      <w:r>
        <w:rPr>
          <w:rFonts w:hint="default" w:ascii="Times New Roman" w:hAnsi="Times New Roman" w:cs="Times New Roman"/>
          <w:color w:val="auto"/>
          <w:kern w:val="2"/>
          <w:sz w:val="24"/>
          <w:szCs w:val="24"/>
          <w:highlight w:val="none"/>
          <w:lang w:val="en-US" w:eastAsia="zh-CN" w:bidi="zh-CN"/>
        </w:rPr>
        <w:t>预搅拌罐</w:t>
      </w:r>
      <w:r>
        <w:rPr>
          <w:rFonts w:hint="default" w:ascii="Times New Roman" w:hAnsi="Times New Roman" w:eastAsia="宋体" w:cs="Times New Roman"/>
          <w:color w:val="auto"/>
          <w:kern w:val="2"/>
          <w:sz w:val="24"/>
          <w:szCs w:val="24"/>
          <w:highlight w:val="none"/>
          <w:lang w:val="en-US" w:eastAsia="zh-CN" w:bidi="zh-CN"/>
        </w:rPr>
        <w:t>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发生破损，污水泄露至地下水，按池底部2%的面积出现破裂，废水以渗透系数约0.5m/d的速度泄露进行计算，类比《江苏诚丰新材料股份有限公司新建聚氨酯材料研发中心及新一代高物性、环保型氨酯材料及其衍生制品项目环境风险影响专项分析》中CODcr的源强取104.2mg/L。</w:t>
      </w:r>
    </w:p>
    <w:p>
      <w:pPr>
        <w:pStyle w:val="116"/>
        <w:bidi w:val="0"/>
        <w:ind w:left="425" w:leftChars="0" w:hanging="425" w:firstLineChars="0"/>
        <w:outlineLvl w:val="1"/>
        <w:rPr>
          <w:rFonts w:hint="default" w:ascii="Times New Roman" w:hAnsi="Times New Roman" w:cs="Times New Roman"/>
          <w:color w:val="auto"/>
          <w:lang w:eastAsia="zh-CN"/>
        </w:rPr>
      </w:pPr>
      <w:bookmarkStart w:id="133" w:name="_Toc29067"/>
      <w:bookmarkStart w:id="134" w:name="_Toc9380"/>
      <w:bookmarkStart w:id="135" w:name="_Toc18671"/>
      <w:bookmarkStart w:id="136" w:name="_Toc13508"/>
      <w:bookmarkStart w:id="137" w:name="_Toc10039"/>
      <w:r>
        <w:rPr>
          <w:rFonts w:hint="default" w:ascii="Times New Roman" w:hAnsi="Times New Roman" w:cs="Times New Roman"/>
          <w:color w:val="auto"/>
          <w:lang w:eastAsia="zh-CN"/>
        </w:rPr>
        <w:t>风险预测分析与</w:t>
      </w:r>
      <w:bookmarkEnd w:id="133"/>
      <w:bookmarkEnd w:id="134"/>
      <w:bookmarkEnd w:id="135"/>
      <w:bookmarkEnd w:id="136"/>
      <w:r>
        <w:rPr>
          <w:rFonts w:hint="default" w:ascii="Times New Roman" w:hAnsi="Times New Roman" w:cs="Times New Roman"/>
          <w:color w:val="auto"/>
          <w:lang w:eastAsia="zh-CN"/>
        </w:rPr>
        <w:t>评价</w:t>
      </w:r>
      <w:bookmarkEnd w:id="137"/>
    </w:p>
    <w:p>
      <w:pPr>
        <w:numPr>
          <w:ilvl w:val="1"/>
          <w:numId w:val="32"/>
        </w:numPr>
        <w:spacing w:line="360" w:lineRule="auto"/>
        <w:ind w:left="567" w:leftChars="0" w:hanging="567" w:firstLineChars="0"/>
        <w:jc w:val="left"/>
        <w:outlineLvl w:val="1"/>
        <w:rPr>
          <w:rFonts w:hint="default" w:ascii="Times New Roman" w:hAnsi="Times New Roman" w:eastAsia="宋体" w:cs="Times New Roman"/>
          <w:b/>
          <w:bCs/>
          <w:color w:val="auto"/>
          <w:sz w:val="24"/>
          <w:szCs w:val="24"/>
          <w:highlight w:val="none"/>
          <w:lang w:val="en-US" w:eastAsia="zh-CN"/>
        </w:rPr>
      </w:pPr>
      <w:bookmarkStart w:id="138" w:name="_Toc12949"/>
      <w:bookmarkStart w:id="139" w:name="_Toc20953"/>
      <w:bookmarkStart w:id="140" w:name="_Toc24866"/>
      <w:bookmarkStart w:id="141" w:name="_Toc22189"/>
      <w:bookmarkStart w:id="142" w:name="_Toc21436"/>
      <w:r>
        <w:rPr>
          <w:rFonts w:hint="default" w:ascii="Times New Roman" w:hAnsi="Times New Roman" w:eastAsia="宋体" w:cs="Times New Roman"/>
          <w:b/>
          <w:bCs/>
          <w:color w:val="auto"/>
          <w:sz w:val="24"/>
          <w:szCs w:val="24"/>
          <w:highlight w:val="none"/>
          <w:lang w:val="en-US" w:eastAsia="zh-CN"/>
        </w:rPr>
        <w:t>风险预测</w:t>
      </w:r>
      <w:bookmarkEnd w:id="138"/>
      <w:bookmarkEnd w:id="139"/>
      <w:bookmarkEnd w:id="140"/>
      <w:bookmarkEnd w:id="141"/>
      <w:bookmarkEnd w:id="142"/>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预测模型及评价标准</w:t>
      </w:r>
    </w:p>
    <w:p>
      <w:pPr>
        <w:keepNext w:val="0"/>
        <w:keepLines w:val="0"/>
        <w:pageBreakBefore w:val="0"/>
        <w:widowControl w:val="0"/>
        <w:numPr>
          <w:ilvl w:val="0"/>
          <w:numId w:val="33"/>
        </w:numPr>
        <w:kinsoku/>
        <w:wordWrap/>
        <w:overflowPunct/>
        <w:topLinePunct w:val="0"/>
        <w:autoSpaceDE/>
        <w:autoSpaceDN/>
        <w:bidi w:val="0"/>
        <w:adjustRightInd w:val="0"/>
        <w:snapToGrid w:val="0"/>
        <w:spacing w:beforeLines="0" w:line="312" w:lineRule="auto"/>
        <w:ind w:left="-12" w:leftChars="0" w:firstLine="567" w:firstLineChars="0"/>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预测模型筛选</w:t>
      </w:r>
    </w:p>
    <w:p>
      <w:pPr>
        <w:pageBreakBefore w:val="0"/>
        <w:widowControl w:val="0"/>
        <w:kinsoku/>
        <w:wordWrap/>
        <w:overflowPunct/>
        <w:topLinePunct w:val="0"/>
        <w:autoSpaceDE w:val="0"/>
        <w:autoSpaceDN w:val="0"/>
        <w:bidi w:val="0"/>
        <w:adjustRightInd/>
        <w:snapToGrid/>
        <w:spacing w:before="0" w:after="0" w:line="360" w:lineRule="auto"/>
        <w:ind w:left="0" w:right="0" w:firstLine="468"/>
        <w:jc w:val="left"/>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根据《建设</w:t>
      </w:r>
      <w:r>
        <w:rPr>
          <w:rFonts w:hint="default" w:ascii="Times New Roman" w:hAnsi="Times New Roman" w:eastAsia="宋体" w:cs="Times New Roman"/>
          <w:b w:val="0"/>
          <w:bCs w:val="0"/>
          <w:color w:val="auto"/>
          <w:sz w:val="24"/>
          <w:szCs w:val="24"/>
          <w:highlight w:val="none"/>
          <w:lang w:val="zh-CN" w:eastAsia="zh-CN" w:bidi="zh-CN"/>
        </w:rPr>
        <w:t>项目环境风险评价技</w:t>
      </w:r>
      <w:r>
        <w:rPr>
          <w:rFonts w:hint="default" w:ascii="Times New Roman" w:hAnsi="Times New Roman" w:eastAsia="宋体" w:cs="Times New Roman"/>
          <w:color w:val="auto"/>
          <w:sz w:val="24"/>
          <w:szCs w:val="24"/>
          <w:highlight w:val="none"/>
          <w:lang w:val="zh-CN" w:eastAsia="zh-CN" w:bidi="zh-CN"/>
        </w:rPr>
        <w:t>术导则》（</w:t>
      </w:r>
      <w:r>
        <w:rPr>
          <w:rFonts w:hint="default" w:ascii="Times New Roman" w:hAnsi="Times New Roman" w:eastAsia="Times New Roman" w:cs="Times New Roman"/>
          <w:color w:val="auto"/>
          <w:sz w:val="24"/>
          <w:szCs w:val="24"/>
          <w:highlight w:val="none"/>
          <w:lang w:val="zh-CN" w:eastAsia="zh-CN" w:bidi="zh-CN"/>
        </w:rPr>
        <w:t>HJ169-2018</w:t>
      </w:r>
      <w:r>
        <w:rPr>
          <w:rFonts w:hint="default" w:ascii="Times New Roman" w:hAnsi="Times New Roman" w:eastAsia="宋体" w:cs="Times New Roman"/>
          <w:color w:val="auto"/>
          <w:sz w:val="24"/>
          <w:szCs w:val="24"/>
          <w:highlight w:val="none"/>
          <w:lang w:val="zh-CN" w:eastAsia="zh-CN" w:bidi="zh-CN"/>
        </w:rPr>
        <w:t>）的要求，预测计算时，应区分重质气体与轻质气体排放选择合适的大气风险预测模型。本报告根据导则附录</w:t>
      </w:r>
      <w:r>
        <w:rPr>
          <w:rFonts w:hint="default" w:ascii="Times New Roman" w:hAnsi="Times New Roman" w:eastAsia="Times New Roman" w:cs="Times New Roman"/>
          <w:color w:val="auto"/>
          <w:sz w:val="24"/>
          <w:szCs w:val="24"/>
          <w:highlight w:val="none"/>
          <w:lang w:val="zh-CN" w:eastAsia="zh-CN" w:bidi="zh-CN"/>
        </w:rPr>
        <w:t>G</w:t>
      </w:r>
      <w:r>
        <w:rPr>
          <w:rFonts w:hint="default" w:ascii="Times New Roman" w:hAnsi="Times New Roman" w:eastAsia="宋体" w:cs="Times New Roman"/>
          <w:color w:val="auto"/>
          <w:sz w:val="24"/>
          <w:szCs w:val="24"/>
          <w:highlight w:val="none"/>
          <w:lang w:val="zh-CN" w:eastAsia="zh-CN" w:bidi="zh-CN"/>
        </w:rPr>
        <w:t>中</w:t>
      </w:r>
      <w:r>
        <w:rPr>
          <w:rFonts w:hint="default" w:ascii="Times New Roman" w:hAnsi="Times New Roman" w:eastAsia="Times New Roman" w:cs="Times New Roman"/>
          <w:color w:val="auto"/>
          <w:position w:val="2"/>
          <w:sz w:val="24"/>
          <w:szCs w:val="24"/>
          <w:highlight w:val="none"/>
          <w:lang w:val="zh-CN" w:eastAsia="zh-CN" w:bidi="zh-CN"/>
        </w:rPr>
        <w:t>G.2</w:t>
      </w:r>
      <w:r>
        <w:rPr>
          <w:rFonts w:hint="default" w:ascii="Times New Roman" w:hAnsi="Times New Roman" w:eastAsia="宋体" w:cs="Times New Roman"/>
          <w:color w:val="auto"/>
          <w:position w:val="2"/>
          <w:sz w:val="24"/>
          <w:szCs w:val="24"/>
          <w:highlight w:val="none"/>
          <w:lang w:val="zh-CN" w:eastAsia="zh-CN" w:bidi="zh-CN"/>
        </w:rPr>
        <w:t>推荐的理查德森数（</w:t>
      </w:r>
      <w:r>
        <w:rPr>
          <w:rFonts w:hint="default" w:ascii="Times New Roman" w:hAnsi="Times New Roman" w:eastAsia="Times New Roman" w:cs="Times New Roman"/>
          <w:color w:val="auto"/>
          <w:position w:val="2"/>
          <w:sz w:val="24"/>
          <w:szCs w:val="24"/>
          <w:highlight w:val="none"/>
          <w:lang w:val="zh-CN" w:eastAsia="zh-CN" w:bidi="zh-CN"/>
        </w:rPr>
        <w:t>R</w:t>
      </w:r>
      <w:r>
        <w:rPr>
          <w:rFonts w:hint="default" w:ascii="Times New Roman" w:hAnsi="Times New Roman" w:eastAsia="Times New Roman" w:cs="Times New Roman"/>
          <w:color w:val="auto"/>
          <w:position w:val="2"/>
          <w:sz w:val="24"/>
          <w:szCs w:val="24"/>
          <w:highlight w:val="none"/>
          <w:vertAlign w:val="subscript"/>
          <w:lang w:val="zh-CN" w:eastAsia="zh-CN" w:bidi="zh-CN"/>
        </w:rPr>
        <w:t>i</w:t>
      </w:r>
      <w:r>
        <w:rPr>
          <w:rFonts w:hint="default" w:ascii="Times New Roman" w:hAnsi="Times New Roman" w:eastAsia="宋体" w:cs="Times New Roman"/>
          <w:color w:val="auto"/>
          <w:position w:val="2"/>
          <w:sz w:val="24"/>
          <w:szCs w:val="24"/>
          <w:highlight w:val="none"/>
          <w:vertAlign w:val="baseline"/>
          <w:lang w:val="zh-CN" w:eastAsia="zh-CN" w:bidi="zh-CN"/>
        </w:rPr>
        <w:t>）进行判定。理查德森数（</w:t>
      </w:r>
      <w:r>
        <w:rPr>
          <w:rFonts w:hint="default" w:ascii="Times New Roman" w:hAnsi="Times New Roman" w:eastAsia="Times New Roman" w:cs="Times New Roman"/>
          <w:color w:val="auto"/>
          <w:position w:val="2"/>
          <w:sz w:val="24"/>
          <w:szCs w:val="24"/>
          <w:highlight w:val="none"/>
          <w:vertAlign w:val="baseline"/>
          <w:lang w:val="zh-CN" w:eastAsia="zh-CN" w:bidi="zh-CN"/>
        </w:rPr>
        <w:t>R</w:t>
      </w:r>
      <w:r>
        <w:rPr>
          <w:rFonts w:hint="default" w:ascii="Times New Roman" w:hAnsi="Times New Roman" w:eastAsia="Times New Roman" w:cs="Times New Roman"/>
          <w:color w:val="auto"/>
          <w:position w:val="2"/>
          <w:sz w:val="24"/>
          <w:szCs w:val="24"/>
          <w:highlight w:val="none"/>
          <w:vertAlign w:val="subscript"/>
          <w:lang w:val="zh-CN" w:eastAsia="zh-CN" w:bidi="zh-CN"/>
        </w:rPr>
        <w:t>i</w:t>
      </w:r>
      <w:r>
        <w:rPr>
          <w:rFonts w:hint="default" w:ascii="Times New Roman" w:hAnsi="Times New Roman" w:eastAsia="宋体" w:cs="Times New Roman"/>
          <w:color w:val="auto"/>
          <w:position w:val="2"/>
          <w:sz w:val="24"/>
          <w:szCs w:val="24"/>
          <w:highlight w:val="none"/>
          <w:vertAlign w:val="baseline"/>
          <w:lang w:val="zh-CN" w:eastAsia="zh-CN" w:bidi="zh-CN"/>
        </w:rPr>
        <w:t>）的概念公式为：</w:t>
      </w:r>
    </w:p>
    <w:p>
      <w:pPr>
        <w:bidi w:val="0"/>
        <w:spacing w:line="360" w:lineRule="auto"/>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Ri=烟团的势能/环境的湍流</w:t>
      </w:r>
    </w:p>
    <w:p>
      <w:pPr>
        <w:pageBreakBefore w:val="0"/>
        <w:widowControl w:val="0"/>
        <w:kinsoku/>
        <w:wordWrap/>
        <w:overflowPunct/>
        <w:topLinePunct w:val="0"/>
        <w:autoSpaceDE w:val="0"/>
        <w:autoSpaceDN w:val="0"/>
        <w:bidi w:val="0"/>
        <w:adjustRightInd/>
        <w:snapToGrid/>
        <w:spacing w:before="0" w:after="0" w:line="360" w:lineRule="auto"/>
        <w:ind w:left="0" w:right="0" w:firstLine="468"/>
        <w:jc w:val="left"/>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动能理查德森数计算公式如下：</w:t>
      </w:r>
    </w:p>
    <w:p>
      <w:pPr>
        <w:pStyle w:val="49"/>
        <w:keepNext w:val="0"/>
        <w:keepLines w:val="0"/>
        <w:pageBreakBefore w:val="0"/>
        <w:kinsoku/>
        <w:wordWrap/>
        <w:overflowPunct/>
        <w:topLinePunct w:val="0"/>
        <w:autoSpaceDE/>
        <w:autoSpaceDN/>
        <w:bidi w:val="0"/>
        <w:adjustRightInd w:val="0"/>
        <w:snapToGrid w:val="0"/>
        <w:spacing w:before="0" w:after="0" w:line="360" w:lineRule="auto"/>
        <w:ind w:left="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连续排放：</w:t>
      </w:r>
    </w:p>
    <w:p>
      <w:pPr>
        <w:pStyle w:val="27"/>
        <w:tabs>
          <w:tab w:val="right" w:leader="dot" w:pos="9060"/>
        </w:tabs>
        <w:jc w:val="center"/>
        <w:rPr>
          <w:rFonts w:hint="default" w:ascii="Times New Roman" w:hAnsi="Times New Roman" w:eastAsia="宋体" w:cs="Times New Roman"/>
          <w:b/>
          <w:bCs/>
          <w:color w:val="auto"/>
          <w:sz w:val="30"/>
          <w:szCs w:val="30"/>
          <w:highlight w:val="none"/>
          <w:lang w:val="en-US" w:eastAsia="zh-CN"/>
        </w:rPr>
      </w:pPr>
      <w:r>
        <w:rPr>
          <w:rFonts w:hint="default" w:ascii="Times New Roman" w:hAnsi="Times New Roman" w:eastAsia="宋体" w:cs="Times New Roman"/>
          <w:b/>
          <w:bCs/>
          <w:color w:val="auto"/>
          <w:sz w:val="30"/>
          <w:szCs w:val="30"/>
          <w:highlight w:val="none"/>
          <w:lang w:val="en-US" w:eastAsia="zh-CN"/>
        </w:rPr>
        <w:drawing>
          <wp:inline distT="0" distB="0" distL="114300" distR="114300">
            <wp:extent cx="1940560" cy="607695"/>
            <wp:effectExtent l="0" t="0" r="2540" b="1905"/>
            <wp:docPr id="19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6"/>
                    <pic:cNvPicPr>
                      <a:picLocks noChangeAspect="1"/>
                    </pic:cNvPicPr>
                  </pic:nvPicPr>
                  <pic:blipFill>
                    <a:blip r:embed="rId48"/>
                    <a:stretch>
                      <a:fillRect/>
                    </a:stretch>
                  </pic:blipFill>
                  <pic:spPr>
                    <a:xfrm>
                      <a:off x="0" y="0"/>
                      <a:ext cx="1940560" cy="607695"/>
                    </a:xfrm>
                    <a:prstGeom prst="rect">
                      <a:avLst/>
                    </a:prstGeom>
                    <a:noFill/>
                    <a:ln>
                      <a:noFill/>
                    </a:ln>
                  </pic:spPr>
                </pic:pic>
              </a:graphicData>
            </a:graphic>
          </wp:inline>
        </w:drawing>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瞬时排放：</w:t>
      </w:r>
    </w:p>
    <w:p>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drawing>
          <wp:inline distT="0" distB="0" distL="114300" distR="114300">
            <wp:extent cx="1974215" cy="540385"/>
            <wp:effectExtent l="0" t="0" r="6985" b="12065"/>
            <wp:docPr id="20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7"/>
                    <pic:cNvPicPr>
                      <a:picLocks noChangeAspect="1"/>
                    </pic:cNvPicPr>
                  </pic:nvPicPr>
                  <pic:blipFill>
                    <a:blip r:embed="rId49"/>
                    <a:stretch>
                      <a:fillRect/>
                    </a:stretch>
                  </pic:blipFill>
                  <pic:spPr>
                    <a:xfrm>
                      <a:off x="0" y="0"/>
                      <a:ext cx="1974215" cy="540385"/>
                    </a:xfrm>
                    <a:prstGeom prst="rect">
                      <a:avLst/>
                    </a:prstGeom>
                    <a:noFill/>
                    <a:ln>
                      <a:noFill/>
                    </a:ln>
                  </pic:spPr>
                </pic:pic>
              </a:graphicData>
            </a:graphic>
          </wp:inline>
        </w:drawing>
      </w:r>
    </w:p>
    <w:p>
      <w:pPr>
        <w:spacing w:line="360" w:lineRule="auto"/>
        <w:ind w:firstLine="31680"/>
        <w:rPr>
          <w:rFonts w:hint="default" w:ascii="Times New Roman" w:hAnsi="Times New Roman" w:eastAsia="宋体" w:cs="Times New Roman"/>
          <w:color w:val="auto"/>
          <w:sz w:val="24"/>
          <w:highlight w:val="none"/>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式中：</w:t>
      </w:r>
    </w:p>
    <w:p>
      <w:pPr>
        <w:keepNext w:val="0"/>
        <w:keepLines w:val="0"/>
        <w:pageBreakBefore w:val="0"/>
        <w:widowControl w:val="0"/>
        <w:kinsoku/>
        <w:wordWrap/>
        <w:overflowPunct/>
        <w:topLinePunct w:val="0"/>
        <w:autoSpaceDE w:val="0"/>
        <w:autoSpaceDN w:val="0"/>
        <w:bidi w:val="0"/>
        <w:spacing w:before="0" w:beforeLines="0" w:after="0" w:line="360" w:lineRule="auto"/>
        <w:ind w:right="0" w:firstLine="448"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Times New Roman" w:cs="Times New Roman"/>
          <w:color w:val="auto"/>
          <w:spacing w:val="-8"/>
          <w:position w:val="2"/>
          <w:sz w:val="24"/>
          <w:szCs w:val="24"/>
          <w:highlight w:val="none"/>
          <w:lang w:val="zh-CN" w:eastAsia="zh-CN" w:bidi="zh-CN"/>
        </w:rPr>
        <w:t>ρ</w:t>
      </w:r>
      <w:r>
        <w:rPr>
          <w:rFonts w:hint="default" w:ascii="Times New Roman" w:hAnsi="Times New Roman" w:eastAsia="Times New Roman" w:cs="Times New Roman"/>
          <w:color w:val="auto"/>
          <w:spacing w:val="-8"/>
          <w:position w:val="2"/>
          <w:sz w:val="24"/>
          <w:szCs w:val="24"/>
          <w:highlight w:val="none"/>
          <w:vertAlign w:val="subscript"/>
          <w:lang w:val="zh-CN" w:eastAsia="zh-CN" w:bidi="zh-CN"/>
        </w:rPr>
        <w:t>rel</w:t>
      </w:r>
      <w:r>
        <w:rPr>
          <w:rFonts w:hint="default" w:ascii="Times New Roman" w:hAnsi="Times New Roman" w:eastAsia="Times New Roman" w:cs="Times New Roman"/>
          <w:color w:val="auto"/>
          <w:spacing w:val="-8"/>
          <w:position w:val="2"/>
          <w:sz w:val="24"/>
          <w:szCs w:val="24"/>
          <w:highlight w:val="none"/>
          <w:vertAlign w:val="baseline"/>
          <w:lang w:val="zh-CN" w:eastAsia="zh-CN" w:bidi="zh-CN"/>
        </w:rPr>
        <w:t>—</w:t>
      </w:r>
      <w:r>
        <w:rPr>
          <w:rFonts w:hint="default" w:ascii="Times New Roman" w:hAnsi="Times New Roman" w:eastAsia="宋体" w:cs="Times New Roman"/>
          <w:color w:val="auto"/>
          <w:spacing w:val="-4"/>
          <w:position w:val="2"/>
          <w:sz w:val="24"/>
          <w:szCs w:val="24"/>
          <w:highlight w:val="none"/>
          <w:vertAlign w:val="baseline"/>
          <w:lang w:val="zh-CN" w:eastAsia="zh-CN" w:bidi="zh-CN"/>
        </w:rPr>
        <w:t>排放物质进入大气的初始密度，</w:t>
      </w:r>
      <w:r>
        <w:rPr>
          <w:rFonts w:hint="default" w:ascii="Times New Roman" w:hAnsi="Times New Roman" w:eastAsia="Times New Roman" w:cs="Times New Roman"/>
          <w:color w:val="auto"/>
          <w:spacing w:val="-7"/>
          <w:position w:val="2"/>
          <w:sz w:val="24"/>
          <w:szCs w:val="24"/>
          <w:highlight w:val="none"/>
          <w:vertAlign w:val="baseline"/>
          <w:lang w:val="zh-CN" w:eastAsia="zh-CN" w:bidi="zh-CN"/>
        </w:rPr>
        <w:t>kg/m³</w:t>
      </w:r>
      <w:r>
        <w:rPr>
          <w:rFonts w:hint="default" w:ascii="Times New Roman" w:hAnsi="Times New Roman" w:eastAsia="宋体" w:cs="Times New Roman"/>
          <w:color w:val="auto"/>
          <w:spacing w:val="-5"/>
          <w:position w:val="2"/>
          <w:sz w:val="24"/>
          <w:szCs w:val="24"/>
          <w:highlight w:val="none"/>
          <w:vertAlign w:val="baseline"/>
          <w:lang w:val="zh-CN" w:eastAsia="zh-CN" w:bidi="zh-CN"/>
        </w:rPr>
        <w:t>，根据</w:t>
      </w:r>
      <w:r>
        <w:rPr>
          <w:rFonts w:hint="default" w:ascii="Times New Roman" w:hAnsi="Times New Roman" w:eastAsia="Times New Roman" w:cs="Times New Roman"/>
          <w:color w:val="auto"/>
          <w:spacing w:val="-9"/>
          <w:position w:val="2"/>
          <w:sz w:val="24"/>
          <w:szCs w:val="24"/>
          <w:highlight w:val="none"/>
          <w:vertAlign w:val="baseline"/>
          <w:lang w:val="zh-CN" w:eastAsia="zh-CN" w:bidi="zh-CN"/>
        </w:rPr>
        <w:t xml:space="preserve">ρ=PM/RT </w:t>
      </w:r>
      <w:r>
        <w:rPr>
          <w:rFonts w:hint="default" w:ascii="Times New Roman" w:hAnsi="Times New Roman" w:eastAsia="宋体" w:cs="Times New Roman"/>
          <w:color w:val="auto"/>
          <w:spacing w:val="-3"/>
          <w:position w:val="2"/>
          <w:sz w:val="24"/>
          <w:szCs w:val="24"/>
          <w:highlight w:val="none"/>
          <w:vertAlign w:val="baseline"/>
          <w:lang w:val="zh-CN" w:eastAsia="zh-CN" w:bidi="zh-CN"/>
        </w:rPr>
        <w:t>计算得标准大气压下，</w:t>
      </w:r>
      <w:r>
        <w:rPr>
          <w:rFonts w:hint="default" w:ascii="Times New Roman" w:hAnsi="Times New Roman" w:eastAsia="宋体" w:cs="Times New Roman"/>
          <w:color w:val="auto"/>
          <w:spacing w:val="-3"/>
          <w:position w:val="2"/>
          <w:sz w:val="24"/>
          <w:szCs w:val="24"/>
          <w:highlight w:val="none"/>
          <w:vertAlign w:val="baseline"/>
          <w:lang w:val="en-US" w:eastAsia="zh-CN" w:bidi="zh-CN"/>
        </w:rPr>
        <w:t>MDI</w:t>
      </w:r>
      <w:r>
        <w:rPr>
          <w:rFonts w:hint="default" w:ascii="Times New Roman" w:hAnsi="Times New Roman" w:eastAsia="宋体" w:cs="Times New Roman"/>
          <w:color w:val="auto"/>
          <w:spacing w:val="-18"/>
          <w:sz w:val="24"/>
          <w:szCs w:val="24"/>
          <w:highlight w:val="none"/>
          <w:vertAlign w:val="baseline"/>
          <w:lang w:val="zh-CN" w:eastAsia="zh-CN" w:bidi="zh-CN"/>
        </w:rPr>
        <w:t>气体密度为</w:t>
      </w:r>
      <w:r>
        <w:rPr>
          <w:rFonts w:hint="default" w:ascii="Times New Roman" w:hAnsi="Times New Roman" w:eastAsia="Times New Roman" w:cs="Times New Roman"/>
          <w:color w:val="auto"/>
          <w:spacing w:val="-9"/>
          <w:sz w:val="24"/>
          <w:szCs w:val="24"/>
          <w:highlight w:val="none"/>
          <w:vertAlign w:val="baseline"/>
          <w:lang w:val="en-US" w:eastAsia="zh-CN" w:bidi="zh-CN"/>
        </w:rPr>
        <w:t>1.155</w:t>
      </w:r>
      <w:r>
        <w:rPr>
          <w:rFonts w:hint="default" w:ascii="Times New Roman" w:hAnsi="Times New Roman" w:eastAsia="Times New Roman" w:cs="Times New Roman"/>
          <w:color w:val="auto"/>
          <w:spacing w:val="-9"/>
          <w:sz w:val="24"/>
          <w:szCs w:val="24"/>
          <w:highlight w:val="none"/>
          <w:vertAlign w:val="baseline"/>
          <w:lang w:val="zh-CN" w:eastAsia="zh-CN" w:bidi="zh-CN"/>
        </w:rPr>
        <w:t>kg/m</w:t>
      </w:r>
      <w:r>
        <w:rPr>
          <w:rFonts w:hint="default" w:ascii="Times New Roman" w:hAnsi="Times New Roman" w:eastAsia="Times New Roman" w:cs="Times New Roman"/>
          <w:color w:val="auto"/>
          <w:spacing w:val="-9"/>
          <w:position w:val="8"/>
          <w:sz w:val="15"/>
          <w:szCs w:val="24"/>
          <w:highlight w:val="none"/>
          <w:vertAlign w:val="baseline"/>
          <w:lang w:val="zh-CN" w:eastAsia="zh-CN" w:bidi="zh-CN"/>
        </w:rPr>
        <w:t>3</w:t>
      </w:r>
      <w:r>
        <w:rPr>
          <w:rFonts w:hint="default" w:ascii="Times New Roman" w:hAnsi="Times New Roman" w:eastAsia="宋体" w:cs="Times New Roman"/>
          <w:color w:val="auto"/>
          <w:spacing w:val="-18"/>
          <w:sz w:val="24"/>
          <w:szCs w:val="24"/>
          <w:highlight w:val="none"/>
          <w:vertAlign w:val="baseline"/>
          <w:lang w:val="zh-CN" w:eastAsia="zh-CN" w:bidi="zh-CN"/>
        </w:rPr>
        <w:t>，</w:t>
      </w:r>
      <w:r>
        <w:rPr>
          <w:rFonts w:hint="default" w:ascii="Times New Roman" w:hAnsi="Times New Roman" w:eastAsia="宋体" w:cs="Times New Roman"/>
          <w:color w:val="auto"/>
          <w:spacing w:val="-16"/>
          <w:sz w:val="24"/>
          <w:szCs w:val="24"/>
          <w:highlight w:val="none"/>
          <w:vertAlign w:val="baseline"/>
          <w:lang w:val="zh-CN" w:eastAsia="zh-CN" w:bidi="zh-CN"/>
        </w:rPr>
        <w:t>氰化氢气体密度为</w:t>
      </w:r>
      <w:r>
        <w:rPr>
          <w:rFonts w:hint="default" w:ascii="Times New Roman" w:hAnsi="Times New Roman" w:eastAsia="Times New Roman" w:cs="Times New Roman"/>
          <w:color w:val="auto"/>
          <w:spacing w:val="-9"/>
          <w:sz w:val="24"/>
          <w:szCs w:val="24"/>
          <w:highlight w:val="none"/>
          <w:vertAlign w:val="baseline"/>
          <w:lang w:val="zh-CN" w:eastAsia="zh-CN" w:bidi="zh-CN"/>
        </w:rPr>
        <w:t>1.1kg/m</w:t>
      </w:r>
      <w:r>
        <w:rPr>
          <w:rFonts w:hint="default" w:ascii="Times New Roman" w:hAnsi="Times New Roman" w:eastAsia="Times New Roman" w:cs="Times New Roman"/>
          <w:color w:val="auto"/>
          <w:spacing w:val="-9"/>
          <w:position w:val="8"/>
          <w:sz w:val="15"/>
          <w:szCs w:val="24"/>
          <w:highlight w:val="none"/>
          <w:vertAlign w:val="baseline"/>
          <w:lang w:val="zh-CN" w:eastAsia="zh-CN" w:bidi="zh-CN"/>
        </w:rPr>
        <w:t>3</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eastAsia="宋体" w:cs="Times New Roman"/>
          <w:color w:val="auto"/>
          <w:sz w:val="24"/>
          <w:szCs w:val="24"/>
          <w:highlight w:val="none"/>
          <w:vertAlign w:val="baseline"/>
          <w:lang w:val="en-US" w:eastAsia="zh-CN" w:bidi="zh-CN"/>
        </w:rPr>
        <w:t>CO气体密度为1.25</w:t>
      </w:r>
      <w:r>
        <w:rPr>
          <w:rFonts w:hint="default" w:ascii="Times New Roman" w:hAnsi="Times New Roman" w:eastAsia="Times New Roman" w:cs="Times New Roman"/>
          <w:color w:val="auto"/>
          <w:spacing w:val="-9"/>
          <w:sz w:val="24"/>
          <w:szCs w:val="24"/>
          <w:highlight w:val="none"/>
          <w:vertAlign w:val="baseline"/>
          <w:lang w:val="zh-CN" w:eastAsia="zh-CN" w:bidi="zh-CN"/>
        </w:rPr>
        <w:t>kg/m</w:t>
      </w:r>
      <w:r>
        <w:rPr>
          <w:rFonts w:hint="default" w:ascii="Times New Roman" w:hAnsi="Times New Roman" w:eastAsia="Times New Roman" w:cs="Times New Roman"/>
          <w:color w:val="auto"/>
          <w:spacing w:val="-9"/>
          <w:position w:val="8"/>
          <w:sz w:val="15"/>
          <w:szCs w:val="24"/>
          <w:highlight w:val="none"/>
          <w:vertAlign w:val="baseline"/>
          <w:lang w:val="zh-CN" w:eastAsia="zh-CN" w:bidi="zh-CN"/>
        </w:rPr>
        <w:t>3</w:t>
      </w:r>
      <w:r>
        <w:rPr>
          <w:rFonts w:hint="default" w:ascii="Times New Roman" w:hAnsi="Times New Roman" w:eastAsia="宋体" w:cs="Times New Roman"/>
          <w:color w:val="auto"/>
          <w:sz w:val="24"/>
          <w:szCs w:val="24"/>
          <w:highlight w:val="none"/>
          <w:vertAlign w:val="baseline"/>
          <w:lang w:val="zh-CN" w:eastAsia="zh-CN" w:bidi="zh-CN"/>
        </w:rPr>
        <w:t>。</w:t>
      </w:r>
    </w:p>
    <w:p>
      <w:pPr>
        <w:keepNext w:val="0"/>
        <w:keepLines w:val="0"/>
        <w:pageBreakBefore w:val="0"/>
        <w:widowControl w:val="0"/>
        <w:kinsoku/>
        <w:wordWrap/>
        <w:overflowPunct/>
        <w:topLinePunct w:val="0"/>
        <w:autoSpaceDE w:val="0"/>
        <w:autoSpaceDN w:val="0"/>
        <w:bidi w:val="0"/>
        <w:spacing w:before="0" w:beforeLines="0" w:after="0" w:line="360" w:lineRule="auto"/>
        <w:ind w:left="0" w:right="0" w:firstLine="480" w:firstLineChars="200"/>
        <w:jc w:val="both"/>
        <w:textAlignment w:val="auto"/>
        <w:rPr>
          <w:rFonts w:hint="default" w:ascii="Times New Roman" w:hAnsi="Times New Roman" w:eastAsia="宋体" w:cs="Times New Roman"/>
          <w:color w:val="auto"/>
          <w:spacing w:val="-3"/>
          <w:sz w:val="24"/>
          <w:szCs w:val="24"/>
          <w:highlight w:val="none"/>
          <w:vertAlign w:val="baseline"/>
          <w:lang w:val="zh-CN" w:eastAsia="zh-CN" w:bidi="zh-CN"/>
        </w:rPr>
      </w:pPr>
      <w:r>
        <w:rPr>
          <w:rFonts w:hint="default" w:ascii="Times New Roman" w:hAnsi="Times New Roman" w:eastAsia="Times New Roman" w:cs="Times New Roman"/>
          <w:color w:val="auto"/>
          <w:sz w:val="24"/>
          <w:szCs w:val="24"/>
          <w:highlight w:val="none"/>
          <w:lang w:val="zh-CN" w:eastAsia="zh-CN" w:bidi="zh-CN"/>
        </w:rPr>
        <w:t>ρ</w:t>
      </w:r>
      <w:r>
        <w:rPr>
          <w:rFonts w:hint="default" w:ascii="Times New Roman" w:hAnsi="Times New Roman" w:eastAsia="Times New Roman" w:cs="Times New Roman"/>
          <w:color w:val="auto"/>
          <w:sz w:val="24"/>
          <w:szCs w:val="24"/>
          <w:highlight w:val="none"/>
          <w:vertAlign w:val="subscript"/>
          <w:lang w:val="zh-CN" w:eastAsia="zh-CN" w:bidi="zh-CN"/>
        </w:rPr>
        <w:t>a</w:t>
      </w:r>
      <w:r>
        <w:rPr>
          <w:rFonts w:hint="default" w:ascii="Times New Roman" w:hAnsi="Times New Roman" w:eastAsia="Times New Roman" w:cs="Times New Roman"/>
          <w:color w:val="auto"/>
          <w:sz w:val="24"/>
          <w:szCs w:val="24"/>
          <w:highlight w:val="none"/>
          <w:vertAlign w:val="baseline"/>
          <w:lang w:val="zh-CN" w:eastAsia="zh-CN" w:bidi="zh-CN"/>
        </w:rPr>
        <w:t>—</w:t>
      </w:r>
      <w:r>
        <w:rPr>
          <w:rFonts w:hint="default" w:ascii="Times New Roman" w:hAnsi="Times New Roman" w:eastAsia="宋体" w:cs="Times New Roman"/>
          <w:color w:val="auto"/>
          <w:sz w:val="24"/>
          <w:szCs w:val="24"/>
          <w:highlight w:val="none"/>
          <w:vertAlign w:val="baseline"/>
          <w:lang w:val="zh-CN" w:eastAsia="zh-CN" w:bidi="zh-CN"/>
        </w:rPr>
        <w:t>环境空气密度，</w:t>
      </w:r>
      <w:r>
        <w:rPr>
          <w:rFonts w:hint="default" w:ascii="Times New Roman" w:hAnsi="Times New Roman" w:eastAsia="Times New Roman" w:cs="Times New Roman"/>
          <w:color w:val="auto"/>
          <w:sz w:val="24"/>
          <w:szCs w:val="24"/>
          <w:highlight w:val="none"/>
          <w:vertAlign w:val="baseline"/>
          <w:lang w:val="zh-CN" w:eastAsia="zh-CN" w:bidi="zh-CN"/>
        </w:rPr>
        <w:t>kg/m³</w:t>
      </w:r>
      <w:r>
        <w:rPr>
          <w:rFonts w:hint="default" w:ascii="Times New Roman" w:hAnsi="Times New Roman" w:eastAsia="宋体" w:cs="Times New Roman"/>
          <w:color w:val="auto"/>
          <w:spacing w:val="-18"/>
          <w:sz w:val="24"/>
          <w:szCs w:val="24"/>
          <w:highlight w:val="none"/>
          <w:vertAlign w:val="baseline"/>
          <w:lang w:val="zh-CN" w:eastAsia="zh-CN" w:bidi="zh-CN"/>
        </w:rPr>
        <w:t>，取</w:t>
      </w:r>
      <w:r>
        <w:rPr>
          <w:rFonts w:hint="default" w:ascii="Times New Roman" w:hAnsi="Times New Roman" w:eastAsia="Times New Roman" w:cs="Times New Roman"/>
          <w:color w:val="auto"/>
          <w:spacing w:val="-3"/>
          <w:sz w:val="24"/>
          <w:szCs w:val="24"/>
          <w:highlight w:val="none"/>
          <w:vertAlign w:val="baseline"/>
          <w:lang w:val="zh-CN" w:eastAsia="zh-CN" w:bidi="zh-CN"/>
        </w:rPr>
        <w:t>1.29kg/m</w:t>
      </w:r>
      <w:r>
        <w:rPr>
          <w:rFonts w:hint="default" w:ascii="Times New Roman" w:hAnsi="Times New Roman" w:eastAsia="Times New Roman" w:cs="Times New Roman"/>
          <w:color w:val="auto"/>
          <w:spacing w:val="-3"/>
          <w:position w:val="8"/>
          <w:sz w:val="15"/>
          <w:szCs w:val="24"/>
          <w:highlight w:val="none"/>
          <w:vertAlign w:val="baseline"/>
          <w:lang w:val="zh-CN" w:eastAsia="zh-CN" w:bidi="zh-CN"/>
        </w:rPr>
        <w:t>3</w:t>
      </w:r>
      <w:r>
        <w:rPr>
          <w:rFonts w:hint="default" w:ascii="Times New Roman" w:hAnsi="Times New Roman" w:eastAsia="宋体" w:cs="Times New Roman"/>
          <w:color w:val="auto"/>
          <w:spacing w:val="-3"/>
          <w:sz w:val="24"/>
          <w:szCs w:val="24"/>
          <w:highlight w:val="none"/>
          <w:vertAlign w:val="baseline"/>
          <w:lang w:val="zh-CN" w:eastAsia="zh-CN" w:bidi="zh-CN"/>
        </w:rPr>
        <w:t xml:space="preserve">； </w:t>
      </w:r>
    </w:p>
    <w:p>
      <w:pPr>
        <w:keepNext w:val="0"/>
        <w:keepLines w:val="0"/>
        <w:pageBreakBefore w:val="0"/>
        <w:widowControl w:val="0"/>
        <w:kinsoku/>
        <w:wordWrap/>
        <w:overflowPunct/>
        <w:topLinePunct w:val="0"/>
        <w:autoSpaceDE w:val="0"/>
        <w:autoSpaceDN w:val="0"/>
        <w:bidi w:val="0"/>
        <w:spacing w:before="0" w:beforeLines="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vertAlign w:val="baseline"/>
          <w:lang w:val="zh-CN" w:eastAsia="zh-CN" w:bidi="zh-CN"/>
        </w:rPr>
      </w:pPr>
      <w:r>
        <w:rPr>
          <w:rFonts w:hint="default" w:ascii="Times New Roman" w:hAnsi="Times New Roman" w:eastAsia="Times New Roman" w:cs="Times New Roman"/>
          <w:color w:val="auto"/>
          <w:sz w:val="24"/>
          <w:szCs w:val="24"/>
          <w:highlight w:val="none"/>
          <w:vertAlign w:val="baseline"/>
          <w:lang w:val="zh-CN" w:eastAsia="zh-CN" w:bidi="zh-CN"/>
        </w:rPr>
        <w:t>Q—</w:t>
      </w:r>
      <w:r>
        <w:rPr>
          <w:rFonts w:hint="default" w:ascii="Times New Roman" w:hAnsi="Times New Roman" w:eastAsia="宋体" w:cs="Times New Roman"/>
          <w:color w:val="auto"/>
          <w:sz w:val="24"/>
          <w:szCs w:val="24"/>
          <w:highlight w:val="none"/>
          <w:vertAlign w:val="baseline"/>
          <w:lang w:val="zh-CN" w:eastAsia="zh-CN" w:bidi="zh-CN"/>
        </w:rPr>
        <w:t>连续排放烟羽的排放速率，</w:t>
      </w:r>
      <w:r>
        <w:rPr>
          <w:rFonts w:hint="default" w:ascii="Times New Roman" w:hAnsi="Times New Roman" w:eastAsia="Times New Roman" w:cs="Times New Roman"/>
          <w:color w:val="auto"/>
          <w:sz w:val="24"/>
          <w:szCs w:val="24"/>
          <w:highlight w:val="none"/>
          <w:vertAlign w:val="baseline"/>
          <w:lang w:val="zh-CN" w:eastAsia="zh-CN" w:bidi="zh-CN"/>
        </w:rPr>
        <w:t>kg/s</w:t>
      </w:r>
      <w:r>
        <w:rPr>
          <w:rFonts w:hint="default" w:ascii="Times New Roman" w:hAnsi="Times New Roman" w:eastAsia="宋体" w:cs="Times New Roman"/>
          <w:color w:val="auto"/>
          <w:sz w:val="24"/>
          <w:szCs w:val="24"/>
          <w:highlight w:val="none"/>
          <w:vertAlign w:val="baseline"/>
          <w:lang w:val="zh-CN" w:eastAsia="zh-CN" w:bidi="zh-CN"/>
        </w:rPr>
        <w:t xml:space="preserve">； </w:t>
      </w:r>
    </w:p>
    <w:p>
      <w:pPr>
        <w:keepNext w:val="0"/>
        <w:keepLines w:val="0"/>
        <w:pageBreakBefore w:val="0"/>
        <w:widowControl w:val="0"/>
        <w:kinsoku/>
        <w:wordWrap/>
        <w:overflowPunct/>
        <w:topLinePunct w:val="0"/>
        <w:autoSpaceDE w:val="0"/>
        <w:autoSpaceDN w:val="0"/>
        <w:bidi w:val="0"/>
        <w:spacing w:before="0" w:beforeLines="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Times New Roman" w:cs="Times New Roman"/>
          <w:color w:val="auto"/>
          <w:position w:val="2"/>
          <w:sz w:val="24"/>
          <w:szCs w:val="24"/>
          <w:highlight w:val="none"/>
          <w:vertAlign w:val="baseline"/>
          <w:lang w:val="zh-CN" w:eastAsia="zh-CN" w:bidi="zh-CN"/>
        </w:rPr>
        <w:t>Q</w:t>
      </w:r>
      <w:r>
        <w:rPr>
          <w:rFonts w:hint="default" w:ascii="Times New Roman" w:hAnsi="Times New Roman" w:eastAsia="Times New Roman" w:cs="Times New Roman"/>
          <w:color w:val="auto"/>
          <w:position w:val="2"/>
          <w:sz w:val="24"/>
          <w:szCs w:val="24"/>
          <w:highlight w:val="none"/>
          <w:vertAlign w:val="subscript"/>
          <w:lang w:val="zh-CN" w:eastAsia="zh-CN" w:bidi="zh-CN"/>
        </w:rPr>
        <w:t>t</w:t>
      </w:r>
      <w:r>
        <w:rPr>
          <w:rFonts w:hint="default" w:ascii="Times New Roman" w:hAnsi="Times New Roman" w:eastAsia="Times New Roman" w:cs="Times New Roman"/>
          <w:color w:val="auto"/>
          <w:position w:val="2"/>
          <w:sz w:val="24"/>
          <w:szCs w:val="24"/>
          <w:highlight w:val="none"/>
          <w:vertAlign w:val="baseline"/>
          <w:lang w:val="zh-CN" w:eastAsia="zh-CN" w:bidi="zh-CN"/>
        </w:rPr>
        <w:t>—</w:t>
      </w:r>
      <w:r>
        <w:rPr>
          <w:rFonts w:hint="default" w:ascii="Times New Roman" w:hAnsi="Times New Roman" w:eastAsia="宋体" w:cs="Times New Roman"/>
          <w:color w:val="auto"/>
          <w:position w:val="2"/>
          <w:sz w:val="24"/>
          <w:szCs w:val="24"/>
          <w:highlight w:val="none"/>
          <w:vertAlign w:val="baseline"/>
          <w:lang w:val="zh-CN" w:eastAsia="zh-CN" w:bidi="zh-CN"/>
        </w:rPr>
        <w:t>瞬时排放物质质量，</w:t>
      </w:r>
      <w:r>
        <w:rPr>
          <w:rFonts w:hint="default" w:ascii="Times New Roman" w:hAnsi="Times New Roman" w:eastAsia="Times New Roman" w:cs="Times New Roman"/>
          <w:color w:val="auto"/>
          <w:position w:val="2"/>
          <w:sz w:val="24"/>
          <w:szCs w:val="24"/>
          <w:highlight w:val="none"/>
          <w:vertAlign w:val="baseline"/>
          <w:lang w:val="zh-CN" w:eastAsia="zh-CN" w:bidi="zh-CN"/>
        </w:rPr>
        <w:t>kg</w:t>
      </w:r>
      <w:r>
        <w:rPr>
          <w:rFonts w:hint="default" w:ascii="Times New Roman" w:hAnsi="Times New Roman" w:eastAsia="宋体" w:cs="Times New Roman"/>
          <w:color w:val="auto"/>
          <w:position w:val="2"/>
          <w:sz w:val="24"/>
          <w:szCs w:val="24"/>
          <w:highlight w:val="none"/>
          <w:vertAlign w:val="baseline"/>
          <w:lang w:val="zh-CN" w:eastAsia="zh-CN" w:bidi="zh-CN"/>
        </w:rPr>
        <w:t>；</w:t>
      </w:r>
    </w:p>
    <w:p>
      <w:pPr>
        <w:keepNext w:val="0"/>
        <w:keepLines w:val="0"/>
        <w:pageBreakBefore w:val="0"/>
        <w:widowControl w:val="0"/>
        <w:kinsoku/>
        <w:wordWrap/>
        <w:overflowPunct/>
        <w:topLinePunct w:val="0"/>
        <w:autoSpaceDE w:val="0"/>
        <w:autoSpaceDN w:val="0"/>
        <w:bidi w:val="0"/>
        <w:spacing w:before="0" w:beforeLines="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Times New Roman" w:cs="Times New Roman"/>
          <w:color w:val="auto"/>
          <w:position w:val="2"/>
          <w:sz w:val="24"/>
          <w:szCs w:val="24"/>
          <w:highlight w:val="none"/>
          <w:lang w:val="zh-CN" w:eastAsia="zh-CN" w:bidi="zh-CN"/>
        </w:rPr>
        <w:t>D</w:t>
      </w:r>
      <w:r>
        <w:rPr>
          <w:rFonts w:hint="default" w:ascii="Times New Roman" w:hAnsi="Times New Roman" w:eastAsia="Times New Roman" w:cs="Times New Roman"/>
          <w:color w:val="auto"/>
          <w:position w:val="2"/>
          <w:sz w:val="24"/>
          <w:szCs w:val="24"/>
          <w:highlight w:val="none"/>
          <w:vertAlign w:val="subscript"/>
          <w:lang w:val="zh-CN" w:eastAsia="zh-CN" w:bidi="zh-CN"/>
        </w:rPr>
        <w:t>rel</w:t>
      </w:r>
      <w:r>
        <w:rPr>
          <w:rFonts w:hint="default" w:ascii="Times New Roman" w:hAnsi="Times New Roman" w:eastAsia="Times New Roman" w:cs="Times New Roman"/>
          <w:color w:val="auto"/>
          <w:position w:val="2"/>
          <w:sz w:val="24"/>
          <w:szCs w:val="24"/>
          <w:highlight w:val="none"/>
          <w:vertAlign w:val="baseline"/>
          <w:lang w:val="zh-CN" w:eastAsia="zh-CN" w:bidi="zh-CN"/>
        </w:rPr>
        <w:t>—</w:t>
      </w:r>
      <w:r>
        <w:rPr>
          <w:rFonts w:hint="default" w:ascii="Times New Roman" w:hAnsi="Times New Roman" w:eastAsia="宋体" w:cs="Times New Roman"/>
          <w:color w:val="auto"/>
          <w:position w:val="2"/>
          <w:sz w:val="24"/>
          <w:szCs w:val="24"/>
          <w:highlight w:val="none"/>
          <w:vertAlign w:val="baseline"/>
          <w:lang w:val="zh-CN" w:eastAsia="zh-CN" w:bidi="zh-CN"/>
        </w:rPr>
        <w:t>初始的烟团宽度，即源直径，</w:t>
      </w:r>
      <w:r>
        <w:rPr>
          <w:rFonts w:hint="default" w:ascii="Times New Roman" w:hAnsi="Times New Roman" w:eastAsia="Times New Roman" w:cs="Times New Roman"/>
          <w:color w:val="auto"/>
          <w:position w:val="2"/>
          <w:sz w:val="24"/>
          <w:szCs w:val="24"/>
          <w:highlight w:val="none"/>
          <w:vertAlign w:val="baseline"/>
          <w:lang w:val="zh-CN" w:eastAsia="zh-CN" w:bidi="zh-CN"/>
        </w:rPr>
        <w:t>m</w:t>
      </w:r>
      <w:r>
        <w:rPr>
          <w:rFonts w:hint="default" w:ascii="Times New Roman" w:hAnsi="Times New Roman" w:eastAsia="宋体" w:cs="Times New Roman"/>
          <w:color w:val="auto"/>
          <w:position w:val="2"/>
          <w:sz w:val="24"/>
          <w:szCs w:val="24"/>
          <w:highlight w:val="none"/>
          <w:vertAlign w:val="baseline"/>
          <w:lang w:val="zh-CN" w:eastAsia="zh-CN" w:bidi="zh-CN"/>
        </w:rPr>
        <w:t>；</w:t>
      </w:r>
    </w:p>
    <w:p>
      <w:pPr>
        <w:keepNext w:val="0"/>
        <w:keepLines w:val="0"/>
        <w:pageBreakBefore w:val="0"/>
        <w:widowControl w:val="0"/>
        <w:kinsoku/>
        <w:wordWrap/>
        <w:overflowPunct/>
        <w:topLinePunct w:val="0"/>
        <w:autoSpaceDE w:val="0"/>
        <w:autoSpaceDN w:val="0"/>
        <w:bidi w:val="0"/>
        <w:spacing w:before="0" w:beforeLines="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Times New Roman" w:cs="Times New Roman"/>
          <w:color w:val="auto"/>
          <w:position w:val="2"/>
          <w:sz w:val="24"/>
          <w:szCs w:val="24"/>
          <w:highlight w:val="none"/>
          <w:lang w:val="zh-CN" w:eastAsia="zh-CN" w:bidi="zh-CN"/>
        </w:rPr>
        <w:t>U</w:t>
      </w:r>
      <w:r>
        <w:rPr>
          <w:rFonts w:hint="default" w:ascii="Times New Roman" w:hAnsi="Times New Roman" w:eastAsia="Times New Roman" w:cs="Times New Roman"/>
          <w:color w:val="auto"/>
          <w:position w:val="2"/>
          <w:sz w:val="24"/>
          <w:szCs w:val="24"/>
          <w:highlight w:val="none"/>
          <w:vertAlign w:val="subscript"/>
          <w:lang w:val="zh-CN" w:eastAsia="zh-CN" w:bidi="zh-CN"/>
        </w:rPr>
        <w:t>r</w:t>
      </w:r>
      <w:r>
        <w:rPr>
          <w:rFonts w:hint="default" w:ascii="Times New Roman" w:hAnsi="Times New Roman" w:eastAsia="Times New Roman" w:cs="Times New Roman"/>
          <w:color w:val="auto"/>
          <w:position w:val="2"/>
          <w:sz w:val="24"/>
          <w:szCs w:val="24"/>
          <w:highlight w:val="none"/>
          <w:vertAlign w:val="baseline"/>
          <w:lang w:val="zh-CN" w:eastAsia="zh-CN" w:bidi="zh-CN"/>
        </w:rPr>
        <w:t>—10m</w:t>
      </w:r>
      <w:r>
        <w:rPr>
          <w:rFonts w:hint="default" w:ascii="Times New Roman" w:hAnsi="Times New Roman" w:eastAsia="宋体" w:cs="Times New Roman"/>
          <w:color w:val="auto"/>
          <w:position w:val="2"/>
          <w:sz w:val="24"/>
          <w:szCs w:val="24"/>
          <w:highlight w:val="none"/>
          <w:vertAlign w:val="baseline"/>
          <w:lang w:val="zh-CN" w:eastAsia="zh-CN" w:bidi="zh-CN"/>
        </w:rPr>
        <w:t>高处风速，</w:t>
      </w:r>
      <w:r>
        <w:rPr>
          <w:rFonts w:hint="default" w:ascii="Times New Roman" w:hAnsi="Times New Roman" w:eastAsia="Times New Roman" w:cs="Times New Roman"/>
          <w:color w:val="auto"/>
          <w:position w:val="2"/>
          <w:sz w:val="24"/>
          <w:szCs w:val="24"/>
          <w:highlight w:val="none"/>
          <w:vertAlign w:val="baseline"/>
          <w:lang w:val="zh-CN" w:eastAsia="zh-CN" w:bidi="zh-CN"/>
        </w:rPr>
        <w:t>m/s</w:t>
      </w:r>
      <w:r>
        <w:rPr>
          <w:rFonts w:hint="default" w:ascii="Times New Roman" w:hAnsi="Times New Roman" w:eastAsia="宋体" w:cs="Times New Roman"/>
          <w:color w:val="auto"/>
          <w:position w:val="2"/>
          <w:sz w:val="24"/>
          <w:szCs w:val="24"/>
          <w:highlight w:val="none"/>
          <w:vertAlign w:val="baseline"/>
          <w:lang w:val="zh-CN" w:eastAsia="zh-CN" w:bidi="zh-CN"/>
        </w:rPr>
        <w:t>，本项目所在区域为</w:t>
      </w:r>
      <w:r>
        <w:rPr>
          <w:rFonts w:hint="default" w:ascii="Times New Roman" w:hAnsi="Times New Roman" w:eastAsia="Times New Roman" w:cs="Times New Roman"/>
          <w:color w:val="auto"/>
          <w:position w:val="2"/>
          <w:sz w:val="24"/>
          <w:szCs w:val="24"/>
          <w:highlight w:val="none"/>
          <w:vertAlign w:val="baseline"/>
          <w:lang w:val="zh-CN" w:eastAsia="zh-CN" w:bidi="zh-CN"/>
        </w:rPr>
        <w:t>1.5m/s</w:t>
      </w:r>
      <w:r>
        <w:rPr>
          <w:rFonts w:hint="default" w:ascii="Times New Roman" w:hAnsi="Times New Roman" w:eastAsia="宋体" w:cs="Times New Roman"/>
          <w:color w:val="auto"/>
          <w:position w:val="2"/>
          <w:sz w:val="24"/>
          <w:szCs w:val="24"/>
          <w:highlight w:val="none"/>
          <w:vertAlign w:val="baseline"/>
          <w:lang w:val="zh-CN" w:eastAsia="zh-CN" w:bidi="zh-CN"/>
        </w:rPr>
        <w:t>。</w:t>
      </w:r>
    </w:p>
    <w:p>
      <w:pPr>
        <w:keepNext w:val="0"/>
        <w:keepLines w:val="0"/>
        <w:pageBreakBefore w:val="0"/>
        <w:widowControl w:val="0"/>
        <w:kinsoku/>
        <w:wordWrap/>
        <w:overflowPunct/>
        <w:topLinePunct w:val="0"/>
        <w:bidi w:val="0"/>
        <w:adjustRightInd w:val="0"/>
        <w:snapToGrid w:val="0"/>
        <w:spacing w:beforeLines="0" w:line="360" w:lineRule="auto"/>
        <w:ind w:left="0" w:right="0" w:firstLine="480" w:firstLineChars="200"/>
        <w:jc w:val="both"/>
        <w:textAlignment w:val="auto"/>
        <w:rPr>
          <w:rFonts w:hint="default" w:ascii="Times New Roman" w:hAnsi="Times New Roman" w:eastAsia="宋体" w:cs="Times New Roman"/>
          <w:color w:val="auto"/>
          <w:kern w:val="2"/>
          <w:sz w:val="24"/>
          <w:szCs w:val="24"/>
          <w:highlight w:val="none"/>
          <w:vertAlign w:val="baseline"/>
          <w:lang w:val="en-US" w:eastAsia="zh-CN" w:bidi="ar-SA"/>
        </w:rPr>
      </w:pPr>
      <w:r>
        <w:rPr>
          <w:rFonts w:hint="default" w:ascii="Times New Roman" w:hAnsi="Times New Roman" w:eastAsia="宋体" w:cs="Times New Roman"/>
          <w:color w:val="auto"/>
          <w:kern w:val="2"/>
          <w:sz w:val="24"/>
          <w:szCs w:val="24"/>
          <w:highlight w:val="none"/>
          <w:lang w:val="en-US" w:eastAsia="zh-CN" w:bidi="ar-SA"/>
        </w:rPr>
        <w:t>判定连续排放还是瞬时排放，可以通过对比排放时间</w:t>
      </w:r>
      <w:r>
        <w:rPr>
          <w:rFonts w:hint="default" w:ascii="Times New Roman" w:hAnsi="Times New Roman" w:eastAsia="Times New Roman" w:cs="Times New Roman"/>
          <w:color w:val="auto"/>
          <w:kern w:val="2"/>
          <w:sz w:val="24"/>
          <w:szCs w:val="24"/>
          <w:highlight w:val="none"/>
          <w:lang w:val="en-US" w:eastAsia="zh-CN" w:bidi="ar-SA"/>
        </w:rPr>
        <w:t>T</w:t>
      </w:r>
      <w:r>
        <w:rPr>
          <w:rFonts w:hint="default" w:ascii="Times New Roman" w:hAnsi="Times New Roman" w:eastAsia="Times New Roman" w:cs="Times New Roman"/>
          <w:color w:val="auto"/>
          <w:kern w:val="2"/>
          <w:sz w:val="24"/>
          <w:szCs w:val="24"/>
          <w:highlight w:val="none"/>
          <w:vertAlign w:val="subscript"/>
          <w:lang w:val="en-US" w:eastAsia="zh-CN" w:bidi="ar-SA"/>
        </w:rPr>
        <w:t>d</w:t>
      </w:r>
      <w:r>
        <w:rPr>
          <w:rFonts w:hint="default" w:ascii="Times New Roman" w:hAnsi="Times New Roman" w:eastAsia="宋体" w:cs="Times New Roman"/>
          <w:color w:val="auto"/>
          <w:kern w:val="2"/>
          <w:sz w:val="24"/>
          <w:szCs w:val="24"/>
          <w:highlight w:val="none"/>
          <w:vertAlign w:val="baseline"/>
          <w:lang w:val="en-US" w:eastAsia="zh-CN" w:bidi="ar-SA"/>
        </w:rPr>
        <w:t>和污染物到达最近的受体点（网格点或敏感点）的时间</w:t>
      </w:r>
      <w:r>
        <w:rPr>
          <w:rFonts w:hint="default" w:ascii="Times New Roman" w:hAnsi="Times New Roman" w:eastAsia="Times New Roman" w:cs="Times New Roman"/>
          <w:color w:val="auto"/>
          <w:kern w:val="2"/>
          <w:sz w:val="24"/>
          <w:szCs w:val="24"/>
          <w:highlight w:val="none"/>
          <w:vertAlign w:val="baseline"/>
          <w:lang w:val="en-US" w:eastAsia="zh-CN" w:bidi="ar-SA"/>
        </w:rPr>
        <w:t>T</w:t>
      </w:r>
      <w:r>
        <w:rPr>
          <w:rFonts w:hint="default" w:ascii="Times New Roman" w:hAnsi="Times New Roman" w:eastAsia="宋体" w:cs="Times New Roman"/>
          <w:color w:val="auto"/>
          <w:kern w:val="2"/>
          <w:sz w:val="24"/>
          <w:szCs w:val="24"/>
          <w:highlight w:val="none"/>
          <w:vertAlign w:val="baseline"/>
          <w:lang w:val="en-US" w:eastAsia="zh-CN" w:bidi="ar-SA"/>
        </w:rPr>
        <w:t>确定。</w:t>
      </w:r>
      <w:r>
        <w:rPr>
          <w:rFonts w:hint="default" w:ascii="Times New Roman" w:hAnsi="Times New Roman" w:eastAsia="Times New Roman" w:cs="Times New Roman"/>
          <w:color w:val="auto"/>
          <w:kern w:val="2"/>
          <w:sz w:val="24"/>
          <w:szCs w:val="24"/>
          <w:highlight w:val="none"/>
          <w:vertAlign w:val="baseline"/>
          <w:lang w:val="en-US" w:eastAsia="zh-CN" w:bidi="ar-SA"/>
        </w:rPr>
        <w:t>T</w:t>
      </w:r>
      <w:r>
        <w:rPr>
          <w:rFonts w:hint="default" w:ascii="Times New Roman" w:hAnsi="Times New Roman" w:eastAsia="宋体" w:cs="Times New Roman"/>
          <w:color w:val="auto"/>
          <w:kern w:val="2"/>
          <w:sz w:val="24"/>
          <w:szCs w:val="24"/>
          <w:highlight w:val="none"/>
          <w:vertAlign w:val="baseline"/>
          <w:lang w:val="en-US" w:eastAsia="zh-CN" w:bidi="ar-SA"/>
        </w:rPr>
        <w:t>的计算公式如下：</w:t>
      </w:r>
    </w:p>
    <w:p>
      <w:pPr>
        <w:pStyle w:val="49"/>
        <w:keepNext w:val="0"/>
        <w:keepLines w:val="0"/>
        <w:pageBreakBefore w:val="0"/>
        <w:widowControl/>
        <w:kinsoku/>
        <w:wordWrap/>
        <w:overflowPunct/>
        <w:topLinePunct w:val="0"/>
        <w:autoSpaceDE/>
        <w:autoSpaceDN/>
        <w:bidi w:val="0"/>
        <w:adjustRightInd/>
        <w:snapToGrid/>
        <w:spacing w:before="0" w:after="0" w:line="360" w:lineRule="auto"/>
        <w:ind w:left="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T=2X/Ur</w:t>
      </w:r>
    </w:p>
    <w:p>
      <w:pPr>
        <w:keepNext w:val="0"/>
        <w:keepLines w:val="0"/>
        <w:widowControl w:val="0"/>
        <w:suppressLineNumbers w:val="0"/>
        <w:autoSpaceDE w:val="0"/>
        <w:autoSpaceDN w:val="0"/>
        <w:adjustRightInd w:val="0"/>
        <w:spacing w:before="0" w:beforeAutospacing="0" w:after="0" w:afterAutospacing="0" w:line="360" w:lineRule="auto"/>
        <w:ind w:left="0" w:right="0"/>
        <w:jc w:val="left"/>
        <w:textAlignment w:val="baseline"/>
        <w:rPr>
          <w:rFonts w:hint="default" w:ascii="Times New Roman" w:hAnsi="Times New Roman" w:eastAsia="宋体" w:cs="Times New Roman"/>
          <w:color w:val="auto"/>
          <w:kern w:val="0"/>
          <w:sz w:val="24"/>
          <w:szCs w:val="24"/>
          <w:highlight w:val="none"/>
          <w:lang w:val="en-US" w:eastAsia="zh-CN" w:bidi="zh-CN"/>
        </w:rPr>
      </w:pPr>
      <w:r>
        <w:rPr>
          <w:rFonts w:hint="default" w:ascii="Times New Roman" w:hAnsi="Times New Roman" w:eastAsia="宋体" w:cs="Times New Roman"/>
          <w:color w:val="auto"/>
          <w:kern w:val="0"/>
          <w:sz w:val="24"/>
          <w:szCs w:val="24"/>
          <w:highlight w:val="none"/>
          <w:lang w:val="zh-CN" w:eastAsia="zh-CN" w:bidi="zh-CN"/>
        </w:rPr>
        <w:t>式中：</w:t>
      </w:r>
      <w:r>
        <w:rPr>
          <w:rFonts w:hint="default" w:ascii="Times New Roman" w:hAnsi="Times New Roman" w:eastAsia="Times New Roman" w:cs="Times New Roman"/>
          <w:color w:val="auto"/>
          <w:kern w:val="0"/>
          <w:sz w:val="24"/>
          <w:szCs w:val="24"/>
          <w:highlight w:val="none"/>
          <w:lang w:val="zh-CN" w:eastAsia="zh-CN" w:bidi="zh-CN"/>
        </w:rPr>
        <w:t>X—</w:t>
      </w:r>
      <w:r>
        <w:rPr>
          <w:rFonts w:hint="default" w:ascii="Times New Roman" w:hAnsi="Times New Roman" w:eastAsia="宋体" w:cs="Times New Roman"/>
          <w:color w:val="auto"/>
          <w:kern w:val="0"/>
          <w:sz w:val="24"/>
          <w:szCs w:val="24"/>
          <w:highlight w:val="none"/>
          <w:lang w:val="zh-CN" w:eastAsia="zh-CN" w:bidi="zh-CN"/>
        </w:rPr>
        <w:t>事故发生地与计算点距离，</w:t>
      </w:r>
      <w:r>
        <w:rPr>
          <w:rFonts w:hint="default" w:ascii="Times New Roman" w:hAnsi="Times New Roman" w:eastAsia="Times New Roman" w:cs="Times New Roman"/>
          <w:color w:val="auto"/>
          <w:kern w:val="0"/>
          <w:sz w:val="24"/>
          <w:szCs w:val="24"/>
          <w:highlight w:val="none"/>
          <w:lang w:val="zh-CN" w:eastAsia="zh-CN" w:bidi="zh-CN"/>
        </w:rPr>
        <w:t>m</w:t>
      </w:r>
      <w:r>
        <w:rPr>
          <w:rFonts w:hint="default" w:ascii="Times New Roman" w:hAnsi="Times New Roman" w:eastAsia="宋体" w:cs="Times New Roman"/>
          <w:color w:val="auto"/>
          <w:kern w:val="0"/>
          <w:sz w:val="24"/>
          <w:szCs w:val="24"/>
          <w:highlight w:val="none"/>
          <w:lang w:val="zh-CN" w:eastAsia="zh-CN" w:bidi="zh-CN"/>
        </w:rPr>
        <w:t>，本项目最近敏感点距离项目边界约</w:t>
      </w:r>
      <w:r>
        <w:rPr>
          <w:rFonts w:hint="default" w:ascii="Times New Roman" w:hAnsi="Times New Roman" w:cs="Times New Roman"/>
          <w:b/>
          <w:bCs/>
          <w:color w:val="auto"/>
          <w:kern w:val="0"/>
          <w:sz w:val="24"/>
          <w:szCs w:val="24"/>
          <w:highlight w:val="none"/>
          <w:lang w:val="en-US" w:eastAsia="zh-CN" w:bidi="zh-CN"/>
        </w:rPr>
        <w:t>90</w:t>
      </w:r>
      <w:r>
        <w:rPr>
          <w:rFonts w:hint="default" w:ascii="Times New Roman" w:hAnsi="Times New Roman" w:eastAsia="宋体" w:cs="Times New Roman"/>
          <w:b/>
          <w:bCs/>
          <w:color w:val="auto"/>
          <w:kern w:val="0"/>
          <w:sz w:val="24"/>
          <w:szCs w:val="24"/>
          <w:highlight w:val="none"/>
          <w:lang w:val="en-US" w:eastAsia="zh-CN" w:bidi="zh-CN"/>
        </w:rPr>
        <w:t>m</w:t>
      </w:r>
      <w:r>
        <w:rPr>
          <w:rFonts w:hint="default" w:ascii="Times New Roman" w:hAnsi="Times New Roman" w:eastAsia="宋体" w:cs="Times New Roman"/>
          <w:color w:val="auto"/>
          <w:kern w:val="0"/>
          <w:sz w:val="24"/>
          <w:szCs w:val="24"/>
          <w:highlight w:val="none"/>
          <w:lang w:val="en-US" w:eastAsia="zh-CN" w:bidi="zh-CN"/>
        </w:rPr>
        <w:t>。</w:t>
      </w:r>
    </w:p>
    <w:p>
      <w:pPr>
        <w:widowControl w:val="0"/>
        <w:adjustRightInd w:val="0"/>
        <w:snapToGrid w:val="0"/>
        <w:spacing w:beforeLines="15" w:line="312" w:lineRule="auto"/>
        <w:ind w:firstLine="567"/>
        <w:jc w:val="both"/>
        <w:rPr>
          <w:rFonts w:hint="default" w:ascii="Times New Roman" w:hAnsi="Times New Roman" w:eastAsia="宋体" w:cs="Times New Roman"/>
          <w:color w:val="auto"/>
          <w:kern w:val="2"/>
          <w:sz w:val="24"/>
          <w:szCs w:val="24"/>
          <w:highlight w:val="none"/>
          <w:lang w:val="zh-CN" w:eastAsia="zh-CN" w:bidi="zh-CN"/>
        </w:rPr>
      </w:pPr>
      <w:r>
        <w:rPr>
          <w:rFonts w:hint="default" w:ascii="Times New Roman" w:hAnsi="Times New Roman" w:eastAsia="Times New Roman" w:cs="Times New Roman"/>
          <w:color w:val="auto"/>
          <w:kern w:val="2"/>
          <w:sz w:val="24"/>
          <w:szCs w:val="24"/>
          <w:highlight w:val="none"/>
          <w:lang w:val="zh-CN" w:eastAsia="zh-CN" w:bidi="zh-CN"/>
        </w:rPr>
        <w:t>Ur—10m</w:t>
      </w:r>
      <w:r>
        <w:rPr>
          <w:rFonts w:hint="default" w:ascii="Times New Roman" w:hAnsi="Times New Roman" w:eastAsia="宋体" w:cs="Times New Roman"/>
          <w:color w:val="auto"/>
          <w:kern w:val="2"/>
          <w:sz w:val="24"/>
          <w:szCs w:val="24"/>
          <w:highlight w:val="none"/>
          <w:lang w:val="zh-CN" w:eastAsia="zh-CN" w:bidi="zh-CN"/>
        </w:rPr>
        <w:t>高处风速，</w:t>
      </w:r>
      <w:r>
        <w:rPr>
          <w:rFonts w:hint="default" w:ascii="Times New Roman" w:hAnsi="Times New Roman" w:eastAsia="Times New Roman" w:cs="Times New Roman"/>
          <w:color w:val="auto"/>
          <w:kern w:val="2"/>
          <w:sz w:val="24"/>
          <w:szCs w:val="24"/>
          <w:highlight w:val="none"/>
          <w:lang w:val="zh-CN" w:eastAsia="zh-CN" w:bidi="zh-CN"/>
        </w:rPr>
        <w:t>m/s</w:t>
      </w:r>
      <w:r>
        <w:rPr>
          <w:rFonts w:hint="default" w:ascii="Times New Roman" w:hAnsi="Times New Roman" w:eastAsia="宋体" w:cs="Times New Roman"/>
          <w:color w:val="auto"/>
          <w:spacing w:val="-5"/>
          <w:kern w:val="2"/>
          <w:sz w:val="24"/>
          <w:szCs w:val="24"/>
          <w:highlight w:val="none"/>
          <w:lang w:val="zh-CN" w:eastAsia="zh-CN" w:bidi="zh-CN"/>
        </w:rPr>
        <w:t>，本项目取风速为</w:t>
      </w:r>
      <w:r>
        <w:rPr>
          <w:rFonts w:hint="default" w:ascii="Times New Roman" w:hAnsi="Times New Roman" w:eastAsia="Times New Roman" w:cs="Times New Roman"/>
          <w:color w:val="auto"/>
          <w:kern w:val="2"/>
          <w:sz w:val="24"/>
          <w:szCs w:val="24"/>
          <w:highlight w:val="none"/>
          <w:lang w:val="zh-CN" w:eastAsia="zh-CN" w:bidi="zh-CN"/>
        </w:rPr>
        <w:t>1.5m/s</w:t>
      </w:r>
      <w:r>
        <w:rPr>
          <w:rFonts w:hint="default" w:ascii="Times New Roman" w:hAnsi="Times New Roman" w:eastAsia="宋体" w:cs="Times New Roman"/>
          <w:color w:val="auto"/>
          <w:spacing w:val="-5"/>
          <w:kern w:val="2"/>
          <w:sz w:val="24"/>
          <w:szCs w:val="24"/>
          <w:highlight w:val="none"/>
          <w:lang w:val="zh-CN" w:eastAsia="zh-CN" w:bidi="zh-CN"/>
        </w:rPr>
        <w:t>。假设风速和风向在</w:t>
      </w:r>
      <w:r>
        <w:rPr>
          <w:rFonts w:hint="default" w:ascii="Times New Roman" w:hAnsi="Times New Roman" w:eastAsia="Times New Roman" w:cs="Times New Roman"/>
          <w:color w:val="auto"/>
          <w:kern w:val="2"/>
          <w:sz w:val="24"/>
          <w:szCs w:val="24"/>
          <w:highlight w:val="none"/>
          <w:lang w:val="zh-CN" w:eastAsia="zh-CN" w:bidi="zh-CN"/>
        </w:rPr>
        <w:t>T</w:t>
      </w:r>
      <w:r>
        <w:rPr>
          <w:rFonts w:hint="default" w:ascii="Times New Roman" w:hAnsi="Times New Roman" w:eastAsia="宋体" w:cs="Times New Roman"/>
          <w:color w:val="auto"/>
          <w:kern w:val="2"/>
          <w:sz w:val="24"/>
          <w:szCs w:val="24"/>
          <w:highlight w:val="none"/>
          <w:lang w:val="zh-CN" w:eastAsia="zh-CN" w:bidi="zh-CN"/>
        </w:rPr>
        <w:t>时间段内保持不变。</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当</w:t>
      </w:r>
      <w:r>
        <w:rPr>
          <w:rFonts w:hint="default" w:ascii="Times New Roman" w:hAnsi="Times New Roman" w:eastAsia="Times New Roman" w:cs="Times New Roman"/>
          <w:color w:val="auto"/>
          <w:sz w:val="24"/>
          <w:szCs w:val="24"/>
          <w:highlight w:val="none"/>
          <w:lang w:val="zh-CN" w:eastAsia="zh-CN" w:bidi="zh-CN"/>
        </w:rPr>
        <w:t>T</w:t>
      </w:r>
      <w:r>
        <w:rPr>
          <w:rFonts w:hint="default" w:ascii="Times New Roman" w:hAnsi="Times New Roman" w:eastAsia="Times New Roman" w:cs="Times New Roman"/>
          <w:color w:val="auto"/>
          <w:sz w:val="24"/>
          <w:szCs w:val="24"/>
          <w:highlight w:val="none"/>
          <w:vertAlign w:val="subscript"/>
          <w:lang w:val="zh-CN" w:eastAsia="zh-CN" w:bidi="zh-CN"/>
        </w:rPr>
        <w:t>d</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eastAsia="Times New Roman" w:cs="Times New Roman"/>
          <w:color w:val="auto"/>
          <w:sz w:val="24"/>
          <w:szCs w:val="24"/>
          <w:highlight w:val="none"/>
          <w:vertAlign w:val="baseline"/>
          <w:lang w:val="zh-CN" w:eastAsia="zh-CN" w:bidi="zh-CN"/>
        </w:rPr>
        <w:t>T</w:t>
      </w:r>
      <w:r>
        <w:rPr>
          <w:rFonts w:hint="default" w:ascii="Times New Roman" w:hAnsi="Times New Roman" w:eastAsia="宋体" w:cs="Times New Roman"/>
          <w:color w:val="auto"/>
          <w:sz w:val="24"/>
          <w:szCs w:val="24"/>
          <w:highlight w:val="none"/>
          <w:vertAlign w:val="baseline"/>
          <w:lang w:val="zh-CN" w:eastAsia="zh-CN" w:bidi="zh-CN"/>
        </w:rPr>
        <w:t>时，可被认为是连续排放的；当</w:t>
      </w:r>
      <w:r>
        <w:rPr>
          <w:rFonts w:hint="default" w:ascii="Times New Roman" w:hAnsi="Times New Roman" w:eastAsia="Times New Roman" w:cs="Times New Roman"/>
          <w:color w:val="auto"/>
          <w:sz w:val="24"/>
          <w:szCs w:val="24"/>
          <w:highlight w:val="none"/>
          <w:vertAlign w:val="baseline"/>
          <w:lang w:val="zh-CN" w:eastAsia="zh-CN" w:bidi="zh-CN"/>
        </w:rPr>
        <w:t>T</w:t>
      </w:r>
      <w:r>
        <w:rPr>
          <w:rFonts w:hint="default" w:ascii="Times New Roman" w:hAnsi="Times New Roman" w:eastAsia="Times New Roman" w:cs="Times New Roman"/>
          <w:color w:val="auto"/>
          <w:sz w:val="24"/>
          <w:szCs w:val="24"/>
          <w:highlight w:val="none"/>
          <w:vertAlign w:val="subscript"/>
          <w:lang w:val="zh-CN" w:eastAsia="zh-CN" w:bidi="zh-CN"/>
        </w:rPr>
        <w:t>d</w:t>
      </w:r>
      <w:r>
        <w:rPr>
          <w:rFonts w:hint="default" w:ascii="Times New Roman" w:hAnsi="Times New Roman" w:eastAsia="Times New Roman" w:cs="Times New Roman"/>
          <w:color w:val="auto"/>
          <w:sz w:val="24"/>
          <w:szCs w:val="24"/>
          <w:highlight w:val="none"/>
          <w:vertAlign w:val="baseline"/>
          <w:lang w:val="zh-CN" w:eastAsia="zh-CN" w:bidi="zh-CN"/>
        </w:rPr>
        <w:t>≤T</w:t>
      </w:r>
      <w:r>
        <w:rPr>
          <w:rFonts w:hint="default" w:ascii="Times New Roman" w:hAnsi="Times New Roman" w:eastAsia="宋体" w:cs="Times New Roman"/>
          <w:color w:val="auto"/>
          <w:sz w:val="24"/>
          <w:szCs w:val="24"/>
          <w:highlight w:val="none"/>
          <w:vertAlign w:val="baseline"/>
          <w:lang w:val="zh-CN" w:eastAsia="zh-CN" w:bidi="zh-CN"/>
        </w:rPr>
        <w:t>时，可被认为是瞬时排放。</w:t>
      </w:r>
    </w:p>
    <w:p>
      <w:pPr>
        <w:keepNext w:val="0"/>
        <w:keepLines w:val="0"/>
        <w:pageBreakBefore w:val="0"/>
        <w:widowControl w:val="0"/>
        <w:numPr>
          <w:ilvl w:val="0"/>
          <w:numId w:val="0"/>
        </w:numPr>
        <w:tabs>
          <w:tab w:val="left" w:pos="1300"/>
        </w:tabs>
        <w:kinsoku/>
        <w:wordWrap/>
        <w:overflowPunct/>
        <w:topLinePunct w:val="0"/>
        <w:autoSpaceDE w:val="0"/>
        <w:autoSpaceDN w:val="0"/>
        <w:bidi w:val="0"/>
        <w:adjustRightInd/>
        <w:snapToGrid/>
        <w:spacing w:before="0" w:after="0" w:line="360" w:lineRule="auto"/>
        <w:ind w:right="0" w:rightChars="0" w:firstLine="480" w:firstLineChars="200"/>
        <w:jc w:val="left"/>
        <w:textAlignment w:val="auto"/>
        <w:rPr>
          <w:rFonts w:hint="default" w:ascii="Times New Roman" w:hAnsi="Times New Roman" w:eastAsia="宋体" w:cs="Times New Roman"/>
          <w:color w:val="auto"/>
          <w:sz w:val="24"/>
          <w:szCs w:val="22"/>
          <w:highlight w:val="none"/>
          <w:lang w:val="zh-CN" w:eastAsia="zh-CN" w:bidi="zh-CN"/>
        </w:rPr>
      </w:pPr>
      <w:r>
        <w:rPr>
          <w:rFonts w:hint="default" w:ascii="Times New Roman" w:hAnsi="Times New Roman" w:eastAsia="宋体" w:cs="Times New Roman"/>
          <w:color w:val="auto"/>
          <w:sz w:val="24"/>
          <w:szCs w:val="22"/>
          <w:highlight w:val="none"/>
          <w:lang w:val="zh-CN" w:eastAsia="zh-CN" w:bidi="zh-CN"/>
        </w:rPr>
        <w:t>（</w:t>
      </w:r>
      <w:r>
        <w:rPr>
          <w:rFonts w:hint="default" w:ascii="Times New Roman" w:hAnsi="Times New Roman" w:eastAsia="宋体" w:cs="Times New Roman"/>
          <w:color w:val="auto"/>
          <w:sz w:val="24"/>
          <w:szCs w:val="22"/>
          <w:highlight w:val="none"/>
          <w:lang w:val="en-US" w:eastAsia="zh-CN" w:bidi="zh-CN"/>
        </w:rPr>
        <w:t>2</w:t>
      </w:r>
      <w:r>
        <w:rPr>
          <w:rFonts w:hint="default" w:ascii="Times New Roman" w:hAnsi="Times New Roman" w:eastAsia="宋体" w:cs="Times New Roman"/>
          <w:color w:val="auto"/>
          <w:sz w:val="24"/>
          <w:szCs w:val="22"/>
          <w:highlight w:val="none"/>
          <w:lang w:val="zh-CN" w:eastAsia="zh-CN" w:bidi="zh-CN"/>
        </w:rPr>
        <w:t>）判断标准</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对于连续排放，</w:t>
      </w:r>
      <w:r>
        <w:rPr>
          <w:rFonts w:hint="default" w:ascii="Times New Roman" w:hAnsi="Times New Roman" w:eastAsia="Times New Roman" w:cs="Times New Roman"/>
          <w:i/>
          <w:color w:val="auto"/>
          <w:sz w:val="24"/>
          <w:szCs w:val="24"/>
          <w:highlight w:val="none"/>
          <w:lang w:val="zh-CN" w:eastAsia="zh-CN" w:bidi="zh-CN"/>
        </w:rPr>
        <w:t>R</w:t>
      </w:r>
      <w:r>
        <w:rPr>
          <w:rFonts w:hint="default" w:ascii="Times New Roman" w:hAnsi="Times New Roman" w:eastAsia="Times New Roman" w:cs="Times New Roman"/>
          <w:i/>
          <w:color w:val="auto"/>
          <w:sz w:val="24"/>
          <w:szCs w:val="24"/>
          <w:highlight w:val="none"/>
          <w:vertAlign w:val="subscript"/>
          <w:lang w:val="zh-CN" w:eastAsia="zh-CN" w:bidi="zh-CN"/>
        </w:rPr>
        <w:t>i</w:t>
      </w:r>
      <w:r>
        <w:rPr>
          <w:rFonts w:hint="default" w:ascii="Times New Roman" w:hAnsi="Times New Roman" w:eastAsia="Times New Roman" w:cs="Times New Roman"/>
          <w:color w:val="auto"/>
          <w:sz w:val="24"/>
          <w:szCs w:val="24"/>
          <w:highlight w:val="none"/>
          <w:vertAlign w:val="baseline"/>
          <w:lang w:val="zh-CN" w:eastAsia="zh-CN" w:bidi="zh-CN"/>
        </w:rPr>
        <w:t>≥1/6</w:t>
      </w:r>
      <w:r>
        <w:rPr>
          <w:rFonts w:hint="default" w:ascii="Times New Roman" w:hAnsi="Times New Roman" w:eastAsia="宋体" w:cs="Times New Roman"/>
          <w:color w:val="auto"/>
          <w:sz w:val="24"/>
          <w:szCs w:val="24"/>
          <w:highlight w:val="none"/>
          <w:vertAlign w:val="baseline"/>
          <w:lang w:val="zh-CN" w:eastAsia="zh-CN" w:bidi="zh-CN"/>
        </w:rPr>
        <w:t>为重质气体，</w:t>
      </w:r>
      <w:r>
        <w:rPr>
          <w:rFonts w:hint="default" w:ascii="Times New Roman" w:hAnsi="Times New Roman" w:eastAsia="Times New Roman" w:cs="Times New Roman"/>
          <w:i/>
          <w:color w:val="auto"/>
          <w:sz w:val="24"/>
          <w:szCs w:val="24"/>
          <w:highlight w:val="none"/>
          <w:vertAlign w:val="baseline"/>
          <w:lang w:val="zh-CN" w:eastAsia="zh-CN" w:bidi="zh-CN"/>
        </w:rPr>
        <w:t>R</w:t>
      </w:r>
      <w:r>
        <w:rPr>
          <w:rFonts w:hint="default" w:ascii="Times New Roman" w:hAnsi="Times New Roman" w:eastAsia="Times New Roman" w:cs="Times New Roman"/>
          <w:i/>
          <w:color w:val="auto"/>
          <w:sz w:val="24"/>
          <w:szCs w:val="24"/>
          <w:highlight w:val="none"/>
          <w:vertAlign w:val="subscript"/>
          <w:lang w:val="zh-CN" w:eastAsia="zh-CN" w:bidi="zh-CN"/>
        </w:rPr>
        <w:t>i</w:t>
      </w:r>
      <w:r>
        <w:rPr>
          <w:rFonts w:hint="default" w:ascii="Times New Roman" w:hAnsi="Times New Roman" w:eastAsia="宋体" w:cs="Times New Roman"/>
          <w:color w:val="auto"/>
          <w:sz w:val="24"/>
          <w:szCs w:val="24"/>
          <w:highlight w:val="none"/>
          <w:vertAlign w:val="baseline"/>
          <w:lang w:val="zh-CN" w:eastAsia="zh-CN" w:bidi="zh-CN"/>
        </w:rPr>
        <w:t>＜</w:t>
      </w:r>
      <w:r>
        <w:rPr>
          <w:rFonts w:hint="default" w:ascii="Times New Roman" w:hAnsi="Times New Roman" w:eastAsia="Times New Roman" w:cs="Times New Roman"/>
          <w:color w:val="auto"/>
          <w:sz w:val="24"/>
          <w:szCs w:val="24"/>
          <w:highlight w:val="none"/>
          <w:vertAlign w:val="baseline"/>
          <w:lang w:val="zh-CN" w:eastAsia="zh-CN" w:bidi="zh-CN"/>
        </w:rPr>
        <w:t>1/6</w:t>
      </w:r>
      <w:r>
        <w:rPr>
          <w:rFonts w:hint="default" w:ascii="Times New Roman" w:hAnsi="Times New Roman" w:eastAsia="宋体" w:cs="Times New Roman"/>
          <w:color w:val="auto"/>
          <w:spacing w:val="-1"/>
          <w:sz w:val="24"/>
          <w:szCs w:val="24"/>
          <w:highlight w:val="none"/>
          <w:vertAlign w:val="baseline"/>
          <w:lang w:val="zh-CN" w:eastAsia="zh-CN" w:bidi="zh-CN"/>
        </w:rPr>
        <w:t>为轻质气体；对于瞬时排放，</w:t>
      </w:r>
      <w:r>
        <w:rPr>
          <w:rFonts w:hint="default" w:ascii="Times New Roman" w:hAnsi="Times New Roman" w:eastAsia="Times New Roman" w:cs="Times New Roman"/>
          <w:i/>
          <w:color w:val="auto"/>
          <w:spacing w:val="-3"/>
          <w:sz w:val="24"/>
          <w:szCs w:val="24"/>
          <w:highlight w:val="none"/>
          <w:vertAlign w:val="baseline"/>
          <w:lang w:val="zh-CN" w:eastAsia="zh-CN" w:bidi="zh-CN"/>
        </w:rPr>
        <w:t>R</w:t>
      </w:r>
      <w:r>
        <w:rPr>
          <w:rFonts w:hint="default" w:ascii="Times New Roman" w:hAnsi="Times New Roman" w:eastAsia="Times New Roman" w:cs="Times New Roman"/>
          <w:i/>
          <w:color w:val="auto"/>
          <w:spacing w:val="-3"/>
          <w:sz w:val="24"/>
          <w:szCs w:val="24"/>
          <w:highlight w:val="none"/>
          <w:vertAlign w:val="subscript"/>
          <w:lang w:val="zh-CN" w:eastAsia="zh-CN" w:bidi="zh-CN"/>
        </w:rPr>
        <w:t>i</w:t>
      </w:r>
      <w:r>
        <w:rPr>
          <w:rFonts w:hint="default" w:ascii="Times New Roman" w:hAnsi="Times New Roman" w:eastAsia="宋体" w:cs="Times New Roman"/>
          <w:color w:val="auto"/>
          <w:spacing w:val="-3"/>
          <w:sz w:val="24"/>
          <w:szCs w:val="24"/>
          <w:highlight w:val="none"/>
          <w:vertAlign w:val="baseline"/>
          <w:lang w:val="zh-CN" w:eastAsia="zh-CN" w:bidi="zh-CN"/>
        </w:rPr>
        <w:t>＞</w:t>
      </w:r>
      <w:r>
        <w:rPr>
          <w:rFonts w:hint="default" w:ascii="Times New Roman" w:hAnsi="Times New Roman" w:eastAsia="Times New Roman" w:cs="Times New Roman"/>
          <w:color w:val="auto"/>
          <w:spacing w:val="-3"/>
          <w:position w:val="0"/>
          <w:sz w:val="24"/>
          <w:szCs w:val="24"/>
          <w:highlight w:val="none"/>
          <w:vertAlign w:val="baseline"/>
          <w:lang w:val="zh-CN" w:eastAsia="zh-CN" w:bidi="zh-CN"/>
        </w:rPr>
        <w:t>0.04</w:t>
      </w:r>
      <w:r>
        <w:rPr>
          <w:rFonts w:hint="default" w:ascii="Times New Roman" w:hAnsi="Times New Roman" w:eastAsia="宋体" w:cs="Times New Roman"/>
          <w:color w:val="auto"/>
          <w:position w:val="2"/>
          <w:sz w:val="24"/>
          <w:szCs w:val="24"/>
          <w:highlight w:val="none"/>
          <w:vertAlign w:val="baseline"/>
          <w:lang w:val="zh-CN" w:eastAsia="zh-CN" w:bidi="zh-CN"/>
        </w:rPr>
        <w:t>为重质气体，</w:t>
      </w:r>
      <w:r>
        <w:rPr>
          <w:rFonts w:hint="default" w:ascii="Times New Roman" w:hAnsi="Times New Roman" w:eastAsia="Times New Roman" w:cs="Times New Roman"/>
          <w:i/>
          <w:color w:val="auto"/>
          <w:position w:val="2"/>
          <w:sz w:val="24"/>
          <w:szCs w:val="24"/>
          <w:highlight w:val="none"/>
          <w:vertAlign w:val="baseline"/>
          <w:lang w:val="zh-CN" w:eastAsia="zh-CN" w:bidi="zh-CN"/>
        </w:rPr>
        <w:t>R</w:t>
      </w:r>
      <w:r>
        <w:rPr>
          <w:rFonts w:hint="default" w:ascii="Times New Roman" w:hAnsi="Times New Roman" w:eastAsia="Times New Roman" w:cs="Times New Roman"/>
          <w:i/>
          <w:color w:val="auto"/>
          <w:position w:val="2"/>
          <w:sz w:val="24"/>
          <w:szCs w:val="24"/>
          <w:highlight w:val="none"/>
          <w:vertAlign w:val="subscript"/>
          <w:lang w:val="zh-CN" w:eastAsia="zh-CN" w:bidi="zh-CN"/>
        </w:rPr>
        <w:t>i</w:t>
      </w:r>
      <w:r>
        <w:rPr>
          <w:rFonts w:hint="default" w:ascii="Times New Roman" w:hAnsi="Times New Roman" w:eastAsia="Times New Roman" w:cs="Times New Roman"/>
          <w:color w:val="auto"/>
          <w:position w:val="2"/>
          <w:sz w:val="24"/>
          <w:szCs w:val="24"/>
          <w:highlight w:val="none"/>
          <w:vertAlign w:val="baseline"/>
          <w:lang w:val="zh-CN" w:eastAsia="zh-CN" w:bidi="zh-CN"/>
        </w:rPr>
        <w:t>≤0.04</w:t>
      </w:r>
      <w:r>
        <w:rPr>
          <w:rFonts w:hint="default" w:ascii="Times New Roman" w:hAnsi="Times New Roman" w:eastAsia="宋体" w:cs="Times New Roman"/>
          <w:color w:val="auto"/>
          <w:spacing w:val="-13"/>
          <w:position w:val="2"/>
          <w:sz w:val="24"/>
          <w:szCs w:val="24"/>
          <w:highlight w:val="none"/>
          <w:vertAlign w:val="baseline"/>
          <w:lang w:val="zh-CN" w:eastAsia="zh-CN" w:bidi="zh-CN"/>
        </w:rPr>
        <w:t>为轻质气体。当</w:t>
      </w:r>
      <w:r>
        <w:rPr>
          <w:rFonts w:hint="default" w:ascii="Times New Roman" w:hAnsi="Times New Roman" w:eastAsia="Times New Roman" w:cs="Times New Roman"/>
          <w:i/>
          <w:color w:val="auto"/>
          <w:position w:val="2"/>
          <w:sz w:val="24"/>
          <w:szCs w:val="24"/>
          <w:highlight w:val="none"/>
          <w:vertAlign w:val="baseline"/>
          <w:lang w:val="zh-CN" w:eastAsia="zh-CN" w:bidi="zh-CN"/>
        </w:rPr>
        <w:t>R</w:t>
      </w:r>
      <w:r>
        <w:rPr>
          <w:rFonts w:hint="default" w:ascii="Times New Roman" w:hAnsi="Times New Roman" w:eastAsia="Times New Roman" w:cs="Times New Roman"/>
          <w:i/>
          <w:color w:val="auto"/>
          <w:position w:val="2"/>
          <w:sz w:val="24"/>
          <w:szCs w:val="24"/>
          <w:highlight w:val="none"/>
          <w:vertAlign w:val="subscript"/>
          <w:lang w:val="zh-CN" w:eastAsia="zh-CN" w:bidi="zh-CN"/>
        </w:rPr>
        <w:t>i</w:t>
      </w:r>
      <w:r>
        <w:rPr>
          <w:rFonts w:hint="default" w:ascii="Times New Roman" w:hAnsi="Times New Roman" w:eastAsia="宋体" w:cs="Times New Roman"/>
          <w:color w:val="auto"/>
          <w:position w:val="2"/>
          <w:sz w:val="24"/>
          <w:szCs w:val="24"/>
          <w:highlight w:val="none"/>
          <w:vertAlign w:val="baseline"/>
          <w:lang w:val="zh-CN" w:eastAsia="zh-CN" w:bidi="zh-CN"/>
        </w:rPr>
        <w:t>处于临界值附近时，说明烟团</w:t>
      </w:r>
      <w:r>
        <w:rPr>
          <w:rFonts w:hint="default" w:ascii="Times New Roman" w:hAnsi="Times New Roman" w:eastAsia="Times New Roman" w:cs="Times New Roman"/>
          <w:color w:val="auto"/>
          <w:position w:val="2"/>
          <w:sz w:val="24"/>
          <w:szCs w:val="24"/>
          <w:highlight w:val="none"/>
          <w:vertAlign w:val="baseline"/>
          <w:lang w:val="zh-CN" w:eastAsia="zh-CN" w:bidi="zh-CN"/>
        </w:rPr>
        <w:t>/</w:t>
      </w:r>
      <w:r>
        <w:rPr>
          <w:rFonts w:hint="default" w:ascii="Times New Roman" w:hAnsi="Times New Roman" w:eastAsia="宋体" w:cs="Times New Roman"/>
          <w:color w:val="auto"/>
          <w:spacing w:val="-1"/>
          <w:position w:val="2"/>
          <w:sz w:val="24"/>
          <w:szCs w:val="24"/>
          <w:highlight w:val="none"/>
          <w:vertAlign w:val="baseline"/>
          <w:lang w:val="zh-CN" w:eastAsia="zh-CN" w:bidi="zh-CN"/>
        </w:rPr>
        <w:t>烟羽既不是典型</w:t>
      </w:r>
      <w:r>
        <w:rPr>
          <w:rFonts w:hint="default" w:ascii="Times New Roman" w:hAnsi="Times New Roman" w:eastAsia="宋体" w:cs="Times New Roman"/>
          <w:color w:val="auto"/>
          <w:spacing w:val="3"/>
          <w:sz w:val="24"/>
          <w:szCs w:val="24"/>
          <w:highlight w:val="none"/>
          <w:vertAlign w:val="baseline"/>
          <w:lang w:val="zh-CN" w:eastAsia="zh-CN" w:bidi="zh-CN"/>
        </w:rPr>
        <w:t>的重质气体扩散，也不是典型的轻质气体扩散。可以进行敏感性分析，分别采用重质气体模型和轻质气体模型</w:t>
      </w:r>
      <w:r>
        <w:rPr>
          <w:rFonts w:hint="default" w:ascii="Times New Roman" w:hAnsi="Times New Roman" w:eastAsia="宋体" w:cs="Times New Roman"/>
          <w:color w:val="auto"/>
          <w:sz w:val="24"/>
          <w:szCs w:val="24"/>
          <w:highlight w:val="none"/>
          <w:lang w:val="zh-CN" w:eastAsia="zh-CN"/>
        </w:rPr>
        <w:t>进行模拟，选取影响范围最大的结果，</w:t>
      </w:r>
      <w:r>
        <w:rPr>
          <w:rFonts w:hint="default" w:ascii="Times New Roman" w:hAnsi="Times New Roman" w:eastAsia="宋体" w:cs="Times New Roman"/>
          <w:color w:val="auto"/>
          <w:sz w:val="24"/>
          <w:szCs w:val="24"/>
          <w:highlight w:val="none"/>
          <w:lang w:val="zh-CN" w:eastAsia="zh-CN" w:bidi="zh-CN"/>
        </w:rPr>
        <w:t>参考《建设项目环境风险评价技术导则》（</w:t>
      </w:r>
      <w:r>
        <w:rPr>
          <w:rFonts w:hint="default" w:ascii="Times New Roman" w:hAnsi="Times New Roman" w:eastAsia="Times New Roman" w:cs="Times New Roman"/>
          <w:color w:val="auto"/>
          <w:sz w:val="24"/>
          <w:szCs w:val="24"/>
          <w:highlight w:val="none"/>
          <w:lang w:val="zh-CN" w:eastAsia="zh-CN" w:bidi="zh-CN"/>
        </w:rPr>
        <w:t>HJ 169-2018</w:t>
      </w:r>
      <w:r>
        <w:rPr>
          <w:rFonts w:hint="default" w:ascii="Times New Roman" w:hAnsi="Times New Roman" w:eastAsia="宋体" w:cs="Times New Roman"/>
          <w:color w:val="auto"/>
          <w:sz w:val="24"/>
          <w:szCs w:val="24"/>
          <w:highlight w:val="none"/>
          <w:lang w:val="zh-CN" w:eastAsia="zh-CN" w:bidi="zh-CN"/>
        </w:rPr>
        <w:t>），对气体泄漏事故采用</w:t>
      </w:r>
      <w:r>
        <w:rPr>
          <w:rFonts w:hint="default" w:ascii="Times New Roman" w:hAnsi="Times New Roman" w:eastAsia="Times New Roman" w:cs="Times New Roman"/>
          <w:color w:val="auto"/>
          <w:sz w:val="24"/>
          <w:szCs w:val="24"/>
          <w:highlight w:val="none"/>
          <w:lang w:val="zh-CN" w:eastAsia="zh-CN" w:bidi="zh-CN"/>
        </w:rPr>
        <w:t>SLAB</w:t>
      </w:r>
      <w:r>
        <w:rPr>
          <w:rFonts w:hint="default" w:ascii="Times New Roman" w:hAnsi="Times New Roman" w:eastAsia="宋体" w:cs="Times New Roman"/>
          <w:color w:val="auto"/>
          <w:sz w:val="24"/>
          <w:szCs w:val="24"/>
          <w:highlight w:val="none"/>
          <w:lang w:val="zh-CN" w:eastAsia="zh-CN" w:bidi="zh-CN"/>
        </w:rPr>
        <w:t xml:space="preserve">或 </w:t>
      </w:r>
      <w:r>
        <w:rPr>
          <w:rFonts w:hint="default" w:ascii="Times New Roman" w:hAnsi="Times New Roman" w:eastAsia="Times New Roman" w:cs="Times New Roman"/>
          <w:color w:val="auto"/>
          <w:sz w:val="24"/>
          <w:szCs w:val="24"/>
          <w:highlight w:val="none"/>
          <w:lang w:val="zh-CN" w:eastAsia="zh-CN" w:bidi="zh-CN"/>
        </w:rPr>
        <w:t>AFTOX</w:t>
      </w:r>
      <w:r>
        <w:rPr>
          <w:rFonts w:hint="default" w:ascii="Times New Roman" w:hAnsi="Times New Roman" w:eastAsia="宋体" w:cs="Times New Roman"/>
          <w:color w:val="auto"/>
          <w:sz w:val="24"/>
          <w:szCs w:val="24"/>
          <w:highlight w:val="none"/>
          <w:lang w:val="zh-CN" w:eastAsia="zh-CN" w:bidi="zh-CN"/>
        </w:rPr>
        <w:t>模型进行风险预测。其中，</w:t>
      </w:r>
      <w:r>
        <w:rPr>
          <w:rFonts w:hint="default" w:ascii="Times New Roman" w:hAnsi="Times New Roman" w:eastAsia="Times New Roman" w:cs="Times New Roman"/>
          <w:color w:val="auto"/>
          <w:sz w:val="24"/>
          <w:szCs w:val="24"/>
          <w:highlight w:val="none"/>
          <w:lang w:val="zh-CN" w:eastAsia="zh-CN" w:bidi="zh-CN"/>
        </w:rPr>
        <w:t>SLAB</w:t>
      </w:r>
      <w:r>
        <w:rPr>
          <w:rFonts w:hint="default" w:ascii="Times New Roman" w:hAnsi="Times New Roman" w:eastAsia="宋体" w:cs="Times New Roman"/>
          <w:color w:val="auto"/>
          <w:sz w:val="24"/>
          <w:szCs w:val="24"/>
          <w:highlight w:val="none"/>
          <w:lang w:val="zh-CN" w:eastAsia="zh-CN" w:bidi="zh-CN"/>
        </w:rPr>
        <w:t>模型适用于平坦地形下重质气体排放的扩散模拟；</w:t>
      </w:r>
      <w:r>
        <w:rPr>
          <w:rFonts w:hint="default" w:ascii="Times New Roman" w:hAnsi="Times New Roman" w:eastAsia="Times New Roman" w:cs="Times New Roman"/>
          <w:color w:val="auto"/>
          <w:sz w:val="24"/>
          <w:szCs w:val="24"/>
          <w:highlight w:val="none"/>
          <w:lang w:val="zh-CN" w:eastAsia="zh-CN" w:bidi="zh-CN"/>
        </w:rPr>
        <w:t>AFTOX</w:t>
      </w:r>
      <w:r>
        <w:rPr>
          <w:rFonts w:hint="default" w:ascii="Times New Roman" w:hAnsi="Times New Roman" w:eastAsia="宋体" w:cs="Times New Roman"/>
          <w:color w:val="auto"/>
          <w:sz w:val="24"/>
          <w:szCs w:val="24"/>
          <w:highlight w:val="none"/>
          <w:lang w:val="zh-CN" w:eastAsia="zh-CN" w:bidi="zh-CN"/>
        </w:rPr>
        <w:t>模型适用于平坦地形下中性气体和轻质气体排放以及液池蒸发气体的扩散模拟。</w:t>
      </w:r>
      <w:r>
        <w:rPr>
          <w:rFonts w:hint="default" w:ascii="Times New Roman" w:hAnsi="Times New Roman" w:cs="Times New Roman"/>
          <w:color w:val="auto"/>
          <w:sz w:val="24"/>
          <w:highlight w:val="none"/>
        </w:rPr>
        <w:t>由于烟团初始密度未大于空气密度，不计算理查德森数。扩散计算建议采用AFTOX模式</w:t>
      </w:r>
      <w:r>
        <w:rPr>
          <w:rFonts w:hint="default" w:ascii="Times New Roman" w:hAnsi="Times New Roman" w:eastAsia="宋体" w:cs="Times New Roman"/>
          <w:color w:val="auto"/>
          <w:sz w:val="24"/>
          <w:szCs w:val="24"/>
          <w:highlight w:val="none"/>
          <w:lang w:val="zh-CN" w:eastAsia="zh-CN" w:bidi="zh-CN"/>
        </w:rPr>
        <w:t>。</w:t>
      </w:r>
    </w:p>
    <w:p>
      <w:pPr>
        <w:keepNext w:val="0"/>
        <w:keepLines w:val="0"/>
        <w:pageBreakBefore w:val="0"/>
        <w:widowControl w:val="0"/>
        <w:numPr>
          <w:ilvl w:val="0"/>
          <w:numId w:val="0"/>
        </w:numPr>
        <w:tabs>
          <w:tab w:val="left" w:pos="1300"/>
        </w:tabs>
        <w:kinsoku/>
        <w:wordWrap/>
        <w:overflowPunct/>
        <w:topLinePunct w:val="0"/>
        <w:autoSpaceDE w:val="0"/>
        <w:autoSpaceDN w:val="0"/>
        <w:bidi w:val="0"/>
        <w:adjustRightInd/>
        <w:snapToGrid/>
        <w:spacing w:before="0" w:after="0" w:line="360" w:lineRule="auto"/>
        <w:ind w:right="0" w:rightChars="0" w:firstLine="480" w:firstLineChars="200"/>
        <w:jc w:val="left"/>
        <w:textAlignment w:val="auto"/>
        <w:rPr>
          <w:rFonts w:hint="default" w:ascii="Times New Roman" w:hAnsi="Times New Roman" w:eastAsia="宋体" w:cs="Times New Roman"/>
          <w:color w:val="auto"/>
          <w:sz w:val="24"/>
          <w:szCs w:val="22"/>
          <w:highlight w:val="none"/>
          <w:lang w:val="zh-CN" w:eastAsia="zh-CN" w:bidi="zh-CN"/>
        </w:rPr>
      </w:pPr>
      <w:r>
        <w:rPr>
          <w:rFonts w:hint="default" w:ascii="Times New Roman" w:hAnsi="Times New Roman" w:eastAsia="宋体" w:cs="Times New Roman"/>
          <w:color w:val="auto"/>
          <w:sz w:val="24"/>
          <w:szCs w:val="22"/>
          <w:highlight w:val="none"/>
          <w:lang w:val="zh-CN" w:eastAsia="zh-CN" w:bidi="zh-CN"/>
        </w:rPr>
        <w:t>（</w:t>
      </w:r>
      <w:r>
        <w:rPr>
          <w:rFonts w:hint="default" w:ascii="Times New Roman" w:hAnsi="Times New Roman" w:eastAsia="宋体" w:cs="Times New Roman"/>
          <w:color w:val="auto"/>
          <w:sz w:val="24"/>
          <w:szCs w:val="22"/>
          <w:highlight w:val="none"/>
          <w:lang w:val="en-US" w:eastAsia="zh-CN" w:bidi="zh-CN"/>
        </w:rPr>
        <w:t>3</w:t>
      </w:r>
      <w:r>
        <w:rPr>
          <w:rFonts w:hint="default" w:ascii="Times New Roman" w:hAnsi="Times New Roman" w:eastAsia="宋体" w:cs="Times New Roman"/>
          <w:color w:val="auto"/>
          <w:sz w:val="24"/>
          <w:szCs w:val="22"/>
          <w:highlight w:val="none"/>
          <w:lang w:val="zh-CN" w:eastAsia="zh-CN" w:bidi="zh-CN"/>
        </w:rPr>
        <w:t>）判断标准</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bidi="zh-CN"/>
        </w:rPr>
        <w:t>大气毒性重点浓度值采用HJ169-2018附录H的标准，具体如下表。</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zh-CN" w:eastAsia="zh-CN" w:bidi="zh-CN"/>
        </w:rPr>
      </w:pPr>
      <w:r>
        <w:rPr>
          <w:rFonts w:hint="default" w:ascii="Times New Roman" w:hAnsi="Times New Roman" w:eastAsia="宋体" w:cs="Times New Roman"/>
          <w:b/>
          <w:bCs/>
          <w:color w:val="auto"/>
          <w:sz w:val="21"/>
          <w:szCs w:val="21"/>
          <w:highlight w:val="none"/>
          <w:lang w:val="zh-CN" w:eastAsia="zh-CN" w:bidi="zh-CN"/>
        </w:rPr>
        <w:t>项目大气毒性重点浓度值</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1349"/>
        <w:gridCol w:w="1604"/>
        <w:gridCol w:w="3029"/>
        <w:gridCol w:w="2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888"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jc w:val="center"/>
              <w:textAlignment w:val="auto"/>
              <w:rPr>
                <w:rFonts w:hint="default" w:ascii="Times New Roman" w:hAnsi="Times New Roman" w:eastAsia="宋体" w:cs="Times New Roman"/>
                <w:b/>
                <w:bCs/>
                <w:color w:val="auto"/>
                <w:sz w:val="21"/>
                <w:szCs w:val="21"/>
                <w:highlight w:val="none"/>
                <w:vertAlign w:val="baseline"/>
                <w:lang w:val="zh-CN" w:eastAsia="zh-CN" w:bidi="zh-CN"/>
              </w:rPr>
            </w:pPr>
            <w:r>
              <w:rPr>
                <w:rFonts w:hint="default" w:ascii="Times New Roman" w:hAnsi="Times New Roman" w:eastAsia="宋体" w:cs="Times New Roman"/>
                <w:b/>
                <w:bCs/>
                <w:color w:val="auto"/>
                <w:sz w:val="21"/>
                <w:szCs w:val="21"/>
                <w:highlight w:val="none"/>
              </w:rPr>
              <w:t>序号</w:t>
            </w:r>
          </w:p>
        </w:tc>
        <w:tc>
          <w:tcPr>
            <w:tcW w:w="134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jc w:val="center"/>
              <w:textAlignment w:val="auto"/>
              <w:rPr>
                <w:rFonts w:hint="default" w:ascii="Times New Roman" w:hAnsi="Times New Roman" w:eastAsia="宋体" w:cs="Times New Roman"/>
                <w:b/>
                <w:bCs/>
                <w:color w:val="auto"/>
                <w:sz w:val="21"/>
                <w:szCs w:val="21"/>
                <w:highlight w:val="none"/>
                <w:vertAlign w:val="baseline"/>
                <w:lang w:val="zh-CN" w:eastAsia="zh-CN" w:bidi="zh-CN"/>
              </w:rPr>
            </w:pPr>
            <w:r>
              <w:rPr>
                <w:rFonts w:hint="default" w:ascii="Times New Roman" w:hAnsi="Times New Roman" w:eastAsia="宋体" w:cs="Times New Roman"/>
                <w:b/>
                <w:bCs/>
                <w:color w:val="auto"/>
                <w:sz w:val="21"/>
                <w:szCs w:val="21"/>
                <w:highlight w:val="none"/>
              </w:rPr>
              <w:t>物质名称</w:t>
            </w:r>
          </w:p>
        </w:tc>
        <w:tc>
          <w:tcPr>
            <w:tcW w:w="1604"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vertAlign w:val="baseline"/>
                <w:lang w:val="zh-CN" w:eastAsia="zh-CN" w:bidi="zh-CN"/>
              </w:rPr>
            </w:pPr>
            <w:r>
              <w:rPr>
                <w:rFonts w:hint="default" w:ascii="Times New Roman" w:hAnsi="Times New Roman" w:eastAsia="宋体" w:cs="Times New Roman"/>
                <w:b/>
                <w:bCs/>
                <w:color w:val="auto"/>
                <w:sz w:val="21"/>
                <w:szCs w:val="21"/>
                <w:highlight w:val="none"/>
              </w:rPr>
              <w:t>CAS</w:t>
            </w:r>
          </w:p>
        </w:tc>
        <w:tc>
          <w:tcPr>
            <w:tcW w:w="302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jc w:val="center"/>
              <w:textAlignment w:val="auto"/>
              <w:rPr>
                <w:rFonts w:hint="default" w:ascii="Times New Roman" w:hAnsi="Times New Roman" w:eastAsia="宋体" w:cs="Times New Roman"/>
                <w:b/>
                <w:bCs/>
                <w:color w:val="auto"/>
                <w:sz w:val="21"/>
                <w:szCs w:val="21"/>
                <w:highlight w:val="none"/>
                <w:vertAlign w:val="baseline"/>
                <w:lang w:val="zh-CN" w:eastAsia="zh-CN" w:bidi="zh-CN"/>
              </w:rPr>
            </w:pPr>
            <w:r>
              <w:rPr>
                <w:rFonts w:hint="default" w:ascii="Times New Roman" w:hAnsi="Times New Roman" w:eastAsia="宋体" w:cs="Times New Roman"/>
                <w:b/>
                <w:bCs/>
                <w:color w:val="auto"/>
                <w:sz w:val="21"/>
                <w:szCs w:val="21"/>
                <w:highlight w:val="none"/>
              </w:rPr>
              <w:t>毒性终点浓度-1/（mg/m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2813"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jc w:val="center"/>
              <w:textAlignment w:val="auto"/>
              <w:rPr>
                <w:rFonts w:hint="default" w:ascii="Times New Roman" w:hAnsi="Times New Roman" w:eastAsia="宋体" w:cs="Times New Roman"/>
                <w:b/>
                <w:bCs/>
                <w:color w:val="auto"/>
                <w:sz w:val="21"/>
                <w:szCs w:val="21"/>
                <w:highlight w:val="none"/>
                <w:vertAlign w:val="baseline"/>
                <w:lang w:val="zh-CN" w:eastAsia="zh-CN" w:bidi="zh-CN"/>
              </w:rPr>
            </w:pPr>
            <w:r>
              <w:rPr>
                <w:rFonts w:hint="default" w:ascii="Times New Roman" w:hAnsi="Times New Roman" w:eastAsia="宋体" w:cs="Times New Roman"/>
                <w:b/>
                <w:bCs/>
                <w:color w:val="auto"/>
                <w:sz w:val="21"/>
                <w:szCs w:val="21"/>
                <w:highlight w:val="none"/>
              </w:rPr>
              <w:t>毒性终点浓度-2/（mg/m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88"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w w:val="99"/>
                <w:sz w:val="21"/>
                <w:szCs w:val="21"/>
                <w:highlight w:val="none"/>
              </w:rPr>
              <w:t>1</w:t>
            </w:r>
          </w:p>
        </w:tc>
        <w:tc>
          <w:tcPr>
            <w:tcW w:w="134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MDI</w:t>
            </w:r>
          </w:p>
        </w:tc>
        <w:tc>
          <w:tcPr>
            <w:tcW w:w="1604"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sz w:val="21"/>
                <w:szCs w:val="21"/>
                <w:highlight w:val="none"/>
              </w:rPr>
              <w:t xml:space="preserve">26447-40-5 </w:t>
            </w:r>
          </w:p>
        </w:tc>
        <w:tc>
          <w:tcPr>
            <w:tcW w:w="302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240</w:t>
            </w:r>
          </w:p>
        </w:tc>
        <w:tc>
          <w:tcPr>
            <w:tcW w:w="2813"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88"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w w:val="99"/>
                <w:sz w:val="21"/>
                <w:szCs w:val="21"/>
                <w:highlight w:val="none"/>
                <w:lang w:val="en-US" w:eastAsia="zh-CN"/>
              </w:rPr>
              <w:t>2</w:t>
            </w:r>
          </w:p>
        </w:tc>
        <w:tc>
          <w:tcPr>
            <w:tcW w:w="134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sz w:val="21"/>
                <w:szCs w:val="21"/>
                <w:highlight w:val="none"/>
              </w:rPr>
              <w:t>氰化氢</w:t>
            </w:r>
          </w:p>
        </w:tc>
        <w:tc>
          <w:tcPr>
            <w:tcW w:w="1604"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sz w:val="21"/>
                <w:szCs w:val="21"/>
                <w:highlight w:val="none"/>
              </w:rPr>
              <w:t>74-90-8</w:t>
            </w:r>
          </w:p>
        </w:tc>
        <w:tc>
          <w:tcPr>
            <w:tcW w:w="302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sz w:val="21"/>
                <w:szCs w:val="21"/>
                <w:highlight w:val="none"/>
              </w:rPr>
              <w:t>17</w:t>
            </w:r>
          </w:p>
        </w:tc>
        <w:tc>
          <w:tcPr>
            <w:tcW w:w="2813"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sz w:val="21"/>
                <w:szCs w:val="21"/>
                <w:highlight w:val="none"/>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888"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w w:val="99"/>
                <w:sz w:val="21"/>
                <w:szCs w:val="21"/>
                <w:highlight w:val="none"/>
                <w:lang w:val="en-US" w:eastAsia="zh-CN"/>
              </w:rPr>
            </w:pPr>
            <w:r>
              <w:rPr>
                <w:rFonts w:hint="default" w:ascii="Times New Roman" w:hAnsi="Times New Roman" w:eastAsia="宋体" w:cs="Times New Roman"/>
                <w:color w:val="auto"/>
                <w:w w:val="99"/>
                <w:sz w:val="21"/>
                <w:szCs w:val="21"/>
                <w:highlight w:val="none"/>
                <w:lang w:val="en-US" w:eastAsia="zh-CN"/>
              </w:rPr>
              <w:t>3</w:t>
            </w:r>
          </w:p>
        </w:tc>
        <w:tc>
          <w:tcPr>
            <w:tcW w:w="134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CO</w:t>
            </w:r>
          </w:p>
        </w:tc>
        <w:tc>
          <w:tcPr>
            <w:tcW w:w="1604"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630-08-0</w:t>
            </w:r>
          </w:p>
        </w:tc>
        <w:tc>
          <w:tcPr>
            <w:tcW w:w="3029"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380</w:t>
            </w:r>
          </w:p>
        </w:tc>
        <w:tc>
          <w:tcPr>
            <w:tcW w:w="2813" w:type="dxa"/>
            <w:noWrap w:val="0"/>
            <w:vAlign w:val="center"/>
          </w:tcPr>
          <w:p>
            <w:pPr>
              <w:pStyle w:val="5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95</w:t>
            </w:r>
          </w:p>
        </w:tc>
      </w:tr>
    </w:tbl>
    <w:p>
      <w:pPr>
        <w:keepNext w:val="0"/>
        <w:keepLines w:val="0"/>
        <w:pageBreakBefore w:val="0"/>
        <w:widowControl w:val="0"/>
        <w:numPr>
          <w:ilvl w:val="2"/>
          <w:numId w:val="35"/>
        </w:numPr>
        <w:tabs>
          <w:tab w:val="left" w:pos="838"/>
        </w:tabs>
        <w:kinsoku/>
        <w:wordWrap/>
        <w:overflowPunct/>
        <w:topLinePunct w:val="0"/>
        <w:autoSpaceDE w:val="0"/>
        <w:autoSpaceDN w:val="0"/>
        <w:bidi w:val="0"/>
        <w:adjustRightInd/>
        <w:snapToGrid/>
        <w:spacing w:before="0" w:after="0" w:line="360" w:lineRule="auto"/>
        <w:ind w:left="709" w:leftChars="0" w:right="0" w:rightChars="0" w:hanging="709" w:firstLineChars="0"/>
        <w:jc w:val="both"/>
        <w:textAlignment w:val="auto"/>
        <w:outlineLvl w:val="2"/>
        <w:rPr>
          <w:rFonts w:hint="default" w:ascii="Times New Roman" w:hAnsi="Times New Roman" w:eastAsia="宋体" w:cs="Times New Roman"/>
          <w:b/>
          <w:color w:val="auto"/>
          <w:sz w:val="24"/>
          <w:szCs w:val="24"/>
          <w:highlight w:val="none"/>
          <w:lang w:val="zh-CN" w:eastAsia="zh-CN" w:bidi="zh-CN"/>
        </w:rPr>
      </w:pPr>
      <w:r>
        <w:rPr>
          <w:rFonts w:hint="default" w:ascii="Times New Roman" w:hAnsi="Times New Roman" w:eastAsia="宋体" w:cs="Times New Roman"/>
          <w:b/>
          <w:color w:val="auto"/>
          <w:sz w:val="24"/>
          <w:szCs w:val="24"/>
          <w:highlight w:val="none"/>
          <w:lang w:val="zh-CN" w:eastAsia="zh-CN" w:bidi="zh-CN"/>
        </w:rPr>
        <w:t>预测范围与计算点</w:t>
      </w:r>
    </w:p>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before="0" w:after="0" w:line="360" w:lineRule="auto"/>
        <w:ind w:left="0" w:leftChars="0" w:right="0" w:rightChars="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本次大气环境风险计算点包括：特殊计算点（项目</w:t>
      </w:r>
      <w:r>
        <w:rPr>
          <w:rFonts w:hint="default" w:ascii="Times New Roman" w:hAnsi="Times New Roman" w:eastAsia="Times New Roman" w:cs="Times New Roman"/>
          <w:color w:val="auto"/>
          <w:sz w:val="24"/>
          <w:szCs w:val="24"/>
          <w:highlight w:val="none"/>
          <w:lang w:val="zh-CN" w:eastAsia="zh-CN" w:bidi="zh-CN"/>
        </w:rPr>
        <w:t>5km</w:t>
      </w:r>
      <w:r>
        <w:rPr>
          <w:rFonts w:hint="default" w:ascii="Times New Roman" w:hAnsi="Times New Roman" w:eastAsia="宋体" w:cs="Times New Roman"/>
          <w:color w:val="auto"/>
          <w:sz w:val="24"/>
          <w:szCs w:val="24"/>
          <w:highlight w:val="none"/>
          <w:lang w:val="zh-CN" w:eastAsia="zh-CN" w:bidi="zh-CN"/>
        </w:rPr>
        <w:t>范围内环境空气保护目标）和一般计算点（评价范围内的网格点）。</w:t>
      </w:r>
    </w:p>
    <w:p>
      <w:pPr>
        <w:widowControl w:val="0"/>
        <w:autoSpaceDE w:val="0"/>
        <w:autoSpaceDN w:val="0"/>
        <w:spacing w:before="0" w:after="0" w:line="364" w:lineRule="auto"/>
        <w:ind w:right="238" w:firstLine="480" w:firstLineChars="200"/>
        <w:jc w:val="left"/>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项目预测范围取</w:t>
      </w:r>
      <w:r>
        <w:rPr>
          <w:rFonts w:hint="default" w:ascii="Times New Roman" w:hAnsi="Times New Roman" w:eastAsia="Times New Roman" w:cs="Times New Roman"/>
          <w:color w:val="auto"/>
          <w:sz w:val="24"/>
          <w:szCs w:val="24"/>
          <w:highlight w:val="none"/>
          <w:lang w:val="zh-CN" w:eastAsia="zh-CN" w:bidi="zh-CN"/>
        </w:rPr>
        <w:t>5km</w:t>
      </w:r>
      <w:r>
        <w:rPr>
          <w:rFonts w:hint="default" w:ascii="Times New Roman" w:hAnsi="Times New Roman" w:eastAsia="宋体" w:cs="Times New Roman"/>
          <w:color w:val="auto"/>
          <w:sz w:val="24"/>
          <w:szCs w:val="24"/>
          <w:highlight w:val="none"/>
          <w:lang w:val="zh-CN" w:eastAsia="zh-CN" w:bidi="zh-CN"/>
        </w:rPr>
        <w:t>。根据评价范围内的网格点和环境空气保护目标，距离风险源</w:t>
      </w:r>
      <w:r>
        <w:rPr>
          <w:rFonts w:hint="default" w:ascii="Times New Roman" w:hAnsi="Times New Roman" w:eastAsia="Times New Roman" w:cs="Times New Roman"/>
          <w:color w:val="auto"/>
          <w:sz w:val="24"/>
          <w:szCs w:val="24"/>
          <w:highlight w:val="none"/>
          <w:lang w:val="zh-CN" w:eastAsia="zh-CN" w:bidi="zh-CN"/>
        </w:rPr>
        <w:t>500m</w:t>
      </w:r>
      <w:r>
        <w:rPr>
          <w:rFonts w:hint="default" w:ascii="Times New Roman" w:hAnsi="Times New Roman" w:eastAsia="宋体" w:cs="Times New Roman"/>
          <w:color w:val="auto"/>
          <w:sz w:val="24"/>
          <w:szCs w:val="24"/>
          <w:highlight w:val="none"/>
          <w:lang w:val="zh-CN" w:eastAsia="zh-CN" w:bidi="zh-CN"/>
        </w:rPr>
        <w:t>范围内的网格点设</w:t>
      </w:r>
      <w:r>
        <w:rPr>
          <w:rFonts w:hint="default" w:ascii="Times New Roman" w:hAnsi="Times New Roman" w:eastAsia="Times New Roman" w:cs="Times New Roman"/>
          <w:color w:val="auto"/>
          <w:sz w:val="24"/>
          <w:szCs w:val="24"/>
          <w:highlight w:val="none"/>
          <w:lang w:val="zh-CN" w:eastAsia="zh-CN" w:bidi="zh-CN"/>
        </w:rPr>
        <w:t>50m</w:t>
      </w:r>
      <w:r>
        <w:rPr>
          <w:rFonts w:hint="default" w:ascii="Times New Roman" w:hAnsi="Times New Roman" w:eastAsia="宋体" w:cs="Times New Roman"/>
          <w:color w:val="auto"/>
          <w:sz w:val="24"/>
          <w:szCs w:val="24"/>
          <w:highlight w:val="none"/>
          <w:lang w:val="zh-CN" w:eastAsia="zh-CN" w:bidi="zh-CN"/>
        </w:rPr>
        <w:t>间距，</w:t>
      </w:r>
      <w:r>
        <w:rPr>
          <w:rFonts w:hint="default" w:ascii="Times New Roman" w:hAnsi="Times New Roman" w:eastAsia="Times New Roman" w:cs="Times New Roman"/>
          <w:color w:val="auto"/>
          <w:sz w:val="24"/>
          <w:szCs w:val="24"/>
          <w:highlight w:val="none"/>
          <w:lang w:val="zh-CN" w:eastAsia="zh-CN" w:bidi="zh-CN"/>
        </w:rPr>
        <w:t>500</w:t>
      </w:r>
      <w:r>
        <w:rPr>
          <w:rFonts w:hint="default" w:ascii="Times New Roman" w:hAnsi="Times New Roman" w:eastAsia="宋体" w:cs="Times New Roman"/>
          <w:color w:val="auto"/>
          <w:sz w:val="24"/>
          <w:szCs w:val="24"/>
          <w:highlight w:val="none"/>
          <w:lang w:val="zh-CN" w:eastAsia="zh-CN" w:bidi="zh-CN"/>
        </w:rPr>
        <w:t>到</w:t>
      </w:r>
      <w:r>
        <w:rPr>
          <w:rFonts w:hint="default" w:ascii="Times New Roman" w:hAnsi="Times New Roman" w:eastAsia="Times New Roman" w:cs="Times New Roman"/>
          <w:color w:val="auto"/>
          <w:sz w:val="24"/>
          <w:szCs w:val="24"/>
          <w:highlight w:val="none"/>
          <w:lang w:val="zh-CN" w:eastAsia="zh-CN" w:bidi="zh-CN"/>
        </w:rPr>
        <w:t>5000m</w:t>
      </w:r>
      <w:r>
        <w:rPr>
          <w:rFonts w:hint="default" w:ascii="Times New Roman" w:hAnsi="Times New Roman" w:eastAsia="宋体" w:cs="Times New Roman"/>
          <w:color w:val="auto"/>
          <w:sz w:val="24"/>
          <w:szCs w:val="24"/>
          <w:highlight w:val="none"/>
          <w:lang w:val="zh-CN" w:eastAsia="zh-CN" w:bidi="zh-CN"/>
        </w:rPr>
        <w:t>范围设</w:t>
      </w:r>
      <w:r>
        <w:rPr>
          <w:rFonts w:hint="default" w:ascii="Times New Roman" w:hAnsi="Times New Roman" w:eastAsia="Times New Roman" w:cs="Times New Roman"/>
          <w:color w:val="auto"/>
          <w:sz w:val="24"/>
          <w:szCs w:val="24"/>
          <w:highlight w:val="none"/>
          <w:lang w:val="zh-CN" w:eastAsia="zh-CN" w:bidi="zh-CN"/>
        </w:rPr>
        <w:t>100m</w:t>
      </w:r>
      <w:r>
        <w:rPr>
          <w:rFonts w:hint="default" w:ascii="Times New Roman" w:hAnsi="Times New Roman" w:eastAsia="宋体" w:cs="Times New Roman"/>
          <w:color w:val="auto"/>
          <w:sz w:val="24"/>
          <w:szCs w:val="24"/>
          <w:highlight w:val="none"/>
          <w:lang w:val="zh-CN" w:eastAsia="zh-CN" w:bidi="zh-CN"/>
        </w:rPr>
        <w:t>的间距。</w:t>
      </w:r>
    </w:p>
    <w:p>
      <w:pPr>
        <w:keepNext w:val="0"/>
        <w:keepLines w:val="0"/>
        <w:pageBreakBefore w:val="0"/>
        <w:widowControl w:val="0"/>
        <w:numPr>
          <w:ilvl w:val="2"/>
          <w:numId w:val="35"/>
        </w:numPr>
        <w:tabs>
          <w:tab w:val="left" w:pos="838"/>
        </w:tabs>
        <w:kinsoku/>
        <w:wordWrap/>
        <w:overflowPunct/>
        <w:topLinePunct w:val="0"/>
        <w:autoSpaceDE w:val="0"/>
        <w:autoSpaceDN w:val="0"/>
        <w:bidi w:val="0"/>
        <w:adjustRightInd/>
        <w:snapToGrid/>
        <w:spacing w:before="0" w:after="0" w:line="360" w:lineRule="auto"/>
        <w:ind w:left="709" w:leftChars="0" w:right="0" w:rightChars="0" w:hanging="709" w:firstLineChars="0"/>
        <w:jc w:val="both"/>
        <w:textAlignment w:val="auto"/>
        <w:outlineLvl w:val="2"/>
        <w:rPr>
          <w:rFonts w:hint="default" w:ascii="Times New Roman" w:hAnsi="Times New Roman" w:eastAsia="宋体" w:cs="Times New Roman"/>
          <w:b/>
          <w:color w:val="auto"/>
          <w:sz w:val="24"/>
          <w:szCs w:val="24"/>
          <w:highlight w:val="none"/>
          <w:lang w:val="zh-CN" w:eastAsia="zh-CN" w:bidi="zh-CN"/>
        </w:rPr>
      </w:pPr>
      <w:r>
        <w:rPr>
          <w:rFonts w:hint="default" w:ascii="Times New Roman" w:hAnsi="Times New Roman" w:eastAsia="宋体" w:cs="Times New Roman"/>
          <w:b/>
          <w:color w:val="auto"/>
          <w:sz w:val="24"/>
          <w:szCs w:val="24"/>
          <w:highlight w:val="none"/>
          <w:lang w:val="zh-CN" w:eastAsia="zh-CN" w:bidi="zh-CN"/>
        </w:rPr>
        <w:t>预测参数</w:t>
      </w:r>
    </w:p>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360" w:lineRule="auto"/>
        <w:ind w:left="0" w:leftChars="0" w:right="0" w:rightChars="0" w:firstLine="480" w:firstLineChars="200"/>
        <w:jc w:val="both"/>
        <w:textAlignment w:val="auto"/>
        <w:rPr>
          <w:rFonts w:hint="default" w:ascii="Times New Roman" w:hAnsi="Times New Roman" w:eastAsia="宋体" w:cs="Times New Roman"/>
          <w:color w:val="auto"/>
          <w:kern w:val="2"/>
          <w:sz w:val="24"/>
          <w:szCs w:val="24"/>
          <w:highlight w:val="none"/>
          <w:u w:val="none"/>
          <w:lang w:val="zh-CN" w:eastAsia="zh-CN" w:bidi="zh-CN"/>
        </w:rPr>
      </w:pPr>
      <w:r>
        <w:rPr>
          <w:rFonts w:hint="default" w:ascii="Times New Roman" w:hAnsi="Times New Roman" w:eastAsia="宋体" w:cs="Times New Roman"/>
          <w:color w:val="auto"/>
          <w:kern w:val="2"/>
          <w:sz w:val="24"/>
          <w:szCs w:val="24"/>
          <w:highlight w:val="none"/>
          <w:lang w:val="zh-CN" w:eastAsia="zh-CN" w:bidi="zh-CN"/>
        </w:rPr>
        <w:t>本评价选取最不利气象条件进行预测，预测模式中有关参数的选取情况见下表</w:t>
      </w:r>
      <w:r>
        <w:rPr>
          <w:rFonts w:hint="default" w:ascii="Times New Roman" w:hAnsi="Times New Roman" w:eastAsia="宋体" w:cs="Times New Roman"/>
          <w:color w:val="auto"/>
          <w:kern w:val="2"/>
          <w:sz w:val="24"/>
          <w:szCs w:val="24"/>
          <w:highlight w:val="none"/>
          <w:u w:val="none"/>
          <w:lang w:val="zh-CN" w:eastAsia="zh-CN" w:bidi="zh-CN"/>
        </w:rPr>
        <w:t>。</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zh-CN" w:eastAsia="zh-CN" w:bidi="zh-CN"/>
        </w:rPr>
      </w:pPr>
      <w:r>
        <w:rPr>
          <w:rFonts w:hint="default" w:ascii="Times New Roman" w:hAnsi="Times New Roman" w:eastAsia="宋体" w:cs="Times New Roman"/>
          <w:b/>
          <w:bCs/>
          <w:color w:val="auto"/>
          <w:sz w:val="21"/>
          <w:szCs w:val="21"/>
          <w:highlight w:val="none"/>
          <w:lang w:val="zh-CN" w:eastAsia="zh-CN" w:bidi="zh-CN"/>
        </w:rPr>
        <w:t>项目大气风险预测模型主要参数表</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44"/>
        <w:gridCol w:w="3128"/>
        <w:gridCol w:w="51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参数类型</w:t>
            </w: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选项</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b/>
                <w:bCs/>
                <w:color w:val="auto"/>
                <w:kern w:val="2"/>
                <w:sz w:val="21"/>
                <w:szCs w:val="21"/>
                <w:highlight w:val="none"/>
                <w:lang w:val="zh-CN" w:eastAsia="zh-CN" w:bidi="zh-CN"/>
              </w:rPr>
            </w:pPr>
            <w:r>
              <w:rPr>
                <w:rFonts w:hint="default" w:ascii="Times New Roman" w:hAnsi="Times New Roman" w:eastAsia="宋体" w:cs="Times New Roman"/>
                <w:b/>
                <w:bCs/>
                <w:color w:val="auto"/>
                <w:kern w:val="2"/>
                <w:sz w:val="21"/>
                <w:szCs w:val="21"/>
                <w:highlight w:val="none"/>
                <w:lang w:val="zh-CN" w:eastAsia="zh-CN" w:bidi="zh-CN"/>
              </w:rPr>
              <w:t>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740" w:type="pct"/>
            <w:vMerge w:val="restar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基本情况</w:t>
            </w: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事故源经度/(°)</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zh-CN"/>
              </w:rPr>
            </w:pPr>
            <w:r>
              <w:rPr>
                <w:rFonts w:hint="default" w:ascii="Times New Roman" w:hAnsi="Times New Roman" w:cs="Times New Roman"/>
                <w:color w:val="auto"/>
                <w:kern w:val="2"/>
                <w:sz w:val="21"/>
                <w:szCs w:val="21"/>
                <w:highlight w:val="none"/>
                <w:lang w:val="en-US" w:eastAsia="zh-CN" w:bidi="zh-CN"/>
              </w:rPr>
              <w:t xml:space="preserve">  E</w:t>
            </w:r>
            <w:r>
              <w:rPr>
                <w:rFonts w:hint="default" w:ascii="Times New Roman" w:hAnsi="Times New Roman" w:eastAsia="宋体" w:cs="Times New Roman"/>
                <w:color w:val="auto"/>
                <w:kern w:val="2"/>
                <w:sz w:val="21"/>
                <w:szCs w:val="21"/>
                <w:highlight w:val="none"/>
                <w:lang w:val="zh-CN" w:eastAsia="zh-CN" w:bidi="zh-CN"/>
              </w:rPr>
              <w:t>113°5</w:t>
            </w:r>
            <w:r>
              <w:rPr>
                <w:rFonts w:hint="default" w:ascii="Times New Roman" w:hAnsi="Times New Roman" w:cs="Times New Roman"/>
                <w:color w:val="auto"/>
                <w:kern w:val="2"/>
                <w:sz w:val="21"/>
                <w:szCs w:val="21"/>
                <w:highlight w:val="none"/>
                <w:lang w:val="en-US" w:eastAsia="zh-CN" w:bidi="zh-CN"/>
              </w:rPr>
              <w:t>6</w:t>
            </w:r>
            <w:r>
              <w:rPr>
                <w:rFonts w:hint="default" w:ascii="Times New Roman" w:hAnsi="Times New Roman" w:eastAsia="宋体" w:cs="Times New Roman"/>
                <w:color w:val="auto"/>
                <w:kern w:val="2"/>
                <w:sz w:val="21"/>
                <w:szCs w:val="21"/>
                <w:highlight w:val="none"/>
                <w:lang w:val="zh-CN" w:eastAsia="zh-CN" w:bidi="zh-CN"/>
              </w:rPr>
              <w:t>′</w:t>
            </w:r>
            <w:r>
              <w:rPr>
                <w:rFonts w:hint="default" w:ascii="Times New Roman" w:hAnsi="Times New Roman" w:cs="Times New Roman"/>
                <w:color w:val="auto"/>
                <w:kern w:val="2"/>
                <w:sz w:val="21"/>
                <w:szCs w:val="21"/>
                <w:highlight w:val="none"/>
                <w:lang w:val="en-US" w:eastAsia="zh-CN" w:bidi="zh-CN"/>
              </w:rPr>
              <w:t>4.92</w:t>
            </w:r>
            <w:r>
              <w:rPr>
                <w:rFonts w:hint="default" w:ascii="Times New Roman" w:hAnsi="Times New Roman" w:eastAsia="宋体" w:cs="Times New Roman"/>
                <w:color w:val="auto"/>
                <w:kern w:val="2"/>
                <w:sz w:val="21"/>
                <w:szCs w:val="21"/>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事故源纬度/(°)</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cs="Times New Roman"/>
                <w:color w:val="auto"/>
                <w:kern w:val="2"/>
                <w:sz w:val="21"/>
                <w:szCs w:val="21"/>
                <w:highlight w:val="none"/>
                <w:lang w:val="en-US" w:eastAsia="zh-CN" w:bidi="zh-CN"/>
              </w:rPr>
              <w:t xml:space="preserve">  N</w:t>
            </w:r>
            <w:r>
              <w:rPr>
                <w:rFonts w:hint="default" w:ascii="Times New Roman" w:hAnsi="Times New Roman" w:eastAsia="宋体" w:cs="Times New Roman"/>
                <w:color w:val="auto"/>
                <w:kern w:val="2"/>
                <w:sz w:val="21"/>
                <w:szCs w:val="21"/>
                <w:highlight w:val="none"/>
                <w:lang w:val="zh-CN" w:eastAsia="zh-CN" w:bidi="zh-CN"/>
              </w:rPr>
              <w:t>23°</w:t>
            </w:r>
            <w:r>
              <w:rPr>
                <w:rFonts w:hint="default" w:ascii="Times New Roman" w:hAnsi="Times New Roman" w:cs="Times New Roman"/>
                <w:color w:val="auto"/>
                <w:kern w:val="2"/>
                <w:sz w:val="21"/>
                <w:szCs w:val="21"/>
                <w:highlight w:val="none"/>
                <w:lang w:val="en-US" w:eastAsia="zh-CN" w:bidi="zh-CN"/>
              </w:rPr>
              <w:t>10</w:t>
            </w:r>
            <w:r>
              <w:rPr>
                <w:rFonts w:hint="default" w:ascii="Times New Roman" w:hAnsi="Times New Roman" w:eastAsia="宋体" w:cs="Times New Roman"/>
                <w:color w:val="auto"/>
                <w:kern w:val="2"/>
                <w:sz w:val="21"/>
                <w:szCs w:val="21"/>
                <w:highlight w:val="none"/>
                <w:lang w:val="zh-CN" w:eastAsia="zh-CN" w:bidi="zh-CN"/>
              </w:rPr>
              <w:t>′</w:t>
            </w:r>
            <w:r>
              <w:rPr>
                <w:rFonts w:hint="default" w:ascii="Times New Roman" w:hAnsi="Times New Roman" w:cs="Times New Roman"/>
                <w:color w:val="auto"/>
                <w:kern w:val="2"/>
                <w:sz w:val="21"/>
                <w:szCs w:val="21"/>
                <w:highlight w:val="none"/>
                <w:lang w:val="en-US" w:eastAsia="zh-CN" w:bidi="zh-CN"/>
              </w:rPr>
              <w:t>52.32</w:t>
            </w:r>
            <w:r>
              <w:rPr>
                <w:rFonts w:hint="default" w:ascii="Times New Roman" w:hAnsi="Times New Roman" w:eastAsia="宋体" w:cs="Times New Roman"/>
                <w:color w:val="auto"/>
                <w:kern w:val="2"/>
                <w:sz w:val="21"/>
                <w:szCs w:val="21"/>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事故源类型</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泄漏或火灾、爆炸等引发的伴生/次生污染物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restar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both"/>
              <w:textAlignment w:val="auto"/>
              <w:rPr>
                <w:rFonts w:hint="default" w:ascii="Times New Roman" w:hAnsi="Times New Roman" w:eastAsia="宋体" w:cs="Times New Roman"/>
                <w:color w:val="auto"/>
                <w:kern w:val="2"/>
                <w:sz w:val="21"/>
                <w:szCs w:val="21"/>
                <w:highlight w:val="none"/>
                <w:lang w:val="zh-CN" w:eastAsia="zh-CN" w:bidi="zh-CN"/>
              </w:rPr>
            </w:pPr>
          </w:p>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气象参数</w:t>
            </w: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气象条件类型</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最不利气象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风速/(m/s)</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环境温度/℃</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相对湿度/%</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稳定度</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风向</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jc w:val="center"/>
        </w:trPr>
        <w:tc>
          <w:tcPr>
            <w:tcW w:w="740" w:type="pct"/>
            <w:vMerge w:val="restar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其他参数</w:t>
            </w: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地表粗糙度/m</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城市（</w:t>
            </w:r>
            <w:r>
              <w:rPr>
                <w:rFonts w:hint="default" w:ascii="Times New Roman" w:hAnsi="Times New Roman" w:eastAsia="宋体" w:cs="Times New Roman"/>
                <w:color w:val="auto"/>
                <w:kern w:val="2"/>
                <w:sz w:val="21"/>
                <w:szCs w:val="21"/>
                <w:highlight w:val="none"/>
                <w:lang w:val="en-US" w:eastAsia="zh-CN" w:bidi="zh-CN"/>
              </w:rPr>
              <w:t>1</w:t>
            </w:r>
            <w:r>
              <w:rPr>
                <w:rFonts w:hint="default" w:ascii="Times New Roman" w:hAnsi="Times New Roman" w:eastAsia="宋体" w:cs="Times New Roman"/>
                <w:color w:val="auto"/>
                <w:kern w:val="2"/>
                <w:sz w:val="21"/>
                <w:szCs w:val="21"/>
                <w:highlight w:val="none"/>
                <w:lang w:val="zh-CN" w:eastAsia="zh-CN" w:bidi="zh-CN"/>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是否考虑地形</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740" w:type="pct"/>
            <w:vMerge w:val="continue"/>
            <w:tcBorders>
              <w:top w:val="nil"/>
            </w:tcBorders>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p>
        </w:tc>
        <w:tc>
          <w:tcPr>
            <w:tcW w:w="1603"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地形数据精度/m</w:t>
            </w:r>
          </w:p>
        </w:tc>
        <w:tc>
          <w:tcPr>
            <w:tcW w:w="2656" w:type="pct"/>
            <w:noWrap w:val="0"/>
            <w:vAlign w:val="center"/>
          </w:tcPr>
          <w:p>
            <w:pPr>
              <w:keepNext w:val="0"/>
              <w:keepLines w:val="0"/>
              <w:pageBreakBefore w:val="0"/>
              <w:widowControl w:val="0"/>
              <w:numPr>
                <w:ilvl w:val="0"/>
                <w:numId w:val="0"/>
              </w:numPr>
              <w:tabs>
                <w:tab w:val="left" w:pos="838"/>
              </w:tabs>
              <w:kinsoku/>
              <w:wordWrap/>
              <w:overflowPunct/>
              <w:topLinePunct w:val="0"/>
              <w:autoSpaceDE w:val="0"/>
              <w:autoSpaceDN w:val="0"/>
              <w:bidi w:val="0"/>
              <w:adjustRightInd/>
              <w:snapToGrid/>
              <w:spacing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zh-CN" w:eastAsia="zh-CN" w:bidi="zh-CN"/>
              </w:rPr>
            </w:pPr>
            <w:r>
              <w:rPr>
                <w:rFonts w:hint="default" w:ascii="Times New Roman" w:hAnsi="Times New Roman" w:eastAsia="宋体" w:cs="Times New Roman"/>
                <w:color w:val="auto"/>
                <w:kern w:val="2"/>
                <w:sz w:val="21"/>
                <w:szCs w:val="21"/>
                <w:highlight w:val="none"/>
                <w:lang w:val="zh-CN" w:eastAsia="zh-CN" w:bidi="zh-CN"/>
              </w:rPr>
              <w:t>/</w:t>
            </w:r>
          </w:p>
        </w:tc>
      </w:tr>
    </w:tbl>
    <w:p>
      <w:pPr>
        <w:pStyle w:val="49"/>
        <w:rPr>
          <w:rFonts w:hint="default" w:ascii="Times New Roman" w:hAnsi="Times New Roman" w:eastAsia="宋体" w:cs="Times New Roman"/>
          <w:color w:val="auto"/>
          <w:highlight w:val="none"/>
          <w:lang w:val="en-US" w:eastAsia="zh-CN"/>
        </w:rPr>
      </w:pPr>
    </w:p>
    <w:p>
      <w:pPr>
        <w:ind w:firstLine="31680"/>
        <w:rPr>
          <w:rFonts w:hint="default" w:ascii="Times New Roman" w:hAnsi="Times New Roman" w:cs="Times New Roman"/>
          <w:color w:val="auto"/>
          <w:highlight w:val="none"/>
        </w:rPr>
        <w:sectPr>
          <w:pgSz w:w="11907" w:h="16840"/>
          <w:pgMar w:top="1440" w:right="1080" w:bottom="1440" w:left="1080" w:header="1134" w:footer="1134" w:gutter="0"/>
          <w:pgNumType w:fmt="decimal"/>
          <w:cols w:space="720" w:num="1"/>
          <w:docGrid w:linePitch="326" w:charSpace="-4916"/>
        </w:sectPr>
      </w:pPr>
      <w:r>
        <w:rPr>
          <w:rFonts w:hint="default" w:ascii="Times New Roman" w:hAnsi="Times New Roman" w:eastAsia="宋体" w:cs="Times New Roman"/>
          <w:color w:val="auto"/>
          <w:sz w:val="24"/>
          <w:highlight w:val="none"/>
        </w:rPr>
        <w:t>本</w:t>
      </w:r>
    </w:p>
    <w:p>
      <w:pPr>
        <w:keepNext w:val="0"/>
        <w:keepLines w:val="0"/>
        <w:pageBreakBefore w:val="0"/>
        <w:widowControl w:val="0"/>
        <w:numPr>
          <w:ilvl w:val="2"/>
          <w:numId w:val="35"/>
        </w:numPr>
        <w:tabs>
          <w:tab w:val="left" w:pos="838"/>
        </w:tabs>
        <w:kinsoku/>
        <w:wordWrap/>
        <w:overflowPunct/>
        <w:topLinePunct w:val="0"/>
        <w:autoSpaceDE w:val="0"/>
        <w:autoSpaceDN w:val="0"/>
        <w:bidi w:val="0"/>
        <w:adjustRightInd/>
        <w:snapToGrid/>
        <w:spacing w:before="0" w:after="0" w:line="360" w:lineRule="auto"/>
        <w:ind w:left="709" w:leftChars="0" w:right="0" w:rightChars="0" w:hanging="709" w:firstLineChars="0"/>
        <w:jc w:val="both"/>
        <w:textAlignment w:val="auto"/>
        <w:outlineLvl w:val="2"/>
        <w:rPr>
          <w:rFonts w:hint="default" w:ascii="Times New Roman" w:hAnsi="Times New Roman" w:eastAsia="宋体" w:cs="Times New Roman"/>
          <w:b/>
          <w:color w:val="auto"/>
          <w:sz w:val="24"/>
          <w:szCs w:val="24"/>
          <w:highlight w:val="none"/>
          <w:lang w:val="zh-CN" w:eastAsia="zh-CN" w:bidi="zh-CN"/>
        </w:rPr>
      </w:pPr>
      <w:r>
        <w:rPr>
          <w:rFonts w:hint="default" w:ascii="Times New Roman" w:hAnsi="Times New Roman" w:eastAsia="宋体" w:cs="Times New Roman"/>
          <w:b/>
          <w:color w:val="auto"/>
          <w:sz w:val="24"/>
          <w:szCs w:val="24"/>
          <w:highlight w:val="none"/>
          <w:lang w:val="zh-CN" w:eastAsia="zh-CN" w:bidi="zh-CN"/>
        </w:rPr>
        <w:t>预测结果</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jc w:val="both"/>
        <w:textAlignment w:val="auto"/>
        <w:outlineLvl w:val="7"/>
        <w:rPr>
          <w:rFonts w:hint="default" w:ascii="Times New Roman" w:hAnsi="Times New Roman" w:eastAsia="宋体" w:cs="Times New Roman"/>
          <w:b/>
          <w:bCs/>
          <w:color w:val="auto"/>
          <w:sz w:val="24"/>
          <w:szCs w:val="24"/>
          <w:highlight w:val="none"/>
          <w:lang w:val="zh-CN" w:eastAsia="zh-CN" w:bidi="zh-CN"/>
        </w:rPr>
      </w:pPr>
      <w:r>
        <w:rPr>
          <w:rFonts w:hint="default" w:ascii="Times New Roman" w:hAnsi="Times New Roman" w:eastAsia="宋体" w:cs="Times New Roman"/>
          <w:b/>
          <w:bCs/>
          <w:color w:val="auto"/>
          <w:sz w:val="24"/>
          <w:szCs w:val="24"/>
          <w:highlight w:val="none"/>
          <w:lang w:val="zh-CN" w:eastAsia="zh-CN" w:bidi="zh-CN"/>
        </w:rPr>
        <w:t>（</w:t>
      </w:r>
      <w:r>
        <w:rPr>
          <w:rFonts w:hint="default" w:ascii="Times New Roman" w:hAnsi="Times New Roman" w:eastAsia="宋体" w:cs="Times New Roman"/>
          <w:b/>
          <w:bCs/>
          <w:color w:val="auto"/>
          <w:sz w:val="24"/>
          <w:szCs w:val="24"/>
          <w:highlight w:val="none"/>
          <w:lang w:val="en-US" w:eastAsia="zh-CN" w:bidi="zh-CN"/>
        </w:rPr>
        <w:t>1</w:t>
      </w:r>
      <w:r>
        <w:rPr>
          <w:rFonts w:hint="default" w:ascii="Times New Roman" w:hAnsi="Times New Roman" w:eastAsia="宋体" w:cs="Times New Roman"/>
          <w:b/>
          <w:bCs/>
          <w:color w:val="auto"/>
          <w:sz w:val="24"/>
          <w:szCs w:val="24"/>
          <w:highlight w:val="none"/>
          <w:lang w:val="zh-CN" w:eastAsia="zh-CN" w:bidi="zh-CN"/>
        </w:rPr>
        <w:t>）</w:t>
      </w:r>
      <w:r>
        <w:rPr>
          <w:rFonts w:hint="default" w:ascii="Times New Roman" w:hAnsi="Times New Roman" w:eastAsia="宋体" w:cs="Times New Roman"/>
          <w:b/>
          <w:bCs/>
          <w:color w:val="auto"/>
          <w:sz w:val="24"/>
          <w:szCs w:val="24"/>
          <w:highlight w:val="none"/>
          <w:lang w:val="en-US" w:eastAsia="zh-CN" w:bidi="zh-CN"/>
        </w:rPr>
        <w:t>MDI</w:t>
      </w:r>
      <w:r>
        <w:rPr>
          <w:rFonts w:hint="default" w:ascii="Times New Roman" w:hAnsi="Times New Roman" w:eastAsia="宋体" w:cs="Times New Roman"/>
          <w:b/>
          <w:bCs/>
          <w:color w:val="auto"/>
          <w:sz w:val="24"/>
          <w:szCs w:val="24"/>
          <w:highlight w:val="none"/>
          <w:lang w:val="zh-CN" w:eastAsia="zh-CN" w:bidi="zh-CN"/>
        </w:rPr>
        <w:t>泄漏</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720" w:firstLineChars="3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en-US" w:eastAsia="zh-CN" w:bidi="zh-CN"/>
        </w:rPr>
        <w:t>MDI</w:t>
      </w:r>
      <w:r>
        <w:rPr>
          <w:rFonts w:hint="default" w:ascii="Times New Roman" w:hAnsi="Times New Roman" w:eastAsia="宋体" w:cs="Times New Roman"/>
          <w:color w:val="auto"/>
          <w:sz w:val="24"/>
          <w:szCs w:val="24"/>
          <w:highlight w:val="none"/>
          <w:lang w:val="zh-CN" w:eastAsia="zh-CN" w:bidi="zh-CN"/>
        </w:rPr>
        <w:t>泄漏在最不利气象条件下，不同距离处有毒有害物质的最大浓度详见下表。</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由预测结果可知，</w:t>
      </w:r>
      <w:r>
        <w:rPr>
          <w:rFonts w:hint="default" w:ascii="Times New Roman" w:hAnsi="Times New Roman" w:eastAsia="宋体" w:cs="Times New Roman"/>
          <w:color w:val="auto"/>
          <w:sz w:val="24"/>
          <w:szCs w:val="24"/>
          <w:highlight w:val="none"/>
          <w:lang w:val="en-US" w:eastAsia="zh-CN" w:bidi="zh-CN"/>
        </w:rPr>
        <w:t>MDI</w:t>
      </w:r>
      <w:r>
        <w:rPr>
          <w:rFonts w:hint="default" w:ascii="Times New Roman" w:hAnsi="Times New Roman" w:eastAsia="宋体" w:cs="Times New Roman"/>
          <w:color w:val="auto"/>
          <w:sz w:val="24"/>
          <w:szCs w:val="24"/>
          <w:highlight w:val="none"/>
          <w:lang w:val="zh-CN" w:eastAsia="zh-CN" w:bidi="zh-CN"/>
        </w:rPr>
        <w:t>泄漏过程中在最不利气象条件下，</w:t>
      </w:r>
      <w:r>
        <w:rPr>
          <w:rFonts w:hint="default" w:ascii="Times New Roman" w:hAnsi="Times New Roman" w:eastAsia="宋体" w:cs="Times New Roman"/>
          <w:color w:val="auto"/>
          <w:sz w:val="24"/>
          <w:szCs w:val="24"/>
          <w:highlight w:val="none"/>
          <w:lang w:val="en-US" w:eastAsia="zh-CN" w:bidi="zh-CN"/>
        </w:rPr>
        <w:t>1、</w:t>
      </w:r>
      <w:r>
        <w:rPr>
          <w:rFonts w:hint="default" w:ascii="Times New Roman" w:hAnsi="Times New Roman" w:eastAsia="Times New Roman" w:cs="Times New Roman"/>
          <w:color w:val="auto"/>
          <w:sz w:val="24"/>
          <w:szCs w:val="24"/>
          <w:highlight w:val="none"/>
          <w:lang w:val="zh-CN" w:eastAsia="zh-CN" w:bidi="zh-CN"/>
        </w:rPr>
        <w:t>2</w:t>
      </w:r>
      <w:r>
        <w:rPr>
          <w:rFonts w:hint="default" w:ascii="Times New Roman" w:hAnsi="Times New Roman" w:eastAsia="宋体" w:cs="Times New Roman"/>
          <w:color w:val="auto"/>
          <w:sz w:val="24"/>
          <w:szCs w:val="24"/>
          <w:highlight w:val="none"/>
          <w:lang w:val="zh-CN" w:eastAsia="zh-CN" w:bidi="zh-CN"/>
        </w:rPr>
        <w:t>级大气毒性终点浓度出现</w:t>
      </w:r>
      <w:r>
        <w:rPr>
          <w:rFonts w:hint="default" w:ascii="Times New Roman" w:hAnsi="Times New Roman" w:eastAsia="宋体" w:cs="Times New Roman"/>
          <w:color w:val="auto"/>
          <w:sz w:val="24"/>
          <w:szCs w:val="24"/>
          <w:highlight w:val="none"/>
          <w:lang w:val="en-US" w:eastAsia="zh-CN" w:bidi="zh-CN"/>
        </w:rPr>
        <w:t>小于1、</w:t>
      </w:r>
      <w:r>
        <w:rPr>
          <w:rFonts w:hint="default" w:ascii="Times New Roman" w:hAnsi="Times New Roman" w:eastAsia="Times New Roman" w:cs="Times New Roman"/>
          <w:color w:val="auto"/>
          <w:sz w:val="24"/>
          <w:szCs w:val="24"/>
          <w:highlight w:val="none"/>
          <w:lang w:val="zh-CN" w:eastAsia="zh-CN" w:bidi="zh-CN"/>
        </w:rPr>
        <w:t>2</w:t>
      </w:r>
      <w:r>
        <w:rPr>
          <w:rFonts w:hint="default" w:ascii="Times New Roman" w:hAnsi="Times New Roman" w:eastAsia="宋体" w:cs="Times New Roman"/>
          <w:color w:val="auto"/>
          <w:sz w:val="24"/>
          <w:szCs w:val="24"/>
          <w:highlight w:val="none"/>
          <w:lang w:val="zh-CN" w:eastAsia="zh-CN" w:bidi="zh-CN"/>
        </w:rPr>
        <w:t>级大气毒性终点。</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MDI泄露最不利气象条件下不同毒性终点浓度的最大影响范围</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8"/>
        <w:gridCol w:w="1658"/>
        <w:gridCol w:w="1303"/>
        <w:gridCol w:w="1504"/>
        <w:gridCol w:w="157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毒性终点浓度</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浓度（mg/m</w:t>
            </w:r>
            <w:r>
              <w:rPr>
                <w:rFonts w:hint="default" w:ascii="Times New Roman" w:hAnsi="Times New Roman" w:eastAsia="宋体" w:cs="Times New Roman"/>
                <w:b/>
                <w:bCs/>
                <w:color w:val="auto"/>
                <w:kern w:val="2"/>
                <w:sz w:val="21"/>
                <w:szCs w:val="21"/>
                <w:highlight w:val="none"/>
                <w:vertAlign w:val="superscript"/>
                <w:lang w:val="en-US" w:eastAsia="zh-CN" w:bidi="ar-SA"/>
              </w:rPr>
              <w:t>3</w:t>
            </w:r>
            <w:r>
              <w:rPr>
                <w:rFonts w:hint="default" w:ascii="Times New Roman" w:hAnsi="Times New Roman" w:eastAsia="宋体" w:cs="Times New Roman"/>
                <w:b/>
                <w:bCs/>
                <w:color w:val="auto"/>
                <w:kern w:val="2"/>
                <w:sz w:val="21"/>
                <w:szCs w:val="21"/>
                <w:highlight w:val="none"/>
                <w:vertAlign w:val="baseline"/>
                <w:lang w:val="en-US" w:eastAsia="zh-CN" w:bidi="ar-SA"/>
              </w:rPr>
              <w:t>）</w:t>
            </w:r>
          </w:p>
        </w:tc>
        <w:tc>
          <w:tcPr>
            <w:tcW w:w="654"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X起点（m）</w:t>
            </w:r>
          </w:p>
        </w:tc>
        <w:tc>
          <w:tcPr>
            <w:tcW w:w="755"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X终点（m）</w:t>
            </w:r>
          </w:p>
        </w:tc>
        <w:tc>
          <w:tcPr>
            <w:tcW w:w="788"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最大半宽（m）</w:t>
            </w:r>
          </w:p>
        </w:tc>
        <w:tc>
          <w:tcPr>
            <w:tcW w:w="1136"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最大半宽对应X（m）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毒性终点浓度-2</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w:t>
            </w:r>
          </w:p>
        </w:tc>
        <w:tc>
          <w:tcPr>
            <w:tcW w:w="333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此阈值及以上，无对应位置，因计算浓度均小于此阈值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毒性终点浓度-1</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240</w:t>
            </w:r>
          </w:p>
        </w:tc>
        <w:tc>
          <w:tcPr>
            <w:tcW w:w="333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此阈值及以上，无对应位置，因计算浓度均小于此阈值</w:t>
            </w:r>
          </w:p>
        </w:tc>
      </w:tr>
    </w:tbl>
    <w:p>
      <w:pPr>
        <w:widowControl w:val="0"/>
        <w:adjustRightInd w:val="0"/>
        <w:snapToGrid w:val="0"/>
        <w:spacing w:beforeLines="15" w:line="312" w:lineRule="auto"/>
        <w:ind w:left="0" w:leftChars="0" w:firstLine="0" w:firstLineChars="0"/>
        <w:jc w:val="both"/>
        <w:rPr>
          <w:rFonts w:hint="default" w:ascii="Times New Roman" w:hAnsi="Times New Roman" w:eastAsia="宋体" w:cs="Times New Roman"/>
          <w:color w:val="auto"/>
          <w:kern w:val="2"/>
          <w:sz w:val="21"/>
          <w:szCs w:val="22"/>
          <w:highlight w:val="yellow"/>
          <w:lang w:val="en-US" w:eastAsia="zh-CN" w:bidi="ar-SA"/>
        </w:rPr>
      </w:pPr>
      <w:r>
        <w:rPr>
          <w:rFonts w:hint="default" w:ascii="Times New Roman" w:hAnsi="Times New Roman" w:eastAsia="宋体" w:cs="Times New Roman"/>
          <w:color w:val="auto"/>
          <w:kern w:val="2"/>
          <w:sz w:val="21"/>
          <w:szCs w:val="22"/>
          <w:highlight w:val="yellow"/>
          <w:lang w:val="en-US" w:eastAsia="zh-CN" w:bidi="ar-SA"/>
        </w:rPr>
        <w:drawing>
          <wp:inline distT="0" distB="0" distL="114300" distR="114300">
            <wp:extent cx="6188710" cy="3118485"/>
            <wp:effectExtent l="0" t="0" r="2540" b="5715"/>
            <wp:docPr id="3" name="图片 3" descr="MDI最大浓度距离曲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MDI最大浓度距离曲线图"/>
                    <pic:cNvPicPr>
                      <a:picLocks noChangeAspect="1"/>
                    </pic:cNvPicPr>
                  </pic:nvPicPr>
                  <pic:blipFill>
                    <a:blip r:embed="rId50"/>
                    <a:stretch>
                      <a:fillRect/>
                    </a:stretch>
                  </pic:blipFill>
                  <pic:spPr>
                    <a:xfrm>
                      <a:off x="0" y="0"/>
                      <a:ext cx="6188710" cy="3118485"/>
                    </a:xfrm>
                    <a:prstGeom prst="rect">
                      <a:avLst/>
                    </a:prstGeom>
                  </pic:spPr>
                </pic:pic>
              </a:graphicData>
            </a:graphic>
          </wp:inline>
        </w:drawing>
      </w:r>
    </w:p>
    <w:p>
      <w:pPr>
        <w:numPr>
          <w:ilvl w:val="0"/>
          <w:numId w:val="36"/>
        </w:numPr>
        <w:spacing w:line="360" w:lineRule="auto"/>
        <w:ind w:left="0" w:leftChars="0" w:firstLine="397" w:firstLineChars="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最不利气象条件下MDI</w:t>
      </w:r>
      <w:r>
        <w:rPr>
          <w:rFonts w:hint="default" w:ascii="Times New Roman" w:hAnsi="Times New Roman" w:eastAsia="宋体" w:cs="Times New Roman"/>
          <w:b/>
          <w:bCs/>
          <w:color w:val="auto"/>
          <w:highlight w:val="none"/>
          <w:lang w:eastAsia="zh-CN"/>
        </w:rPr>
        <w:t>泄漏</w:t>
      </w:r>
      <w:r>
        <w:rPr>
          <w:rFonts w:hint="default" w:ascii="Times New Roman" w:hAnsi="Times New Roman" w:eastAsia="宋体" w:cs="Times New Roman"/>
          <w:b/>
          <w:bCs/>
          <w:color w:val="auto"/>
          <w:highlight w:val="none"/>
        </w:rPr>
        <w:t>最大浓度-距离曲线图</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jc w:val="both"/>
        <w:textAlignment w:val="baseline"/>
        <w:rPr>
          <w:rFonts w:hint="default" w:ascii="Times New Roman" w:hAnsi="Times New Roman" w:eastAsia="宋体" w:cs="Times New Roman"/>
          <w:b/>
          <w:bCs/>
          <w:color w:val="auto"/>
          <w:kern w:val="2"/>
          <w:sz w:val="24"/>
          <w:szCs w:val="24"/>
          <w:highlight w:val="none"/>
          <w:lang w:val="en-US" w:eastAsia="zh-CN" w:bidi="zh-CN"/>
        </w:rPr>
      </w:pPr>
      <w:r>
        <w:rPr>
          <w:rFonts w:hint="default" w:ascii="Times New Roman" w:hAnsi="Times New Roman" w:eastAsia="宋体" w:cs="Times New Roman"/>
          <w:b/>
          <w:bCs/>
          <w:color w:val="auto"/>
          <w:kern w:val="2"/>
          <w:sz w:val="24"/>
          <w:szCs w:val="24"/>
          <w:highlight w:val="none"/>
          <w:lang w:val="en-US" w:eastAsia="zh-CN" w:bidi="zh-CN"/>
        </w:rPr>
        <w:t>（3）火灾爆炸伴生/次生污染物氰化氢</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火灾爆炸伴生</w:t>
      </w:r>
      <w:r>
        <w:rPr>
          <w:rFonts w:hint="default" w:ascii="Times New Roman" w:hAnsi="Times New Roman" w:eastAsia="Times New Roman" w:cs="Times New Roman"/>
          <w:color w:val="auto"/>
          <w:sz w:val="24"/>
          <w:szCs w:val="24"/>
          <w:highlight w:val="none"/>
          <w:lang w:val="zh-CN" w:eastAsia="zh-CN" w:bidi="zh-CN"/>
        </w:rPr>
        <w:t>/</w:t>
      </w:r>
      <w:r>
        <w:rPr>
          <w:rFonts w:hint="default" w:ascii="Times New Roman" w:hAnsi="Times New Roman" w:eastAsia="宋体" w:cs="Times New Roman"/>
          <w:color w:val="auto"/>
          <w:sz w:val="24"/>
          <w:szCs w:val="24"/>
          <w:highlight w:val="none"/>
          <w:lang w:val="zh-CN" w:eastAsia="zh-CN" w:bidi="zh-CN"/>
        </w:rPr>
        <w:t>次生污染物氰化氢在最不利气象条件下，下风向不同距离处有毒有害物质的最大浓度详见下表。</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由预测结果可知，氰化氢在最不利气象条件下，</w:t>
      </w:r>
      <w:r>
        <w:rPr>
          <w:rFonts w:hint="default" w:ascii="Times New Roman" w:hAnsi="Times New Roman" w:eastAsia="Times New Roman" w:cs="Times New Roman"/>
          <w:color w:val="auto"/>
          <w:sz w:val="24"/>
          <w:szCs w:val="24"/>
          <w:highlight w:val="none"/>
          <w:lang w:val="zh-CN" w:eastAsia="zh-CN" w:bidi="zh-CN"/>
        </w:rPr>
        <w:t>1级、2级大气毒性终点浓度出现</w:t>
      </w:r>
      <w:r>
        <w:rPr>
          <w:rFonts w:hint="default" w:ascii="Times New Roman" w:hAnsi="Times New Roman" w:eastAsia="Times New Roman" w:cs="Times New Roman"/>
          <w:color w:val="auto"/>
          <w:sz w:val="24"/>
          <w:szCs w:val="24"/>
          <w:highlight w:val="none"/>
          <w:lang w:val="en-US" w:eastAsia="zh-CN" w:bidi="zh-CN"/>
        </w:rPr>
        <w:t>未超出</w:t>
      </w:r>
      <w:r>
        <w:rPr>
          <w:rFonts w:hint="default" w:ascii="Times New Roman" w:hAnsi="Times New Roman" w:eastAsia="Times New Roman" w:cs="Times New Roman"/>
          <w:color w:val="auto"/>
          <w:sz w:val="24"/>
          <w:szCs w:val="24"/>
          <w:highlight w:val="none"/>
          <w:lang w:val="zh-CN" w:eastAsia="zh-CN" w:bidi="zh-CN"/>
        </w:rPr>
        <w:t>1级、2级大气毒性终点</w:t>
      </w:r>
      <w:r>
        <w:rPr>
          <w:rFonts w:hint="default" w:ascii="Times New Roman" w:hAnsi="Times New Roman" w:eastAsia="宋体" w:cs="Times New Roman"/>
          <w:color w:val="auto"/>
          <w:sz w:val="24"/>
          <w:szCs w:val="24"/>
          <w:highlight w:val="none"/>
          <w:lang w:val="zh-CN" w:eastAsia="zh-CN" w:bidi="zh-CN"/>
        </w:rPr>
        <w:t>。氰化氢在最不利气象条件下最大影响范围见下图。</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氰化氢（灾爆炸伴生/次生污染物）最不利气象条件下不同毒性终点浓度的最大影响范围</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8"/>
        <w:gridCol w:w="1658"/>
        <w:gridCol w:w="1302"/>
        <w:gridCol w:w="1503"/>
        <w:gridCol w:w="1569"/>
        <w:gridCol w:w="2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毒性终点浓度</w:t>
            </w:r>
          </w:p>
        </w:tc>
        <w:tc>
          <w:tcPr>
            <w:tcW w:w="833"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浓度（mg/m</w:t>
            </w:r>
            <w:r>
              <w:rPr>
                <w:rFonts w:hint="default" w:ascii="Times New Roman" w:hAnsi="Times New Roman" w:eastAsia="宋体" w:cs="Times New Roman"/>
                <w:b/>
                <w:bCs/>
                <w:color w:val="auto"/>
                <w:kern w:val="2"/>
                <w:sz w:val="21"/>
                <w:szCs w:val="21"/>
                <w:highlight w:val="none"/>
                <w:vertAlign w:val="superscript"/>
                <w:lang w:val="en-US" w:eastAsia="zh-CN" w:bidi="ar-SA"/>
              </w:rPr>
              <w:t>3</w:t>
            </w:r>
            <w:r>
              <w:rPr>
                <w:rFonts w:hint="default" w:ascii="Times New Roman" w:hAnsi="Times New Roman" w:eastAsia="宋体" w:cs="Times New Roman"/>
                <w:b/>
                <w:bCs/>
                <w:color w:val="auto"/>
                <w:kern w:val="2"/>
                <w:sz w:val="21"/>
                <w:szCs w:val="21"/>
                <w:highlight w:val="none"/>
                <w:vertAlign w:val="baseline"/>
                <w:lang w:val="en-US" w:eastAsia="zh-CN" w:bidi="ar-SA"/>
              </w:rPr>
              <w:t>）</w:t>
            </w:r>
          </w:p>
        </w:tc>
        <w:tc>
          <w:tcPr>
            <w:tcW w:w="654"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X起点（m）</w:t>
            </w:r>
          </w:p>
        </w:tc>
        <w:tc>
          <w:tcPr>
            <w:tcW w:w="755"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X终点（m）</w:t>
            </w:r>
          </w:p>
        </w:tc>
        <w:tc>
          <w:tcPr>
            <w:tcW w:w="788"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最大半宽（m）</w:t>
            </w:r>
          </w:p>
        </w:tc>
        <w:tc>
          <w:tcPr>
            <w:tcW w:w="1135"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最大半宽对应X（m）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毒性终点浓度-2</w:t>
            </w:r>
          </w:p>
        </w:tc>
        <w:tc>
          <w:tcPr>
            <w:tcW w:w="833"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lang w:val="en-US" w:eastAsia="zh-CN" w:bidi="ar-SA"/>
              </w:rPr>
              <w:t>7.8</w:t>
            </w:r>
          </w:p>
        </w:tc>
        <w:tc>
          <w:tcPr>
            <w:tcW w:w="3333"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此阈值及以上，无对应位置，因计算浓度均小于此阈值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毒性终点浓度-1</w:t>
            </w:r>
          </w:p>
        </w:tc>
        <w:tc>
          <w:tcPr>
            <w:tcW w:w="833"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17</w:t>
            </w:r>
          </w:p>
        </w:tc>
        <w:tc>
          <w:tcPr>
            <w:tcW w:w="3333"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此阈值及以上，无对应位置，因计算浓度均小于此阈值</w:t>
            </w:r>
          </w:p>
        </w:tc>
      </w:tr>
    </w:tbl>
    <w:p>
      <w:pPr>
        <w:pStyle w:val="41"/>
        <w:rPr>
          <w:rFonts w:hint="default" w:ascii="Times New Roman" w:hAnsi="Times New Roman" w:cs="Times New Roman"/>
          <w:color w:val="auto"/>
          <w:lang w:val="en-US" w:eastAsia="zh-CN"/>
        </w:rPr>
      </w:pPr>
    </w:p>
    <w:p>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ind w:left="0" w:leftChars="0" w:right="0"/>
        <w:jc w:val="left"/>
        <w:textAlignment w:val="baseline"/>
        <w:rPr>
          <w:rFonts w:hint="default" w:ascii="Times New Roman" w:hAnsi="Times New Roman" w:eastAsia="宋体" w:cs="Times New Roman"/>
          <w:color w:val="auto"/>
          <w:kern w:val="0"/>
          <w:sz w:val="24"/>
          <w:szCs w:val="24"/>
          <w:highlight w:val="none"/>
          <w:lang w:val="en-US" w:eastAsia="zh-CN" w:bidi="ar"/>
        </w:rPr>
      </w:pPr>
    </w:p>
    <w:p>
      <w:pPr>
        <w:pStyle w:val="27"/>
        <w:keepNext w:val="0"/>
        <w:keepLines w:val="0"/>
        <w:pageBreakBefore w:val="0"/>
        <w:tabs>
          <w:tab w:val="right" w:leader="dot" w:pos="9060"/>
        </w:tabs>
        <w:kinsoku/>
        <w:wordWrap/>
        <w:overflowPunct/>
        <w:topLinePunct w:val="0"/>
        <w:bidi w:val="0"/>
        <w:adjustRightInd w:val="0"/>
        <w:snapToGrid w:val="0"/>
        <w:ind w:left="0" w:leftChars="0" w:firstLine="0" w:firstLineChars="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drawing>
          <wp:inline distT="0" distB="0" distL="114300" distR="114300">
            <wp:extent cx="6183630" cy="3124200"/>
            <wp:effectExtent l="0" t="0" r="7620" b="0"/>
            <wp:docPr id="358" name="图片 358" descr="167058076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358" descr="1670580765626"/>
                    <pic:cNvPicPr>
                      <a:picLocks noChangeAspect="1"/>
                    </pic:cNvPicPr>
                  </pic:nvPicPr>
                  <pic:blipFill>
                    <a:blip r:embed="rId51"/>
                    <a:stretch>
                      <a:fillRect/>
                    </a:stretch>
                  </pic:blipFill>
                  <pic:spPr>
                    <a:xfrm>
                      <a:off x="0" y="0"/>
                      <a:ext cx="6183630" cy="3124200"/>
                    </a:xfrm>
                    <a:prstGeom prst="rect">
                      <a:avLst/>
                    </a:prstGeom>
                  </pic:spPr>
                </pic:pic>
              </a:graphicData>
            </a:graphic>
          </wp:inline>
        </w:drawing>
      </w:r>
    </w:p>
    <w:p>
      <w:pPr>
        <w:numPr>
          <w:ilvl w:val="0"/>
          <w:numId w:val="36"/>
        </w:numPr>
        <w:spacing w:line="360" w:lineRule="auto"/>
        <w:ind w:left="0" w:leftChars="0" w:firstLine="397"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rPr>
        <w:t>最不利气象条件下</w:t>
      </w:r>
      <w:r>
        <w:rPr>
          <w:rFonts w:hint="default" w:ascii="Times New Roman" w:hAnsi="Times New Roman" w:eastAsia="宋体" w:cs="Times New Roman"/>
          <w:b/>
          <w:bCs/>
          <w:color w:val="auto"/>
          <w:highlight w:val="none"/>
          <w:lang w:val="en-US" w:eastAsia="zh-CN"/>
        </w:rPr>
        <w:t>氰化氢（火灾爆炸伴生/次生污染物）最大浓度-距离曲线图</w:t>
      </w:r>
    </w:p>
    <w:p>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jc w:val="both"/>
        <w:textAlignment w:val="baseline"/>
        <w:rPr>
          <w:rFonts w:hint="default" w:ascii="Times New Roman" w:hAnsi="Times New Roman" w:eastAsia="宋体" w:cs="Times New Roman"/>
          <w:b/>
          <w:bCs/>
          <w:color w:val="auto"/>
          <w:kern w:val="2"/>
          <w:sz w:val="24"/>
          <w:szCs w:val="24"/>
          <w:highlight w:val="none"/>
          <w:lang w:val="en-US" w:eastAsia="zh-CN" w:bidi="zh-CN"/>
        </w:rPr>
      </w:pPr>
      <w:r>
        <w:rPr>
          <w:rFonts w:hint="default" w:ascii="Times New Roman" w:hAnsi="Times New Roman" w:eastAsia="宋体" w:cs="Times New Roman"/>
          <w:b/>
          <w:bCs/>
          <w:color w:val="auto"/>
          <w:kern w:val="2"/>
          <w:sz w:val="24"/>
          <w:szCs w:val="24"/>
          <w:highlight w:val="none"/>
          <w:lang w:val="en-US" w:eastAsia="zh-CN" w:bidi="zh-CN"/>
        </w:rPr>
        <w:t>（4）火灾爆炸伴生/次生污染物CO</w:t>
      </w:r>
    </w:p>
    <w:p>
      <w:pPr>
        <w:keepNext w:val="0"/>
        <w:keepLines w:val="0"/>
        <w:pageBreakBefore w:val="0"/>
        <w:widowControl w:val="0"/>
        <w:kinsoku/>
        <w:wordWrap/>
        <w:overflowPunct/>
        <w:topLinePunct w:val="0"/>
        <w:autoSpaceDE w:val="0"/>
        <w:autoSpaceDN w:val="0"/>
        <w:bidi w:val="0"/>
        <w:adjustRightInd/>
        <w:snapToGrid/>
        <w:spacing w:after="0" w:line="360" w:lineRule="auto"/>
        <w:ind w:leftChars="0" w:right="0" w:firstLine="480" w:firstLineChars="200"/>
        <w:jc w:val="both"/>
        <w:textAlignment w:val="auto"/>
        <w:rPr>
          <w:rFonts w:hint="default" w:ascii="Times New Roman" w:hAnsi="Times New Roman" w:eastAsia="宋体" w:cs="Times New Roman"/>
          <w:color w:val="auto"/>
          <w:sz w:val="24"/>
          <w:szCs w:val="24"/>
          <w:highlight w:val="none"/>
          <w:lang w:val="zh-CN" w:eastAsia="zh-CN" w:bidi="zh-CN"/>
        </w:rPr>
      </w:pPr>
      <w:r>
        <w:rPr>
          <w:rFonts w:hint="default" w:ascii="Times New Roman" w:hAnsi="Times New Roman" w:eastAsia="宋体" w:cs="Times New Roman"/>
          <w:color w:val="auto"/>
          <w:sz w:val="24"/>
          <w:szCs w:val="24"/>
          <w:highlight w:val="none"/>
          <w:lang w:val="zh-CN" w:eastAsia="zh-CN" w:bidi="zh-CN"/>
        </w:rPr>
        <w:t>火灾爆炸伴生</w:t>
      </w:r>
      <w:r>
        <w:rPr>
          <w:rFonts w:hint="default" w:ascii="Times New Roman" w:hAnsi="Times New Roman" w:eastAsia="Times New Roman" w:cs="Times New Roman"/>
          <w:color w:val="auto"/>
          <w:sz w:val="24"/>
          <w:szCs w:val="24"/>
          <w:highlight w:val="none"/>
          <w:lang w:val="zh-CN" w:eastAsia="zh-CN" w:bidi="zh-CN"/>
        </w:rPr>
        <w:t>/</w:t>
      </w:r>
      <w:r>
        <w:rPr>
          <w:rFonts w:hint="default" w:ascii="Times New Roman" w:hAnsi="Times New Roman" w:eastAsia="宋体" w:cs="Times New Roman"/>
          <w:color w:val="auto"/>
          <w:sz w:val="24"/>
          <w:szCs w:val="24"/>
          <w:highlight w:val="none"/>
          <w:lang w:val="zh-CN" w:eastAsia="zh-CN" w:bidi="zh-CN"/>
        </w:rPr>
        <w:t>次生污染物CO在最不利气象条件下，下风向不同距离处有毒有害物质的最大浓度详见表</w:t>
      </w:r>
      <w:r>
        <w:rPr>
          <w:rFonts w:hint="default" w:ascii="Times New Roman" w:hAnsi="Times New Roman" w:eastAsia="Times New Roman" w:cs="Times New Roman"/>
          <w:color w:val="auto"/>
          <w:sz w:val="24"/>
          <w:szCs w:val="24"/>
          <w:highlight w:val="none"/>
          <w:lang w:val="en-US" w:eastAsia="zh-CN" w:bidi="zh-CN"/>
        </w:rPr>
        <w:t>下表。</w:t>
      </w:r>
    </w:p>
    <w:p>
      <w:pPr>
        <w:spacing w:line="360" w:lineRule="auto"/>
        <w:ind w:firstLine="48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szCs w:val="24"/>
          <w:highlight w:val="none"/>
          <w:lang w:val="zh-CN" w:eastAsia="zh-CN" w:bidi="zh-CN"/>
        </w:rPr>
        <w:t>由预测结果可知，CO在最不利气象条件下，</w:t>
      </w:r>
      <w:r>
        <w:rPr>
          <w:rFonts w:hint="default" w:ascii="Times New Roman" w:hAnsi="Times New Roman" w:eastAsia="Times New Roman" w:cs="Times New Roman"/>
          <w:color w:val="auto"/>
          <w:sz w:val="24"/>
          <w:szCs w:val="24"/>
          <w:highlight w:val="none"/>
          <w:lang w:val="zh-CN" w:eastAsia="zh-CN" w:bidi="zh-CN"/>
        </w:rPr>
        <w:t>1级、2级大气毒性终点浓度出现</w:t>
      </w:r>
      <w:r>
        <w:rPr>
          <w:rFonts w:hint="default" w:ascii="Times New Roman" w:hAnsi="Times New Roman" w:eastAsia="Times New Roman" w:cs="Times New Roman"/>
          <w:color w:val="auto"/>
          <w:sz w:val="24"/>
          <w:szCs w:val="24"/>
          <w:highlight w:val="none"/>
          <w:lang w:val="en-US" w:eastAsia="zh-CN" w:bidi="zh-CN"/>
        </w:rPr>
        <w:t>未超出</w:t>
      </w:r>
      <w:r>
        <w:rPr>
          <w:rFonts w:hint="default" w:ascii="Times New Roman" w:hAnsi="Times New Roman" w:eastAsia="Times New Roman" w:cs="Times New Roman"/>
          <w:color w:val="auto"/>
          <w:sz w:val="24"/>
          <w:szCs w:val="24"/>
          <w:highlight w:val="none"/>
          <w:lang w:val="zh-CN" w:eastAsia="zh-CN" w:bidi="zh-CN"/>
        </w:rPr>
        <w:t>1级、2级大气毒性终点。</w:t>
      </w:r>
      <w:r>
        <w:rPr>
          <w:rFonts w:hint="default" w:ascii="Times New Roman" w:hAnsi="Times New Roman" w:eastAsia="宋体" w:cs="Times New Roman"/>
          <w:color w:val="auto"/>
          <w:sz w:val="24"/>
          <w:szCs w:val="24"/>
          <w:highlight w:val="none"/>
          <w:lang w:val="zh-CN" w:eastAsia="zh-CN" w:bidi="zh-CN"/>
        </w:rPr>
        <w:t>CO在最不利气象条件下最大影响范围图件见下图。</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CO（火灾爆炸伴生/次生污染物）最不利气象条件下不同毒性终点浓度的最大影响范围</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8"/>
        <w:gridCol w:w="1658"/>
        <w:gridCol w:w="1303"/>
        <w:gridCol w:w="1504"/>
        <w:gridCol w:w="157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毒性终点浓度</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浓度（mg/m</w:t>
            </w:r>
            <w:r>
              <w:rPr>
                <w:rFonts w:hint="default" w:ascii="Times New Roman" w:hAnsi="Times New Roman" w:eastAsia="宋体" w:cs="Times New Roman"/>
                <w:b/>
                <w:bCs/>
                <w:color w:val="auto"/>
                <w:kern w:val="2"/>
                <w:sz w:val="21"/>
                <w:szCs w:val="21"/>
                <w:highlight w:val="none"/>
                <w:vertAlign w:val="superscript"/>
                <w:lang w:val="en-US" w:eastAsia="zh-CN" w:bidi="ar-SA"/>
              </w:rPr>
              <w:t>3</w:t>
            </w:r>
            <w:r>
              <w:rPr>
                <w:rFonts w:hint="default" w:ascii="Times New Roman" w:hAnsi="Times New Roman" w:eastAsia="宋体" w:cs="Times New Roman"/>
                <w:b/>
                <w:bCs/>
                <w:color w:val="auto"/>
                <w:kern w:val="2"/>
                <w:sz w:val="21"/>
                <w:szCs w:val="21"/>
                <w:highlight w:val="none"/>
                <w:vertAlign w:val="baseline"/>
                <w:lang w:val="en-US" w:eastAsia="zh-CN" w:bidi="ar-SA"/>
              </w:rPr>
              <w:t>）</w:t>
            </w:r>
          </w:p>
        </w:tc>
        <w:tc>
          <w:tcPr>
            <w:tcW w:w="654"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X起点（m）</w:t>
            </w:r>
          </w:p>
        </w:tc>
        <w:tc>
          <w:tcPr>
            <w:tcW w:w="755"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X终点（m）</w:t>
            </w:r>
          </w:p>
        </w:tc>
        <w:tc>
          <w:tcPr>
            <w:tcW w:w="788"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最大半宽（m）</w:t>
            </w:r>
          </w:p>
        </w:tc>
        <w:tc>
          <w:tcPr>
            <w:tcW w:w="1136"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eastAsia="宋体" w:cs="Times New Roman"/>
                <w:b/>
                <w:bCs/>
                <w:color w:val="auto"/>
                <w:kern w:val="2"/>
                <w:sz w:val="21"/>
                <w:szCs w:val="21"/>
                <w:highlight w:val="none"/>
                <w:vertAlign w:val="baseline"/>
                <w:lang w:val="en-US" w:eastAsia="zh-CN" w:bidi="ar-SA"/>
              </w:rPr>
              <w:t>最大半宽对应X（m）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毒性终点浓度-2</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lang w:val="en-US" w:eastAsia="zh-CN" w:bidi="ar-SA"/>
              </w:rPr>
              <w:t>95</w:t>
            </w:r>
          </w:p>
        </w:tc>
        <w:tc>
          <w:tcPr>
            <w:tcW w:w="333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此阈值及以上，无对应位置，因计算浓度均小于此阈值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毒性终点浓度-1</w:t>
            </w:r>
          </w:p>
        </w:tc>
        <w:tc>
          <w:tcPr>
            <w:tcW w:w="832" w:type="pct"/>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380</w:t>
            </w:r>
          </w:p>
        </w:tc>
        <w:tc>
          <w:tcPr>
            <w:tcW w:w="3334"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before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此阈值及以上，无对应位置，因计算浓度均小于此阈值</w:t>
            </w:r>
          </w:p>
        </w:tc>
      </w:tr>
    </w:tbl>
    <w:p>
      <w:pPr>
        <w:pStyle w:val="49"/>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drawing>
          <wp:inline distT="0" distB="0" distL="114300" distR="114300">
            <wp:extent cx="6182995" cy="3119755"/>
            <wp:effectExtent l="0" t="0" r="8255" b="4445"/>
            <wp:docPr id="359" name="图片 359" descr="1670580809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59" descr="1670580809767"/>
                    <pic:cNvPicPr>
                      <a:picLocks noChangeAspect="1"/>
                    </pic:cNvPicPr>
                  </pic:nvPicPr>
                  <pic:blipFill>
                    <a:blip r:embed="rId52"/>
                    <a:stretch>
                      <a:fillRect/>
                    </a:stretch>
                  </pic:blipFill>
                  <pic:spPr>
                    <a:xfrm>
                      <a:off x="0" y="0"/>
                      <a:ext cx="6182995" cy="3119755"/>
                    </a:xfrm>
                    <a:prstGeom prst="rect">
                      <a:avLst/>
                    </a:prstGeom>
                  </pic:spPr>
                </pic:pic>
              </a:graphicData>
            </a:graphic>
          </wp:inline>
        </w:drawing>
      </w:r>
    </w:p>
    <w:p>
      <w:pPr>
        <w:numPr>
          <w:ilvl w:val="0"/>
          <w:numId w:val="36"/>
        </w:numPr>
        <w:spacing w:line="360" w:lineRule="auto"/>
        <w:ind w:left="0" w:leftChars="0" w:firstLine="397" w:firstLineChars="0"/>
        <w:jc w:val="center"/>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CO（火灾爆炸伴生/次生污染物）最大浓度-距离曲线图</w:t>
      </w:r>
    </w:p>
    <w:p>
      <w:pPr>
        <w:pStyle w:val="27"/>
        <w:keepNext w:val="0"/>
        <w:keepLines w:val="0"/>
        <w:pageBreakBefore w:val="0"/>
        <w:widowControl w:val="0"/>
        <w:tabs>
          <w:tab w:val="right" w:leader="dot" w:pos="9060"/>
        </w:tabs>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项目在最不利气象条件下，下风向不同距离处有毒有害物质的最大浓度预测结果见下表：</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在不同气象条件时下风向不同距离处MDI的高峰浓度预测结果</w:t>
      </w:r>
    </w:p>
    <w:tbl>
      <w:tblPr>
        <w:tblStyle w:val="32"/>
        <w:tblW w:w="500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81"/>
        <w:gridCol w:w="3643"/>
        <w:gridCol w:w="36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1269" w:type="pct"/>
            <w:vMerge w:val="restart"/>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ind w:firstLine="211" w:firstLineChars="10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下方向距离（m）</w:t>
            </w:r>
          </w:p>
        </w:tc>
        <w:tc>
          <w:tcPr>
            <w:tcW w:w="3730" w:type="pct"/>
            <w:gridSpan w:val="2"/>
            <w:tcBorders>
              <w:right w:val="single" w:color="auto" w:sz="4" w:space="0"/>
            </w:tcBorders>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MDI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269" w:type="pct"/>
            <w:vMerge w:val="continue"/>
            <w:tcBorders>
              <w:top w:val="nil"/>
            </w:tcBorders>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b/>
                <w:bCs/>
                <w:color w:val="auto"/>
                <w:sz w:val="21"/>
                <w:szCs w:val="21"/>
                <w:highlight w:val="none"/>
                <w:lang w:val="en-US" w:eastAsia="zh-CN"/>
              </w:rPr>
            </w:pPr>
          </w:p>
        </w:tc>
        <w:tc>
          <w:tcPr>
            <w:tcW w:w="3730" w:type="pct"/>
            <w:gridSpan w:val="2"/>
            <w:tcBorders>
              <w:right w:val="single" w:color="auto" w:sz="4" w:space="0"/>
            </w:tcBorders>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b/>
                <w:bCs/>
                <w:color w:val="auto"/>
                <w:sz w:val="21"/>
                <w:szCs w:val="21"/>
                <w:highlight w:val="none"/>
                <w:shd w:val="clear" w:color="auto" w:fill="auto"/>
                <w:lang w:val="en-US" w:eastAsia="zh-CN"/>
              </w:rPr>
            </w:pPr>
            <w:r>
              <w:rPr>
                <w:rFonts w:hint="default" w:ascii="Times New Roman" w:hAnsi="Times New Roman" w:eastAsia="宋体" w:cs="Times New Roman"/>
                <w:b/>
                <w:bCs/>
                <w:color w:val="auto"/>
                <w:sz w:val="21"/>
                <w:szCs w:val="21"/>
                <w:highlight w:val="none"/>
                <w:shd w:val="clear" w:color="auto" w:fill="auto"/>
                <w:lang w:val="en-US" w:eastAsia="zh-CN"/>
              </w:rPr>
              <w:t>高峰浓度（mg/m</w:t>
            </w:r>
            <w:r>
              <w:rPr>
                <w:rFonts w:hint="default" w:ascii="Times New Roman" w:hAnsi="Times New Roman" w:eastAsia="宋体" w:cs="Times New Roman"/>
                <w:b/>
                <w:bCs/>
                <w:color w:val="auto"/>
                <w:sz w:val="21"/>
                <w:szCs w:val="21"/>
                <w:highlight w:val="none"/>
                <w:shd w:val="clear" w:color="auto" w:fill="auto"/>
                <w:vertAlign w:val="superscript"/>
                <w:lang w:val="en-US" w:eastAsia="zh-CN"/>
              </w:rPr>
              <w:t>3</w:t>
            </w:r>
            <w:r>
              <w:rPr>
                <w:rFonts w:hint="default" w:ascii="Times New Roman" w:hAnsi="Times New Roman" w:eastAsia="宋体" w:cs="Times New Roman"/>
                <w:b/>
                <w:bCs/>
                <w:color w:val="auto"/>
                <w:sz w:val="21"/>
                <w:szCs w:val="21"/>
                <w:highlight w:val="none"/>
                <w:shd w:val="clear" w:color="auto" w:fill="auto"/>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jc w:val="center"/>
        </w:trPr>
        <w:tc>
          <w:tcPr>
            <w:tcW w:w="1269" w:type="pct"/>
            <w:vMerge w:val="continue"/>
            <w:tcBorders>
              <w:top w:val="nil"/>
            </w:tcBorders>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b/>
                <w:bCs/>
                <w:color w:val="auto"/>
                <w:sz w:val="21"/>
                <w:szCs w:val="21"/>
                <w:highlight w:val="none"/>
                <w:lang w:val="en-US" w:eastAsia="zh-CN"/>
              </w:rPr>
            </w:pPr>
          </w:p>
        </w:tc>
        <w:tc>
          <w:tcPr>
            <w:tcW w:w="3730" w:type="pct"/>
            <w:gridSpan w:val="2"/>
            <w:tcBorders>
              <w:right w:val="single" w:color="auto" w:sz="4" w:space="0"/>
            </w:tcBorders>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最不利气象条件（稳定度 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 w:hRule="atLeast"/>
          <w:jc w:val="center"/>
        </w:trPr>
        <w:tc>
          <w:tcPr>
            <w:tcW w:w="126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距离 (m)</w:t>
            </w:r>
          </w:p>
        </w:tc>
        <w:tc>
          <w:tcPr>
            <w:tcW w:w="186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浓度出现时间  (min)</w:t>
            </w:r>
          </w:p>
        </w:tc>
        <w:tc>
          <w:tcPr>
            <w:tcW w:w="18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高峰 浓度 (mg/m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2.94E-04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2.22E-01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9.19E-05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3.33E-01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9.50E-05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4.44E-01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4.52E-05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5.56E-01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2.56E-05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6.67E-01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1.63E-05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7.78E-01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1.13E-05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8.89E-01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8.37E-06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9.00E+01</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6.50E-06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5.22E-06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4.30E-06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3.62E-06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3.10E-06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2.70E-06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2.37E-06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2.12E-06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1.91E-06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1.73E-06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1.58E-06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1.46E-06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1.26E-06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1.18E-06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9.28E-07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8.80E-07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8.37E-07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7.96E-07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7.59E-07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7.25E-07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6.93E-07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5.84E-07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3.47E-07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3.24E-07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2.84E-07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2.50E-07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2.22E-07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1.97E-07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1.62E-07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1.54E-07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1.42E-07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9.11E+00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9.22E+00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9.33E+00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9.44E+00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9.56E+00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9.67E+00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1.22E-07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9.78E+00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1.19E-07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9.89E+00</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1.16E-07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9.10E+02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9.20E+02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9.40E+02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9.50E+02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9.83E-08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9.70E+02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9.61E-08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9.39E-08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9.90E+02</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9.19E-08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248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1.00E+03</w:t>
            </w:r>
          </w:p>
        </w:tc>
        <w:tc>
          <w:tcPr>
            <w:tcW w:w="364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1.11E+01</w:t>
            </w:r>
          </w:p>
        </w:tc>
        <w:tc>
          <w:tcPr>
            <w:tcW w:w="36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8.98E-08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jc w:val="center"/>
        </w:trPr>
        <w:tc>
          <w:tcPr>
            <w:tcW w:w="1269" w:type="pct"/>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毒性终点浓度-1距离</w:t>
            </w:r>
          </w:p>
        </w:tc>
        <w:tc>
          <w:tcPr>
            <w:tcW w:w="3730" w:type="pct"/>
            <w:gridSpan w:val="2"/>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小于阈值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1269" w:type="pct"/>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毒性终点浓度-2距离</w:t>
            </w:r>
          </w:p>
        </w:tc>
        <w:tc>
          <w:tcPr>
            <w:tcW w:w="3730" w:type="pct"/>
            <w:gridSpan w:val="2"/>
            <w:noWrap w:val="0"/>
            <w:vAlign w:val="center"/>
          </w:tcPr>
          <w:p>
            <w:pPr>
              <w:pStyle w:val="49"/>
              <w:keepNext w:val="0"/>
              <w:keepLines w:val="0"/>
              <w:pageBreakBefore w:val="0"/>
              <w:widowControl/>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小于阈值</w:t>
            </w:r>
          </w:p>
        </w:tc>
      </w:tr>
    </w:tbl>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在不同气象条件时下风向不同距离处氰化氢、CO的高峰浓度预测结果</w:t>
      </w:r>
    </w:p>
    <w:tbl>
      <w:tblPr>
        <w:tblStyle w:val="32"/>
        <w:tblW w:w="507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132"/>
        <w:gridCol w:w="2072"/>
        <w:gridCol w:w="1736"/>
        <w:gridCol w:w="2007"/>
        <w:gridCol w:w="1951"/>
        <w:gridCol w:w="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1076" w:type="pct"/>
            <w:vMerge w:val="restart"/>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lang w:val="zh-CN" w:eastAsia="zh-CN" w:bidi="zh-CN"/>
              </w:rPr>
              <w:t>下方向距离（</w:t>
            </w:r>
            <w:r>
              <w:rPr>
                <w:rFonts w:hint="default" w:ascii="Times New Roman" w:hAnsi="Times New Roman" w:eastAsia="Times New Roman" w:cs="Times New Roman"/>
                <w:b/>
                <w:bCs w:val="0"/>
                <w:color w:val="auto"/>
                <w:sz w:val="21"/>
                <w:szCs w:val="21"/>
                <w:highlight w:val="none"/>
                <w:lang w:val="zh-CN" w:eastAsia="zh-CN" w:bidi="zh-CN"/>
              </w:rPr>
              <w:t>m</w:t>
            </w:r>
            <w:r>
              <w:rPr>
                <w:rFonts w:hint="default" w:ascii="Times New Roman" w:hAnsi="Times New Roman" w:eastAsia="宋体" w:cs="Times New Roman"/>
                <w:b/>
                <w:bCs w:val="0"/>
                <w:color w:val="auto"/>
                <w:sz w:val="21"/>
                <w:szCs w:val="21"/>
                <w:highlight w:val="none"/>
                <w:lang w:val="zh-CN" w:eastAsia="zh-CN" w:bidi="zh-CN"/>
              </w:rPr>
              <w:t>）</w:t>
            </w:r>
          </w:p>
        </w:tc>
        <w:tc>
          <w:tcPr>
            <w:tcW w:w="1922" w:type="pct"/>
            <w:gridSpan w:val="2"/>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b/>
                <w:bCs w:val="0"/>
                <w:color w:val="auto"/>
                <w:sz w:val="21"/>
                <w:szCs w:val="21"/>
                <w:highlight w:val="none"/>
                <w:lang w:val="en-US" w:eastAsia="zh-CN" w:bidi="zh-CN"/>
              </w:rPr>
            </w:pPr>
            <w:r>
              <w:rPr>
                <w:rFonts w:hint="default" w:ascii="Times New Roman" w:hAnsi="Times New Roman" w:eastAsia="宋体" w:cs="Times New Roman"/>
                <w:b/>
                <w:bCs w:val="0"/>
                <w:color w:val="auto"/>
                <w:sz w:val="21"/>
                <w:szCs w:val="21"/>
                <w:highlight w:val="none"/>
                <w:lang w:val="zh-CN" w:eastAsia="zh-CN" w:bidi="zh-CN"/>
              </w:rPr>
              <w:t>氰化氢</w:t>
            </w:r>
          </w:p>
        </w:tc>
        <w:tc>
          <w:tcPr>
            <w:tcW w:w="2001" w:type="pct"/>
            <w:gridSpan w:val="3"/>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b/>
                <w:bCs w:val="0"/>
                <w:color w:val="auto"/>
                <w:sz w:val="21"/>
                <w:szCs w:val="21"/>
                <w:highlight w:val="none"/>
                <w:lang w:val="en-US" w:eastAsia="zh-CN" w:bidi="zh-CN"/>
              </w:rPr>
            </w:pPr>
            <w:r>
              <w:rPr>
                <w:rFonts w:hint="default" w:ascii="Times New Roman" w:hAnsi="Times New Roman" w:eastAsia="宋体" w:cs="Times New Roman"/>
                <w:b/>
                <w:bCs w:val="0"/>
                <w:color w:val="auto"/>
                <w:sz w:val="21"/>
                <w:szCs w:val="21"/>
                <w:highlight w:val="none"/>
                <w:lang w:val="en-US" w:eastAsia="zh-CN" w:bidi="zh-CN"/>
              </w:rPr>
              <w:t>CO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1076" w:type="pct"/>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jc w:val="center"/>
              <w:textAlignment w:val="auto"/>
              <w:rPr>
                <w:rFonts w:hint="default" w:ascii="Times New Roman" w:hAnsi="Times New Roman" w:eastAsia="宋体" w:cs="Times New Roman"/>
                <w:b/>
                <w:bCs w:val="0"/>
                <w:color w:val="auto"/>
                <w:kern w:val="0"/>
                <w:sz w:val="21"/>
                <w:szCs w:val="21"/>
                <w:highlight w:val="none"/>
                <w:lang w:val="zh-CN" w:bidi="zh-CN"/>
              </w:rPr>
            </w:pPr>
          </w:p>
        </w:tc>
        <w:tc>
          <w:tcPr>
            <w:tcW w:w="1046" w:type="pct"/>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jc w:val="center"/>
              <w:textAlignment w:val="auto"/>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lang w:val="zh-CN" w:eastAsia="zh-CN" w:bidi="zh-CN"/>
              </w:rPr>
              <w:t>浓度出现时间  (min)</w:t>
            </w:r>
          </w:p>
        </w:tc>
        <w:tc>
          <w:tcPr>
            <w:tcW w:w="875" w:type="pct"/>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jc w:val="center"/>
              <w:textAlignment w:val="auto"/>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lang w:val="zh-CN" w:eastAsia="zh-CN" w:bidi="zh-CN"/>
              </w:rPr>
              <w:t>高峰浓度（</w:t>
            </w:r>
            <w:r>
              <w:rPr>
                <w:rFonts w:hint="default" w:ascii="Times New Roman" w:hAnsi="Times New Roman" w:eastAsia="Times New Roman" w:cs="Times New Roman"/>
                <w:b/>
                <w:bCs w:val="0"/>
                <w:color w:val="auto"/>
                <w:sz w:val="21"/>
                <w:szCs w:val="21"/>
                <w:highlight w:val="none"/>
                <w:lang w:val="zh-CN" w:eastAsia="zh-CN" w:bidi="zh-CN"/>
              </w:rPr>
              <w:t>mg/m</w:t>
            </w:r>
            <w:r>
              <w:rPr>
                <w:rFonts w:hint="default" w:ascii="Times New Roman" w:hAnsi="Times New Roman" w:eastAsia="Times New Roman" w:cs="Times New Roman"/>
                <w:b/>
                <w:bCs w:val="0"/>
                <w:color w:val="auto"/>
                <w:position w:val="7"/>
                <w:sz w:val="21"/>
                <w:szCs w:val="21"/>
                <w:highlight w:val="none"/>
                <w:lang w:val="zh-CN" w:eastAsia="zh-CN" w:bidi="zh-CN"/>
              </w:rPr>
              <w:t>3</w:t>
            </w:r>
            <w:r>
              <w:rPr>
                <w:rFonts w:hint="default" w:ascii="Times New Roman" w:hAnsi="Times New Roman" w:eastAsia="宋体" w:cs="Times New Roman"/>
                <w:b/>
                <w:bCs w:val="0"/>
                <w:color w:val="auto"/>
                <w:sz w:val="21"/>
                <w:szCs w:val="21"/>
                <w:highlight w:val="none"/>
                <w:lang w:val="zh-CN" w:eastAsia="zh-CN" w:bidi="zh-CN"/>
              </w:rPr>
              <w:t>）</w:t>
            </w:r>
          </w:p>
        </w:tc>
        <w:tc>
          <w:tcPr>
            <w:tcW w:w="1013" w:type="pct"/>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jc w:val="center"/>
              <w:textAlignment w:val="auto"/>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lang w:val="zh-CN" w:eastAsia="zh-CN" w:bidi="zh-CN"/>
              </w:rPr>
              <w:t>浓度出现时间  (min)</w:t>
            </w:r>
          </w:p>
        </w:tc>
        <w:tc>
          <w:tcPr>
            <w:tcW w:w="988" w:type="pct"/>
            <w:gridSpan w:val="2"/>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leftChars="0" w:right="0" w:rightChars="0"/>
              <w:jc w:val="center"/>
              <w:textAlignment w:val="auto"/>
              <w:rPr>
                <w:rFonts w:hint="default" w:ascii="Times New Roman" w:hAnsi="Times New Roman" w:eastAsia="宋体" w:cs="Times New Roman"/>
                <w:b/>
                <w:bCs w:val="0"/>
                <w:color w:val="auto"/>
                <w:sz w:val="21"/>
                <w:szCs w:val="21"/>
                <w:highlight w:val="none"/>
                <w:lang w:val="zh-CN" w:eastAsia="zh-CN" w:bidi="zh-CN"/>
              </w:rPr>
            </w:pPr>
            <w:r>
              <w:rPr>
                <w:rFonts w:hint="default" w:ascii="Times New Roman" w:hAnsi="Times New Roman" w:eastAsia="宋体" w:cs="Times New Roman"/>
                <w:b/>
                <w:bCs w:val="0"/>
                <w:color w:val="auto"/>
                <w:sz w:val="21"/>
                <w:szCs w:val="21"/>
                <w:highlight w:val="none"/>
                <w:lang w:val="zh-CN" w:eastAsia="zh-CN" w:bidi="zh-CN"/>
              </w:rPr>
              <w:t>高峰浓度（</w:t>
            </w:r>
            <w:r>
              <w:rPr>
                <w:rFonts w:hint="default" w:ascii="Times New Roman" w:hAnsi="Times New Roman" w:eastAsia="Times New Roman" w:cs="Times New Roman"/>
                <w:b/>
                <w:bCs w:val="0"/>
                <w:color w:val="auto"/>
                <w:sz w:val="21"/>
                <w:szCs w:val="21"/>
                <w:highlight w:val="none"/>
                <w:lang w:val="zh-CN" w:eastAsia="zh-CN" w:bidi="zh-CN"/>
              </w:rPr>
              <w:t>mg/m</w:t>
            </w:r>
            <w:r>
              <w:rPr>
                <w:rFonts w:hint="default" w:ascii="Times New Roman" w:hAnsi="Times New Roman" w:eastAsia="Times New Roman" w:cs="Times New Roman"/>
                <w:b/>
                <w:bCs w:val="0"/>
                <w:color w:val="auto"/>
                <w:position w:val="7"/>
                <w:sz w:val="21"/>
                <w:szCs w:val="21"/>
                <w:highlight w:val="none"/>
                <w:lang w:val="zh-CN" w:eastAsia="zh-CN" w:bidi="zh-CN"/>
              </w:rPr>
              <w:t>3</w:t>
            </w:r>
            <w:r>
              <w:rPr>
                <w:rFonts w:hint="default" w:ascii="Times New Roman" w:hAnsi="Times New Roman" w:eastAsia="宋体" w:cs="Times New Roman"/>
                <w:b/>
                <w:bCs w:val="0"/>
                <w:color w:val="auto"/>
                <w:sz w:val="21"/>
                <w:szCs w:val="21"/>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410" w:hRule="atLeast"/>
          <w:jc w:val="center"/>
        </w:trPr>
        <w:tc>
          <w:tcPr>
            <w:tcW w:w="1076" w:type="pct"/>
            <w:vMerge w:val="continue"/>
            <w:tcBorders>
              <w:top w:val="nil"/>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jc w:val="center"/>
              <w:textAlignment w:val="auto"/>
              <w:rPr>
                <w:rFonts w:hint="default" w:ascii="Times New Roman" w:hAnsi="Times New Roman" w:eastAsia="宋体" w:cs="Times New Roman"/>
                <w:b/>
                <w:bCs w:val="0"/>
                <w:color w:val="auto"/>
                <w:kern w:val="0"/>
                <w:sz w:val="21"/>
                <w:szCs w:val="21"/>
                <w:highlight w:val="none"/>
                <w:lang w:val="zh-CN" w:bidi="zh-CN"/>
              </w:rPr>
            </w:pPr>
          </w:p>
        </w:tc>
        <w:tc>
          <w:tcPr>
            <w:tcW w:w="3920" w:type="pct"/>
            <w:gridSpan w:val="4"/>
            <w:tcBorders>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jc w:val="center"/>
              <w:textAlignment w:val="auto"/>
              <w:rPr>
                <w:rFonts w:hint="default" w:ascii="Times New Roman" w:hAnsi="Times New Roman" w:eastAsia="宋体" w:cs="Times New Roman"/>
                <w:b/>
                <w:bCs w:val="0"/>
                <w:color w:val="auto"/>
                <w:kern w:val="2"/>
                <w:sz w:val="21"/>
                <w:szCs w:val="21"/>
                <w:highlight w:val="none"/>
                <w:lang w:val="zh-CN" w:eastAsia="zh-CN" w:bidi="zh-CN"/>
              </w:rPr>
            </w:pPr>
            <w:r>
              <w:rPr>
                <w:rFonts w:hint="default" w:ascii="Times New Roman" w:hAnsi="Times New Roman" w:eastAsia="宋体" w:cs="Times New Roman"/>
                <w:b/>
                <w:bCs w:val="0"/>
                <w:color w:val="auto"/>
                <w:sz w:val="21"/>
                <w:szCs w:val="21"/>
                <w:highlight w:val="none"/>
                <w:lang w:val="zh-CN" w:eastAsia="zh-CN" w:bidi="zh-CN"/>
              </w:rPr>
              <w:t xml:space="preserve">最不利气象条件（稳定度 </w:t>
            </w:r>
            <w:r>
              <w:rPr>
                <w:rFonts w:hint="default" w:ascii="Times New Roman" w:hAnsi="Times New Roman" w:eastAsia="Times New Roman" w:cs="Times New Roman"/>
                <w:b/>
                <w:bCs w:val="0"/>
                <w:color w:val="auto"/>
                <w:sz w:val="21"/>
                <w:szCs w:val="21"/>
                <w:highlight w:val="none"/>
                <w:lang w:val="zh-CN" w:eastAsia="zh-CN" w:bidi="zh-CN"/>
              </w:rPr>
              <w:t>F</w:t>
            </w:r>
            <w:r>
              <w:rPr>
                <w:rFonts w:hint="default" w:ascii="Times New Roman" w:hAnsi="Times New Roman" w:eastAsia="宋体" w:cs="Times New Roman"/>
                <w:b/>
                <w:bCs w:val="0"/>
                <w:color w:val="auto"/>
                <w:sz w:val="21"/>
                <w:szCs w:val="21"/>
                <w:highlight w:val="none"/>
                <w:lang w:val="zh-CN"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90"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9.91E+01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9.92E+01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2.22E-01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9.61E+00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9.93E+01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3.33E-01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9.84E+00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9.94E+01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4.44E-01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4.73E+00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9.96E+01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5.56E-01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2.69E+00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9.97E+01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6.67E-01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1.72E+00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9.98E+01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7.78E-01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1.20E+00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9.99E+01</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8.89E-01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8.89E-01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9.00E+01</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6.92E-01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5.56E-01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4.59E-01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3.86E-01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3.31E-01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2.88E-01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2.54E-01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2.26E-01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2.04E-01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1.85E-01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1.69E-01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90"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1.56E-01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1.45E-01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1.26E-01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1.18E-01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9.94E-02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9.43E-02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2.90E+02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8.96E-02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8.13E-02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7.42E-02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7.10E-02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5"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6.80E-02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6.52E-02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6.26E-02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3.90E+02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4.95E-02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4.77E-02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4.59E-02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4.43E-02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4.27E-02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4.12E-02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4.90E+02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3.98E-02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3.85E-02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3.72E-02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3.59E-02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3.47E-02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3.36E-02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3.25E-02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3.15E-02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3.05E-02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5.90E+02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2.86E-02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2.77E-02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2.68E-02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2.60E-02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2.52E-02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2.38E-02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2.24E-02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6.90E+02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2.11E-02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1.94E-02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1.89E-02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1.79E-02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1.69E-02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7.90E+02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1.60E-02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1.56E-02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9.00E+00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1.52E-02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9.11E+00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1.48E-02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9.22E+00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9.33E+00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9.44E+00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1.37E-02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9.56E+00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9.67E+00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9.78E+00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1.28E-02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8.90E+02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9.89E+00</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1.24E-02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9.00E+02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1.00E+01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9.10E+02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1.19E-02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9.20E+02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1.02E+01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1.16E-02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9.30E+02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9.40E+02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1.04E+01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9.50E+02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1.06E+01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9.60E+02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1.07E+01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9.70E+02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1.08E+01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9.80E+02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1.09E+01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1.01E-02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9.90E+02</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9.85E-03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90" w:hRule="atLeast"/>
          <w:jc w:val="center"/>
        </w:trPr>
        <w:tc>
          <w:tcPr>
            <w:tcW w:w="1076" w:type="pct"/>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2"/>
                <w:sz w:val="21"/>
                <w:szCs w:val="21"/>
                <w:highlight w:val="none"/>
                <w:u w:val="none"/>
                <w:lang w:val="zh-CN" w:eastAsia="zh-CN" w:bidi="ar-SA"/>
              </w:rPr>
            </w:pPr>
            <w:r>
              <w:rPr>
                <w:rFonts w:hint="default" w:ascii="Times New Roman" w:hAnsi="Times New Roman" w:eastAsia="宋体" w:cs="Times New Roman"/>
                <w:i w:val="0"/>
                <w:iCs w:val="0"/>
                <w:color w:val="auto"/>
                <w:kern w:val="0"/>
                <w:sz w:val="21"/>
                <w:szCs w:val="21"/>
                <w:u w:val="none"/>
                <w:lang w:val="en-US" w:eastAsia="zh-CN" w:bidi="ar"/>
              </w:rPr>
              <w:t>1.00E+03</w:t>
            </w:r>
          </w:p>
        </w:tc>
        <w:tc>
          <w:tcPr>
            <w:tcW w:w="2072"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1.10E+02</w:t>
            </w:r>
          </w:p>
        </w:tc>
        <w:tc>
          <w:tcPr>
            <w:tcW w:w="1736"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default" w:ascii="Times New Roman" w:hAnsi="Times New Roman" w:eastAsia="宋体" w:cs="Times New Roman"/>
                <w:i w:val="0"/>
                <w:iCs w:val="0"/>
                <w:color w:val="auto"/>
                <w:kern w:val="0"/>
                <w:sz w:val="21"/>
                <w:szCs w:val="21"/>
                <w:u w:val="none"/>
                <w:lang w:val="en-US" w:eastAsia="zh-CN" w:bidi="ar"/>
              </w:rPr>
              <w:t>0.00E+00</w:t>
            </w:r>
          </w:p>
        </w:tc>
        <w:tc>
          <w:tcPr>
            <w:tcW w:w="2007"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1.11E+01</w:t>
            </w:r>
          </w:p>
        </w:tc>
        <w:tc>
          <w:tcPr>
            <w:tcW w:w="1951" w:type="dxa"/>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9.64E-03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90" w:hRule="atLeast"/>
          <w:jc w:val="center"/>
        </w:trPr>
        <w:tc>
          <w:tcPr>
            <w:tcW w:w="1076" w:type="pct"/>
            <w:noWrap w:val="0"/>
            <w:vAlign w:val="center"/>
          </w:tcPr>
          <w:p>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vertAlign w:val="baseline"/>
                <w:lang w:val="en-US" w:eastAsia="zh-CN" w:bidi="ar-SA"/>
              </w:rPr>
              <w:t>毒性终点浓度-1</w:t>
            </w:r>
          </w:p>
        </w:tc>
        <w:tc>
          <w:tcPr>
            <w:tcW w:w="3920" w:type="pct"/>
            <w:gridSpan w:val="4"/>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小于阈值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3" w:type="pct"/>
          <w:trHeight w:val="312" w:hRule="atLeast"/>
          <w:jc w:val="center"/>
        </w:trPr>
        <w:tc>
          <w:tcPr>
            <w:tcW w:w="1076" w:type="pct"/>
            <w:noWrap w:val="0"/>
            <w:vAlign w:val="center"/>
          </w:tcPr>
          <w:p>
            <w:pPr>
              <w:keepNext w:val="0"/>
              <w:keepLines w:val="0"/>
              <w:pageBreakBefore w:val="0"/>
              <w:widowControl w:val="0"/>
              <w:kinsoku/>
              <w:wordWrap/>
              <w:overflowPunct/>
              <w:topLinePunct w:val="0"/>
              <w:bidi w:val="0"/>
              <w:adjustRightInd w:val="0"/>
              <w:snapToGrid w:val="0"/>
              <w:spacing w:line="240" w:lineRule="auto"/>
              <w:ind w:left="0" w:leftChars="0" w:firstLine="0" w:firstLineChars="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vertAlign w:val="baseline"/>
                <w:lang w:val="en-US" w:eastAsia="zh-CN" w:bidi="ar-SA"/>
              </w:rPr>
              <w:t>毒性终点浓度-2</w:t>
            </w:r>
          </w:p>
        </w:tc>
        <w:tc>
          <w:tcPr>
            <w:tcW w:w="3920" w:type="pct"/>
            <w:gridSpan w:val="4"/>
            <w:noWrap w:val="0"/>
            <w:vAlign w:val="center"/>
          </w:tcPr>
          <w:p>
            <w:pPr>
              <w:keepNext w:val="0"/>
              <w:keepLines w:val="0"/>
              <w:pageBreakBefore w:val="0"/>
              <w:widowControl/>
              <w:suppressLineNumbers w:val="0"/>
              <w:kinsoku/>
              <w:wordWrap/>
              <w:overflowPunct/>
              <w:topLinePunct w:val="0"/>
              <w:bidi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小于阈值</w:t>
            </w:r>
          </w:p>
        </w:tc>
      </w:tr>
    </w:tbl>
    <w:p>
      <w:pPr>
        <w:keepNext w:val="0"/>
        <w:keepLines w:val="0"/>
        <w:pageBreakBefore w:val="0"/>
        <w:widowControl w:val="0"/>
        <w:numPr>
          <w:ilvl w:val="2"/>
          <w:numId w:val="35"/>
        </w:numPr>
        <w:tabs>
          <w:tab w:val="left" w:pos="838"/>
        </w:tabs>
        <w:kinsoku/>
        <w:wordWrap/>
        <w:overflowPunct/>
        <w:topLinePunct w:val="0"/>
        <w:autoSpaceDE w:val="0"/>
        <w:autoSpaceDN w:val="0"/>
        <w:bidi w:val="0"/>
        <w:adjustRightInd/>
        <w:snapToGrid/>
        <w:spacing w:before="0" w:after="0" w:line="360" w:lineRule="auto"/>
        <w:ind w:left="709" w:leftChars="0" w:right="0" w:rightChars="0" w:hanging="709" w:firstLineChars="0"/>
        <w:jc w:val="both"/>
        <w:textAlignment w:val="auto"/>
        <w:outlineLvl w:val="2"/>
        <w:rPr>
          <w:rFonts w:hint="default" w:ascii="Times New Roman" w:hAnsi="Times New Roman" w:eastAsia="宋体" w:cs="Times New Roman"/>
          <w:b/>
          <w:color w:val="auto"/>
          <w:sz w:val="24"/>
          <w:szCs w:val="24"/>
          <w:highlight w:val="none"/>
          <w:lang w:val="zh-CN" w:eastAsia="zh-CN" w:bidi="zh-CN"/>
        </w:rPr>
      </w:pPr>
      <w:r>
        <w:rPr>
          <w:rFonts w:hint="default" w:ascii="Times New Roman" w:hAnsi="Times New Roman" w:eastAsia="宋体" w:cs="Times New Roman"/>
          <w:b/>
          <w:color w:val="auto"/>
          <w:sz w:val="24"/>
          <w:szCs w:val="24"/>
          <w:highlight w:val="none"/>
          <w:lang w:val="en-US" w:eastAsia="zh-CN" w:bidi="zh-CN"/>
        </w:rPr>
        <w:t>敏感点</w:t>
      </w:r>
      <w:r>
        <w:rPr>
          <w:rFonts w:hint="default" w:ascii="Times New Roman" w:hAnsi="Times New Roman" w:eastAsia="宋体" w:cs="Times New Roman"/>
          <w:b/>
          <w:color w:val="auto"/>
          <w:sz w:val="24"/>
          <w:szCs w:val="24"/>
          <w:highlight w:val="none"/>
          <w:lang w:val="zh-CN" w:eastAsia="zh-CN" w:bidi="zh-CN"/>
        </w:rPr>
        <w:t>预测结果</w:t>
      </w:r>
    </w:p>
    <w:p>
      <w:pPr>
        <w:spacing w:line="360" w:lineRule="auto"/>
        <w:ind w:left="0" w:leftChars="0" w:firstLine="480" w:firstLineChars="200"/>
        <w:rPr>
          <w:rFonts w:hint="default" w:ascii="Times New Roman" w:hAnsi="Times New Roman" w:eastAsia="宋体" w:cs="Times New Roman"/>
          <w:b w:val="0"/>
          <w:bCs w:val="0"/>
          <w:color w:val="auto"/>
          <w:sz w:val="24"/>
          <w:szCs w:val="24"/>
          <w:highlight w:val="none"/>
          <w:lang w:val="en-US" w:eastAsia="zh-CN"/>
        </w:rPr>
        <w:sectPr>
          <w:pgSz w:w="11906" w:h="16838"/>
          <w:pgMar w:top="1440" w:right="1080" w:bottom="1440" w:left="1080" w:header="851" w:footer="851" w:gutter="0"/>
          <w:pgNumType w:fmt="decimal"/>
          <w:cols w:space="720" w:num="1"/>
          <w:docGrid w:linePitch="312" w:charSpace="0"/>
        </w:sectPr>
      </w:pPr>
      <w:r>
        <w:rPr>
          <w:rFonts w:hint="default" w:ascii="Times New Roman" w:hAnsi="Times New Roman" w:cs="Times New Roman"/>
          <w:b w:val="0"/>
          <w:bCs w:val="0"/>
          <w:color w:val="auto"/>
          <w:kern w:val="2"/>
          <w:sz w:val="24"/>
          <w:szCs w:val="24"/>
          <w:highlight w:val="none"/>
          <w:lang w:val="en-US" w:eastAsia="zh-CN" w:bidi="ar-SA"/>
        </w:rPr>
        <w:t>根据上文分析，在最不利气象条件下MDI、</w:t>
      </w:r>
      <w:r>
        <w:rPr>
          <w:rFonts w:hint="default" w:ascii="Times New Roman" w:hAnsi="Times New Roman" w:eastAsia="宋体" w:cs="Times New Roman"/>
          <w:b w:val="0"/>
          <w:bCs w:val="0"/>
          <w:color w:val="auto"/>
          <w:kern w:val="2"/>
          <w:sz w:val="24"/>
          <w:szCs w:val="24"/>
          <w:highlight w:val="none"/>
          <w:lang w:val="en-US" w:eastAsia="zh-CN" w:bidi="ar-SA"/>
        </w:rPr>
        <w:t>氰化氢、CO在所有关心点处的预测浓度均不超过1级、2级大气毒性终点浓度</w:t>
      </w:r>
      <w:r>
        <w:rPr>
          <w:rFonts w:hint="default" w:ascii="Times New Roman" w:hAnsi="Times New Roman" w:cs="Times New Roman"/>
          <w:b w:val="0"/>
          <w:bCs w:val="0"/>
          <w:color w:val="auto"/>
          <w:kern w:val="2"/>
          <w:sz w:val="24"/>
          <w:szCs w:val="24"/>
          <w:highlight w:val="none"/>
          <w:lang w:val="en-US" w:eastAsia="zh-CN" w:bidi="ar-SA"/>
        </w:rPr>
        <w:t>，因此本项目不对周边敏感点做预测</w:t>
      </w:r>
      <w:r>
        <w:rPr>
          <w:rFonts w:hint="default" w:ascii="Times New Roman" w:hAnsi="Times New Roman" w:eastAsia="宋体" w:cs="Times New Roman"/>
          <w:b w:val="0"/>
          <w:bCs w:val="0"/>
          <w:color w:val="auto"/>
          <w:kern w:val="2"/>
          <w:sz w:val="24"/>
          <w:szCs w:val="24"/>
          <w:highlight w:val="none"/>
          <w:lang w:val="en-US" w:eastAsia="zh-CN" w:bidi="ar-SA"/>
        </w:rPr>
        <w:t>。</w:t>
      </w:r>
    </w:p>
    <w:p>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textAlignment w:val="baseline"/>
        <w:rPr>
          <w:rFonts w:hint="default" w:ascii="Times New Roman" w:hAnsi="Times New Roman" w:eastAsia="宋体" w:cs="Times New Roman"/>
          <w:color w:val="auto"/>
          <w:kern w:val="0"/>
          <w:sz w:val="24"/>
          <w:szCs w:val="20"/>
          <w:highlight w:val="none"/>
          <w:lang w:val="en-US" w:eastAsia="zh-CN" w:bidi="ar"/>
        </w:rPr>
      </w:pPr>
      <w:r>
        <w:rPr>
          <w:rFonts w:hint="default" w:ascii="Times New Roman" w:hAnsi="Times New Roman" w:eastAsia="宋体" w:cs="Times New Roman"/>
          <w:color w:val="auto"/>
          <w:kern w:val="0"/>
          <w:sz w:val="24"/>
          <w:szCs w:val="20"/>
          <w:highlight w:val="none"/>
          <w:lang w:val="en-US" w:eastAsia="zh-CN" w:bidi="ar"/>
        </w:rPr>
        <w:t>根据上文风险事故预测结果，本项目事故源项及事故后果信息归纳如下：</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 xml:space="preserve"> MDI事故源项及事故后果基本信息表</w:t>
      </w:r>
    </w:p>
    <w:tbl>
      <w:tblPr>
        <w:tblStyle w:val="3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73"/>
        <w:gridCol w:w="897"/>
        <w:gridCol w:w="2138"/>
        <w:gridCol w:w="1011"/>
        <w:gridCol w:w="674"/>
        <w:gridCol w:w="1494"/>
        <w:gridCol w:w="124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530" w:type="dxa"/>
            <w:gridSpan w:val="7"/>
            <w:tcBorders>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风险事故情形分析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2073"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代表性风险事故情</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形描述</w:t>
            </w:r>
          </w:p>
        </w:tc>
        <w:tc>
          <w:tcPr>
            <w:tcW w:w="7457" w:type="dxa"/>
            <w:gridSpan w:val="6"/>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en-US" w:eastAsia="zh-CN" w:bidi="zh-CN"/>
              </w:rPr>
            </w:pPr>
            <w:r>
              <w:rPr>
                <w:rFonts w:hint="default" w:ascii="Times New Roman" w:hAnsi="Times New Roman" w:eastAsia="宋体" w:cs="Times New Roman"/>
                <w:color w:val="auto"/>
                <w:sz w:val="21"/>
                <w:szCs w:val="22"/>
                <w:highlight w:val="none"/>
                <w:lang w:val="en-US" w:eastAsia="zh-CN" w:bidi="zh-CN"/>
              </w:rPr>
              <w:t>MDI泄漏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2073"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环境风险类型</w:t>
            </w:r>
          </w:p>
        </w:tc>
        <w:tc>
          <w:tcPr>
            <w:tcW w:w="7457" w:type="dxa"/>
            <w:gridSpan w:val="6"/>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jc w:val="center"/>
        </w:trPr>
        <w:tc>
          <w:tcPr>
            <w:tcW w:w="2073"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泄漏设备类型</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en-US" w:eastAsia="zh-CN" w:bidi="zh-CN"/>
              </w:rPr>
            </w:pPr>
            <w:r>
              <w:rPr>
                <w:rFonts w:hint="default" w:ascii="Times New Roman" w:hAnsi="Times New Roman" w:cs="Times New Roman"/>
                <w:color w:val="auto"/>
                <w:sz w:val="21"/>
                <w:szCs w:val="22"/>
                <w:highlight w:val="none"/>
                <w:lang w:val="en-US" w:eastAsia="zh-CN" w:bidi="zh-CN"/>
              </w:rPr>
              <w:t>预搅拌罐</w:t>
            </w:r>
            <w:r>
              <w:rPr>
                <w:rFonts w:hint="eastAsia" w:cs="Times New Roman"/>
                <w:color w:val="auto"/>
                <w:sz w:val="21"/>
                <w:szCs w:val="22"/>
                <w:highlight w:val="none"/>
                <w:lang w:val="en-US" w:eastAsia="zh-CN" w:bidi="zh-CN"/>
              </w:rPr>
              <w:t>、包装桶</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操作温度</w:t>
            </w:r>
            <w:r>
              <w:rPr>
                <w:rFonts w:hint="default" w:ascii="Times New Roman" w:hAnsi="Times New Roman" w:eastAsia="Times New Roman" w:cs="Times New Roman"/>
                <w:color w:val="auto"/>
                <w:sz w:val="21"/>
                <w:szCs w:val="22"/>
                <w:highlight w:val="none"/>
                <w:lang w:val="zh-CN" w:eastAsia="zh-CN" w:bidi="zh-CN"/>
              </w:rPr>
              <w:t>/℃</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25</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操作压力</w:t>
            </w:r>
            <w:r>
              <w:rPr>
                <w:rFonts w:hint="default" w:ascii="Times New Roman" w:hAnsi="Times New Roman" w:eastAsia="Times New Roman" w:cs="Times New Roman"/>
                <w:color w:val="auto"/>
                <w:sz w:val="21"/>
                <w:szCs w:val="22"/>
                <w:highlight w:val="none"/>
                <w:lang w:val="zh-CN" w:eastAsia="zh-CN" w:bidi="zh-CN"/>
              </w:rPr>
              <w:t>/MPa</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宋体" w:cs="Times New Roman"/>
                <w:color w:val="auto"/>
                <w:sz w:val="21"/>
                <w:szCs w:val="22"/>
                <w:highlight w:val="none"/>
                <w:lang w:val="en-US" w:eastAsia="zh-CN" w:bidi="zh-CN"/>
              </w:rPr>
              <w:t>101.325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86" w:hRule="atLeast"/>
          <w:jc w:val="center"/>
        </w:trPr>
        <w:tc>
          <w:tcPr>
            <w:tcW w:w="2073"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泄漏危险物质</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MDI</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最大存在量</w:t>
            </w:r>
            <w:r>
              <w:rPr>
                <w:rFonts w:hint="default" w:ascii="Times New Roman" w:hAnsi="Times New Roman" w:eastAsia="Times New Roman" w:cs="Times New Roman"/>
                <w:color w:val="auto"/>
                <w:sz w:val="21"/>
                <w:szCs w:val="22"/>
                <w:highlight w:val="none"/>
                <w:lang w:val="zh-CN" w:eastAsia="zh-CN" w:bidi="zh-CN"/>
              </w:rPr>
              <w:t>/kg</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eastAsia" w:eastAsia="Times New Roman" w:cs="Times New Roman"/>
                <w:color w:val="auto"/>
                <w:sz w:val="21"/>
                <w:szCs w:val="22"/>
                <w:highlight w:val="none"/>
                <w:lang w:val="en-US" w:eastAsia="zh-CN" w:bidi="zh-CN"/>
              </w:rPr>
              <w:t>3.8</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泄漏孔径</w:t>
            </w:r>
            <w:r>
              <w:rPr>
                <w:rFonts w:hint="default" w:ascii="Times New Roman" w:hAnsi="Times New Roman" w:eastAsia="Times New Roman" w:cs="Times New Roman"/>
                <w:color w:val="auto"/>
                <w:sz w:val="21"/>
                <w:szCs w:val="22"/>
                <w:highlight w:val="none"/>
                <w:lang w:val="zh-CN" w:eastAsia="zh-CN" w:bidi="zh-CN"/>
              </w:rPr>
              <w:t>/mm</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en-US" w:eastAsia="zh-CN" w:bidi="zh-CN"/>
              </w:rPr>
            </w:pPr>
            <w:r>
              <w:rPr>
                <w:rFonts w:hint="default" w:ascii="Times New Roman" w:hAnsi="Times New Roman" w:eastAsia="宋体" w:cs="Times New Roman"/>
                <w:color w:val="auto"/>
                <w:sz w:val="21"/>
                <w:szCs w:val="22"/>
                <w:highlight w:val="none"/>
                <w:lang w:val="en-US" w:eastAsia="zh-CN" w:bidi="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2073"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泄漏速率</w:t>
            </w:r>
            <w:r>
              <w:rPr>
                <w:rFonts w:hint="default" w:ascii="Times New Roman" w:hAnsi="Times New Roman" w:eastAsia="Times New Roman" w:cs="Times New Roman"/>
                <w:color w:val="auto"/>
                <w:sz w:val="21"/>
                <w:szCs w:val="22"/>
                <w:highlight w:val="none"/>
                <w:lang w:val="zh-CN" w:eastAsia="zh-CN" w:bidi="zh-CN"/>
              </w:rPr>
              <w:t>/(kg/s)</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0.</w:t>
            </w:r>
            <w:r>
              <w:rPr>
                <w:rFonts w:hint="eastAsia" w:eastAsia="Times New Roman" w:cs="Times New Roman"/>
                <w:color w:val="auto"/>
                <w:sz w:val="21"/>
                <w:szCs w:val="22"/>
                <w:highlight w:val="none"/>
                <w:lang w:val="en-US" w:eastAsia="zh-CN" w:bidi="zh-CN"/>
              </w:rPr>
              <w:t>1866</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泄漏时间</w:t>
            </w:r>
            <w:r>
              <w:rPr>
                <w:rFonts w:hint="default" w:ascii="Times New Roman" w:hAnsi="Times New Roman" w:eastAsia="Times New Roman" w:cs="Times New Roman"/>
                <w:color w:val="auto"/>
                <w:sz w:val="21"/>
                <w:szCs w:val="22"/>
                <w:highlight w:val="none"/>
                <w:lang w:val="zh-CN" w:eastAsia="zh-CN" w:bidi="zh-CN"/>
              </w:rPr>
              <w:t>/min</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10</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泄漏量</w:t>
            </w:r>
            <w:r>
              <w:rPr>
                <w:rFonts w:hint="default" w:ascii="Times New Roman" w:hAnsi="Times New Roman" w:eastAsia="Times New Roman" w:cs="Times New Roman"/>
                <w:color w:val="auto"/>
                <w:sz w:val="21"/>
                <w:szCs w:val="22"/>
                <w:highlight w:val="none"/>
                <w:lang w:val="zh-CN" w:eastAsia="zh-CN" w:bidi="zh-CN"/>
              </w:rPr>
              <w:t>/kg</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eastAsia" w:eastAsia="Times New Roman" w:cs="Times New Roman"/>
                <w:color w:val="auto"/>
                <w:sz w:val="21"/>
                <w:szCs w:val="22"/>
                <w:highlight w:val="none"/>
                <w:lang w:val="en-US" w:eastAsia="zh-CN" w:bidi="zh-CN"/>
              </w:rPr>
              <w:t>111.9096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073"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泄漏高度</w:t>
            </w:r>
            <w:r>
              <w:rPr>
                <w:rFonts w:hint="default" w:ascii="Times New Roman" w:hAnsi="Times New Roman" w:eastAsia="Times New Roman" w:cs="Times New Roman"/>
                <w:color w:val="auto"/>
                <w:sz w:val="21"/>
                <w:szCs w:val="22"/>
                <w:highlight w:val="none"/>
                <w:lang w:val="zh-CN" w:eastAsia="zh-CN" w:bidi="zh-CN"/>
              </w:rPr>
              <w:t>/m</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0.2</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泄漏液体蒸发量</w:t>
            </w:r>
            <w:r>
              <w:rPr>
                <w:rFonts w:hint="default" w:ascii="Times New Roman" w:hAnsi="Times New Roman" w:eastAsia="Times New Roman" w:cs="Times New Roman"/>
                <w:color w:val="auto"/>
                <w:sz w:val="21"/>
                <w:szCs w:val="22"/>
                <w:highlight w:val="none"/>
                <w:lang w:val="zh-CN" w:eastAsia="zh-CN" w:bidi="zh-CN"/>
              </w:rPr>
              <w:t>/kg</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eastAsia" w:cs="Times New Roman"/>
                <w:color w:val="auto"/>
                <w:sz w:val="21"/>
                <w:szCs w:val="21"/>
                <w:highlight w:val="none"/>
                <w:vertAlign w:val="baseline"/>
                <w:lang w:val="en-US" w:eastAsia="zh-CN"/>
              </w:rPr>
              <w:t>0.00001615</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泄漏频率</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1.00×10</w:t>
            </w:r>
            <w:r>
              <w:rPr>
                <w:rFonts w:hint="default" w:ascii="Times New Roman" w:hAnsi="Times New Roman" w:eastAsia="宋体" w:cs="Times New Roman"/>
                <w:color w:val="auto"/>
                <w:sz w:val="21"/>
                <w:szCs w:val="22"/>
                <w:highlight w:val="none"/>
                <w:vertAlign w:val="superscript"/>
                <w:lang w:val="zh-CN" w:eastAsia="zh-CN" w:bidi="zh-CN"/>
              </w:rPr>
              <w:t>-4</w:t>
            </w:r>
            <w:r>
              <w:rPr>
                <w:rFonts w:hint="default" w:ascii="Times New Roman" w:hAnsi="Times New Roman" w:eastAsia="宋体" w:cs="Times New Roman"/>
                <w:color w:val="auto"/>
                <w:sz w:val="21"/>
                <w:szCs w:val="22"/>
                <w:highlight w:val="none"/>
                <w:lang w:val="zh-CN" w:eastAsia="zh-CN" w:bidi="zh-CN"/>
              </w:rPr>
              <w:t>/a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530" w:type="dxa"/>
            <w:gridSpan w:val="7"/>
            <w:tcBorders>
              <w:top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事故后果预测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jc w:val="center"/>
        </w:trPr>
        <w:tc>
          <w:tcPr>
            <w:tcW w:w="2073" w:type="dxa"/>
            <w:vMerge w:val="restart"/>
            <w:tcBorders>
              <w:top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w:t>
            </w:r>
          </w:p>
        </w:tc>
        <w:tc>
          <w:tcPr>
            <w:tcW w:w="8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危险物质</w:t>
            </w:r>
          </w:p>
        </w:tc>
        <w:tc>
          <w:tcPr>
            <w:tcW w:w="6560" w:type="dxa"/>
            <w:gridSpan w:val="5"/>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4"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MDI</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指标</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浓度值</w:t>
            </w:r>
            <w:r>
              <w:rPr>
                <w:rFonts w:hint="default" w:ascii="Times New Roman" w:hAnsi="Times New Roman" w:eastAsia="Times New Roman" w:cs="Times New Roman"/>
                <w:color w:val="auto"/>
                <w:sz w:val="21"/>
                <w:szCs w:val="22"/>
                <w:highlight w:val="none"/>
                <w:lang w:val="zh-CN" w:eastAsia="zh-CN" w:bidi="zh-CN"/>
              </w:rPr>
              <w:t>/(mg/m</w:t>
            </w:r>
            <w:r>
              <w:rPr>
                <w:rFonts w:hint="default" w:ascii="Times New Roman" w:hAnsi="Times New Roman" w:eastAsia="Times New Roman" w:cs="Times New Roman"/>
                <w:color w:val="auto"/>
                <w:position w:val="7"/>
                <w:sz w:val="13"/>
                <w:szCs w:val="22"/>
                <w:highlight w:val="none"/>
                <w:lang w:val="zh-CN" w:eastAsia="zh-CN" w:bidi="zh-CN"/>
              </w:rPr>
              <w:t>3</w:t>
            </w:r>
            <w:r>
              <w:rPr>
                <w:rFonts w:hint="default" w:ascii="Times New Roman" w:hAnsi="Times New Roman" w:eastAsia="Times New Roman" w:cs="Times New Roman"/>
                <w:color w:val="auto"/>
                <w:sz w:val="21"/>
                <w:szCs w:val="22"/>
                <w:highlight w:val="none"/>
                <w:lang w:val="zh-CN" w:eastAsia="zh-CN" w:bidi="zh-CN"/>
              </w:rPr>
              <w:t>)</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最远影响距离</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/m</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到达时间/min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大气毒性终点浓度</w:t>
            </w:r>
            <w:r>
              <w:rPr>
                <w:rFonts w:hint="default" w:ascii="Times New Roman" w:hAnsi="Times New Roman" w:eastAsia="Times New Roman" w:cs="Times New Roman"/>
                <w:color w:val="auto"/>
                <w:sz w:val="21"/>
                <w:szCs w:val="22"/>
                <w:highlight w:val="none"/>
                <w:lang w:val="zh-CN" w:eastAsia="zh-CN" w:bidi="zh-CN"/>
              </w:rPr>
              <w:t>-1</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240</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7"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大气毒性终点浓度</w:t>
            </w:r>
            <w:r>
              <w:rPr>
                <w:rFonts w:hint="default" w:ascii="Times New Roman" w:hAnsi="Times New Roman" w:eastAsia="Times New Roman" w:cs="Times New Roman"/>
                <w:color w:val="auto"/>
                <w:sz w:val="21"/>
                <w:szCs w:val="22"/>
                <w:highlight w:val="none"/>
                <w:lang w:val="zh-CN" w:eastAsia="zh-CN" w:bidi="zh-CN"/>
              </w:rPr>
              <w:t>-2</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40</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w w:val="99"/>
                <w:sz w:val="21"/>
                <w:szCs w:val="22"/>
                <w:highlight w:val="none"/>
                <w:lang w:val="en-US" w:eastAsia="zh-CN" w:bidi="zh-CN"/>
              </w:rPr>
              <w:t>/</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2"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敏感目标名称</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/min</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/min</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最大浓度</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/(mg/m</w:t>
            </w:r>
            <w:r>
              <w:rPr>
                <w:rFonts w:hint="default" w:ascii="Times New Roman" w:hAnsi="Times New Roman" w:eastAsia="Times New Roman" w:cs="Times New Roman"/>
                <w:color w:val="auto"/>
                <w:position w:val="7"/>
                <w:sz w:val="13"/>
                <w:szCs w:val="22"/>
                <w:highlight w:val="none"/>
                <w:lang w:val="zh-CN" w:eastAsia="zh-CN" w:bidi="zh-CN"/>
              </w:rPr>
              <w:t>3</w:t>
            </w:r>
            <w:r>
              <w:rPr>
                <w:rFonts w:hint="default" w:ascii="Times New Roman" w:hAnsi="Times New Roman" w:eastAsia="Times New Roman" w:cs="Times New Roman"/>
                <w:color w:val="auto"/>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6"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68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494" w:type="dxa"/>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243"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en-US"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jc w:val="center"/>
        </w:trPr>
        <w:tc>
          <w:tcPr>
            <w:tcW w:w="2073" w:type="dxa"/>
            <w:vMerge w:val="restart"/>
            <w:tcBorders>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地表水</w:t>
            </w:r>
          </w:p>
        </w:tc>
        <w:tc>
          <w:tcPr>
            <w:tcW w:w="897" w:type="dxa"/>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危险物质</w:t>
            </w:r>
          </w:p>
        </w:tc>
        <w:tc>
          <w:tcPr>
            <w:tcW w:w="6560" w:type="dxa"/>
            <w:gridSpan w:val="5"/>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地表水环境影响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restar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MDI</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受纳水体名称</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最远超标距离</w:t>
            </w:r>
            <w:r>
              <w:rPr>
                <w:rFonts w:hint="default" w:ascii="Times New Roman" w:hAnsi="Times New Roman" w:eastAsia="Times New Roman" w:cs="Times New Roman"/>
                <w:color w:val="auto"/>
                <w:sz w:val="21"/>
                <w:szCs w:val="22"/>
                <w:highlight w:val="none"/>
                <w:lang w:val="zh-CN" w:eastAsia="zh-CN" w:bidi="zh-CN"/>
              </w:rPr>
              <w:t>/m</w:t>
            </w:r>
          </w:p>
        </w:tc>
        <w:tc>
          <w:tcPr>
            <w:tcW w:w="27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最远超标距离到达时间</w:t>
            </w:r>
            <w:r>
              <w:rPr>
                <w:rFonts w:hint="default" w:ascii="Times New Roman" w:hAnsi="Times New Roman" w:eastAsia="Times New Roman" w:cs="Times New Roman"/>
                <w:color w:val="auto"/>
                <w:sz w:val="21"/>
                <w:szCs w:val="22"/>
                <w:highlight w:val="none"/>
                <w:lang w:val="zh-CN" w:eastAsia="zh-CN" w:bidi="zh-CN"/>
              </w:rPr>
              <w:t>/h</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273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敏感目标名称</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达到时间</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/d</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最大浓度/</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（mg/L）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2073" w:type="dxa"/>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2073" w:type="dxa"/>
            <w:vMerge w:val="restart"/>
            <w:tcBorders>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地下水</w:t>
            </w:r>
          </w:p>
        </w:tc>
        <w:tc>
          <w:tcPr>
            <w:tcW w:w="897" w:type="dxa"/>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危险物质</w:t>
            </w:r>
          </w:p>
        </w:tc>
        <w:tc>
          <w:tcPr>
            <w:tcW w:w="6560"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地下水环境影响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0" w:hRule="atLeast"/>
          <w:jc w:val="center"/>
        </w:trPr>
        <w:tc>
          <w:tcPr>
            <w:tcW w:w="2073" w:type="dxa"/>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MDI</w:t>
            </w: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厂区边界</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达到时间</w:t>
            </w:r>
            <w:r>
              <w:rPr>
                <w:rFonts w:hint="default" w:ascii="Times New Roman" w:hAnsi="Times New Roman" w:eastAsia="Times New Roman" w:cs="Times New Roman"/>
                <w:color w:val="auto"/>
                <w:spacing w:val="-9"/>
                <w:sz w:val="21"/>
                <w:szCs w:val="22"/>
                <w:highlight w:val="none"/>
                <w:lang w:val="zh-CN" w:eastAsia="zh-CN" w:bidi="zh-CN"/>
              </w:rPr>
              <w:t>/d</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/d</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最大浓度/</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（mg/L）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1" w:hRule="atLeast"/>
          <w:jc w:val="center"/>
        </w:trPr>
        <w:tc>
          <w:tcPr>
            <w:tcW w:w="2073" w:type="dxa"/>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下游厂区边界</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jc w:val="center"/>
        </w:trPr>
        <w:tc>
          <w:tcPr>
            <w:tcW w:w="2073" w:type="dxa"/>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敏感目标名称</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达到时间</w:t>
            </w:r>
            <w:r>
              <w:rPr>
                <w:rFonts w:hint="default" w:ascii="Times New Roman" w:hAnsi="Times New Roman" w:eastAsia="Times New Roman" w:cs="Times New Roman"/>
                <w:color w:val="auto"/>
                <w:spacing w:val="-9"/>
                <w:sz w:val="21"/>
                <w:szCs w:val="22"/>
                <w:highlight w:val="none"/>
                <w:lang w:val="zh-CN" w:eastAsia="zh-CN" w:bidi="zh-CN"/>
              </w:rPr>
              <w:t>/d</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/d</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最大浓度/</w:t>
            </w: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（mg/L）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2" w:hRule="atLeast"/>
          <w:jc w:val="center"/>
        </w:trPr>
        <w:tc>
          <w:tcPr>
            <w:tcW w:w="2073" w:type="dxa"/>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897" w:type="dxa"/>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21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0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4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bl>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氰化氢（火灾爆炸伴生/次生污染物）事故源项及事故后果基本信息表</w:t>
      </w:r>
    </w:p>
    <w:tbl>
      <w:tblPr>
        <w:tblStyle w:val="32"/>
        <w:tblW w:w="515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965"/>
        <w:gridCol w:w="952"/>
        <w:gridCol w:w="2080"/>
        <w:gridCol w:w="1004"/>
        <w:gridCol w:w="706"/>
        <w:gridCol w:w="1690"/>
        <w:gridCol w:w="16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5000" w:type="pct"/>
            <w:gridSpan w:val="7"/>
            <w:tcBorders>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风险事故情形分析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977"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代表性风险事故情</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形描述</w:t>
            </w:r>
          </w:p>
        </w:tc>
        <w:tc>
          <w:tcPr>
            <w:tcW w:w="4022" w:type="pct"/>
            <w:gridSpan w:val="6"/>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发火灾、爆炸事故时，MDI遇火分解产生氰化氢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77"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环境风险类型</w:t>
            </w:r>
          </w:p>
        </w:tc>
        <w:tc>
          <w:tcPr>
            <w:tcW w:w="4022" w:type="pct"/>
            <w:gridSpan w:val="6"/>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cs="Times New Roman"/>
                <w:color w:val="auto"/>
                <w:sz w:val="21"/>
                <w:szCs w:val="21"/>
                <w:highlight w:val="none"/>
                <w:lang w:val="en-US" w:eastAsia="zh-CN" w:bidi="zh-CN"/>
              </w:rPr>
              <w:t>泄漏蒸发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77"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泄漏设备类型</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highlight w:val="none"/>
                <w:lang w:val="zh-CN" w:eastAsia="zh-CN" w:bidi="zh-CN"/>
              </w:rPr>
            </w:pPr>
            <w:r>
              <w:rPr>
                <w:rFonts w:hint="default" w:ascii="Times New Roman" w:hAnsi="Times New Roman" w:cs="Times New Roman"/>
                <w:color w:val="auto"/>
                <w:sz w:val="21"/>
                <w:szCs w:val="22"/>
                <w:highlight w:val="none"/>
                <w:lang w:val="en-US" w:eastAsia="zh-CN" w:bidi="zh-CN"/>
              </w:rPr>
              <w:t>预搅拌罐</w:t>
            </w:r>
            <w:r>
              <w:rPr>
                <w:rFonts w:hint="eastAsia" w:cs="Times New Roman"/>
                <w:color w:val="auto"/>
                <w:sz w:val="21"/>
                <w:szCs w:val="22"/>
                <w:highlight w:val="none"/>
                <w:lang w:val="en-US" w:eastAsia="zh-CN" w:bidi="zh-CN"/>
              </w:rPr>
              <w:t>、包装桶</w:t>
            </w: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操作温度</w:t>
            </w:r>
            <w:r>
              <w:rPr>
                <w:rFonts w:hint="default" w:ascii="Times New Roman" w:hAnsi="Times New Roman" w:eastAsia="Times New Roman" w:cs="Times New Roman"/>
                <w:color w:val="auto"/>
                <w:sz w:val="21"/>
                <w:szCs w:val="22"/>
                <w:highlight w:val="none"/>
                <w:lang w:val="zh-CN" w:eastAsia="zh-CN" w:bidi="zh-CN"/>
              </w:rPr>
              <w:t>/℃</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en-US" w:eastAsia="zh-CN" w:bidi="zh-CN"/>
              </w:rPr>
              <w:t>25</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操作压力</w:t>
            </w:r>
            <w:r>
              <w:rPr>
                <w:rFonts w:hint="default" w:ascii="Times New Roman" w:hAnsi="Times New Roman" w:eastAsia="Times New Roman" w:cs="Times New Roman"/>
                <w:color w:val="auto"/>
                <w:sz w:val="21"/>
                <w:szCs w:val="22"/>
                <w:highlight w:val="none"/>
                <w:lang w:val="zh-CN" w:eastAsia="zh-CN" w:bidi="zh-CN"/>
              </w:rPr>
              <w:t>/MPa</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101.325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7" w:hRule="atLeast"/>
          <w:jc w:val="center"/>
        </w:trPr>
        <w:tc>
          <w:tcPr>
            <w:tcW w:w="977"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泄漏危险物质</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highlight w:val="none"/>
                <w:lang w:val="en-US" w:eastAsia="zh-CN" w:bidi="zh-CN"/>
              </w:rPr>
            </w:pPr>
            <w:r>
              <w:rPr>
                <w:rFonts w:hint="default" w:ascii="Times New Roman" w:hAnsi="Times New Roman" w:eastAsia="Times New Roman" w:cs="Times New Roman"/>
                <w:color w:val="auto"/>
                <w:sz w:val="21"/>
                <w:szCs w:val="21"/>
                <w:highlight w:val="none"/>
                <w:lang w:val="zh-CN" w:eastAsia="zh-CN" w:bidi="zh-CN"/>
              </w:rPr>
              <w:t>氰化氢</w:t>
            </w: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最大存在量</w:t>
            </w:r>
            <w:r>
              <w:rPr>
                <w:rFonts w:hint="default" w:ascii="Times New Roman" w:hAnsi="Times New Roman" w:eastAsia="Times New Roman" w:cs="Times New Roman"/>
                <w:color w:val="auto"/>
                <w:sz w:val="21"/>
                <w:szCs w:val="22"/>
                <w:highlight w:val="none"/>
                <w:lang w:val="zh-CN" w:eastAsia="zh-CN" w:bidi="zh-CN"/>
              </w:rPr>
              <w:t>/kg</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eastAsia" w:eastAsia="Times New Roman" w:cs="Times New Roman"/>
                <w:color w:val="auto"/>
                <w:sz w:val="21"/>
                <w:szCs w:val="22"/>
                <w:highlight w:val="none"/>
                <w:lang w:val="en-US" w:eastAsia="zh-CN" w:bidi="zh-CN"/>
              </w:rPr>
              <w:t>3.8</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泄漏孔径</w:t>
            </w:r>
            <w:r>
              <w:rPr>
                <w:rFonts w:hint="default" w:ascii="Times New Roman" w:hAnsi="Times New Roman" w:eastAsia="Times New Roman" w:cs="Times New Roman"/>
                <w:color w:val="auto"/>
                <w:sz w:val="21"/>
                <w:szCs w:val="22"/>
                <w:highlight w:val="none"/>
                <w:lang w:val="zh-CN" w:eastAsia="zh-CN" w:bidi="zh-CN"/>
              </w:rPr>
              <w:t>/mm</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1965"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泄漏速率</w:t>
            </w:r>
            <w:r>
              <w:rPr>
                <w:rFonts w:hint="default" w:ascii="Times New Roman" w:hAnsi="Times New Roman" w:eastAsia="Times New Roman" w:cs="Times New Roman"/>
                <w:color w:val="auto"/>
                <w:sz w:val="21"/>
                <w:szCs w:val="22"/>
                <w:highlight w:val="none"/>
                <w:lang w:val="zh-CN" w:eastAsia="zh-CN" w:bidi="zh-CN"/>
              </w:rPr>
              <w:t>/(kg/s)</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0.</w:t>
            </w:r>
            <w:r>
              <w:rPr>
                <w:rFonts w:hint="eastAsia" w:eastAsia="Times New Roman" w:cs="Times New Roman"/>
                <w:color w:val="auto"/>
                <w:sz w:val="21"/>
                <w:szCs w:val="22"/>
                <w:highlight w:val="none"/>
                <w:lang w:val="en-US" w:eastAsia="zh-CN" w:bidi="zh-CN"/>
              </w:rPr>
              <w:t>1866</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泄漏时间</w:t>
            </w:r>
            <w:r>
              <w:rPr>
                <w:rFonts w:hint="default" w:ascii="Times New Roman" w:hAnsi="Times New Roman" w:eastAsia="Times New Roman" w:cs="Times New Roman"/>
                <w:color w:val="auto"/>
                <w:sz w:val="21"/>
                <w:szCs w:val="22"/>
                <w:highlight w:val="none"/>
                <w:lang w:val="zh-CN" w:eastAsia="zh-CN" w:bidi="zh-CN"/>
              </w:rPr>
              <w:t>/min</w:t>
            </w:r>
          </w:p>
        </w:tc>
        <w:tc>
          <w:tcPr>
            <w:tcW w:w="171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10</w:t>
            </w:r>
          </w:p>
        </w:tc>
        <w:tc>
          <w:tcPr>
            <w:tcW w:w="1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泄漏量</w:t>
            </w:r>
            <w:r>
              <w:rPr>
                <w:rFonts w:hint="default" w:ascii="Times New Roman" w:hAnsi="Times New Roman" w:eastAsia="Times New Roman" w:cs="Times New Roman"/>
                <w:color w:val="auto"/>
                <w:sz w:val="21"/>
                <w:szCs w:val="22"/>
                <w:highlight w:val="none"/>
                <w:lang w:val="zh-CN" w:eastAsia="zh-CN" w:bidi="zh-CN"/>
              </w:rPr>
              <w:t>/kg</w:t>
            </w:r>
          </w:p>
        </w:tc>
        <w:tc>
          <w:tcPr>
            <w:tcW w:w="1662"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eastAsia" w:eastAsia="Times New Roman" w:cs="Times New Roman"/>
                <w:color w:val="auto"/>
                <w:sz w:val="21"/>
                <w:szCs w:val="22"/>
                <w:highlight w:val="none"/>
                <w:lang w:val="en-US" w:eastAsia="zh-CN" w:bidi="zh-CN"/>
              </w:rPr>
              <w:t>111.9096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1965"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泄漏高度</w:t>
            </w:r>
            <w:r>
              <w:rPr>
                <w:rFonts w:hint="default" w:ascii="Times New Roman" w:hAnsi="Times New Roman" w:eastAsia="Times New Roman" w:cs="Times New Roman"/>
                <w:color w:val="auto"/>
                <w:sz w:val="21"/>
                <w:szCs w:val="22"/>
                <w:highlight w:val="none"/>
                <w:lang w:val="zh-CN" w:eastAsia="zh-CN" w:bidi="zh-CN"/>
              </w:rPr>
              <w:t>/m</w:t>
            </w:r>
          </w:p>
        </w:tc>
        <w:tc>
          <w:tcPr>
            <w:tcW w:w="9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0.2</w:t>
            </w:r>
          </w:p>
        </w:tc>
        <w:tc>
          <w:tcPr>
            <w:tcW w:w="2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泄漏液体蒸发量</w:t>
            </w:r>
            <w:r>
              <w:rPr>
                <w:rFonts w:hint="default" w:ascii="Times New Roman" w:hAnsi="Times New Roman" w:eastAsia="Times New Roman" w:cs="Times New Roman"/>
                <w:color w:val="auto"/>
                <w:sz w:val="21"/>
                <w:szCs w:val="22"/>
                <w:highlight w:val="none"/>
                <w:lang w:val="zh-CN" w:eastAsia="zh-CN" w:bidi="zh-CN"/>
              </w:rPr>
              <w:t>/kg</w:t>
            </w:r>
          </w:p>
        </w:tc>
        <w:tc>
          <w:tcPr>
            <w:tcW w:w="171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eastAsia" w:cs="Times New Roman"/>
                <w:color w:val="auto"/>
                <w:sz w:val="21"/>
                <w:szCs w:val="21"/>
                <w:highlight w:val="none"/>
                <w:vertAlign w:val="baseline"/>
                <w:lang w:val="en-US" w:eastAsia="zh-CN"/>
              </w:rPr>
              <w:t>0.00001615</w:t>
            </w:r>
          </w:p>
        </w:tc>
        <w:tc>
          <w:tcPr>
            <w:tcW w:w="16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泄漏频率</w:t>
            </w:r>
          </w:p>
        </w:tc>
        <w:tc>
          <w:tcPr>
            <w:tcW w:w="1662"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vertAlign w:val="baseline"/>
                <w:lang w:val="zh-CN" w:eastAsia="zh-CN"/>
              </w:rPr>
            </w:pPr>
            <w:r>
              <w:rPr>
                <w:rFonts w:hint="default" w:ascii="Times New Roman" w:hAnsi="Times New Roman" w:eastAsia="宋体" w:cs="Times New Roman"/>
                <w:color w:val="auto"/>
                <w:sz w:val="21"/>
                <w:szCs w:val="22"/>
                <w:highlight w:val="none"/>
                <w:lang w:val="zh-CN" w:eastAsia="zh-CN" w:bidi="zh-CN"/>
              </w:rPr>
              <w:t>1.00×10</w:t>
            </w:r>
            <w:r>
              <w:rPr>
                <w:rFonts w:hint="default" w:ascii="Times New Roman" w:hAnsi="Times New Roman" w:eastAsia="宋体" w:cs="Times New Roman"/>
                <w:color w:val="auto"/>
                <w:sz w:val="21"/>
                <w:szCs w:val="22"/>
                <w:highlight w:val="none"/>
                <w:vertAlign w:val="superscript"/>
                <w:lang w:val="zh-CN" w:eastAsia="zh-CN" w:bidi="zh-CN"/>
              </w:rPr>
              <w:t>-4</w:t>
            </w:r>
            <w:r>
              <w:rPr>
                <w:rFonts w:hint="default" w:ascii="Times New Roman" w:hAnsi="Times New Roman" w:eastAsia="宋体" w:cs="Times New Roman"/>
                <w:color w:val="auto"/>
                <w:sz w:val="21"/>
                <w:szCs w:val="22"/>
                <w:highlight w:val="none"/>
                <w:lang w:val="zh-CN" w:eastAsia="zh-CN" w:bidi="zh-CN"/>
              </w:rPr>
              <w:t>/a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5000" w:type="pct"/>
            <w:gridSpan w:val="7"/>
            <w:tcBorders>
              <w:top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事故后果预测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jc w:val="center"/>
        </w:trPr>
        <w:tc>
          <w:tcPr>
            <w:tcW w:w="977" w:type="pct"/>
            <w:vMerge w:val="restart"/>
            <w:tcBorders>
              <w:top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大气</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危险物质</w:t>
            </w:r>
          </w:p>
        </w:tc>
        <w:tc>
          <w:tcPr>
            <w:tcW w:w="3549" w:type="pct"/>
            <w:gridSpan w:val="5"/>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大气环境影响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3"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氰化氢</w:t>
            </w: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指标</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浓度值</w:t>
            </w:r>
            <w:r>
              <w:rPr>
                <w:rFonts w:hint="default" w:ascii="Times New Roman" w:hAnsi="Times New Roman" w:eastAsia="Times New Roman" w:cs="Times New Roman"/>
                <w:color w:val="auto"/>
                <w:sz w:val="21"/>
                <w:szCs w:val="21"/>
                <w:highlight w:val="none"/>
                <w:lang w:val="zh-CN" w:eastAsia="zh-CN" w:bidi="zh-CN"/>
              </w:rPr>
              <w:t>/(mg/m</w:t>
            </w:r>
            <w:r>
              <w:rPr>
                <w:rFonts w:hint="default" w:ascii="Times New Roman" w:hAnsi="Times New Roman" w:eastAsia="Times New Roman" w:cs="Times New Roman"/>
                <w:color w:val="auto"/>
                <w:position w:val="7"/>
                <w:sz w:val="21"/>
                <w:szCs w:val="21"/>
                <w:highlight w:val="none"/>
                <w:lang w:val="zh-CN" w:eastAsia="zh-CN" w:bidi="zh-CN"/>
              </w:rPr>
              <w:t>3</w:t>
            </w:r>
            <w:r>
              <w:rPr>
                <w:rFonts w:hint="default" w:ascii="Times New Roman" w:hAnsi="Times New Roman" w:eastAsia="Times New Roman" w:cs="Times New Roman"/>
                <w:color w:val="auto"/>
                <w:sz w:val="21"/>
                <w:szCs w:val="21"/>
                <w:highlight w:val="none"/>
                <w:lang w:val="zh-CN" w:eastAsia="zh-CN" w:bidi="zh-CN"/>
              </w:rPr>
              <w:t>)</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最远影响距离</w:t>
            </w:r>
            <w:r>
              <w:rPr>
                <w:rFonts w:hint="default" w:ascii="Times New Roman" w:hAnsi="Times New Roman" w:eastAsia="Times New Roman" w:cs="Times New Roman"/>
                <w:color w:val="auto"/>
                <w:sz w:val="21"/>
                <w:szCs w:val="21"/>
                <w:highlight w:val="none"/>
                <w:lang w:val="zh-CN" w:eastAsia="zh-CN" w:bidi="zh-CN"/>
              </w:rPr>
              <w:t>/m</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w w:val="95"/>
                <w:sz w:val="21"/>
                <w:szCs w:val="21"/>
                <w:highlight w:val="none"/>
                <w:lang w:val="zh-CN" w:eastAsia="zh-CN" w:bidi="zh-CN"/>
              </w:rPr>
              <w:t>到达时间/min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大气毒性终点浓度</w:t>
            </w:r>
            <w:r>
              <w:rPr>
                <w:rFonts w:hint="default" w:ascii="Times New Roman" w:hAnsi="Times New Roman" w:eastAsia="Times New Roman" w:cs="Times New Roman"/>
                <w:color w:val="auto"/>
                <w:sz w:val="21"/>
                <w:szCs w:val="21"/>
                <w:highlight w:val="none"/>
                <w:lang w:val="zh-CN" w:eastAsia="zh-CN" w:bidi="zh-CN"/>
              </w:rPr>
              <w:t>-1</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default" w:ascii="Times New Roman" w:hAnsi="Times New Roman" w:eastAsia="Times New Roman" w:cs="Times New Roman"/>
                <w:color w:val="auto"/>
                <w:sz w:val="21"/>
                <w:szCs w:val="21"/>
                <w:highlight w:val="none"/>
                <w:lang w:val="en-US" w:eastAsia="zh-CN" w:bidi="zh-CN"/>
              </w:rPr>
              <w:t>17</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default" w:ascii="Times New Roman" w:hAnsi="Times New Roman" w:eastAsia="Times New Roman" w:cs="Times New Roman"/>
                <w:color w:val="auto"/>
                <w:sz w:val="21"/>
                <w:szCs w:val="21"/>
                <w:highlight w:val="none"/>
                <w:lang w:val="en-US" w:eastAsia="zh-CN" w:bidi="zh-CN"/>
              </w:rPr>
              <w:t>/</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大气毒性终点浓度</w:t>
            </w:r>
            <w:r>
              <w:rPr>
                <w:rFonts w:hint="default" w:ascii="Times New Roman" w:hAnsi="Times New Roman" w:eastAsia="Times New Roman" w:cs="Times New Roman"/>
                <w:color w:val="auto"/>
                <w:sz w:val="21"/>
                <w:szCs w:val="21"/>
                <w:highlight w:val="none"/>
                <w:lang w:val="zh-CN" w:eastAsia="zh-CN" w:bidi="zh-CN"/>
              </w:rPr>
              <w:t>-2</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default" w:ascii="Times New Roman" w:hAnsi="Times New Roman" w:eastAsia="Times New Roman" w:cs="Times New Roman"/>
                <w:color w:val="auto"/>
                <w:sz w:val="21"/>
                <w:szCs w:val="21"/>
                <w:highlight w:val="none"/>
                <w:lang w:val="en-US" w:eastAsia="zh-CN" w:bidi="zh-CN"/>
              </w:rPr>
              <w:t>7.8</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default" w:ascii="Times New Roman" w:hAnsi="Times New Roman" w:eastAsia="Times New Roman" w:cs="Times New Roman"/>
                <w:color w:val="auto"/>
                <w:sz w:val="21"/>
                <w:szCs w:val="21"/>
                <w:highlight w:val="none"/>
                <w:lang w:val="en-US" w:eastAsia="zh-CN" w:bidi="zh-CN"/>
              </w:rPr>
              <w:t>/</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4"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敏感目标名称</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超标时间</w:t>
            </w:r>
            <w:r>
              <w:rPr>
                <w:rFonts w:hint="default" w:ascii="Times New Roman" w:hAnsi="Times New Roman" w:eastAsia="Times New Roman" w:cs="Times New Roman"/>
                <w:color w:val="auto"/>
                <w:sz w:val="21"/>
                <w:szCs w:val="21"/>
                <w:highlight w:val="none"/>
                <w:lang w:val="zh-CN" w:eastAsia="zh-CN" w:bidi="zh-CN"/>
              </w:rPr>
              <w:t>/min</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both"/>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超标持续时间</w:t>
            </w:r>
            <w:r>
              <w:rPr>
                <w:rFonts w:hint="default" w:ascii="Times New Roman" w:hAnsi="Times New Roman" w:eastAsia="Times New Roman" w:cs="Times New Roman"/>
                <w:color w:val="auto"/>
                <w:sz w:val="21"/>
                <w:szCs w:val="21"/>
                <w:highlight w:val="none"/>
                <w:lang w:val="zh-CN" w:eastAsia="zh-CN" w:bidi="zh-CN"/>
              </w:rPr>
              <w:t>/min</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both"/>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w w:val="95"/>
                <w:sz w:val="21"/>
                <w:szCs w:val="21"/>
                <w:highlight w:val="none"/>
                <w:lang w:val="zh-CN" w:eastAsia="zh-CN" w:bidi="zh-CN"/>
              </w:rPr>
              <w:t>最大浓度/(mg/m</w:t>
            </w:r>
            <w:r>
              <w:rPr>
                <w:rFonts w:hint="default" w:ascii="Times New Roman" w:hAnsi="Times New Roman" w:eastAsia="宋体" w:cs="Times New Roman"/>
                <w:color w:val="auto"/>
                <w:w w:val="95"/>
                <w:sz w:val="21"/>
                <w:szCs w:val="21"/>
                <w:highlight w:val="none"/>
                <w:vertAlign w:val="superscript"/>
                <w:lang w:val="zh-CN" w:eastAsia="zh-CN" w:bidi="zh-CN"/>
              </w:rPr>
              <w:t>3</w:t>
            </w:r>
            <w:r>
              <w:rPr>
                <w:rFonts w:hint="default" w:ascii="Times New Roman" w:hAnsi="Times New Roman" w:eastAsia="宋体" w:cs="Times New Roman"/>
                <w:color w:val="auto"/>
                <w:w w:val="95"/>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3"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50" w:type="pct"/>
            <w:gridSpan w:val="2"/>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40" w:type="pc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23"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en-US" w:eastAsia="zh-CN" w:bidi="zh-CN"/>
              </w:rPr>
            </w:pPr>
            <w:r>
              <w:rPr>
                <w:rFonts w:hint="default" w:ascii="Times New Roman" w:hAnsi="Times New Roman" w:eastAsia="Times New Roman" w:cs="Times New Roman"/>
                <w:color w:val="auto"/>
                <w:sz w:val="21"/>
                <w:szCs w:val="21"/>
                <w:highlight w:val="none"/>
                <w:lang w:val="en-US"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jc w:val="center"/>
        </w:trPr>
        <w:tc>
          <w:tcPr>
            <w:tcW w:w="977" w:type="pct"/>
            <w:vMerge w:val="restart"/>
            <w:tcBorders>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地表水</w:t>
            </w:r>
          </w:p>
        </w:tc>
        <w:tc>
          <w:tcPr>
            <w:tcW w:w="473" w:type="pc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危险物质</w:t>
            </w:r>
          </w:p>
        </w:tc>
        <w:tc>
          <w:tcPr>
            <w:tcW w:w="3549" w:type="pct"/>
            <w:gridSpan w:val="5"/>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地表水环境影响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restar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氰化氢</w:t>
            </w: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受纳水体名称</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最远超标距离</w:t>
            </w:r>
            <w:r>
              <w:rPr>
                <w:rFonts w:hint="default" w:ascii="Times New Roman" w:hAnsi="Times New Roman" w:eastAsia="Times New Roman" w:cs="Times New Roman"/>
                <w:color w:val="auto"/>
                <w:sz w:val="21"/>
                <w:szCs w:val="21"/>
                <w:highlight w:val="none"/>
                <w:lang w:val="zh-CN" w:eastAsia="zh-CN" w:bidi="zh-CN"/>
              </w:rPr>
              <w:t>/m</w:t>
            </w:r>
          </w:p>
        </w:tc>
        <w:tc>
          <w:tcPr>
            <w:tcW w:w="166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最远超标距离到达时间</w:t>
            </w:r>
            <w:r>
              <w:rPr>
                <w:rFonts w:hint="default" w:ascii="Times New Roman" w:hAnsi="Times New Roman" w:eastAsia="Times New Roman" w:cs="Times New Roman"/>
                <w:color w:val="auto"/>
                <w:sz w:val="21"/>
                <w:szCs w:val="21"/>
                <w:highlight w:val="none"/>
                <w:lang w:val="zh-CN" w:eastAsia="zh-CN" w:bidi="zh-CN"/>
              </w:rPr>
              <w:t>/h</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5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1664"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敏感目标名称</w:t>
            </w:r>
          </w:p>
        </w:tc>
        <w:tc>
          <w:tcPr>
            <w:tcW w:w="4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达到时间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/d</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超标时间</w:t>
            </w:r>
            <w:r>
              <w:rPr>
                <w:rFonts w:hint="default" w:ascii="Times New Roman" w:hAnsi="Times New Roman" w:eastAsia="Times New Roman" w:cs="Times New Roman"/>
                <w:color w:val="auto"/>
                <w:sz w:val="21"/>
                <w:szCs w:val="21"/>
                <w:highlight w:val="none"/>
                <w:lang w:val="zh-CN" w:eastAsia="zh-CN" w:bidi="zh-CN"/>
              </w:rPr>
              <w:t>/d</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/d</w:t>
            </w:r>
          </w:p>
        </w:tc>
        <w:tc>
          <w:tcPr>
            <w:tcW w:w="8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w w:val="95"/>
                <w:sz w:val="21"/>
                <w:szCs w:val="21"/>
                <w:highlight w:val="none"/>
                <w:lang w:val="zh-CN" w:eastAsia="zh-CN" w:bidi="zh-CN"/>
              </w:rPr>
              <w:t>最大浓度</w:t>
            </w:r>
            <w:r>
              <w:rPr>
                <w:rFonts w:hint="default" w:ascii="Times New Roman" w:hAnsi="Times New Roman" w:eastAsia="Times New Roman" w:cs="Times New Roman"/>
                <w:color w:val="auto"/>
                <w:w w:val="95"/>
                <w:sz w:val="21"/>
                <w:szCs w:val="21"/>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w:t>
            </w:r>
            <w:r>
              <w:rPr>
                <w:rFonts w:hint="default" w:ascii="Times New Roman" w:hAnsi="Times New Roman" w:eastAsia="Times New Roman" w:cs="Times New Roman"/>
                <w:color w:val="auto"/>
                <w:sz w:val="21"/>
                <w:szCs w:val="21"/>
                <w:highlight w:val="none"/>
                <w:lang w:val="zh-CN" w:eastAsia="zh-CN" w:bidi="zh-CN"/>
              </w:rPr>
              <w:t>mg/L</w:t>
            </w:r>
            <w:r>
              <w:rPr>
                <w:rFonts w:hint="default" w:ascii="Times New Roman" w:hAnsi="Times New Roman" w:eastAsia="宋体" w:cs="Times New Roman"/>
                <w:color w:val="auto"/>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977"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4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77" w:type="pct"/>
            <w:vMerge w:val="restart"/>
            <w:tcBorders>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地下水</w:t>
            </w:r>
          </w:p>
        </w:tc>
        <w:tc>
          <w:tcPr>
            <w:tcW w:w="473" w:type="pc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危险物质</w:t>
            </w:r>
          </w:p>
        </w:tc>
        <w:tc>
          <w:tcPr>
            <w:tcW w:w="3549"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地下水环境影响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0" w:hRule="atLeast"/>
          <w:jc w:val="center"/>
        </w:trPr>
        <w:tc>
          <w:tcPr>
            <w:tcW w:w="977"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210" w:firstLineChars="100"/>
              <w:jc w:val="both"/>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氰化氢</w:t>
            </w: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厂区边界</w:t>
            </w:r>
          </w:p>
        </w:tc>
        <w:tc>
          <w:tcPr>
            <w:tcW w:w="4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达到时间</w:t>
            </w:r>
            <w:r>
              <w:rPr>
                <w:rFonts w:hint="default" w:ascii="Times New Roman" w:hAnsi="Times New Roman" w:eastAsia="Times New Roman" w:cs="Times New Roman"/>
                <w:color w:val="auto"/>
                <w:spacing w:val="-9"/>
                <w:sz w:val="21"/>
                <w:szCs w:val="21"/>
                <w:highlight w:val="none"/>
                <w:lang w:val="zh-CN" w:eastAsia="zh-CN" w:bidi="zh-CN"/>
              </w:rPr>
              <w:t>/d</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超标时间</w:t>
            </w:r>
            <w:r>
              <w:rPr>
                <w:rFonts w:hint="default" w:ascii="Times New Roman" w:hAnsi="Times New Roman" w:eastAsia="Times New Roman" w:cs="Times New Roman"/>
                <w:color w:val="auto"/>
                <w:sz w:val="21"/>
                <w:szCs w:val="21"/>
                <w:highlight w:val="none"/>
                <w:lang w:val="zh-CN" w:eastAsia="zh-CN" w:bidi="zh-CN"/>
              </w:rPr>
              <w:t>/d</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/d</w:t>
            </w:r>
          </w:p>
        </w:tc>
        <w:tc>
          <w:tcPr>
            <w:tcW w:w="8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w w:val="95"/>
                <w:sz w:val="21"/>
                <w:szCs w:val="21"/>
                <w:highlight w:val="none"/>
                <w:lang w:val="zh-CN" w:eastAsia="zh-CN" w:bidi="zh-CN"/>
              </w:rPr>
              <w:t>最大浓度</w:t>
            </w:r>
            <w:r>
              <w:rPr>
                <w:rFonts w:hint="default" w:ascii="Times New Roman" w:hAnsi="Times New Roman" w:eastAsia="Times New Roman" w:cs="Times New Roman"/>
                <w:color w:val="auto"/>
                <w:w w:val="95"/>
                <w:sz w:val="21"/>
                <w:szCs w:val="21"/>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w:t>
            </w:r>
            <w:r>
              <w:rPr>
                <w:rFonts w:hint="default" w:ascii="Times New Roman" w:hAnsi="Times New Roman" w:eastAsia="Times New Roman" w:cs="Times New Roman"/>
                <w:color w:val="auto"/>
                <w:sz w:val="21"/>
                <w:szCs w:val="21"/>
                <w:highlight w:val="none"/>
                <w:lang w:val="zh-CN" w:eastAsia="zh-CN" w:bidi="zh-CN"/>
              </w:rPr>
              <w:t>mg/L</w:t>
            </w:r>
            <w:r>
              <w:rPr>
                <w:rFonts w:hint="default" w:ascii="Times New Roman" w:hAnsi="Times New Roman" w:eastAsia="宋体" w:cs="Times New Roman"/>
                <w:color w:val="auto"/>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1" w:hRule="atLeast"/>
          <w:jc w:val="center"/>
        </w:trPr>
        <w:tc>
          <w:tcPr>
            <w:tcW w:w="977"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下游厂区边界</w:t>
            </w:r>
          </w:p>
        </w:tc>
        <w:tc>
          <w:tcPr>
            <w:tcW w:w="4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jc w:val="center"/>
        </w:trPr>
        <w:tc>
          <w:tcPr>
            <w:tcW w:w="977"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敏感目标名称</w:t>
            </w:r>
          </w:p>
        </w:tc>
        <w:tc>
          <w:tcPr>
            <w:tcW w:w="4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达到时间</w:t>
            </w:r>
            <w:r>
              <w:rPr>
                <w:rFonts w:hint="default" w:ascii="Times New Roman" w:hAnsi="Times New Roman" w:eastAsia="Times New Roman" w:cs="Times New Roman"/>
                <w:color w:val="auto"/>
                <w:spacing w:val="-9"/>
                <w:sz w:val="21"/>
                <w:szCs w:val="21"/>
                <w:highlight w:val="none"/>
                <w:lang w:val="zh-CN" w:eastAsia="zh-CN" w:bidi="zh-CN"/>
              </w:rPr>
              <w:t>/d</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超标时间</w:t>
            </w:r>
            <w:r>
              <w:rPr>
                <w:rFonts w:hint="default" w:ascii="Times New Roman" w:hAnsi="Times New Roman" w:eastAsia="Times New Roman" w:cs="Times New Roman"/>
                <w:color w:val="auto"/>
                <w:sz w:val="21"/>
                <w:szCs w:val="21"/>
                <w:highlight w:val="none"/>
                <w:lang w:val="zh-CN" w:eastAsia="zh-CN" w:bidi="zh-CN"/>
              </w:rPr>
              <w:t>/d</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sz w:val="21"/>
                <w:szCs w:val="21"/>
                <w:highlight w:val="none"/>
                <w:lang w:val="zh-CN" w:eastAsia="zh-CN" w:bidi="zh-CN"/>
              </w:rPr>
              <w:t>/d</w:t>
            </w:r>
          </w:p>
        </w:tc>
        <w:tc>
          <w:tcPr>
            <w:tcW w:w="8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宋体" w:cs="Times New Roman"/>
                <w:color w:val="auto"/>
                <w:w w:val="95"/>
                <w:sz w:val="21"/>
                <w:szCs w:val="21"/>
                <w:highlight w:val="none"/>
                <w:lang w:val="zh-CN" w:eastAsia="zh-CN" w:bidi="zh-CN"/>
              </w:rPr>
              <w:t>最大浓度</w:t>
            </w:r>
            <w:r>
              <w:rPr>
                <w:rFonts w:hint="default" w:ascii="Times New Roman" w:hAnsi="Times New Roman" w:eastAsia="Times New Roman" w:cs="Times New Roman"/>
                <w:color w:val="auto"/>
                <w:w w:val="95"/>
                <w:sz w:val="21"/>
                <w:szCs w:val="21"/>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w:t>
            </w:r>
            <w:r>
              <w:rPr>
                <w:rFonts w:hint="default" w:ascii="Times New Roman" w:hAnsi="Times New Roman" w:eastAsia="Times New Roman" w:cs="Times New Roman"/>
                <w:color w:val="auto"/>
                <w:sz w:val="21"/>
                <w:szCs w:val="21"/>
                <w:highlight w:val="none"/>
                <w:lang w:val="zh-CN" w:eastAsia="zh-CN" w:bidi="zh-CN"/>
              </w:rPr>
              <w:t>mg/L</w:t>
            </w:r>
            <w:r>
              <w:rPr>
                <w:rFonts w:hint="default" w:ascii="Times New Roman" w:hAnsi="Times New Roman" w:eastAsia="宋体" w:cs="Times New Roman"/>
                <w:color w:val="auto"/>
                <w:sz w:val="21"/>
                <w:szCs w:val="21"/>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2" w:hRule="atLeast"/>
          <w:jc w:val="center"/>
        </w:trPr>
        <w:tc>
          <w:tcPr>
            <w:tcW w:w="977"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473"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1"/>
                <w:szCs w:val="21"/>
                <w:highlight w:val="none"/>
                <w:lang w:val="zh-CN" w:bidi="zh-CN"/>
              </w:rPr>
            </w:pPr>
          </w:p>
        </w:tc>
        <w:tc>
          <w:tcPr>
            <w:tcW w:w="103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49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4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c>
          <w:tcPr>
            <w:tcW w:w="82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1"/>
                <w:highlight w:val="none"/>
                <w:lang w:val="zh-CN" w:eastAsia="zh-CN" w:bidi="zh-CN"/>
              </w:rPr>
            </w:pPr>
            <w:r>
              <w:rPr>
                <w:rFonts w:hint="default" w:ascii="Times New Roman" w:hAnsi="Times New Roman" w:eastAsia="Times New Roman" w:cs="Times New Roman"/>
                <w:color w:val="auto"/>
                <w:w w:val="99"/>
                <w:sz w:val="21"/>
                <w:szCs w:val="21"/>
                <w:highlight w:val="none"/>
                <w:lang w:val="zh-CN" w:eastAsia="zh-CN" w:bidi="zh-CN"/>
              </w:rPr>
              <w:t>/</w:t>
            </w:r>
          </w:p>
        </w:tc>
      </w:tr>
    </w:tbl>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 xml:space="preserve"> CO（火灾爆炸伴生/次生污染物）事故源项及事故后果基本信息表</w:t>
      </w:r>
    </w:p>
    <w:tbl>
      <w:tblPr>
        <w:tblStyle w:val="32"/>
        <w:tblW w:w="5050"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939"/>
        <w:gridCol w:w="941"/>
        <w:gridCol w:w="2263"/>
        <w:gridCol w:w="1069"/>
        <w:gridCol w:w="643"/>
        <w:gridCol w:w="1355"/>
        <w:gridCol w:w="16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5000" w:type="pct"/>
            <w:gridSpan w:val="7"/>
            <w:tcBorders>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风险事故情形分析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983"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代表性风险事故情</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形描述</w:t>
            </w:r>
          </w:p>
        </w:tc>
        <w:tc>
          <w:tcPr>
            <w:tcW w:w="4016" w:type="pct"/>
            <w:gridSpan w:val="6"/>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zh-CN" w:eastAsia="zh-CN" w:bidi="zh-CN"/>
              </w:rPr>
              <w:t>发火灾、爆炸事故时， MDI、</w:t>
            </w:r>
            <w:r>
              <w:rPr>
                <w:rFonts w:hint="default" w:ascii="Times New Roman" w:hAnsi="Times New Roman" w:eastAsia="Times New Roman" w:cs="Times New Roman"/>
                <w:color w:val="auto"/>
                <w:sz w:val="21"/>
                <w:szCs w:val="22"/>
                <w:highlight w:val="none"/>
                <w:lang w:val="en-US" w:eastAsia="zh-CN" w:bidi="zh-CN"/>
              </w:rPr>
              <w:t>TDI</w:t>
            </w:r>
            <w:r>
              <w:rPr>
                <w:rFonts w:hint="default" w:ascii="Times New Roman" w:hAnsi="Times New Roman" w:eastAsia="Times New Roman" w:cs="Times New Roman"/>
                <w:color w:val="auto"/>
                <w:sz w:val="21"/>
                <w:szCs w:val="22"/>
                <w:highlight w:val="none"/>
                <w:lang w:val="zh-CN" w:eastAsia="zh-CN" w:bidi="zh-CN"/>
              </w:rPr>
              <w:t>等物料遇火分解产生</w:t>
            </w:r>
            <w:r>
              <w:rPr>
                <w:rFonts w:hint="default" w:ascii="Times New Roman" w:hAnsi="Times New Roman" w:eastAsia="Times New Roman" w:cs="Times New Roman"/>
                <w:color w:val="auto"/>
                <w:sz w:val="21"/>
                <w:szCs w:val="22"/>
                <w:highlight w:val="none"/>
                <w:lang w:val="en-US" w:eastAsia="zh-CN" w:bidi="zh-CN"/>
              </w:rPr>
              <w:t>CO</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83"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环境风险类型</w:t>
            </w:r>
          </w:p>
        </w:tc>
        <w:tc>
          <w:tcPr>
            <w:tcW w:w="4016" w:type="pct"/>
            <w:gridSpan w:val="6"/>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火灾、爆炸等引发的伴生/次生污染物排放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2" w:hRule="atLeast"/>
          <w:jc w:val="center"/>
        </w:trPr>
        <w:tc>
          <w:tcPr>
            <w:tcW w:w="1939"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泄漏设备类型</w:t>
            </w:r>
          </w:p>
        </w:tc>
        <w:tc>
          <w:tcPr>
            <w:tcW w:w="9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highlight w:val="none"/>
                <w:lang w:val="zh-CN" w:eastAsia="zh-CN" w:bidi="zh-CN"/>
              </w:rPr>
            </w:pPr>
            <w:r>
              <w:rPr>
                <w:rFonts w:hint="default" w:ascii="Times New Roman" w:hAnsi="Times New Roman" w:cs="Times New Roman"/>
                <w:color w:val="auto"/>
                <w:sz w:val="21"/>
                <w:szCs w:val="22"/>
                <w:highlight w:val="none"/>
                <w:lang w:val="en-US" w:eastAsia="zh-CN" w:bidi="zh-CN"/>
              </w:rPr>
              <w:t>预搅拌罐</w:t>
            </w:r>
            <w:r>
              <w:rPr>
                <w:rFonts w:hint="eastAsia" w:cs="Times New Roman"/>
                <w:color w:val="auto"/>
                <w:sz w:val="21"/>
                <w:szCs w:val="22"/>
                <w:highlight w:val="none"/>
                <w:lang w:val="en-US" w:eastAsia="zh-CN" w:bidi="zh-CN"/>
              </w:rPr>
              <w:t>、包装桶</w:t>
            </w:r>
          </w:p>
        </w:tc>
        <w:tc>
          <w:tcPr>
            <w:tcW w:w="2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操作温度</w:t>
            </w:r>
            <w:r>
              <w:rPr>
                <w:rFonts w:hint="default" w:ascii="Times New Roman" w:hAnsi="Times New Roman" w:eastAsia="Times New Roman" w:cs="Times New Roman"/>
                <w:color w:val="auto"/>
                <w:sz w:val="21"/>
                <w:szCs w:val="22"/>
                <w:highlight w:val="none"/>
                <w:lang w:val="zh-CN" w:eastAsia="zh-CN" w:bidi="zh-CN"/>
              </w:rPr>
              <w:t>/℃</w:t>
            </w:r>
          </w:p>
        </w:tc>
        <w:tc>
          <w:tcPr>
            <w:tcW w:w="17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en-US" w:eastAsia="zh-CN" w:bidi="zh-CN"/>
              </w:rPr>
              <w:t>25</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操作压力</w:t>
            </w:r>
            <w:r>
              <w:rPr>
                <w:rFonts w:hint="default" w:ascii="Times New Roman" w:hAnsi="Times New Roman" w:eastAsia="Times New Roman" w:cs="Times New Roman"/>
                <w:color w:val="auto"/>
                <w:sz w:val="21"/>
                <w:szCs w:val="22"/>
                <w:highlight w:val="none"/>
                <w:lang w:val="zh-CN" w:eastAsia="zh-CN" w:bidi="zh-CN"/>
              </w:rPr>
              <w:t>/MPa</w:t>
            </w:r>
          </w:p>
        </w:tc>
        <w:tc>
          <w:tcPr>
            <w:tcW w:w="1654"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101.325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1939"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泄漏危险物质</w:t>
            </w:r>
          </w:p>
        </w:tc>
        <w:tc>
          <w:tcPr>
            <w:tcW w:w="9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highlight w:val="none"/>
                <w:lang w:val="en-US" w:eastAsia="zh-CN" w:bidi="zh-CN"/>
              </w:rPr>
            </w:pPr>
            <w:r>
              <w:rPr>
                <w:rFonts w:hint="default" w:ascii="Times New Roman" w:hAnsi="Times New Roman" w:eastAsia="Times New Roman" w:cs="Times New Roman"/>
                <w:color w:val="auto"/>
                <w:sz w:val="21"/>
                <w:szCs w:val="21"/>
                <w:highlight w:val="none"/>
                <w:lang w:val="zh-CN" w:eastAsia="zh-CN" w:bidi="zh-CN"/>
              </w:rPr>
              <w:t>氰化氢</w:t>
            </w:r>
          </w:p>
        </w:tc>
        <w:tc>
          <w:tcPr>
            <w:tcW w:w="2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最大存在量</w:t>
            </w:r>
            <w:r>
              <w:rPr>
                <w:rFonts w:hint="default" w:ascii="Times New Roman" w:hAnsi="Times New Roman" w:eastAsia="Times New Roman" w:cs="Times New Roman"/>
                <w:color w:val="auto"/>
                <w:sz w:val="21"/>
                <w:szCs w:val="22"/>
                <w:highlight w:val="none"/>
                <w:lang w:val="zh-CN" w:eastAsia="zh-CN" w:bidi="zh-CN"/>
              </w:rPr>
              <w:t>/kg</w:t>
            </w:r>
          </w:p>
        </w:tc>
        <w:tc>
          <w:tcPr>
            <w:tcW w:w="17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eastAsia" w:eastAsia="Times New Roman" w:cs="Times New Roman"/>
                <w:color w:val="auto"/>
                <w:sz w:val="21"/>
                <w:szCs w:val="22"/>
                <w:highlight w:val="none"/>
                <w:lang w:val="en-US" w:eastAsia="zh-CN" w:bidi="zh-CN"/>
              </w:rPr>
              <w:t>3.8</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泄漏孔径</w:t>
            </w:r>
            <w:r>
              <w:rPr>
                <w:rFonts w:hint="default" w:ascii="Times New Roman" w:hAnsi="Times New Roman" w:eastAsia="Times New Roman" w:cs="Times New Roman"/>
                <w:color w:val="auto"/>
                <w:sz w:val="21"/>
                <w:szCs w:val="22"/>
                <w:highlight w:val="none"/>
                <w:lang w:val="zh-CN" w:eastAsia="zh-CN" w:bidi="zh-CN"/>
              </w:rPr>
              <w:t>/mm</w:t>
            </w:r>
          </w:p>
        </w:tc>
        <w:tc>
          <w:tcPr>
            <w:tcW w:w="1654"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2"/>
                <w:highlight w:val="none"/>
                <w:lang w:val="en-US" w:eastAsia="zh-CN" w:bidi="zh-CN"/>
              </w:rPr>
            </w:pPr>
            <w:r>
              <w:rPr>
                <w:rFonts w:hint="default" w:ascii="Times New Roman" w:hAnsi="Times New Roman" w:eastAsia="宋体" w:cs="Times New Roman"/>
                <w:color w:val="auto"/>
                <w:sz w:val="21"/>
                <w:szCs w:val="22"/>
                <w:highlight w:val="none"/>
                <w:lang w:val="en-US" w:eastAsia="zh-CN" w:bidi="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1939"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泄漏速率</w:t>
            </w:r>
            <w:r>
              <w:rPr>
                <w:rFonts w:hint="default" w:ascii="Times New Roman" w:hAnsi="Times New Roman" w:eastAsia="Times New Roman" w:cs="Times New Roman"/>
                <w:color w:val="auto"/>
                <w:sz w:val="21"/>
                <w:szCs w:val="22"/>
                <w:highlight w:val="none"/>
                <w:lang w:val="zh-CN" w:eastAsia="zh-CN" w:bidi="zh-CN"/>
              </w:rPr>
              <w:t>/(kg/s)</w:t>
            </w:r>
          </w:p>
        </w:tc>
        <w:tc>
          <w:tcPr>
            <w:tcW w:w="9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0.</w:t>
            </w:r>
            <w:r>
              <w:rPr>
                <w:rFonts w:hint="eastAsia" w:eastAsia="Times New Roman" w:cs="Times New Roman"/>
                <w:color w:val="auto"/>
                <w:sz w:val="21"/>
                <w:szCs w:val="22"/>
                <w:highlight w:val="none"/>
                <w:lang w:val="en-US" w:eastAsia="zh-CN" w:bidi="zh-CN"/>
              </w:rPr>
              <w:t>1866</w:t>
            </w:r>
          </w:p>
        </w:tc>
        <w:tc>
          <w:tcPr>
            <w:tcW w:w="2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泄漏时间</w:t>
            </w:r>
            <w:r>
              <w:rPr>
                <w:rFonts w:hint="default" w:ascii="Times New Roman" w:hAnsi="Times New Roman" w:eastAsia="Times New Roman" w:cs="Times New Roman"/>
                <w:color w:val="auto"/>
                <w:sz w:val="21"/>
                <w:szCs w:val="22"/>
                <w:highlight w:val="none"/>
                <w:lang w:val="zh-CN" w:eastAsia="zh-CN" w:bidi="zh-CN"/>
              </w:rPr>
              <w:t>/min</w:t>
            </w:r>
          </w:p>
        </w:tc>
        <w:tc>
          <w:tcPr>
            <w:tcW w:w="17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10</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泄漏量</w:t>
            </w:r>
            <w:r>
              <w:rPr>
                <w:rFonts w:hint="default" w:ascii="Times New Roman" w:hAnsi="Times New Roman" w:eastAsia="Times New Roman" w:cs="Times New Roman"/>
                <w:color w:val="auto"/>
                <w:sz w:val="21"/>
                <w:szCs w:val="22"/>
                <w:highlight w:val="none"/>
                <w:lang w:val="zh-CN" w:eastAsia="zh-CN" w:bidi="zh-CN"/>
              </w:rPr>
              <w:t>/kg</w:t>
            </w:r>
          </w:p>
        </w:tc>
        <w:tc>
          <w:tcPr>
            <w:tcW w:w="1654"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kern w:val="2"/>
                <w:sz w:val="21"/>
                <w:szCs w:val="22"/>
                <w:highlight w:val="none"/>
                <w:lang w:val="en-US" w:eastAsia="zh-CN" w:bidi="zh-CN"/>
              </w:rPr>
            </w:pPr>
            <w:r>
              <w:rPr>
                <w:rFonts w:hint="eastAsia" w:eastAsia="Times New Roman" w:cs="Times New Roman"/>
                <w:color w:val="auto"/>
                <w:sz w:val="21"/>
                <w:szCs w:val="22"/>
                <w:highlight w:val="none"/>
                <w:lang w:val="en-US" w:eastAsia="zh-CN" w:bidi="zh-CN"/>
              </w:rPr>
              <w:t>111.9096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1939"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泄漏高度</w:t>
            </w:r>
            <w:r>
              <w:rPr>
                <w:rFonts w:hint="default" w:ascii="Times New Roman" w:hAnsi="Times New Roman" w:eastAsia="Times New Roman" w:cs="Times New Roman"/>
                <w:color w:val="auto"/>
                <w:sz w:val="21"/>
                <w:szCs w:val="22"/>
                <w:highlight w:val="none"/>
                <w:lang w:val="zh-CN" w:eastAsia="zh-CN" w:bidi="zh-CN"/>
              </w:rPr>
              <w:t>/m</w:t>
            </w:r>
          </w:p>
        </w:tc>
        <w:tc>
          <w:tcPr>
            <w:tcW w:w="9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0.2</w:t>
            </w:r>
          </w:p>
        </w:tc>
        <w:tc>
          <w:tcPr>
            <w:tcW w:w="2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泄漏液体蒸发量</w:t>
            </w:r>
            <w:r>
              <w:rPr>
                <w:rFonts w:hint="default" w:ascii="Times New Roman" w:hAnsi="Times New Roman" w:eastAsia="Times New Roman" w:cs="Times New Roman"/>
                <w:color w:val="auto"/>
                <w:sz w:val="21"/>
                <w:szCs w:val="22"/>
                <w:highlight w:val="none"/>
                <w:lang w:val="zh-CN" w:eastAsia="zh-CN" w:bidi="zh-CN"/>
              </w:rPr>
              <w:t>/kg</w:t>
            </w:r>
          </w:p>
        </w:tc>
        <w:tc>
          <w:tcPr>
            <w:tcW w:w="171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eastAsia" w:cs="Times New Roman"/>
                <w:color w:val="auto"/>
                <w:sz w:val="21"/>
                <w:szCs w:val="21"/>
                <w:highlight w:val="none"/>
                <w:vertAlign w:val="baseline"/>
                <w:lang w:val="en-US" w:eastAsia="zh-CN"/>
              </w:rPr>
              <w:t>0.00001615</w:t>
            </w:r>
          </w:p>
        </w:tc>
        <w:tc>
          <w:tcPr>
            <w:tcW w:w="13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泄漏频率</w:t>
            </w:r>
          </w:p>
        </w:tc>
        <w:tc>
          <w:tcPr>
            <w:tcW w:w="1654"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1.00×10</w:t>
            </w:r>
            <w:r>
              <w:rPr>
                <w:rFonts w:hint="default" w:ascii="Times New Roman" w:hAnsi="Times New Roman" w:eastAsia="宋体" w:cs="Times New Roman"/>
                <w:color w:val="auto"/>
                <w:sz w:val="21"/>
                <w:szCs w:val="22"/>
                <w:highlight w:val="none"/>
                <w:vertAlign w:val="superscript"/>
                <w:lang w:val="zh-CN" w:eastAsia="zh-CN" w:bidi="zh-CN"/>
              </w:rPr>
              <w:t>-4</w:t>
            </w:r>
            <w:r>
              <w:rPr>
                <w:rFonts w:hint="default" w:ascii="Times New Roman" w:hAnsi="Times New Roman" w:eastAsia="宋体" w:cs="Times New Roman"/>
                <w:color w:val="auto"/>
                <w:sz w:val="21"/>
                <w:szCs w:val="22"/>
                <w:highlight w:val="none"/>
                <w:lang w:val="zh-CN" w:eastAsia="zh-CN" w:bidi="zh-CN"/>
              </w:rPr>
              <w:t>/a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5000" w:type="pct"/>
            <w:gridSpan w:val="7"/>
            <w:tcBorders>
              <w:top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事故后果预测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jc w:val="center"/>
        </w:trPr>
        <w:tc>
          <w:tcPr>
            <w:tcW w:w="983" w:type="pct"/>
            <w:vMerge w:val="restart"/>
            <w:tcBorders>
              <w:top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危险物质</w:t>
            </w:r>
          </w:p>
        </w:tc>
        <w:tc>
          <w:tcPr>
            <w:tcW w:w="3538" w:type="pct"/>
            <w:gridSpan w:val="5"/>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4"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CO</w:t>
            </w: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指标</w:t>
            </w:r>
          </w:p>
        </w:tc>
        <w:tc>
          <w:tcPr>
            <w:tcW w:w="86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浓度值</w:t>
            </w:r>
            <w:r>
              <w:rPr>
                <w:rFonts w:hint="default" w:ascii="Times New Roman" w:hAnsi="Times New Roman" w:eastAsia="Times New Roman" w:cs="Times New Roman"/>
                <w:color w:val="auto"/>
                <w:sz w:val="21"/>
                <w:szCs w:val="22"/>
                <w:highlight w:val="none"/>
                <w:lang w:val="zh-CN" w:eastAsia="zh-CN" w:bidi="zh-CN"/>
              </w:rPr>
              <w:t>/(mg/m</w:t>
            </w:r>
            <w:r>
              <w:rPr>
                <w:rFonts w:hint="default" w:ascii="Times New Roman" w:hAnsi="Times New Roman" w:eastAsia="Times New Roman" w:cs="Times New Roman"/>
                <w:color w:val="auto"/>
                <w:position w:val="7"/>
                <w:sz w:val="13"/>
                <w:szCs w:val="22"/>
                <w:highlight w:val="none"/>
                <w:lang w:val="zh-CN" w:eastAsia="zh-CN" w:bidi="zh-CN"/>
              </w:rPr>
              <w:t>3</w:t>
            </w:r>
            <w:r>
              <w:rPr>
                <w:rFonts w:hint="default" w:ascii="Times New Roman" w:hAnsi="Times New Roman" w:eastAsia="Times New Roman" w:cs="Times New Roman"/>
                <w:color w:val="auto"/>
                <w:sz w:val="21"/>
                <w:szCs w:val="22"/>
                <w:highlight w:val="none"/>
                <w:lang w:val="zh-CN" w:eastAsia="zh-CN" w:bidi="zh-CN"/>
              </w:rPr>
              <w:t>)</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最远影响距离</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/m</w:t>
            </w:r>
          </w:p>
        </w:tc>
        <w:tc>
          <w:tcPr>
            <w:tcW w:w="835"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w w:val="95"/>
                <w:sz w:val="21"/>
                <w:szCs w:val="22"/>
                <w:highlight w:val="none"/>
                <w:lang w:val="zh-CN" w:eastAsia="zh-CN" w:bidi="zh-CN"/>
              </w:rPr>
              <w:t>到达时间</w:t>
            </w:r>
            <w:r>
              <w:rPr>
                <w:rFonts w:hint="default" w:ascii="Times New Roman" w:hAnsi="Times New Roman" w:eastAsia="Times New Roman" w:cs="Times New Roman"/>
                <w:color w:val="auto"/>
                <w:w w:val="95"/>
                <w:sz w:val="21"/>
                <w:szCs w:val="22"/>
                <w:highlight w:val="none"/>
                <w:lang w:val="zh-CN" w:eastAsia="zh-CN" w:bidi="zh-CN"/>
              </w:rPr>
              <w:t>/min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大气毒性终点浓度</w:t>
            </w:r>
            <w:r>
              <w:rPr>
                <w:rFonts w:hint="default" w:ascii="Times New Roman" w:hAnsi="Times New Roman" w:eastAsia="Times New Roman" w:cs="Times New Roman"/>
                <w:color w:val="auto"/>
                <w:sz w:val="21"/>
                <w:szCs w:val="22"/>
                <w:highlight w:val="none"/>
                <w:lang w:val="zh-CN" w:eastAsia="zh-CN" w:bidi="zh-CN"/>
              </w:rPr>
              <w:t>-1</w:t>
            </w:r>
          </w:p>
        </w:tc>
        <w:tc>
          <w:tcPr>
            <w:tcW w:w="86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380</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w:t>
            </w:r>
          </w:p>
        </w:tc>
        <w:tc>
          <w:tcPr>
            <w:tcW w:w="835"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大气毒性终点浓度</w:t>
            </w:r>
            <w:r>
              <w:rPr>
                <w:rFonts w:hint="default" w:ascii="Times New Roman" w:hAnsi="Times New Roman" w:eastAsia="Times New Roman" w:cs="Times New Roman"/>
                <w:color w:val="auto"/>
                <w:sz w:val="21"/>
                <w:szCs w:val="22"/>
                <w:highlight w:val="none"/>
                <w:lang w:val="zh-CN" w:eastAsia="zh-CN" w:bidi="zh-CN"/>
              </w:rPr>
              <w:t>-2</w:t>
            </w:r>
          </w:p>
        </w:tc>
        <w:tc>
          <w:tcPr>
            <w:tcW w:w="86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95</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w:t>
            </w:r>
          </w:p>
        </w:tc>
        <w:tc>
          <w:tcPr>
            <w:tcW w:w="835"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2"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敏感目标名称</w:t>
            </w:r>
          </w:p>
        </w:tc>
        <w:tc>
          <w:tcPr>
            <w:tcW w:w="86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/min</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/min</w:t>
            </w:r>
          </w:p>
        </w:tc>
        <w:tc>
          <w:tcPr>
            <w:tcW w:w="835"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最大浓度</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/(mg/m</w:t>
            </w:r>
            <w:r>
              <w:rPr>
                <w:rFonts w:hint="default" w:ascii="Times New Roman" w:hAnsi="Times New Roman" w:eastAsia="Times New Roman" w:cs="Times New Roman"/>
                <w:color w:val="auto"/>
                <w:position w:val="7"/>
                <w:sz w:val="13"/>
                <w:szCs w:val="22"/>
                <w:highlight w:val="none"/>
                <w:lang w:val="zh-CN" w:eastAsia="zh-CN" w:bidi="zh-CN"/>
              </w:rPr>
              <w:t>3</w:t>
            </w:r>
            <w:r>
              <w:rPr>
                <w:rFonts w:hint="default" w:ascii="Times New Roman" w:hAnsi="Times New Roman" w:eastAsia="Times New Roman" w:cs="Times New Roman"/>
                <w:color w:val="auto"/>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6"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868" w:type="pct"/>
            <w:gridSpan w:val="2"/>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87" w:type="pct"/>
            <w:tcBorders>
              <w:top w:val="single" w:color="000000" w:sz="4" w:space="0"/>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w:t>
            </w:r>
          </w:p>
        </w:tc>
        <w:tc>
          <w:tcPr>
            <w:tcW w:w="835" w:type="pct"/>
            <w:tcBorders>
              <w:top w:val="single" w:color="000000" w:sz="4" w:space="0"/>
              <w:left w:val="single" w:color="000000" w:sz="4" w:space="0"/>
              <w:bottom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en-US" w:eastAsia="zh-CN" w:bidi="zh-CN"/>
              </w:rPr>
            </w:pPr>
            <w:r>
              <w:rPr>
                <w:rFonts w:hint="default" w:ascii="Times New Roman" w:hAnsi="Times New Roman" w:eastAsia="Times New Roman" w:cs="Times New Roman"/>
                <w:color w:val="auto"/>
                <w:sz w:val="21"/>
                <w:szCs w:val="22"/>
                <w:highlight w:val="none"/>
                <w:lang w:val="en-US"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7" w:hRule="atLeast"/>
          <w:jc w:val="center"/>
        </w:trPr>
        <w:tc>
          <w:tcPr>
            <w:tcW w:w="983" w:type="pct"/>
            <w:vMerge w:val="restart"/>
            <w:tcBorders>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地表水</w:t>
            </w:r>
          </w:p>
        </w:tc>
        <w:tc>
          <w:tcPr>
            <w:tcW w:w="477" w:type="pc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危险物质</w:t>
            </w:r>
          </w:p>
        </w:tc>
        <w:tc>
          <w:tcPr>
            <w:tcW w:w="3538" w:type="pct"/>
            <w:gridSpan w:val="5"/>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地表水环境影响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restar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CO</w:t>
            </w: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受纳水体名称</w:t>
            </w:r>
          </w:p>
        </w:tc>
        <w:tc>
          <w:tcPr>
            <w:tcW w:w="86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最远超标距离</w:t>
            </w:r>
            <w:r>
              <w:rPr>
                <w:rFonts w:hint="default" w:ascii="Times New Roman" w:hAnsi="Times New Roman" w:eastAsia="Times New Roman" w:cs="Times New Roman"/>
                <w:color w:val="auto"/>
                <w:sz w:val="21"/>
                <w:szCs w:val="22"/>
                <w:highlight w:val="none"/>
                <w:lang w:val="zh-CN" w:eastAsia="zh-CN" w:bidi="zh-CN"/>
              </w:rPr>
              <w:t>/m</w:t>
            </w:r>
          </w:p>
        </w:tc>
        <w:tc>
          <w:tcPr>
            <w:tcW w:w="152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最远超标距离到达时间</w:t>
            </w:r>
            <w:r>
              <w:rPr>
                <w:rFonts w:hint="default" w:ascii="Times New Roman" w:hAnsi="Times New Roman" w:eastAsia="Times New Roman" w:cs="Times New Roman"/>
                <w:color w:val="auto"/>
                <w:sz w:val="21"/>
                <w:szCs w:val="22"/>
                <w:highlight w:val="none"/>
                <w:lang w:val="zh-CN" w:eastAsia="zh-CN" w:bidi="zh-CN"/>
              </w:rPr>
              <w:t>/h</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868"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1522"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敏感目标名称</w:t>
            </w:r>
          </w:p>
        </w:tc>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达到时间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/d</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w w:val="95"/>
                <w:sz w:val="21"/>
                <w:szCs w:val="22"/>
                <w:highlight w:val="none"/>
                <w:lang w:val="zh-CN" w:eastAsia="zh-CN" w:bidi="zh-CN"/>
              </w:rPr>
              <w:t>最大浓度</w:t>
            </w:r>
            <w:r>
              <w:rPr>
                <w:rFonts w:hint="default" w:ascii="Times New Roman" w:hAnsi="Times New Roman" w:eastAsia="Times New Roman" w:cs="Times New Roman"/>
                <w:color w:val="auto"/>
                <w:w w:val="95"/>
                <w:sz w:val="21"/>
                <w:szCs w:val="22"/>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w:t>
            </w:r>
            <w:r>
              <w:rPr>
                <w:rFonts w:hint="default" w:ascii="Times New Roman" w:hAnsi="Times New Roman" w:eastAsia="Times New Roman" w:cs="Times New Roman"/>
                <w:color w:val="auto"/>
                <w:sz w:val="21"/>
                <w:szCs w:val="22"/>
                <w:highlight w:val="none"/>
                <w:lang w:val="zh-CN" w:eastAsia="zh-CN" w:bidi="zh-CN"/>
              </w:rPr>
              <w:t>mg/L</w:t>
            </w:r>
            <w:r>
              <w:rPr>
                <w:rFonts w:hint="default" w:ascii="Times New Roman" w:hAnsi="Times New Roman" w:eastAsia="宋体" w:cs="Times New Roman"/>
                <w:color w:val="auto"/>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jc w:val="center"/>
        </w:trPr>
        <w:tc>
          <w:tcPr>
            <w:tcW w:w="983" w:type="pct"/>
            <w:vMerge w:val="continue"/>
            <w:tcBorders>
              <w:top w:val="nil"/>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jc w:val="center"/>
        </w:trPr>
        <w:tc>
          <w:tcPr>
            <w:tcW w:w="983" w:type="pct"/>
            <w:vMerge w:val="restart"/>
            <w:tcBorders>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地下水</w:t>
            </w:r>
          </w:p>
        </w:tc>
        <w:tc>
          <w:tcPr>
            <w:tcW w:w="477" w:type="pct"/>
            <w:tcBorders>
              <w:left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危险物质</w:t>
            </w:r>
          </w:p>
        </w:tc>
        <w:tc>
          <w:tcPr>
            <w:tcW w:w="3538" w:type="pct"/>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地下水环境影响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0" w:hRule="atLeast"/>
          <w:jc w:val="center"/>
        </w:trPr>
        <w:tc>
          <w:tcPr>
            <w:tcW w:w="983"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restart"/>
            <w:tcBorders>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CO</w:t>
            </w: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厂区边界</w:t>
            </w:r>
          </w:p>
        </w:tc>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达到时间</w:t>
            </w:r>
            <w:r>
              <w:rPr>
                <w:rFonts w:hint="default" w:ascii="Times New Roman" w:hAnsi="Times New Roman" w:eastAsia="Times New Roman" w:cs="Times New Roman"/>
                <w:color w:val="auto"/>
                <w:spacing w:val="-9"/>
                <w:sz w:val="21"/>
                <w:szCs w:val="22"/>
                <w:highlight w:val="none"/>
                <w:lang w:val="zh-CN" w:eastAsia="zh-CN" w:bidi="zh-CN"/>
              </w:rPr>
              <w:t>/d</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/d</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w w:val="95"/>
                <w:sz w:val="21"/>
                <w:szCs w:val="22"/>
                <w:highlight w:val="none"/>
                <w:lang w:val="zh-CN" w:eastAsia="zh-CN" w:bidi="zh-CN"/>
              </w:rPr>
              <w:t>最大浓度</w:t>
            </w:r>
            <w:r>
              <w:rPr>
                <w:rFonts w:hint="default" w:ascii="Times New Roman" w:hAnsi="Times New Roman" w:eastAsia="Times New Roman" w:cs="Times New Roman"/>
                <w:color w:val="auto"/>
                <w:w w:val="95"/>
                <w:sz w:val="21"/>
                <w:szCs w:val="22"/>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w:t>
            </w:r>
            <w:r>
              <w:rPr>
                <w:rFonts w:hint="default" w:ascii="Times New Roman" w:hAnsi="Times New Roman" w:eastAsia="Times New Roman" w:cs="Times New Roman"/>
                <w:color w:val="auto"/>
                <w:sz w:val="21"/>
                <w:szCs w:val="22"/>
                <w:highlight w:val="none"/>
                <w:lang w:val="zh-CN" w:eastAsia="zh-CN" w:bidi="zh-CN"/>
              </w:rPr>
              <w:t>mg/L</w:t>
            </w:r>
            <w:r>
              <w:rPr>
                <w:rFonts w:hint="default" w:ascii="Times New Roman" w:hAnsi="Times New Roman" w:eastAsia="宋体" w:cs="Times New Roman"/>
                <w:color w:val="auto"/>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1" w:hRule="atLeast"/>
          <w:jc w:val="center"/>
        </w:trPr>
        <w:tc>
          <w:tcPr>
            <w:tcW w:w="983"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下游厂区边界</w:t>
            </w:r>
          </w:p>
        </w:tc>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4" w:hRule="atLeast"/>
          <w:jc w:val="center"/>
        </w:trPr>
        <w:tc>
          <w:tcPr>
            <w:tcW w:w="983"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敏感目标名称</w:t>
            </w:r>
          </w:p>
        </w:tc>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达到时间</w:t>
            </w:r>
            <w:r>
              <w:rPr>
                <w:rFonts w:hint="default" w:ascii="Times New Roman" w:hAnsi="Times New Roman" w:eastAsia="Times New Roman" w:cs="Times New Roman"/>
                <w:color w:val="auto"/>
                <w:spacing w:val="-9"/>
                <w:sz w:val="21"/>
                <w:szCs w:val="22"/>
                <w:highlight w:val="none"/>
                <w:lang w:val="zh-CN" w:eastAsia="zh-CN" w:bidi="zh-CN"/>
              </w:rPr>
              <w:t>/d</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超标时间</w:t>
            </w:r>
            <w:r>
              <w:rPr>
                <w:rFonts w:hint="default" w:ascii="Times New Roman" w:hAnsi="Times New Roman" w:eastAsia="Times New Roman" w:cs="Times New Roman"/>
                <w:color w:val="auto"/>
                <w:sz w:val="21"/>
                <w:szCs w:val="22"/>
                <w:highlight w:val="none"/>
                <w:lang w:val="zh-CN" w:eastAsia="zh-CN" w:bidi="zh-CN"/>
              </w:rPr>
              <w:t>/d</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超标持续时间</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sz w:val="21"/>
                <w:szCs w:val="22"/>
                <w:highlight w:val="none"/>
                <w:lang w:val="zh-CN" w:eastAsia="zh-CN" w:bidi="zh-CN"/>
              </w:rPr>
              <w:t>/d</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宋体" w:cs="Times New Roman"/>
                <w:color w:val="auto"/>
                <w:w w:val="95"/>
                <w:sz w:val="21"/>
                <w:szCs w:val="22"/>
                <w:highlight w:val="none"/>
                <w:lang w:val="zh-CN" w:eastAsia="zh-CN" w:bidi="zh-CN"/>
              </w:rPr>
              <w:t>最大浓度</w:t>
            </w:r>
            <w:r>
              <w:rPr>
                <w:rFonts w:hint="default" w:ascii="Times New Roman" w:hAnsi="Times New Roman" w:eastAsia="Times New Roman" w:cs="Times New Roman"/>
                <w:color w:val="auto"/>
                <w:w w:val="95"/>
                <w:sz w:val="21"/>
                <w:szCs w:val="22"/>
                <w:highlight w:val="none"/>
                <w:lang w:val="zh-CN" w:eastAsia="zh-CN" w:bidi="zh-CN"/>
              </w:rPr>
              <w:t>/</w:t>
            </w:r>
          </w:p>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zh-CN" w:eastAsia="zh-CN" w:bidi="zh-CN"/>
              </w:rPr>
              <w:t>（</w:t>
            </w:r>
            <w:r>
              <w:rPr>
                <w:rFonts w:hint="default" w:ascii="Times New Roman" w:hAnsi="Times New Roman" w:eastAsia="Times New Roman" w:cs="Times New Roman"/>
                <w:color w:val="auto"/>
                <w:sz w:val="21"/>
                <w:szCs w:val="22"/>
                <w:highlight w:val="none"/>
                <w:lang w:val="zh-CN" w:eastAsia="zh-CN" w:bidi="zh-CN"/>
              </w:rPr>
              <w:t>mg/L</w:t>
            </w:r>
            <w:r>
              <w:rPr>
                <w:rFonts w:hint="default" w:ascii="Times New Roman" w:hAnsi="Times New Roman" w:eastAsia="宋体" w:cs="Times New Roman"/>
                <w:color w:val="auto"/>
                <w:sz w:val="21"/>
                <w:szCs w:val="22"/>
                <w:highlight w:val="none"/>
                <w:lang w:val="zh-CN" w:eastAsia="zh-CN" w:bidi="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2" w:hRule="atLeast"/>
          <w:jc w:val="center"/>
        </w:trPr>
        <w:tc>
          <w:tcPr>
            <w:tcW w:w="983" w:type="pct"/>
            <w:vMerge w:val="continue"/>
            <w:tcBorders>
              <w:top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477" w:type="pct"/>
            <w:vMerge w:val="continue"/>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after="0" w:line="240" w:lineRule="auto"/>
              <w:ind w:left="0" w:right="0" w:firstLine="0"/>
              <w:jc w:val="center"/>
              <w:textAlignment w:val="auto"/>
              <w:rPr>
                <w:rFonts w:hint="default" w:ascii="Times New Roman" w:hAnsi="Times New Roman" w:eastAsia="宋体" w:cs="Times New Roman"/>
                <w:color w:val="auto"/>
                <w:kern w:val="0"/>
                <w:sz w:val="2"/>
                <w:szCs w:val="2"/>
                <w:highlight w:val="none"/>
                <w:lang w:val="zh-CN" w:bidi="zh-CN"/>
              </w:rPr>
            </w:pPr>
          </w:p>
        </w:tc>
        <w:tc>
          <w:tcPr>
            <w:tcW w:w="114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54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3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68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c>
          <w:tcPr>
            <w:tcW w:w="83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after="0" w:line="240" w:lineRule="auto"/>
              <w:ind w:left="0" w:right="0" w:firstLine="0"/>
              <w:jc w:val="center"/>
              <w:textAlignment w:val="auto"/>
              <w:rPr>
                <w:rFonts w:hint="default" w:ascii="Times New Roman" w:hAnsi="Times New Roman" w:eastAsia="Times New Roman" w:cs="Times New Roman"/>
                <w:color w:val="auto"/>
                <w:sz w:val="21"/>
                <w:szCs w:val="22"/>
                <w:highlight w:val="none"/>
                <w:lang w:val="zh-CN" w:eastAsia="zh-CN" w:bidi="zh-CN"/>
              </w:rPr>
            </w:pPr>
            <w:r>
              <w:rPr>
                <w:rFonts w:hint="default" w:ascii="Times New Roman" w:hAnsi="Times New Roman" w:eastAsia="Times New Roman" w:cs="Times New Roman"/>
                <w:color w:val="auto"/>
                <w:w w:val="99"/>
                <w:sz w:val="21"/>
                <w:szCs w:val="22"/>
                <w:highlight w:val="none"/>
                <w:lang w:val="zh-CN" w:eastAsia="zh-CN" w:bidi="zh-CN"/>
              </w:rPr>
              <w:t>/</w:t>
            </w:r>
          </w:p>
        </w:tc>
      </w:tr>
    </w:tbl>
    <w:p>
      <w:pPr>
        <w:keepNext w:val="0"/>
        <w:keepLines w:val="0"/>
        <w:pageBreakBefore w:val="0"/>
        <w:widowControl w:val="0"/>
        <w:numPr>
          <w:ilvl w:val="2"/>
          <w:numId w:val="35"/>
        </w:numPr>
        <w:tabs>
          <w:tab w:val="left" w:pos="838"/>
        </w:tabs>
        <w:kinsoku/>
        <w:wordWrap/>
        <w:overflowPunct/>
        <w:topLinePunct w:val="0"/>
        <w:autoSpaceDE w:val="0"/>
        <w:autoSpaceDN w:val="0"/>
        <w:bidi w:val="0"/>
        <w:adjustRightInd/>
        <w:snapToGrid/>
        <w:spacing w:before="0" w:after="0" w:line="360" w:lineRule="auto"/>
        <w:ind w:left="709" w:leftChars="0" w:right="0" w:rightChars="0" w:hanging="709" w:firstLineChars="0"/>
        <w:jc w:val="both"/>
        <w:textAlignment w:val="auto"/>
        <w:outlineLvl w:val="2"/>
        <w:rPr>
          <w:rFonts w:hint="default" w:ascii="Times New Roman" w:hAnsi="Times New Roman" w:eastAsia="宋体" w:cs="Times New Roman"/>
          <w:b/>
          <w:color w:val="auto"/>
          <w:sz w:val="24"/>
          <w:szCs w:val="24"/>
          <w:highlight w:val="none"/>
          <w:lang w:val="zh-CN" w:eastAsia="zh-CN" w:bidi="zh-CN"/>
        </w:rPr>
      </w:pPr>
      <w:r>
        <w:rPr>
          <w:rFonts w:hint="default" w:ascii="Times New Roman" w:hAnsi="Times New Roman" w:eastAsia="宋体" w:cs="Times New Roman"/>
          <w:b/>
          <w:color w:val="auto"/>
          <w:sz w:val="24"/>
          <w:szCs w:val="24"/>
          <w:highlight w:val="none"/>
          <w:lang w:val="en-US" w:eastAsia="zh-CN" w:bidi="zh-CN"/>
        </w:rPr>
        <w:t>环境风险评价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color w:val="auto"/>
          <w:sz w:val="24"/>
          <w:highlight w:val="none"/>
          <w:lang w:val="en-US" w:eastAsia="zh-CN"/>
        </w:rPr>
        <w:t>MDI液体若发生泄漏时，液态化学品会渗入地下，将对土壤和地下水水质产生一定的污染。</w:t>
      </w:r>
      <w:r>
        <w:rPr>
          <w:rFonts w:hint="default" w:ascii="Times New Roman" w:hAnsi="Times New Roman" w:cs="Times New Roman"/>
          <w:color w:val="auto"/>
          <w:sz w:val="24"/>
          <w:highlight w:val="none"/>
          <w:lang w:val="en-US" w:eastAsia="zh-CN"/>
        </w:rPr>
        <w:t>因此本项目拟将整个生产车间</w:t>
      </w:r>
      <w:r>
        <w:rPr>
          <w:rFonts w:hint="default" w:ascii="Times New Roman" w:hAnsi="Times New Roman" w:eastAsia="宋体" w:cs="Times New Roman"/>
          <w:color w:val="auto"/>
          <w:sz w:val="24"/>
          <w:highlight w:val="none"/>
          <w:lang w:val="en-US" w:eastAsia="zh-CN"/>
        </w:rPr>
        <w:t>采用水泥地面硬化，且涂刷防腐、防渗涂层，罐</w:t>
      </w:r>
      <w:r>
        <w:rPr>
          <w:rFonts w:hint="default" w:ascii="Times New Roman" w:hAnsi="Times New Roman" w:cs="Times New Roman"/>
          <w:color w:val="auto"/>
          <w:sz w:val="24"/>
          <w:highlight w:val="none"/>
          <w:lang w:val="en-US" w:eastAsia="zh-CN"/>
        </w:rPr>
        <w:t>体</w:t>
      </w:r>
      <w:r>
        <w:rPr>
          <w:rFonts w:hint="default" w:ascii="Times New Roman" w:hAnsi="Times New Roman" w:eastAsia="宋体" w:cs="Times New Roman"/>
          <w:color w:val="auto"/>
          <w:sz w:val="24"/>
          <w:highlight w:val="none"/>
          <w:lang w:val="en-US" w:eastAsia="zh-CN"/>
        </w:rPr>
        <w:t>采用双层结构防渗，涂刷防腐、防渗涂层，另外加强日常管理；严格管理，操作正确，加强日常检查，正常情况下，可以避免发生溢出和泄漏事故。</w:t>
      </w:r>
    </w:p>
    <w:p>
      <w:pPr>
        <w:numPr>
          <w:ilvl w:val="1"/>
          <w:numId w:val="32"/>
        </w:numPr>
        <w:spacing w:line="360" w:lineRule="auto"/>
        <w:ind w:left="567" w:leftChars="0" w:hanging="567" w:firstLineChars="0"/>
        <w:jc w:val="left"/>
        <w:outlineLvl w:val="1"/>
        <w:rPr>
          <w:rFonts w:hint="default" w:ascii="Times New Roman" w:hAnsi="Times New Roman" w:eastAsia="宋体" w:cs="Times New Roman"/>
          <w:b/>
          <w:bCs/>
          <w:color w:val="auto"/>
          <w:sz w:val="24"/>
          <w:szCs w:val="24"/>
          <w:highlight w:val="none"/>
          <w:lang w:val="zh-CN" w:eastAsia="zh-CN"/>
        </w:rPr>
      </w:pPr>
      <w:bookmarkStart w:id="143" w:name="_Toc13895"/>
      <w:bookmarkStart w:id="144" w:name="_Toc9475"/>
      <w:bookmarkStart w:id="145" w:name="_Toc8792"/>
      <w:bookmarkStart w:id="146" w:name="_Toc23865"/>
      <w:bookmarkStart w:id="147" w:name="_Toc13921"/>
      <w:r>
        <w:rPr>
          <w:rFonts w:hint="default" w:ascii="Times New Roman" w:hAnsi="Times New Roman" w:eastAsia="宋体" w:cs="Times New Roman"/>
          <w:b/>
          <w:bCs/>
          <w:color w:val="auto"/>
          <w:sz w:val="24"/>
          <w:szCs w:val="24"/>
          <w:highlight w:val="none"/>
          <w:lang w:val="en-US" w:eastAsia="zh-CN"/>
        </w:rPr>
        <w:t>地表水环境风险评价</w:t>
      </w:r>
      <w:bookmarkEnd w:id="143"/>
      <w:bookmarkEnd w:id="144"/>
      <w:bookmarkEnd w:id="145"/>
      <w:bookmarkEnd w:id="146"/>
      <w:bookmarkEnd w:id="147"/>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szCs w:val="22"/>
          <w:highlight w:val="none"/>
        </w:rPr>
        <w:t>本项目地表水环境风险评价等级为三级评价，根据《建设项目环境风险评价技术导则》（HJ169-2018），三级评价只需定性分析说明地表水环境影响后果</w:t>
      </w:r>
      <w:r>
        <w:rPr>
          <w:rFonts w:hint="default" w:ascii="Times New Roman" w:hAnsi="Times New Roman" w:cs="Times New Roman"/>
          <w:color w:val="auto"/>
          <w:sz w:val="24"/>
          <w:highlight w:val="none"/>
        </w:rPr>
        <w:t>。</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（1）废水事故排放</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废水事故排放的环境风险主要有以下几方面：</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①化学品泄漏</w:t>
      </w:r>
      <w:r>
        <w:rPr>
          <w:rStyle w:val="40"/>
          <w:rFonts w:hint="default" w:ascii="Times New Roman" w:hAnsi="Times New Roman" w:cs="Times New Roman"/>
          <w:color w:val="auto"/>
          <w:kern w:val="0"/>
          <w:sz w:val="24"/>
          <w:highlight w:val="none"/>
        </w:rPr>
        <w:t>排放，会对地表水产生污染；</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②化学品泄漏</w:t>
      </w:r>
      <w:r>
        <w:rPr>
          <w:rStyle w:val="40"/>
          <w:rFonts w:hint="default" w:ascii="Times New Roman" w:hAnsi="Times New Roman" w:cs="Times New Roman"/>
          <w:color w:val="auto"/>
          <w:kern w:val="0"/>
          <w:sz w:val="24"/>
          <w:highlight w:val="none"/>
        </w:rPr>
        <w:t>通过垂直下渗会对地下水造成污染。</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（2）消防废水</w:t>
      </w:r>
    </w:p>
    <w:p>
      <w:pPr>
        <w:spacing w:line="360" w:lineRule="auto"/>
        <w:ind w:firstLine="480" w:firstLineChars="200"/>
        <w:rPr>
          <w:rFonts w:hint="default" w:ascii="Times New Roman" w:hAnsi="Times New Roman" w:cs="Times New Roman"/>
          <w:snapToGrid w:val="0"/>
          <w:color w:val="auto"/>
          <w:kern w:val="0"/>
          <w:sz w:val="24"/>
          <w:highlight w:val="none"/>
        </w:rPr>
      </w:pPr>
      <w:r>
        <w:rPr>
          <w:rFonts w:hint="default" w:ascii="Times New Roman" w:hAnsi="Times New Roman" w:cs="Times New Roman"/>
          <w:snapToGrid w:val="0"/>
          <w:color w:val="auto"/>
          <w:kern w:val="0"/>
          <w:sz w:val="24"/>
          <w:highlight w:val="none"/>
        </w:rPr>
        <w:t>本项目火灾事故发生时，</w:t>
      </w:r>
      <w:r>
        <w:rPr>
          <w:rFonts w:hint="default" w:ascii="Times New Roman" w:hAnsi="Times New Roman" w:cs="Times New Roman"/>
          <w:color w:val="auto"/>
          <w:sz w:val="24"/>
          <w:highlight w:val="none"/>
        </w:rPr>
        <w:t>在消防灭火过程中会产生消防废水。</w:t>
      </w:r>
      <w:r>
        <w:rPr>
          <w:rFonts w:hint="default" w:ascii="Times New Roman" w:hAnsi="Times New Roman" w:cs="Times New Roman"/>
          <w:snapToGrid w:val="0"/>
          <w:color w:val="auto"/>
          <w:kern w:val="0"/>
          <w:sz w:val="24"/>
          <w:highlight w:val="none"/>
        </w:rPr>
        <w:t>消防废水在短时间内会大量漫流，影响周边环境，甚至通过土壤下渗，破坏地下水环境。消防废水进入雨水管道，有可能排入</w:t>
      </w:r>
      <w:r>
        <w:rPr>
          <w:rFonts w:hint="default" w:ascii="Times New Roman" w:hAnsi="Times New Roman" w:cs="Times New Roman"/>
          <w:snapToGrid w:val="0"/>
          <w:color w:val="auto"/>
          <w:kern w:val="0"/>
          <w:sz w:val="24"/>
          <w:highlight w:val="none"/>
          <w:lang w:val="en-US" w:eastAsia="zh-CN"/>
        </w:rPr>
        <w:t>石湾镇中心排渠</w:t>
      </w:r>
      <w:r>
        <w:rPr>
          <w:rFonts w:hint="default" w:ascii="Times New Roman" w:hAnsi="Times New Roman" w:cs="Times New Roman"/>
          <w:snapToGrid w:val="0"/>
          <w:color w:val="auto"/>
          <w:kern w:val="0"/>
          <w:sz w:val="24"/>
          <w:highlight w:val="none"/>
        </w:rPr>
        <w:t>，影响</w:t>
      </w:r>
      <w:r>
        <w:rPr>
          <w:rFonts w:hint="default" w:ascii="Times New Roman" w:hAnsi="Times New Roman" w:cs="Times New Roman"/>
          <w:snapToGrid w:val="0"/>
          <w:color w:val="auto"/>
          <w:kern w:val="0"/>
          <w:sz w:val="24"/>
          <w:highlight w:val="none"/>
          <w:lang w:val="en-US" w:eastAsia="zh-CN"/>
        </w:rPr>
        <w:t>石湾镇中心排渠</w:t>
      </w:r>
      <w:r>
        <w:rPr>
          <w:rFonts w:hint="default" w:ascii="Times New Roman" w:hAnsi="Times New Roman" w:cs="Times New Roman"/>
          <w:snapToGrid w:val="0"/>
          <w:color w:val="auto"/>
          <w:kern w:val="0"/>
          <w:sz w:val="24"/>
          <w:highlight w:val="none"/>
        </w:rPr>
        <w:t>水质。</w:t>
      </w:r>
    </w:p>
    <w:p>
      <w:pPr>
        <w:spacing w:line="360" w:lineRule="auto"/>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本项目拟设一个不小于</w:t>
      </w:r>
      <w:r>
        <w:rPr>
          <w:rFonts w:hint="eastAsia" w:cs="Times New Roman"/>
          <w:color w:val="auto"/>
          <w:sz w:val="24"/>
          <w:szCs w:val="24"/>
          <w:highlight w:val="none"/>
          <w:lang w:val="en-US" w:eastAsia="zh-CN"/>
        </w:rPr>
        <w:t>6</w:t>
      </w:r>
      <w:r>
        <w:rPr>
          <w:rFonts w:hint="default" w:ascii="Times New Roman" w:hAnsi="Times New Roman" w:cs="Times New Roman"/>
          <w:color w:val="auto"/>
          <w:sz w:val="24"/>
          <w:szCs w:val="24"/>
          <w:highlight w:val="none"/>
          <w:lang w:val="en-US" w:eastAsia="zh-CN"/>
        </w:rPr>
        <w:t>50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vertAlign w:val="baseline"/>
          <w:lang w:eastAsia="zh-CN"/>
        </w:rPr>
        <w:t>的</w:t>
      </w:r>
      <w:r>
        <w:rPr>
          <w:rFonts w:hint="default" w:ascii="Times New Roman" w:hAnsi="Times New Roman" w:eastAsia="宋体" w:cs="Times New Roman"/>
          <w:color w:val="auto"/>
          <w:sz w:val="24"/>
          <w:szCs w:val="24"/>
          <w:highlight w:val="none"/>
          <w:lang w:val="en-US" w:eastAsia="zh-CN"/>
        </w:rPr>
        <w:t>事故应急池</w:t>
      </w:r>
      <w:r>
        <w:rPr>
          <w:rFonts w:hint="default" w:ascii="Times New Roman" w:hAnsi="Times New Roman" w:cs="Times New Roman"/>
          <w:color w:val="auto"/>
          <w:sz w:val="24"/>
          <w:szCs w:val="24"/>
          <w:highlight w:val="none"/>
          <w:lang w:val="en-US" w:eastAsia="zh-CN"/>
        </w:rPr>
        <w:t>，能够满足本项目事故废水应急收集的要求。‬</w:t>
      </w:r>
    </w:p>
    <w:p>
      <w:pPr>
        <w:numPr>
          <w:ilvl w:val="1"/>
          <w:numId w:val="32"/>
        </w:numPr>
        <w:spacing w:line="360" w:lineRule="auto"/>
        <w:ind w:left="567" w:leftChars="0" w:hanging="567" w:firstLineChars="0"/>
        <w:jc w:val="left"/>
        <w:outlineLvl w:val="1"/>
        <w:rPr>
          <w:rFonts w:hint="default" w:ascii="Times New Roman" w:hAnsi="Times New Roman" w:eastAsia="宋体" w:cs="Times New Roman"/>
          <w:b/>
          <w:bCs/>
          <w:color w:val="auto"/>
          <w:sz w:val="24"/>
          <w:szCs w:val="24"/>
          <w:highlight w:val="none"/>
          <w:lang w:val="zh-CN" w:eastAsia="zh-CN"/>
        </w:rPr>
      </w:pPr>
      <w:bookmarkStart w:id="148" w:name="_Toc25256"/>
      <w:bookmarkStart w:id="149" w:name="_Toc24589"/>
      <w:bookmarkStart w:id="150" w:name="_Toc958"/>
      <w:bookmarkStart w:id="151" w:name="_Toc7256"/>
      <w:bookmarkStart w:id="152" w:name="_Toc5746"/>
      <w:r>
        <w:rPr>
          <w:rFonts w:hint="default" w:ascii="Times New Roman" w:hAnsi="Times New Roman" w:eastAsia="宋体" w:cs="Times New Roman"/>
          <w:b/>
          <w:bCs/>
          <w:color w:val="auto"/>
          <w:sz w:val="24"/>
          <w:szCs w:val="24"/>
          <w:highlight w:val="none"/>
          <w:lang w:val="en-US" w:eastAsia="zh-CN"/>
        </w:rPr>
        <w:t>地下水环境风险评价</w:t>
      </w:r>
      <w:bookmarkEnd w:id="148"/>
      <w:bookmarkEnd w:id="149"/>
      <w:bookmarkEnd w:id="150"/>
      <w:bookmarkEnd w:id="151"/>
      <w:bookmarkEnd w:id="152"/>
    </w:p>
    <w:p>
      <w:pPr>
        <w:widowControl/>
        <w:adjustRightInd w:val="0"/>
        <w:snapToGrid w:val="0"/>
        <w:spacing w:before="0" w:beforeAutospacing="0" w:after="0" w:afterAutospacing="0" w:line="500" w:lineRule="exact"/>
        <w:ind w:firstLine="480" w:firstLineChars="200"/>
        <w:jc w:val="both"/>
        <w:textAlignment w:val="auto"/>
        <w:rPr>
          <w:rFonts w:hint="default" w:ascii="Times New Roman" w:hAnsi="Times New Roman" w:eastAsia="华文仿宋" w:cs="Times New Roman"/>
          <w:snapToGrid w:val="0"/>
          <w:color w:val="auto"/>
          <w:kern w:val="2"/>
          <w:sz w:val="28"/>
          <w:szCs w:val="28"/>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zh-CN"/>
        </w:rPr>
        <w:t>本项目不取用地下水，生产过程涉及到有毒有害的危险化学品，在生产过程中，如果发生跑、冒、滴、漏等现象，大气降水会使污染物随水通过非饱水带，周期性的深入含水层，属间歇入渗型，主要污染对象为潜水；连续入渗是指污染物随水不断的渗入含水层，主要也是污染潜水。</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原料等连续渗漏造成地下水污染；从污染物的来源可以看出，本项目主要污染物为</w:t>
      </w:r>
      <w:r>
        <w:rPr>
          <w:rFonts w:hint="default" w:ascii="Times New Roman" w:hAnsi="Times New Roman" w:cs="Times New Roman"/>
          <w:color w:val="auto"/>
          <w:kern w:val="2"/>
          <w:sz w:val="24"/>
          <w:szCs w:val="24"/>
          <w:highlight w:val="none"/>
          <w:lang w:val="en-US" w:eastAsia="zh-CN" w:bidi="zh-CN"/>
        </w:rPr>
        <w:t>MDI</w:t>
      </w:r>
      <w:r>
        <w:rPr>
          <w:rFonts w:hint="default" w:ascii="Times New Roman" w:hAnsi="Times New Roman" w:eastAsia="宋体" w:cs="Times New Roman"/>
          <w:color w:val="auto"/>
          <w:kern w:val="2"/>
          <w:sz w:val="24"/>
          <w:szCs w:val="24"/>
          <w:highlight w:val="none"/>
          <w:lang w:val="en-US" w:eastAsia="zh-CN" w:bidi="zh-CN"/>
        </w:rPr>
        <w:t>（以CODcr计）。根据相应导则要求，其评价预测因子应选取有环境质量标准的，故本次预测取CODcr为评价因子。工程各构筑物按规范设置防渗措施，在正生产情况下，一般不会发生地下水污染事件，本环评主要考虑最恶劣情况(</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防渗措施失效）下废水下渗，造成地下水污染情况。假设</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发生破损，污水泄露至地下水，按池底部2%的面积出现破裂，废水以渗透系数约0.5m/d的速度泄露进行计算，类比《江苏诚丰新材料股份有限公司新建聚氨酯材料研发中心及新一代高物性、环保型氨酯材料及其衍生制品项目环境风险影响专项分析》中CODcr的源强取104.2mg/L</w:t>
      </w:r>
      <w:r>
        <w:rPr>
          <w:rFonts w:hint="default" w:ascii="Times New Roman" w:hAnsi="Times New Roman" w:cs="Times New Roman"/>
          <w:color w:val="auto"/>
          <w:kern w:val="2"/>
          <w:sz w:val="24"/>
          <w:szCs w:val="24"/>
          <w:highlight w:val="none"/>
          <w:lang w:val="en-US" w:eastAsia="zh-CN" w:bidi="zh-CN"/>
        </w:rPr>
        <w:t>。</w:t>
      </w:r>
    </w:p>
    <w:p>
      <w:pPr>
        <w:widowControl/>
        <w:adjustRightInd w:val="0"/>
        <w:snapToGrid w:val="0"/>
        <w:spacing w:before="0" w:beforeAutospacing="0" w:after="0" w:afterAutospacing="0" w:line="500" w:lineRule="exact"/>
        <w:ind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zh-CN"/>
        </w:rPr>
      </w:pPr>
      <w:r>
        <w:rPr>
          <w:rFonts w:hint="default" w:ascii="Times New Roman" w:hAnsi="Times New Roman" w:eastAsia="宋体" w:cs="Times New Roman"/>
          <w:b/>
          <w:bCs/>
          <w:color w:val="auto"/>
          <w:kern w:val="2"/>
          <w:sz w:val="24"/>
          <w:szCs w:val="24"/>
          <w:highlight w:val="none"/>
          <w:lang w:val="en-US" w:eastAsia="zh-CN" w:bidi="zh-CN"/>
        </w:rPr>
        <w:t>（1）评价因子</w:t>
      </w:r>
    </w:p>
    <w:p>
      <w:pPr>
        <w:widowControl/>
        <w:adjustRightInd w:val="0"/>
        <w:snapToGrid w:val="0"/>
        <w:spacing w:before="0" w:beforeAutospacing="0" w:after="0" w:afterAutospacing="0" w:line="500" w:lineRule="exact"/>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从污染物的来源可以看出，本项目主要污染物为选取</w:t>
      </w:r>
      <w:r>
        <w:rPr>
          <w:rFonts w:hint="default" w:ascii="Times New Roman" w:hAnsi="Times New Roman" w:cs="Times New Roman"/>
          <w:color w:val="auto"/>
          <w:kern w:val="2"/>
          <w:sz w:val="24"/>
          <w:szCs w:val="24"/>
          <w:highlight w:val="none"/>
          <w:lang w:val="en-US" w:eastAsia="zh-CN" w:bidi="zh-CN"/>
        </w:rPr>
        <w:t>MDI</w:t>
      </w:r>
      <w:r>
        <w:rPr>
          <w:rFonts w:hint="default" w:ascii="Times New Roman" w:hAnsi="Times New Roman" w:eastAsia="宋体" w:cs="Times New Roman"/>
          <w:color w:val="auto"/>
          <w:kern w:val="2"/>
          <w:sz w:val="24"/>
          <w:szCs w:val="24"/>
          <w:highlight w:val="none"/>
          <w:lang w:val="en-US" w:eastAsia="zh-CN" w:bidi="zh-CN"/>
        </w:rPr>
        <w:t>（以CODcr计）。根据相应导则要求，其评价预测因子应选取有环境质量标准的，故本次预测取CODcr为评价因子。工程各构筑物按规范设置防渗措施，在正生产情况下，一般不会发生地下水污染事件，本环评主要考虑最恶劣情况</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防渗措施失效</w:t>
      </w:r>
      <w:r>
        <w:rPr>
          <w:rFonts w:hint="default" w:ascii="Times New Roman" w:hAnsi="Times New Roman" w:cs="Times New Roman"/>
          <w:color w:val="auto"/>
          <w:kern w:val="2"/>
          <w:sz w:val="24"/>
          <w:szCs w:val="24"/>
          <w:highlight w:val="none"/>
          <w:lang w:val="en-US" w:eastAsia="zh-CN" w:bidi="zh-CN"/>
        </w:rPr>
        <w:t>）</w:t>
      </w:r>
      <w:r>
        <w:rPr>
          <w:rFonts w:hint="default" w:ascii="Times New Roman" w:hAnsi="Times New Roman" w:eastAsia="宋体" w:cs="Times New Roman"/>
          <w:color w:val="auto"/>
          <w:kern w:val="2"/>
          <w:sz w:val="24"/>
          <w:szCs w:val="24"/>
          <w:highlight w:val="none"/>
          <w:lang w:val="en-US" w:eastAsia="zh-CN" w:bidi="zh-CN"/>
        </w:rPr>
        <w:t>下废水下渗，造成地下水污染情况。</w:t>
      </w:r>
    </w:p>
    <w:p>
      <w:pPr>
        <w:widowControl/>
        <w:numPr>
          <w:ilvl w:val="0"/>
          <w:numId w:val="33"/>
        </w:numPr>
        <w:adjustRightInd w:val="0"/>
        <w:snapToGrid w:val="0"/>
        <w:spacing w:before="0" w:beforeAutospacing="0" w:after="0" w:afterAutospacing="0" w:line="500" w:lineRule="exact"/>
        <w:ind w:left="0" w:leftChars="0" w:firstLine="567" w:firstLineChars="0"/>
        <w:jc w:val="both"/>
        <w:textAlignment w:val="auto"/>
        <w:rPr>
          <w:rFonts w:hint="default" w:ascii="Times New Roman" w:hAnsi="Times New Roman" w:eastAsia="宋体" w:cs="Times New Roman"/>
          <w:b/>
          <w:bCs/>
          <w:color w:val="auto"/>
          <w:kern w:val="2"/>
          <w:sz w:val="24"/>
          <w:szCs w:val="24"/>
          <w:highlight w:val="none"/>
          <w:lang w:val="en-US" w:eastAsia="zh-CN" w:bidi="zh-CN"/>
        </w:rPr>
      </w:pPr>
      <w:r>
        <w:rPr>
          <w:rFonts w:hint="default" w:ascii="Times New Roman" w:hAnsi="Times New Roman" w:eastAsia="宋体" w:cs="Times New Roman"/>
          <w:b/>
          <w:bCs/>
          <w:color w:val="auto"/>
          <w:kern w:val="2"/>
          <w:sz w:val="24"/>
          <w:szCs w:val="24"/>
          <w:highlight w:val="none"/>
          <w:lang w:val="en-US" w:eastAsia="zh-CN" w:bidi="zh-CN"/>
        </w:rPr>
        <w:t>预测模型</w:t>
      </w:r>
    </w:p>
    <w:p>
      <w:pPr>
        <w:widowControl/>
        <w:numPr>
          <w:ilvl w:val="0"/>
          <w:numId w:val="0"/>
        </w:numPr>
        <w:adjustRightInd w:val="0"/>
        <w:snapToGrid w:val="0"/>
        <w:spacing w:before="0" w:beforeAutospacing="0" w:after="0" w:afterAutospacing="0" w:line="500" w:lineRule="exact"/>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本项目通过解析法预测地下水环境影响。厂区在正常情况下基本不产生地下水污染，主要的考虑因素为</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kern w:val="2"/>
          <w:sz w:val="24"/>
          <w:szCs w:val="24"/>
          <w:highlight w:val="none"/>
          <w:lang w:val="en-US" w:eastAsia="zh-CN" w:bidi="zh-CN"/>
        </w:rPr>
        <w:t>渗漏对地下水可能造成的影响。因此将污染源视为连续稳定释放的点源，通过对污染物源强的分析，筛选出具有代表性的污染因子进行正向推进。</w:t>
      </w:r>
    </w:p>
    <w:p>
      <w:pPr>
        <w:widowControl/>
        <w:adjustRightInd w:val="0"/>
        <w:snapToGrid w:val="0"/>
        <w:spacing w:before="0" w:beforeAutospacing="0" w:after="0" w:afterAutospacing="0" w:line="500" w:lineRule="exact"/>
        <w:ind w:firstLine="480" w:firstLineChars="200"/>
        <w:jc w:val="both"/>
        <w:textAlignment w:val="auto"/>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对污染物的厂区潜水环境影响预测采用《环境影响评价技术导则--地下水环境》（HJ610-2016）推荐的一维半无限长多孔介质柱体，一端为定浓度边界模式进行计算。其解析解为：</w:t>
      </w:r>
    </w:p>
    <w:p>
      <w:pPr>
        <w:jc w:val="center"/>
        <w:rPr>
          <w:rFonts w:hint="default" w:ascii="Times New Roman" w:hAnsi="Times New Roman" w:eastAsia="华文仿宋" w:cs="Times New Roman"/>
          <w:color w:val="auto"/>
          <w:highlight w:val="none"/>
        </w:rPr>
      </w:pPr>
      <w:r>
        <w:rPr>
          <w:rFonts w:hint="default" w:ascii="Times New Roman" w:hAnsi="Times New Roman" w:eastAsia="华文仿宋" w:cs="Times New Roman"/>
          <w:color w:val="auto"/>
          <w:position w:val="-38"/>
          <w:highlight w:val="none"/>
        </w:rPr>
        <w:drawing>
          <wp:inline distT="0" distB="0" distL="114300" distR="114300">
            <wp:extent cx="3039745" cy="558800"/>
            <wp:effectExtent l="0" t="0" r="8255" b="13335"/>
            <wp:docPr id="21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
                    <pic:cNvPicPr>
                      <a:picLocks noChangeAspect="1"/>
                    </pic:cNvPicPr>
                  </pic:nvPicPr>
                  <pic:blipFill>
                    <a:blip r:embed="rId53"/>
                    <a:stretch>
                      <a:fillRect/>
                    </a:stretch>
                  </pic:blipFill>
                  <pic:spPr>
                    <a:xfrm>
                      <a:off x="0" y="0"/>
                      <a:ext cx="3039745" cy="558800"/>
                    </a:xfrm>
                    <a:prstGeom prst="rect">
                      <a:avLst/>
                    </a:prstGeom>
                    <a:noFill/>
                    <a:ln>
                      <a:noFill/>
                    </a:ln>
                  </pic:spPr>
                </pic:pic>
              </a:graphicData>
            </a:graphic>
          </wp:inline>
        </w:drawing>
      </w:r>
    </w:p>
    <w:p>
      <w:pPr>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x—距注入点的距离，m；</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t—时间，d；</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C（x，t）—t时刻x处的示踪剂浓度，g/L；</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C</w:t>
      </w:r>
      <w:r>
        <w:rPr>
          <w:rFonts w:hint="default" w:ascii="Times New Roman" w:hAnsi="Times New Roman" w:eastAsia="宋体" w:cs="Times New Roman"/>
          <w:color w:val="auto"/>
          <w:sz w:val="24"/>
          <w:szCs w:val="24"/>
          <w:highlight w:val="none"/>
          <w:vertAlign w:val="subscript"/>
        </w:rPr>
        <w:t>0</w:t>
      </w:r>
      <w:r>
        <w:rPr>
          <w:rFonts w:hint="default" w:ascii="Times New Roman" w:hAnsi="Times New Roman" w:eastAsia="宋体" w:cs="Times New Roman"/>
          <w:color w:val="auto"/>
          <w:sz w:val="24"/>
          <w:szCs w:val="24"/>
          <w:highlight w:val="none"/>
        </w:rPr>
        <w:t>—注入的示踪剂浓度，g/L；</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u—水流速度，m/d；</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z w:val="24"/>
          <w:szCs w:val="24"/>
          <w:highlight w:val="none"/>
          <w:vertAlign w:val="subscript"/>
        </w:rPr>
        <w:t>L</w:t>
      </w:r>
      <w:r>
        <w:rPr>
          <w:rFonts w:hint="default" w:ascii="Times New Roman" w:hAnsi="Times New Roman" w:eastAsia="宋体" w:cs="Times New Roman"/>
          <w:color w:val="auto"/>
          <w:sz w:val="24"/>
          <w:szCs w:val="24"/>
          <w:highlight w:val="none"/>
        </w:rPr>
        <w:t>—纵向弥散系数，m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/d；</w:t>
      </w:r>
    </w:p>
    <w:p>
      <w:pPr>
        <w:spacing w:line="360" w:lineRule="auto"/>
        <w:ind w:firstLine="960" w:firstLineChars="4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erfc（）—余误差函数。</w:t>
      </w:r>
    </w:p>
    <w:p>
      <w:pPr>
        <w:widowControl/>
        <w:adjustRightInd w:val="0"/>
        <w:snapToGrid w:val="0"/>
        <w:spacing w:before="0" w:beforeAutospacing="0" w:after="0" w:afterAutospacing="0" w:line="360" w:lineRule="auto"/>
        <w:ind w:firstLine="482" w:firstLineChars="200"/>
        <w:jc w:val="both"/>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zh-CN"/>
        </w:rPr>
        <w:t>（3）预测</w:t>
      </w:r>
      <w:r>
        <w:rPr>
          <w:rFonts w:hint="default" w:ascii="Times New Roman" w:hAnsi="Times New Roman" w:eastAsia="宋体" w:cs="Times New Roman"/>
          <w:b/>
          <w:bCs/>
          <w:color w:val="auto"/>
          <w:kern w:val="2"/>
          <w:sz w:val="24"/>
          <w:szCs w:val="24"/>
          <w:highlight w:val="none"/>
          <w:lang w:val="en-US" w:eastAsia="zh-CN" w:bidi="ar-SA"/>
        </w:rPr>
        <w:t>参数</w:t>
      </w:r>
    </w:p>
    <w:p>
      <w:pPr>
        <w:spacing w:line="360" w:lineRule="auto"/>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地下水实际流速和弥散系数的确定方法：</w:t>
      </w:r>
    </w:p>
    <w:p>
      <w:pPr>
        <w:spacing w:line="360" w:lineRule="auto"/>
        <w:jc w:val="center"/>
        <w:rPr>
          <w:rFonts w:hint="default" w:ascii="Times New Roman" w:hAnsi="Times New Roman" w:eastAsia="华文仿宋" w:cs="Times New Roman"/>
          <w:color w:val="auto"/>
          <w:sz w:val="24"/>
          <w:szCs w:val="24"/>
          <w:highlight w:val="none"/>
        </w:rPr>
      </w:pPr>
      <w:r>
        <w:rPr>
          <w:rFonts w:hint="default" w:ascii="Times New Roman" w:hAnsi="Times New Roman" w:eastAsia="华文仿宋" w:cs="Times New Roman"/>
          <w:color w:val="auto"/>
          <w:sz w:val="24"/>
          <w:szCs w:val="24"/>
          <w:highlight w:val="none"/>
        </w:rPr>
        <w:t>u=K×I/n；</w:t>
      </w:r>
    </w:p>
    <w:p>
      <w:pPr>
        <w:spacing w:line="360" w:lineRule="auto"/>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地下水流速和流向的测量方法通常有经验公式法、等水位线法、仪器</w:t>
      </w:r>
      <w:r>
        <w:rPr>
          <w:rFonts w:hint="default" w:ascii="Times New Roman" w:hAnsi="Times New Roman" w:eastAsia="宋体" w:cs="Times New Roman"/>
          <w:color w:val="auto"/>
          <w:sz w:val="24"/>
          <w:szCs w:val="24"/>
          <w:highlight w:val="none"/>
          <w:lang w:eastAsia="zh-CN"/>
        </w:rPr>
        <w:t>法</w:t>
      </w:r>
      <w:r>
        <w:rPr>
          <w:rFonts w:hint="default" w:ascii="Times New Roman" w:hAnsi="Times New Roman" w:eastAsia="宋体" w:cs="Times New Roman"/>
          <w:color w:val="auto"/>
          <w:sz w:val="24"/>
          <w:szCs w:val="24"/>
          <w:highlight w:val="none"/>
        </w:rPr>
        <w:t>、示踪法四种（刘兆昌，1991；陆雍森，2002)，</w:t>
      </w:r>
      <w:r>
        <w:rPr>
          <w:rFonts w:hint="default" w:ascii="Times New Roman" w:hAnsi="Times New Roman" w:eastAsia="宋体" w:cs="Times New Roman"/>
          <w:color w:val="auto"/>
          <w:sz w:val="24"/>
          <w:szCs w:val="24"/>
          <w:highlight w:val="none"/>
          <w:lang w:eastAsia="zh-CN"/>
        </w:rPr>
        <w:t>本项目</w:t>
      </w:r>
      <w:r>
        <w:rPr>
          <w:rFonts w:hint="default" w:ascii="Times New Roman" w:hAnsi="Times New Roman" w:eastAsia="宋体" w:cs="Times New Roman"/>
          <w:color w:val="auto"/>
          <w:sz w:val="24"/>
          <w:szCs w:val="24"/>
          <w:highlight w:val="none"/>
        </w:rPr>
        <w:t>选用经验公式法推求地下水流速。</w:t>
      </w:r>
    </w:p>
    <w:p>
      <w:pPr>
        <w:spacing w:line="360" w:lineRule="auto"/>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式中K为含水层渗透系数，I为地下水水力坡度，n为有效孔隙率。项目含水层平均厚度以1.3m计，根据《环境影响评价技术导则 地下水环境》(HJ610-2016)中表B.1渗透系数经验值表，</w:t>
      </w:r>
      <w:r>
        <w:rPr>
          <w:rFonts w:hint="default" w:ascii="Times New Roman" w:hAnsi="Times New Roman" w:cs="Times New Roman"/>
          <w:color w:val="auto"/>
          <w:sz w:val="24"/>
          <w:szCs w:val="24"/>
          <w:highlight w:val="none"/>
          <w:lang w:val="en-US" w:eastAsia="zh-CN"/>
        </w:rPr>
        <w:t>粉土质砂的</w:t>
      </w:r>
      <w:r>
        <w:rPr>
          <w:rFonts w:hint="default" w:ascii="Times New Roman" w:hAnsi="Times New Roman" w:eastAsia="宋体" w:cs="Times New Roman"/>
          <w:color w:val="auto"/>
          <w:sz w:val="24"/>
          <w:szCs w:val="24"/>
          <w:highlight w:val="none"/>
        </w:rPr>
        <w:t>渗透系数</w:t>
      </w:r>
      <w:r>
        <w:rPr>
          <w:rFonts w:hint="default" w:ascii="Times New Roman" w:hAnsi="Times New Roman" w:cs="Times New Roman"/>
          <w:color w:val="auto"/>
          <w:sz w:val="24"/>
          <w:szCs w:val="24"/>
          <w:highlight w:val="none"/>
          <w:lang w:val="en-US" w:eastAsia="zh-CN"/>
        </w:rPr>
        <w:t>为</w:t>
      </w:r>
      <w:r>
        <w:rPr>
          <w:rFonts w:hint="default" w:ascii="Times New Roman" w:hAnsi="Times New Roman" w:eastAsia="宋体" w:cs="Times New Roman"/>
          <w:color w:val="auto"/>
          <w:sz w:val="24"/>
          <w:szCs w:val="24"/>
          <w:highlight w:val="none"/>
        </w:rPr>
        <w:t>K=0.5~1.0m/d，本评价以K=</w:t>
      </w:r>
      <w:r>
        <w:rPr>
          <w:rFonts w:hint="default" w:ascii="Times New Roman" w:hAnsi="Times New Roman" w:eastAsia="宋体" w:cs="Times New Roman"/>
          <w:color w:val="auto"/>
          <w:sz w:val="24"/>
          <w:szCs w:val="24"/>
          <w:highlight w:val="none"/>
          <w:lang w:val="en-US" w:eastAsia="zh-CN"/>
        </w:rPr>
        <w:t>0.5</w:t>
      </w:r>
      <w:r>
        <w:rPr>
          <w:rFonts w:hint="default" w:ascii="Times New Roman" w:hAnsi="Times New Roman" w:eastAsia="宋体" w:cs="Times New Roman"/>
          <w:color w:val="auto"/>
          <w:sz w:val="24"/>
          <w:szCs w:val="24"/>
          <w:highlight w:val="none"/>
        </w:rPr>
        <w:t>m/d计算，地下水水力坡度1取0.01，根据《水文地质手册》，有效孔隙度为0.2，经计算，u为0.0</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5m/d。</w:t>
      </w:r>
    </w:p>
    <w:p>
      <w:pPr>
        <w:spacing w:line="360" w:lineRule="auto"/>
        <w:ind w:firstLine="560"/>
        <w:rPr>
          <w:rFonts w:hint="default" w:ascii="Times New Roman" w:hAnsi="Times New Roman" w:eastAsia="华文仿宋" w:cs="Times New Roman"/>
          <w:color w:val="auto"/>
          <w:sz w:val="28"/>
          <w:highlight w:val="none"/>
        </w:rPr>
      </w:pPr>
      <w:r>
        <w:rPr>
          <w:rFonts w:hint="default" w:ascii="Times New Roman" w:hAnsi="Times New Roman" w:eastAsia="宋体" w:cs="Times New Roman"/>
          <w:color w:val="auto"/>
          <w:sz w:val="24"/>
          <w:highlight w:val="none"/>
        </w:rPr>
        <w:t>根据相关国内外经验系数，纵向弥故系数及横向弥散系数的取值可参照下表进行，由于</w:t>
      </w:r>
      <w:r>
        <w:rPr>
          <w:rFonts w:hint="default" w:ascii="Times New Roman" w:hAnsi="Times New Roman" w:cs="Times New Roman"/>
          <w:color w:val="auto"/>
          <w:sz w:val="24"/>
          <w:highlight w:val="none"/>
          <w:lang w:val="en-US" w:eastAsia="zh-CN"/>
        </w:rPr>
        <w:t>本项目所在地</w:t>
      </w:r>
      <w:r>
        <w:rPr>
          <w:rFonts w:hint="default" w:ascii="Times New Roman" w:hAnsi="Times New Roman" w:eastAsia="宋体" w:cs="Times New Roman"/>
          <w:color w:val="auto"/>
          <w:sz w:val="24"/>
          <w:highlight w:val="none"/>
        </w:rPr>
        <w:t>地下水含水层岩性以粉质粘性土为主，故纵向弥散系数取值为0.25。</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弥散系数参考表</w:t>
      </w:r>
    </w:p>
    <w:tbl>
      <w:tblPr>
        <w:tblStyle w:val="32"/>
        <w:tblW w:w="47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7"/>
        <w:gridCol w:w="1906"/>
        <w:gridCol w:w="2670"/>
        <w:gridCol w:w="2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国内外经验系数</w:t>
            </w:r>
          </w:p>
        </w:tc>
        <w:tc>
          <w:tcPr>
            <w:tcW w:w="9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含水层类型</w:t>
            </w:r>
          </w:p>
        </w:tc>
        <w:tc>
          <w:tcPr>
            <w:tcW w:w="13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纵向弥散系数（m</w:t>
            </w:r>
            <w:r>
              <w:rPr>
                <w:rFonts w:hint="default" w:ascii="Times New Roman" w:hAnsi="Times New Roman" w:eastAsia="宋体" w:cs="Times New Roman"/>
                <w:color w:val="auto"/>
                <w:kern w:val="2"/>
                <w:sz w:val="21"/>
                <w:szCs w:val="21"/>
                <w:highlight w:val="none"/>
                <w:vertAlign w:val="superscript"/>
              </w:rPr>
              <w:t>2</w:t>
            </w:r>
            <w:r>
              <w:rPr>
                <w:rFonts w:hint="default" w:ascii="Times New Roman" w:hAnsi="Times New Roman" w:eastAsia="宋体" w:cs="Times New Roman"/>
                <w:color w:val="auto"/>
                <w:kern w:val="2"/>
                <w:sz w:val="21"/>
                <w:szCs w:val="21"/>
                <w:highlight w:val="none"/>
              </w:rPr>
              <w:t>/d）</w:t>
            </w:r>
          </w:p>
        </w:tc>
        <w:tc>
          <w:tcPr>
            <w:tcW w:w="13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横向弥散系数（m</w:t>
            </w:r>
            <w:r>
              <w:rPr>
                <w:rFonts w:hint="default" w:ascii="Times New Roman" w:hAnsi="Times New Roman" w:eastAsia="宋体" w:cs="Times New Roman"/>
                <w:color w:val="auto"/>
                <w:kern w:val="2"/>
                <w:sz w:val="21"/>
                <w:szCs w:val="21"/>
                <w:highlight w:val="none"/>
                <w:vertAlign w:val="superscript"/>
              </w:rPr>
              <w:t>2</w:t>
            </w:r>
            <w:r>
              <w:rPr>
                <w:rFonts w:hint="default" w:ascii="Times New Roman" w:hAnsi="Times New Roman" w:eastAsia="宋体" w:cs="Times New Roman"/>
                <w:color w:val="auto"/>
                <w:kern w:val="2"/>
                <w:sz w:val="21"/>
                <w:szCs w:val="21"/>
                <w:highlight w:val="none"/>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p>
        </w:tc>
        <w:tc>
          <w:tcPr>
            <w:tcW w:w="9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细砂</w:t>
            </w:r>
          </w:p>
        </w:tc>
        <w:tc>
          <w:tcPr>
            <w:tcW w:w="13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 xml:space="preserve">0.05~0.5  </w:t>
            </w:r>
          </w:p>
        </w:tc>
        <w:tc>
          <w:tcPr>
            <w:tcW w:w="13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0.005~0.01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p>
        </w:tc>
        <w:tc>
          <w:tcPr>
            <w:tcW w:w="9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中粗砂</w:t>
            </w:r>
          </w:p>
        </w:tc>
        <w:tc>
          <w:tcPr>
            <w:tcW w:w="13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0.2~1</w:t>
            </w:r>
          </w:p>
        </w:tc>
        <w:tc>
          <w:tcPr>
            <w:tcW w:w="13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0.05~0.1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6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p>
        </w:tc>
        <w:tc>
          <w:tcPr>
            <w:tcW w:w="9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砂砾</w:t>
            </w:r>
          </w:p>
        </w:tc>
        <w:tc>
          <w:tcPr>
            <w:tcW w:w="13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1~5</w:t>
            </w:r>
          </w:p>
        </w:tc>
        <w:tc>
          <w:tcPr>
            <w:tcW w:w="13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0.2~1</w:t>
            </w:r>
          </w:p>
        </w:tc>
      </w:tr>
    </w:tbl>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项目主要预测潜水含水层，预测范围与现状调查范围一致，预测时段为100d、1年、1000d、5年、10年、30年、50年。</w:t>
      </w:r>
    </w:p>
    <w:p>
      <w:pPr>
        <w:spacing w:line="360" w:lineRule="auto"/>
        <w:ind w:firstLine="56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本次地下水预测因子选择CODcr，</w:t>
      </w:r>
      <w:r>
        <w:rPr>
          <w:rFonts w:hint="default" w:ascii="Times New Roman" w:hAnsi="Times New Roman" w:cs="Times New Roman"/>
          <w:color w:val="auto"/>
          <w:sz w:val="24"/>
          <w:highlight w:val="none"/>
          <w:lang w:val="en-US" w:eastAsia="zh-CN"/>
        </w:rPr>
        <w:t>其</w:t>
      </w:r>
      <w:r>
        <w:rPr>
          <w:rFonts w:hint="default" w:ascii="Times New Roman" w:hAnsi="Times New Roman" w:eastAsia="宋体" w:cs="Times New Roman"/>
          <w:color w:val="auto"/>
          <w:sz w:val="24"/>
          <w:highlight w:val="none"/>
        </w:rPr>
        <w:t>水质标准参照《地下水质量标准》</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GB/T14848-2017</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中COD</w:t>
      </w:r>
      <w:r>
        <w:rPr>
          <w:rFonts w:hint="default" w:ascii="Times New Roman" w:hAnsi="Times New Roman" w:eastAsia="宋体" w:cs="Times New Roman"/>
          <w:color w:val="auto"/>
          <w:sz w:val="24"/>
          <w:highlight w:val="none"/>
          <w:vertAlign w:val="subscript"/>
        </w:rPr>
        <w:t>Mn</w:t>
      </w:r>
      <w:r>
        <w:rPr>
          <w:rFonts w:hint="default" w:ascii="Times New Roman" w:hAnsi="Times New Roman" w:eastAsia="宋体" w:cs="Times New Roman"/>
          <w:color w:val="auto"/>
          <w:sz w:val="24"/>
          <w:highlight w:val="none"/>
        </w:rPr>
        <w:t>（3.0mg/L）的Ⅲ类标准执行。CODcr的源强取104.2mg/L</w:t>
      </w:r>
      <w:r>
        <w:rPr>
          <w:rFonts w:hint="default" w:ascii="Times New Roman" w:hAnsi="Times New Roman" w:eastAsia="宋体" w:cs="Times New Roman"/>
          <w:color w:val="auto"/>
          <w:sz w:val="24"/>
          <w:highlight w:val="none"/>
          <w:lang w:eastAsia="zh-CN"/>
        </w:rPr>
        <w:t>。</w:t>
      </w:r>
    </w:p>
    <w:p>
      <w:pPr>
        <w:widowControl/>
        <w:adjustRightInd w:val="0"/>
        <w:snapToGrid w:val="0"/>
        <w:spacing w:before="0" w:beforeAutospacing="0" w:after="0" w:afterAutospacing="0" w:line="360" w:lineRule="auto"/>
        <w:ind w:firstLine="482" w:firstLineChars="200"/>
        <w:jc w:val="both"/>
        <w:textAlignment w:val="auto"/>
        <w:rPr>
          <w:rFonts w:hint="default" w:ascii="Times New Roman" w:hAnsi="Times New Roman" w:eastAsia="宋体" w:cs="Times New Roman"/>
          <w:b/>
          <w:snapToGrid w:val="0"/>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zh-CN"/>
        </w:rPr>
        <w:t>（4）预测</w:t>
      </w:r>
      <w:r>
        <w:rPr>
          <w:rFonts w:hint="default" w:ascii="Times New Roman" w:hAnsi="Times New Roman" w:eastAsia="宋体" w:cs="Times New Roman"/>
          <w:b/>
          <w:snapToGrid w:val="0"/>
          <w:color w:val="auto"/>
          <w:kern w:val="2"/>
          <w:sz w:val="24"/>
          <w:szCs w:val="24"/>
          <w:highlight w:val="none"/>
          <w:lang w:val="en-US" w:eastAsia="zh-CN" w:bidi="ar-SA"/>
        </w:rPr>
        <w:t>结果及影响分析</w:t>
      </w:r>
    </w:p>
    <w:p>
      <w:pPr>
        <w:bidi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其各污染地下运移超标范围见下表。</w:t>
      </w:r>
    </w:p>
    <w:p>
      <w:pPr>
        <w:keepNext w:val="0"/>
        <w:keepLines w:val="0"/>
        <w:pageBreakBefore w:val="0"/>
        <w:widowControl w:val="0"/>
        <w:numPr>
          <w:ilvl w:val="0"/>
          <w:numId w:val="34"/>
        </w:numPr>
        <w:kinsoku/>
        <w:wordWrap/>
        <w:overflowPunct/>
        <w:topLinePunct w:val="0"/>
        <w:autoSpaceDE w:val="0"/>
        <w:autoSpaceDN w:val="0"/>
        <w:bidi w:val="0"/>
        <w:adjustRightInd/>
        <w:snapToGrid/>
        <w:spacing w:before="0" w:after="0" w:line="240" w:lineRule="auto"/>
        <w:ind w:left="0" w:leftChars="0" w:right="0" w:firstLine="397" w:firstLineChars="0"/>
        <w:jc w:val="center"/>
        <w:textAlignment w:val="auto"/>
        <w:outlineLvl w:val="7"/>
        <w:rPr>
          <w:rFonts w:hint="default" w:ascii="Times New Roman" w:hAnsi="Times New Roman" w:eastAsia="宋体" w:cs="Times New Roman"/>
          <w:b/>
          <w:bCs/>
          <w:color w:val="auto"/>
          <w:sz w:val="21"/>
          <w:szCs w:val="21"/>
          <w:highlight w:val="none"/>
          <w:lang w:val="en-US" w:eastAsia="zh-CN" w:bidi="zh-CN"/>
        </w:rPr>
      </w:pPr>
      <w:r>
        <w:rPr>
          <w:rFonts w:hint="default" w:ascii="Times New Roman" w:hAnsi="Times New Roman" w:eastAsia="宋体" w:cs="Times New Roman"/>
          <w:b/>
          <w:bCs/>
          <w:color w:val="auto"/>
          <w:sz w:val="21"/>
          <w:szCs w:val="21"/>
          <w:highlight w:val="none"/>
          <w:lang w:val="en-US" w:eastAsia="zh-CN" w:bidi="zh-CN"/>
        </w:rPr>
        <w:t>各污染物地下水运移结果表  单位mg/L</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890"/>
        <w:gridCol w:w="1170"/>
        <w:gridCol w:w="975"/>
        <w:gridCol w:w="1350"/>
        <w:gridCol w:w="1395"/>
        <w:gridCol w:w="1515"/>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vMerge w:val="restar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距注入点的距离(m)</w:t>
            </w:r>
          </w:p>
        </w:tc>
        <w:tc>
          <w:tcPr>
            <w:tcW w:w="8717" w:type="dxa"/>
            <w:gridSpan w:val="7"/>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color w:val="auto"/>
                <w:sz w:val="21"/>
                <w:szCs w:val="21"/>
                <w:highlight w:val="none"/>
                <w:vertAlign w:val="baseline"/>
              </w:rPr>
              <w:t>预测时间t(d)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rPr>
            </w:pPr>
          </w:p>
        </w:tc>
        <w:tc>
          <w:tcPr>
            <w:tcW w:w="89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100</w:t>
            </w:r>
          </w:p>
        </w:tc>
        <w:tc>
          <w:tcPr>
            <w:tcW w:w="117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365</w:t>
            </w:r>
            <w:r>
              <w:rPr>
                <w:rFonts w:hint="default" w:ascii="Times New Roman" w:hAnsi="Times New Roman" w:cs="Times New Roman"/>
                <w:color w:val="auto"/>
                <w:sz w:val="21"/>
                <w:szCs w:val="21"/>
                <w:highlight w:val="none"/>
                <w:vertAlign w:val="baseline"/>
                <w:lang w:val="en-US" w:eastAsia="zh-CN"/>
              </w:rPr>
              <w:t>（1年）</w:t>
            </w:r>
          </w:p>
        </w:tc>
        <w:tc>
          <w:tcPr>
            <w:tcW w:w="975"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1000</w:t>
            </w:r>
          </w:p>
        </w:tc>
        <w:tc>
          <w:tcPr>
            <w:tcW w:w="1350"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1825</w:t>
            </w:r>
            <w:r>
              <w:rPr>
                <w:rFonts w:hint="default" w:ascii="Times New Roman" w:hAnsi="Times New Roman" w:cs="Times New Roman"/>
                <w:color w:val="auto"/>
                <w:sz w:val="21"/>
                <w:szCs w:val="21"/>
                <w:highlight w:val="none"/>
                <w:vertAlign w:val="baseline"/>
                <w:lang w:val="en-US" w:eastAsia="zh-CN"/>
              </w:rPr>
              <w:t>（5年）</w:t>
            </w:r>
          </w:p>
        </w:tc>
        <w:tc>
          <w:tcPr>
            <w:tcW w:w="1395"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3650</w:t>
            </w:r>
            <w:r>
              <w:rPr>
                <w:rFonts w:hint="default" w:ascii="Times New Roman" w:hAnsi="Times New Roman" w:cs="Times New Roman"/>
                <w:color w:val="auto"/>
                <w:sz w:val="21"/>
                <w:szCs w:val="21"/>
                <w:highlight w:val="none"/>
                <w:vertAlign w:val="baseline"/>
                <w:lang w:val="en-US" w:eastAsia="zh-CN"/>
              </w:rPr>
              <w:t>（10年）</w:t>
            </w:r>
          </w:p>
        </w:tc>
        <w:tc>
          <w:tcPr>
            <w:tcW w:w="1515"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10950</w:t>
            </w:r>
            <w:r>
              <w:rPr>
                <w:rFonts w:hint="default" w:ascii="Times New Roman" w:hAnsi="Times New Roman" w:cs="Times New Roman"/>
                <w:color w:val="auto"/>
                <w:sz w:val="21"/>
                <w:szCs w:val="21"/>
                <w:highlight w:val="none"/>
                <w:vertAlign w:val="baseline"/>
                <w:lang w:val="en-US" w:eastAsia="zh-CN"/>
              </w:rPr>
              <w:t>（30年）</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18250</w:t>
            </w:r>
            <w:r>
              <w:rPr>
                <w:rFonts w:hint="default" w:ascii="Times New Roman" w:hAnsi="Times New Roman" w:cs="Times New Roman"/>
                <w:color w:val="auto"/>
                <w:sz w:val="21"/>
                <w:szCs w:val="21"/>
                <w:highlight w:val="none"/>
                <w:vertAlign w:val="baseline"/>
                <w:lang w:val="en-US" w:eastAsia="zh-CN"/>
              </w:rPr>
              <w:t>（50年）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62.51</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100.30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102.94</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104.02</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25.97</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71.62</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94.67</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101.07</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103.74</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1.26</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33.89</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78.32</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95.03</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102.78</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30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10.32</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57.43</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85.55</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101.05</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104.19</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40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1.95</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36.56</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72.85</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98.25</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104.18</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0.22</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19.89</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58.07</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94.09</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104.16</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9.15</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42.95</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88.40</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104.13</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70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3.53</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29.26</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81.12</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104.09</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80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1.14</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18.27</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72.41</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104.01</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90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0.30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10.40</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62.64</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103.90</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100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0.07</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5.39</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52.35</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103.72</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110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2.53</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42.13</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103.47</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120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1.08</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32.57</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103.11</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130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0.41</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24.13</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102.61</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140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0.14</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17.11</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101.93</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150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0.04</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11.59</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101.03</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160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0.01</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7.49</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99.85</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4.62</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98.35</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2.71</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96.49</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190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1.51</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94.20</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200</w:t>
            </w:r>
          </w:p>
        </w:tc>
        <w:tc>
          <w:tcPr>
            <w:tcW w:w="8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1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9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p>
        </w:tc>
        <w:tc>
          <w:tcPr>
            <w:tcW w:w="13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0.80</w:t>
            </w:r>
          </w:p>
        </w:tc>
        <w:tc>
          <w:tcPr>
            <w:tcW w:w="151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91.46</w:t>
            </w:r>
          </w:p>
        </w:tc>
        <w:tc>
          <w:tcPr>
            <w:tcW w:w="142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103.98</w:t>
            </w:r>
          </w:p>
        </w:tc>
      </w:tr>
    </w:tbl>
    <w:p>
      <w:pPr>
        <w:spacing w:line="50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由预测结果可知，</w:t>
      </w:r>
      <w:r>
        <w:rPr>
          <w:rFonts w:hint="default" w:ascii="Times New Roman" w:hAnsi="Times New Roman" w:cs="Times New Roman"/>
          <w:color w:val="auto"/>
          <w:sz w:val="24"/>
          <w:szCs w:val="24"/>
          <w:highlight w:val="none"/>
          <w:lang w:val="en-US" w:eastAsia="zh-CN"/>
        </w:rPr>
        <w:t>本项目MDI</w:t>
      </w:r>
      <w:r>
        <w:rPr>
          <w:rFonts w:hint="default" w:ascii="Times New Roman" w:hAnsi="Times New Roman" w:eastAsia="宋体" w:cs="Times New Roman"/>
          <w:color w:val="auto"/>
          <w:sz w:val="24"/>
          <w:szCs w:val="24"/>
          <w:highlight w:val="none"/>
        </w:rPr>
        <w:t>泄漏</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年CODcr最远迁移超标距离为</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m，CODcr达到</w:t>
      </w:r>
      <w:r>
        <w:rPr>
          <w:rFonts w:hint="default" w:ascii="Times New Roman" w:hAnsi="Times New Roman" w:eastAsia="宋体" w:cs="Times New Roman"/>
          <w:color w:val="auto"/>
          <w:sz w:val="24"/>
          <w:szCs w:val="24"/>
          <w:highlight w:val="none"/>
          <w:lang w:val="zh-CN"/>
        </w:rPr>
        <w:t>《地下水质量标准》（GB/T14848-2017）</w:t>
      </w:r>
      <w:r>
        <w:rPr>
          <w:rFonts w:hint="default" w:ascii="Times New Roman" w:hAnsi="Times New Roman" w:eastAsia="宋体" w:cs="Times New Roman"/>
          <w:color w:val="auto"/>
          <w:sz w:val="24"/>
          <w:szCs w:val="24"/>
          <w:highlight w:val="none"/>
        </w:rPr>
        <w:t>Ⅲ</w:t>
      </w:r>
      <w:r>
        <w:rPr>
          <w:rFonts w:hint="default" w:ascii="Times New Roman" w:hAnsi="Times New Roman" w:eastAsia="宋体" w:cs="Times New Roman"/>
          <w:color w:val="auto"/>
          <w:sz w:val="24"/>
          <w:szCs w:val="24"/>
          <w:highlight w:val="none"/>
          <w:lang w:val="zh-CN"/>
        </w:rPr>
        <w:t>标准：</w:t>
      </w:r>
      <w:r>
        <w:rPr>
          <w:rFonts w:hint="default" w:ascii="Times New Roman" w:hAnsi="Times New Roman" w:eastAsia="宋体" w:cs="Times New Roman"/>
          <w:color w:val="auto"/>
          <w:sz w:val="24"/>
          <w:szCs w:val="24"/>
          <w:highlight w:val="none"/>
        </w:rPr>
        <w:t>CODcr≤</w:t>
      </w:r>
      <w:r>
        <w:rPr>
          <w:rFonts w:hint="default" w:ascii="Times New Roman" w:hAnsi="Times New Roman" w:cs="Times New Roman"/>
          <w:color w:val="auto"/>
          <w:sz w:val="24"/>
          <w:szCs w:val="24"/>
          <w:highlight w:val="none"/>
          <w:lang w:val="en-US" w:eastAsia="zh-CN"/>
        </w:rPr>
        <w:t>3.0</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szCs w:val="24"/>
          <w:highlight w:val="none"/>
          <w:lang w:val="zh-CN"/>
        </w:rPr>
        <w:t>。</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在不采取防渗措施前提下，</w:t>
      </w:r>
      <w:r>
        <w:rPr>
          <w:rFonts w:hint="default" w:ascii="Times New Roman" w:hAnsi="Times New Roman"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rPr>
        <w:t>DI通过渗透作用可对地下水造成一定的影响，因此企业需对主要污染部位如</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sz w:val="24"/>
          <w:szCs w:val="24"/>
          <w:highlight w:val="none"/>
          <w:lang w:eastAsia="zh-CN"/>
        </w:rPr>
        <w:t>、生产区域</w:t>
      </w:r>
      <w:r>
        <w:rPr>
          <w:rFonts w:hint="default" w:ascii="Times New Roman" w:hAnsi="Times New Roman" w:eastAsia="宋体" w:cs="Times New Roman"/>
          <w:color w:val="auto"/>
          <w:sz w:val="24"/>
          <w:szCs w:val="24"/>
          <w:highlight w:val="none"/>
        </w:rPr>
        <w:t>等采取防渗措施，确保污染物不进入地下水，在此基础上，项目废水基本不会排入地下水，对地下水环境影响不大。</w:t>
      </w:r>
    </w:p>
    <w:p>
      <w:pPr>
        <w:widowControl/>
        <w:adjustRightInd w:val="0"/>
        <w:snapToGrid w:val="0"/>
        <w:spacing w:before="0" w:beforeAutospacing="0" w:after="0" w:afterAutospacing="0" w:line="500" w:lineRule="exact"/>
        <w:ind w:firstLine="482" w:firstLineChars="200"/>
        <w:jc w:val="both"/>
        <w:textAlignment w:val="auto"/>
        <w:rPr>
          <w:rFonts w:hint="default" w:ascii="Times New Roman" w:hAnsi="Times New Roman" w:eastAsia="宋体" w:cs="Times New Roman"/>
          <w:b/>
          <w:snapToGrid w:val="0"/>
          <w:color w:val="auto"/>
          <w:kern w:val="2"/>
          <w:sz w:val="24"/>
          <w:szCs w:val="24"/>
          <w:highlight w:val="none"/>
          <w:lang w:val="en-US" w:eastAsia="zh-CN" w:bidi="ar-SA"/>
        </w:rPr>
      </w:pPr>
      <w:r>
        <w:rPr>
          <w:rFonts w:hint="default" w:ascii="Times New Roman" w:hAnsi="Times New Roman" w:eastAsia="宋体" w:cs="Times New Roman"/>
          <w:b/>
          <w:snapToGrid w:val="0"/>
          <w:color w:val="auto"/>
          <w:kern w:val="2"/>
          <w:sz w:val="24"/>
          <w:szCs w:val="24"/>
          <w:highlight w:val="none"/>
          <w:lang w:val="en-US" w:eastAsia="zh-CN" w:bidi="ar-SA"/>
        </w:rPr>
        <w:t>（5）地下水污染应急措施</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地下水污染事件发生后，为了能以最快的速度防止污染物进一步向周围扩散，根据前述分析，可以采取如下相应措施来控制：</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源头控制：</w:t>
      </w:r>
      <w:r>
        <w:rPr>
          <w:rFonts w:hint="default" w:ascii="Times New Roman" w:hAnsi="Times New Roman" w:eastAsia="宋体" w:cs="Times New Roman"/>
          <w:color w:val="auto"/>
          <w:sz w:val="24"/>
          <w:szCs w:val="24"/>
          <w:highlight w:val="none"/>
        </w:rPr>
        <w:t>一旦发生泄漏，应及时切断并封堵泄漏源，并对泄漏物所在的地面进行及时截流封堵，尽可能将泄漏物控制在一个相对较小的范围内，防止泄漏物四处流淌而增加地下水污染的风险。</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后果控制：</w:t>
      </w:r>
      <w:r>
        <w:rPr>
          <w:rFonts w:hint="default" w:ascii="Times New Roman" w:hAnsi="Times New Roman" w:eastAsia="宋体" w:cs="Times New Roman"/>
          <w:color w:val="auto"/>
          <w:sz w:val="24"/>
          <w:szCs w:val="24"/>
          <w:highlight w:val="none"/>
        </w:rPr>
        <w:t>当发生严重的地下水污染事故，使得项目场地不能正常工作时，则应报环保部门批准后实行非正常封场，防止污染进一步扩散；同时进行评估决定是否采取进一步的工程防护措施；继续对地下水已经受到污染的区域进行跟踪监测，并根据需要开展风险评估，根据风险评估结果决定是否进行地下水修复工作(采用原位泵抽提处理、植物修复、原位化学氧化还原等方法)。</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途径控制：</w:t>
      </w:r>
      <w:r>
        <w:rPr>
          <w:rFonts w:hint="default" w:ascii="Times New Roman" w:hAnsi="Times New Roman" w:eastAsia="宋体" w:cs="Times New Roman"/>
          <w:color w:val="auto"/>
          <w:sz w:val="24"/>
          <w:szCs w:val="24"/>
          <w:highlight w:val="none"/>
        </w:rPr>
        <w:t>由于受项目所在地水文地质条件限制，被污染的地下水径流迁移较缓慢，将较长时间存在于项目场地所在区域的潜水含水层中，对于明显受泄漏物影响的土壤要及时挖掘清理并妥善处置，防止泄漏物进一步下渗，同时可考虑通过小范围内的地下水导排措施降低地下水水位，切断污染物在地下水中的迁移途径，防止污染物扩散，或在污染物下游建设渗透性反应墙，控制污染羽向下游扩散并去除地下水中的污染物。</w:t>
      </w:r>
    </w:p>
    <w:p>
      <w:pPr>
        <w:widowControl/>
        <w:adjustRightInd w:val="0"/>
        <w:snapToGrid w:val="0"/>
        <w:spacing w:before="0" w:beforeAutospacing="0" w:after="0" w:afterAutospacing="0" w:line="500" w:lineRule="exact"/>
        <w:ind w:firstLine="482" w:firstLineChars="200"/>
        <w:jc w:val="both"/>
        <w:textAlignment w:val="auto"/>
        <w:rPr>
          <w:rFonts w:hint="default" w:ascii="Times New Roman" w:hAnsi="Times New Roman" w:eastAsia="宋体" w:cs="Times New Roman"/>
          <w:b/>
          <w:snapToGrid w:val="0"/>
          <w:color w:val="auto"/>
          <w:kern w:val="2"/>
          <w:sz w:val="24"/>
          <w:szCs w:val="24"/>
          <w:highlight w:val="none"/>
          <w:lang w:val="en-US" w:eastAsia="zh-CN" w:bidi="ar-SA"/>
        </w:rPr>
      </w:pPr>
      <w:r>
        <w:rPr>
          <w:rFonts w:hint="default" w:ascii="Times New Roman" w:hAnsi="Times New Roman" w:eastAsia="宋体" w:cs="Times New Roman"/>
          <w:b/>
          <w:snapToGrid w:val="0"/>
          <w:color w:val="auto"/>
          <w:kern w:val="2"/>
          <w:sz w:val="24"/>
          <w:szCs w:val="24"/>
          <w:highlight w:val="none"/>
          <w:lang w:val="en-US" w:eastAsia="zh-CN" w:bidi="ar-SA"/>
        </w:rPr>
        <w:t>（6）地下水环境影响评价结论</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本项目在</w:t>
      </w:r>
      <w:r>
        <w:rPr>
          <w:rFonts w:hint="default" w:ascii="Times New Roman" w:hAnsi="Times New Roman" w:cs="Times New Roman"/>
          <w:color w:val="auto"/>
          <w:sz w:val="24"/>
          <w:szCs w:val="24"/>
          <w:highlight w:val="none"/>
          <w:lang w:val="en-US" w:eastAsia="zh-CN"/>
        </w:rPr>
        <w:t>保证</w:t>
      </w:r>
      <w:r>
        <w:rPr>
          <w:rFonts w:hint="default" w:ascii="Times New Roman" w:hAnsi="Times New Roman" w:eastAsia="宋体" w:cs="Times New Roman"/>
          <w:color w:val="auto"/>
          <w:sz w:val="24"/>
          <w:szCs w:val="24"/>
          <w:highlight w:val="none"/>
        </w:rPr>
        <w:t>施工质量较好、运营过程中各项措施充分落实，污染防渗措施有效</w:t>
      </w:r>
      <w:r>
        <w:rPr>
          <w:rFonts w:hint="default" w:ascii="Times New Roman" w:hAnsi="Times New Roman" w:cs="Times New Roman"/>
          <w:color w:val="auto"/>
          <w:sz w:val="24"/>
          <w:szCs w:val="24"/>
          <w:highlight w:val="none"/>
          <w:lang w:val="en-US" w:eastAsia="zh-CN"/>
        </w:rPr>
        <w:t>的</w:t>
      </w:r>
      <w:r>
        <w:rPr>
          <w:rFonts w:hint="default" w:ascii="Times New Roman" w:hAnsi="Times New Roman" w:eastAsia="宋体" w:cs="Times New Roman"/>
          <w:color w:val="auto"/>
          <w:sz w:val="24"/>
          <w:szCs w:val="24"/>
          <w:highlight w:val="none"/>
        </w:rPr>
        <w:t>情况下（正常工况下），建设项目对区域地下水质不产生影响。在非正常工况下，会在厂区及周边较小范围内污染地下水。污染物模预测结果显示：</w:t>
      </w:r>
      <w:r>
        <w:rPr>
          <w:rFonts w:hint="default" w:ascii="Times New Roman" w:hAnsi="Times New Roman" w:cs="Times New Roman"/>
          <w:color w:val="auto"/>
          <w:sz w:val="24"/>
          <w:szCs w:val="24"/>
          <w:highlight w:val="none"/>
          <w:lang w:val="en-US" w:eastAsia="zh-CN"/>
        </w:rPr>
        <w:t>当</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sz w:val="24"/>
          <w:szCs w:val="24"/>
          <w:highlight w:val="none"/>
        </w:rPr>
        <w:t>持续性泄漏时，</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年后项目所在地废水泄漏CODcr最远迁移超标距离为</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m。</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总体来说污染物在地下水中迁移速度缓慢，项目场地污染物的渗漏/泄漏对地下水影响范围很小，高浓度的污染物主要出现在项目所在地的废水排放处范围内的地下水中，而不会影响到区域地下水水质。</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污染物扩散范围主要与地层结构及其渗透性、水文地质条件、废水下渗量以及某种污染物浓度的背景值等因素有关。其中地层结构及其渗透性、水文地质条件为主要因素，从水文地质单元来看，项目所在地水力梯度小，水流速度慢，污染物不容易随水流迁移；项目所在地地层以</w:t>
      </w:r>
      <w:r>
        <w:rPr>
          <w:rFonts w:hint="default" w:ascii="Times New Roman" w:hAnsi="Times New Roman" w:eastAsia="宋体" w:cs="Times New Roman"/>
          <w:color w:val="auto"/>
          <w:sz w:val="24"/>
          <w:szCs w:val="24"/>
          <w:highlight w:val="none"/>
          <w:lang w:eastAsia="zh-CN"/>
        </w:rPr>
        <w:t>砂土和砂壤土</w:t>
      </w:r>
      <w:r>
        <w:rPr>
          <w:rFonts w:hint="default" w:ascii="Times New Roman" w:hAnsi="Times New Roman" w:eastAsia="宋体" w:cs="Times New Roman"/>
          <w:color w:val="auto"/>
          <w:sz w:val="24"/>
          <w:szCs w:val="24"/>
          <w:highlight w:val="none"/>
        </w:rPr>
        <w:t>为主，透水性较小，污染物在其中迁移距离较小。</w:t>
      </w:r>
    </w:p>
    <w:p>
      <w:pPr>
        <w:spacing w:line="500" w:lineRule="exact"/>
        <w:ind w:firstLine="56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拟建项目周边无地下水饮用水源，环境保护目标在污染物最大迁移距离之外，不会受本项目的影响。结合有效防治措施的运行，拟建项目对地下水环境的影响基本可控。</w:t>
      </w:r>
    </w:p>
    <w:p>
      <w:pPr>
        <w:spacing w:line="500" w:lineRule="exact"/>
        <w:ind w:firstLine="56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szCs w:val="24"/>
          <w:highlight w:val="none"/>
        </w:rPr>
        <w:t>综上所述，本项目结合有效防治措施的运行后，对地下水环境的影响比较小。</w:t>
      </w:r>
    </w:p>
    <w:p>
      <w:pPr>
        <w:spacing w:line="500" w:lineRule="exact"/>
        <w:ind w:firstLine="560"/>
        <w:rPr>
          <w:rFonts w:hint="default" w:ascii="Times New Roman" w:hAnsi="Times New Roman" w:eastAsia="宋体" w:cs="Times New Roman"/>
          <w:color w:val="auto"/>
          <w:sz w:val="24"/>
          <w:szCs w:val="24"/>
          <w:highlight w:val="none"/>
        </w:rPr>
      </w:pPr>
    </w:p>
    <w:p>
      <w:pPr>
        <w:bidi w:val="0"/>
        <w:rPr>
          <w:rFonts w:hint="default" w:ascii="Times New Roman" w:hAnsi="Times New Roman" w:eastAsia="宋体" w:cs="Times New Roman"/>
          <w:color w:val="auto"/>
          <w:highlight w:val="none"/>
        </w:rPr>
      </w:pPr>
    </w:p>
    <w:p>
      <w:pPr>
        <w:rPr>
          <w:rFonts w:hint="default" w:ascii="Times New Roman" w:hAnsi="Times New Roman" w:cs="Times New Roman"/>
          <w:color w:val="auto"/>
          <w:highlight w:val="none"/>
        </w:rPr>
        <w:sectPr>
          <w:footerReference r:id="rId16" w:type="default"/>
          <w:pgSz w:w="11906" w:h="16838"/>
          <w:pgMar w:top="1440" w:right="1080" w:bottom="1440" w:left="1080" w:header="851" w:footer="851" w:gutter="0"/>
          <w:pgNumType w:fmt="decimal"/>
          <w:cols w:space="720" w:num="1"/>
          <w:docGrid w:linePitch="312" w:charSpace="0"/>
        </w:sectPr>
      </w:pPr>
    </w:p>
    <w:p>
      <w:pPr>
        <w:pStyle w:val="116"/>
        <w:bidi w:val="0"/>
        <w:ind w:left="425" w:leftChars="0" w:hanging="425" w:firstLineChars="0"/>
        <w:outlineLvl w:val="1"/>
        <w:rPr>
          <w:rFonts w:hint="default" w:ascii="Times New Roman" w:hAnsi="Times New Roman" w:eastAsia="宋体" w:cs="Times New Roman"/>
          <w:color w:val="auto"/>
          <w:lang w:eastAsia="zh-CN"/>
        </w:rPr>
      </w:pPr>
      <w:bookmarkStart w:id="153" w:name="_Toc12058"/>
      <w:bookmarkStart w:id="154" w:name="_Toc13700"/>
      <w:r>
        <w:rPr>
          <w:rFonts w:hint="default" w:ascii="Times New Roman" w:hAnsi="Times New Roman" w:eastAsia="宋体" w:cs="Times New Roman"/>
          <w:color w:val="auto"/>
          <w:lang w:eastAsia="zh-CN"/>
        </w:rPr>
        <w:t>环境风险管理</w:t>
      </w:r>
      <w:bookmarkEnd w:id="153"/>
      <w:bookmarkEnd w:id="154"/>
    </w:p>
    <w:p>
      <w:pPr>
        <w:pStyle w:val="62"/>
        <w:numPr>
          <w:ilvl w:val="1"/>
          <w:numId w:val="37"/>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155" w:name="_Toc21508"/>
      <w:bookmarkStart w:id="156" w:name="_Toc3816"/>
      <w:bookmarkStart w:id="157" w:name="_Toc1957"/>
      <w:bookmarkStart w:id="158" w:name="_Toc14911"/>
      <w:r>
        <w:rPr>
          <w:rFonts w:hint="default" w:ascii="Times New Roman" w:hAnsi="Times New Roman" w:eastAsia="宋体" w:cs="Times New Roman"/>
          <w:b/>
          <w:bCs w:val="0"/>
          <w:color w:val="auto"/>
          <w:sz w:val="24"/>
          <w:szCs w:val="24"/>
          <w:highlight w:val="none"/>
          <w:lang w:val="en-US" w:eastAsia="zh-CN"/>
        </w:rPr>
        <w:t>环境风险管理目标</w:t>
      </w:r>
      <w:bookmarkEnd w:id="155"/>
      <w:bookmarkEnd w:id="156"/>
      <w:bookmarkEnd w:id="157"/>
      <w:bookmarkEnd w:id="158"/>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环境风险管理目标是采用最低合理可行原则管控环境风险。采取的环境风险防范措施应与社会经济技术发展水平相适应，运用科学的技术手段和管理方法，对环境风险进行有效的预防、监控、响应。</w:t>
      </w:r>
    </w:p>
    <w:p>
      <w:pPr>
        <w:pStyle w:val="62"/>
        <w:numPr>
          <w:ilvl w:val="1"/>
          <w:numId w:val="37"/>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159" w:name="_Toc21265"/>
      <w:bookmarkStart w:id="160" w:name="_Toc10697"/>
      <w:bookmarkStart w:id="161" w:name="_Toc22640"/>
      <w:bookmarkStart w:id="162" w:name="_Toc27770"/>
      <w:r>
        <w:rPr>
          <w:rFonts w:hint="default" w:ascii="Times New Roman" w:hAnsi="Times New Roman" w:eastAsia="宋体" w:cs="Times New Roman"/>
          <w:b/>
          <w:bCs w:val="0"/>
          <w:color w:val="auto"/>
          <w:sz w:val="24"/>
          <w:szCs w:val="24"/>
          <w:highlight w:val="none"/>
          <w:lang w:val="en-US" w:eastAsia="zh-CN"/>
        </w:rPr>
        <w:t>环境风险防范措施</w:t>
      </w:r>
      <w:bookmarkEnd w:id="159"/>
      <w:bookmarkEnd w:id="160"/>
      <w:bookmarkEnd w:id="161"/>
      <w:bookmarkEnd w:id="162"/>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9"/>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1、大气环境风险防范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(1)大气环境污染事件现场应急处置措施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①全厂紧急停或部分停车</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②控制污染源</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rPr>
        <w:t>易燃易爆物质泄漏时的污染源控制措施</w:t>
      </w:r>
      <w:r>
        <w:rPr>
          <w:rFonts w:hint="default" w:ascii="Times New Roman" w:hAnsi="Times New Roman" w:cs="Times New Roman"/>
          <w:b/>
          <w:bCs/>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A、立即消除泄漏污染区域内的各种火源，救援器材应具备防爆功能，并且要有防止泄漏物进入下水道的措施</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B、外围设置水幕或屏风水枪，稀释、降解泄漏物蒸气浓度或设置蒸气幕，用水雾、蒸汽等稀释泄漏物浓度，拦截、导流和蓄积泄漏物，防止泄漏物向重要目标或环境敏感区扩散，视情况使用泡沫充分覆盖泄漏液面</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有毒有害物质泄漏时的污染源控制措施:</w:t>
      </w:r>
    </w:p>
    <w:p>
      <w:pPr>
        <w:keepNext w:val="0"/>
        <w:keepLines w:val="0"/>
        <w:pageBreakBefore w:val="0"/>
        <w:widowControl w:val="0"/>
        <w:numPr>
          <w:ilvl w:val="0"/>
          <w:numId w:val="38"/>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按照规定划分危险区，保证防火防爆距离，</w:t>
      </w:r>
      <w:r>
        <w:rPr>
          <w:rFonts w:hint="default" w:ascii="Times New Roman" w:hAnsi="Times New Roman" w:cs="Times New Roman"/>
          <w:color w:val="auto"/>
          <w:kern w:val="2"/>
          <w:sz w:val="24"/>
          <w:szCs w:val="24"/>
          <w:highlight w:val="none"/>
          <w:lang w:val="en-US" w:eastAsia="zh-CN" w:bidi="zh-CN"/>
        </w:rPr>
        <w:t>预搅拌罐区</w:t>
      </w:r>
      <w:r>
        <w:rPr>
          <w:rFonts w:hint="eastAsia" w:cs="Times New Roman"/>
          <w:color w:val="auto"/>
          <w:kern w:val="2"/>
          <w:sz w:val="24"/>
          <w:szCs w:val="24"/>
          <w:highlight w:val="none"/>
          <w:lang w:val="en-US" w:eastAsia="zh-CN" w:bidi="zh-CN"/>
        </w:rPr>
        <w:t>、化学品仓库</w:t>
      </w:r>
      <w:r>
        <w:rPr>
          <w:rFonts w:hint="default" w:ascii="Times New Roman" w:hAnsi="Times New Roman" w:eastAsia="宋体" w:cs="Times New Roman"/>
          <w:color w:val="auto"/>
          <w:sz w:val="24"/>
          <w:szCs w:val="24"/>
          <w:highlight w:val="none"/>
        </w:rPr>
        <w:t>周围设置围堰</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200" w:right="0" w:rightChars="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B、用砂土、干燥石灰或苏打灰混合，或用水冲洗，冲洗水收集至废桶</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火灾爆炸时的污染源控制措施: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A、应遵循“先控制，后消灭”的原则</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B、关闭火灾部位的上下游阀门，切断物料来源，用现有消防器材扑灭初期火灾和控制火源</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C、为防止火灾危及相邻设施，采取冷却、隔离等保护措施，并迅速疏散受火势威胁的物资</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D、针对不同的危险化学品，选择正确的灭火剂和灭火方法控制火灾，当外围火点已彻底扑灭、火种等危险源已全部控制、堵漏准备就绪并有把握在短时间内完成、消防力量已准备就绪时，可实施灭火</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E、当火灾失控危及应急救援人员生命安全时，应立即指挥现场全场全部人员撤离至安全区域；</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F、火灾扑灭火，应派人监护现场，防止复燃。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③抢救中毒人员</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A、抢救最危急的生命体征、处理眼和皮肤污染、查明化学物质的毒性、进行特殊(或)对症处理；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B、救援人员携带救生器材迅速进入现场危险区，将中毒人员移至安全区域，根据受伤情况进行现场急救；</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C、迅速将受伤、中毒人员送往医院抢救，组织医疗专家，确保治疗药物和器材的供应；</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D、组织疑似中毒人员进行体检。</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④对现场实施隔离和警戒</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A、设定初始隔离区，封闭事件现场；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B、停止导致中毒事件的作业，撤离作业人员，设置警戒，进入人员必须佩戴个人防护用品，保留导致中毒事件的物质；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C、紧急疏散转移隔离区内所有无关人员，实行交通管制； .</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D、若泄露或火灾爆炸事故十分严重,威胁到周边环境保护目标的生命财产安全，应当由应急指挥小组组长立即通知上级政府部门，请求启动政府应急预案，由上级政府根据事态的严重程度安排该区域的人员疏散，同时划定隔离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⑤开展应急监测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及时上报生态环境局，请求专业监测队伍的支援，由环境监测站派出的监测小组负责对事故现场进行监测，根据当时风向、风速，判断扩散的方向和速度，并对泄漏下风向扩散区域进行监测。</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(2)受影响区域人群疏散方案</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①由应急救援指挥机构明确周边受影响区域人群疏散计划，确定疏散时间、路线、交通工具、目的地等。本公司疏散小组配合应急行动小组组织人员疏散。应急指挥部发出疏散命令后，疏散小组按负责部位进入指定位置，立即组织人员疏散。在疏散路线上设置疏散指示标志，保证疏散指示标志明显，应急疏散通道出口通畅，应急照明灯能正常使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②告知周边可能受影响的群众及企业</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配合应急救援指挥机构，通过各种途径向公众发出警报和紧急公告，告知事故性质、对健康的影响、自我保护措施、注意事项等、疏散线路等。</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③组织现场人员疏散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本公司疏散小组配合应急救援行动小组用最快速度通知现场人员，按疏散的方向通道进行疏散。积极配合好有关部门(公安消防队)进行疏散工作，主动汇报事故现场情况。事故现场有被困人员时，疏导人员应劝导被困人员，服从指挥，做到有组织、有秩序地疏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④强制疏导</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事故现场直接威胁人员安全，疏散组人员采取必要的手段强制疏导，防止出现伤亡事故。在疏散通道的拐弯、叉道等容易走错方向的地方设疏导人员，提示疏散方向，防止误入死胡同或进入危险区域。</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⑤加强对疏散出人员的管理对疏散出的人员，要加强脱险后的管理，防止脱险人员对财产和未撤离危险区的亲人生命担心而重新返回事故现场。必要时，在进入危险区域的关键部位配备警戒人员。</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⑥及时报告被困人员</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专业救援队伍到达现场后，疏导人员若知晓内部被困人员，要迅速报告，介绍被困人员方位、数量。</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(3)紧急避难所</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①选择合适的地区或建筑物为紧急避难场所；</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②做好宣传工作，确保人人了解紧急避难场所的地址，目的和功能；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③紧急避难场所必须有醒目的标志牌；</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④紧急避难场所不得作为他用。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(4)交通疏导</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①发生严重环境事故时，应急指挥部应积极配合有关部门，汇报事故情况，安排好交通封锁和疏通；</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②设置路障，封锁通往事故现场的道路，防治车辆或者人员再次进入事故现场；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③配合好进入事故现场的应急救援小队，确保应急救援小队进出现场自由通畅；</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④引导需经过事故现场的车辆或行人临时绕道,确保车辆行人不受危险物质的伤害。</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9"/>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事故状态下排水系统控制及应急措施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(1)公司内部排水系统应实行清污分流、雨污分流制，雨水排口设有封堵设施，污水排口设有阀门，若发生应急事故，封堵排口拦截污水。如果事故废水进入公司雨水管网，立即封堵雨水排口，防止废水进入雨水管网。</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yellow"/>
          <w:lang w:eastAsia="zh-CN"/>
        </w:rPr>
      </w:pPr>
      <w:r>
        <w:rPr>
          <w:rFonts w:hint="default" w:ascii="Times New Roman" w:hAnsi="Times New Roman" w:eastAsia="宋体" w:cs="Times New Roman"/>
          <w:color w:val="auto"/>
          <w:sz w:val="24"/>
          <w:szCs w:val="24"/>
          <w:highlight w:val="none"/>
          <w:lang w:eastAsia="zh-CN"/>
        </w:rPr>
        <w:t>(2)如果事故废水进入厂区外环境，流入厂区外周边河流，应立即联系突发环境事件应急救援指挥机构和生态环境局，请求支援。同时，公司应采取相应的措施减少污染扩大。</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应急事故池设置要求</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事故废水处置要求</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eastAsia="zh-CN"/>
        </w:rPr>
        <w:t>在生产过程中发生事故，如泄漏、火灾等，在事故处理过程中，产生如消防废水等事故废水。事故废水直接排放，对环境影响较大，为防止发生水污染，必须对事故废水进行收集并设置一个应急事故池。</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bCs/>
          <w:color w:val="auto"/>
          <w:kern w:val="0"/>
          <w:sz w:val="24"/>
          <w:szCs w:val="21"/>
          <w:highlight w:val="none"/>
        </w:rPr>
      </w:pPr>
      <w:r>
        <w:rPr>
          <w:rFonts w:hint="default" w:ascii="Times New Roman" w:hAnsi="Times New Roman" w:eastAsia="宋体" w:cs="Times New Roman"/>
          <w:bCs/>
          <w:color w:val="auto"/>
          <w:kern w:val="0"/>
          <w:sz w:val="24"/>
          <w:szCs w:val="21"/>
          <w:highlight w:val="none"/>
        </w:rPr>
        <w:t>事故废水量的确定：</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center"/>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总</w:t>
      </w:r>
      <w:r>
        <w:rPr>
          <w:rFonts w:hint="default" w:ascii="Times New Roman" w:hAnsi="Times New Roman" w:eastAsia="宋体" w:cs="Times New Roman"/>
          <w:color w:val="auto"/>
          <w:sz w:val="24"/>
          <w:szCs w:val="21"/>
          <w:highlight w:val="none"/>
        </w:rPr>
        <w:t>= （V</w:t>
      </w:r>
      <w:r>
        <w:rPr>
          <w:rFonts w:hint="default" w:ascii="Times New Roman" w:hAnsi="Times New Roman" w:eastAsia="宋体" w:cs="Times New Roman"/>
          <w:color w:val="auto"/>
          <w:sz w:val="24"/>
          <w:szCs w:val="21"/>
          <w:highlight w:val="none"/>
          <w:vertAlign w:val="subscript"/>
        </w:rPr>
        <w:t>1</w:t>
      </w: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2</w:t>
      </w: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3</w:t>
      </w:r>
      <w:r>
        <w:rPr>
          <w:rFonts w:hint="default" w:ascii="Times New Roman" w:hAnsi="Times New Roman" w:eastAsia="宋体" w:cs="Times New Roman"/>
          <w:color w:val="auto"/>
          <w:sz w:val="24"/>
          <w:szCs w:val="21"/>
          <w:highlight w:val="none"/>
        </w:rPr>
        <w:t>）</w:t>
      </w:r>
      <w:r>
        <w:rPr>
          <w:rFonts w:hint="default" w:ascii="Times New Roman" w:hAnsi="Times New Roman" w:eastAsia="宋体" w:cs="Times New Roman"/>
          <w:color w:val="auto"/>
          <w:sz w:val="24"/>
          <w:szCs w:val="21"/>
          <w:highlight w:val="none"/>
          <w:vertAlign w:val="subscript"/>
        </w:rPr>
        <w:t>max</w:t>
      </w: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4</w:t>
      </w: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5</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注：（V</w:t>
      </w:r>
      <w:r>
        <w:rPr>
          <w:rFonts w:hint="default" w:ascii="Times New Roman" w:hAnsi="Times New Roman" w:eastAsia="宋体" w:cs="Times New Roman"/>
          <w:color w:val="auto"/>
          <w:sz w:val="24"/>
          <w:szCs w:val="21"/>
          <w:highlight w:val="none"/>
          <w:vertAlign w:val="subscript"/>
        </w:rPr>
        <w:t>1</w:t>
      </w:r>
      <w:r>
        <w:rPr>
          <w:rFonts w:hint="default" w:ascii="Times New Roman" w:hAnsi="Times New Roman" w:eastAsia="宋体" w:cs="Times New Roman"/>
          <w:color w:val="auto"/>
          <w:sz w:val="24"/>
          <w:szCs w:val="21"/>
          <w:highlight w:val="none"/>
        </w:rPr>
        <w:t>+ V</w:t>
      </w:r>
      <w:r>
        <w:rPr>
          <w:rFonts w:hint="default" w:ascii="Times New Roman" w:hAnsi="Times New Roman" w:eastAsia="宋体" w:cs="Times New Roman"/>
          <w:color w:val="auto"/>
          <w:sz w:val="24"/>
          <w:szCs w:val="21"/>
          <w:highlight w:val="none"/>
          <w:vertAlign w:val="subscript"/>
        </w:rPr>
        <w:t>2</w:t>
      </w:r>
      <w:r>
        <w:rPr>
          <w:rFonts w:hint="default" w:ascii="Times New Roman" w:hAnsi="Times New Roman" w:eastAsia="宋体" w:cs="Times New Roman"/>
          <w:color w:val="auto"/>
          <w:sz w:val="24"/>
          <w:szCs w:val="21"/>
          <w:highlight w:val="none"/>
        </w:rPr>
        <w:t>- V</w:t>
      </w:r>
      <w:r>
        <w:rPr>
          <w:rFonts w:hint="default" w:ascii="Times New Roman" w:hAnsi="Times New Roman" w:eastAsia="宋体" w:cs="Times New Roman"/>
          <w:color w:val="auto"/>
          <w:sz w:val="24"/>
          <w:szCs w:val="21"/>
          <w:highlight w:val="none"/>
          <w:vertAlign w:val="subscript"/>
        </w:rPr>
        <w:t>3</w:t>
      </w:r>
      <w:r>
        <w:rPr>
          <w:rFonts w:hint="default" w:ascii="Times New Roman" w:hAnsi="Times New Roman" w:eastAsia="宋体" w:cs="Times New Roman"/>
          <w:color w:val="auto"/>
          <w:sz w:val="24"/>
          <w:szCs w:val="21"/>
          <w:highlight w:val="none"/>
        </w:rPr>
        <w:t>）max是指对收集系统范围内不同装置分别计算V</w:t>
      </w:r>
      <w:r>
        <w:rPr>
          <w:rFonts w:hint="default" w:ascii="Times New Roman" w:hAnsi="Times New Roman" w:eastAsia="宋体" w:cs="Times New Roman"/>
          <w:color w:val="auto"/>
          <w:sz w:val="24"/>
          <w:szCs w:val="21"/>
          <w:highlight w:val="none"/>
          <w:vertAlign w:val="subscript"/>
        </w:rPr>
        <w:t>1</w:t>
      </w:r>
      <w:r>
        <w:rPr>
          <w:rFonts w:hint="default" w:ascii="Times New Roman" w:hAnsi="Times New Roman" w:eastAsia="宋体" w:cs="Times New Roman"/>
          <w:color w:val="auto"/>
          <w:sz w:val="24"/>
          <w:szCs w:val="21"/>
          <w:highlight w:val="none"/>
        </w:rPr>
        <w:t>+ V</w:t>
      </w:r>
      <w:r>
        <w:rPr>
          <w:rFonts w:hint="default" w:ascii="Times New Roman" w:hAnsi="Times New Roman" w:eastAsia="宋体" w:cs="Times New Roman"/>
          <w:color w:val="auto"/>
          <w:sz w:val="24"/>
          <w:szCs w:val="21"/>
          <w:highlight w:val="none"/>
          <w:vertAlign w:val="subscript"/>
        </w:rPr>
        <w:t>2</w:t>
      </w:r>
      <w:r>
        <w:rPr>
          <w:rFonts w:hint="default" w:ascii="Times New Roman" w:hAnsi="Times New Roman" w:eastAsia="宋体" w:cs="Times New Roman"/>
          <w:color w:val="auto"/>
          <w:sz w:val="24"/>
          <w:szCs w:val="21"/>
          <w:highlight w:val="none"/>
        </w:rPr>
        <w:t>- V</w:t>
      </w:r>
      <w:r>
        <w:rPr>
          <w:rFonts w:hint="default" w:ascii="Times New Roman" w:hAnsi="Times New Roman" w:eastAsia="宋体" w:cs="Times New Roman"/>
          <w:color w:val="auto"/>
          <w:sz w:val="24"/>
          <w:szCs w:val="21"/>
          <w:highlight w:val="none"/>
          <w:vertAlign w:val="subscript"/>
        </w:rPr>
        <w:t>3</w:t>
      </w:r>
      <w:r>
        <w:rPr>
          <w:rFonts w:hint="default" w:ascii="Times New Roman" w:hAnsi="Times New Roman" w:eastAsia="宋体" w:cs="Times New Roman"/>
          <w:color w:val="auto"/>
          <w:sz w:val="24"/>
          <w:szCs w:val="21"/>
          <w:highlight w:val="none"/>
        </w:rPr>
        <w:t>，取其中最大值。</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1</w:t>
      </w:r>
      <w:r>
        <w:rPr>
          <w:rFonts w:hint="default" w:ascii="Times New Roman" w:hAnsi="Times New Roman" w:eastAsia="宋体" w:cs="Times New Roman"/>
          <w:color w:val="auto"/>
          <w:sz w:val="24"/>
          <w:szCs w:val="21"/>
          <w:highlight w:val="none"/>
        </w:rPr>
        <w:t>——收集系统范围内发生事故的一个罐组或一套装置的物料量；</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2</w:t>
      </w:r>
      <w:r>
        <w:rPr>
          <w:rFonts w:hint="default" w:ascii="Times New Roman" w:hAnsi="Times New Roman" w:eastAsia="宋体" w:cs="Times New Roman"/>
          <w:color w:val="auto"/>
          <w:sz w:val="24"/>
          <w:szCs w:val="21"/>
          <w:highlight w:val="none"/>
        </w:rPr>
        <w:t>——发生事故的</w:t>
      </w:r>
      <w:r>
        <w:rPr>
          <w:rFonts w:hint="default" w:ascii="Times New Roman" w:hAnsi="Times New Roman" w:cs="Times New Roman"/>
          <w:color w:val="auto"/>
          <w:kern w:val="2"/>
          <w:sz w:val="24"/>
          <w:szCs w:val="24"/>
          <w:highlight w:val="none"/>
          <w:lang w:val="en-US" w:eastAsia="zh-CN" w:bidi="zh-CN"/>
        </w:rPr>
        <w:t>预搅拌罐</w:t>
      </w:r>
      <w:r>
        <w:rPr>
          <w:rFonts w:hint="default" w:ascii="Times New Roman" w:hAnsi="Times New Roman" w:eastAsia="宋体" w:cs="Times New Roman"/>
          <w:color w:val="auto"/>
          <w:sz w:val="24"/>
          <w:szCs w:val="21"/>
          <w:highlight w:val="none"/>
        </w:rPr>
        <w:t>或装置的消防水量，m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3</w:t>
      </w:r>
      <w:r>
        <w:rPr>
          <w:rFonts w:hint="default" w:ascii="Times New Roman" w:hAnsi="Times New Roman" w:eastAsia="宋体" w:cs="Times New Roman"/>
          <w:color w:val="auto"/>
          <w:sz w:val="24"/>
          <w:szCs w:val="21"/>
          <w:highlight w:val="none"/>
        </w:rPr>
        <w:t>——发生事故时可以转输到其他储存或处理设施的物料量，m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4</w:t>
      </w:r>
      <w:r>
        <w:rPr>
          <w:rFonts w:hint="default" w:ascii="Times New Roman" w:hAnsi="Times New Roman" w:eastAsia="宋体" w:cs="Times New Roman"/>
          <w:color w:val="auto"/>
          <w:sz w:val="24"/>
          <w:szCs w:val="21"/>
          <w:highlight w:val="none"/>
        </w:rPr>
        <w:t>——发生事故时仍必须进入该收集系统的生产废水量，m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V</w:t>
      </w:r>
      <w:r>
        <w:rPr>
          <w:rFonts w:hint="default" w:ascii="Times New Roman" w:hAnsi="Times New Roman" w:eastAsia="宋体" w:cs="Times New Roman"/>
          <w:color w:val="auto"/>
          <w:sz w:val="24"/>
          <w:szCs w:val="21"/>
          <w:highlight w:val="none"/>
          <w:vertAlign w:val="subscript"/>
        </w:rPr>
        <w:t>5</w:t>
      </w:r>
      <w:r>
        <w:rPr>
          <w:rFonts w:hint="default" w:ascii="Times New Roman" w:hAnsi="Times New Roman" w:eastAsia="宋体" w:cs="Times New Roman"/>
          <w:color w:val="auto"/>
          <w:sz w:val="24"/>
          <w:szCs w:val="21"/>
          <w:highlight w:val="none"/>
        </w:rPr>
        <w:t>——发生事故时可能进入该收集系统的降雨量，m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①物料泄漏量</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1"/>
          <w:highlight w:val="none"/>
          <w:vertAlign w:val="superscript"/>
        </w:rPr>
      </w:pPr>
      <w:r>
        <w:rPr>
          <w:rFonts w:hint="default" w:ascii="Times New Roman" w:hAnsi="Times New Roman" w:cs="Times New Roman"/>
          <w:color w:val="auto"/>
          <w:sz w:val="24"/>
          <w:highlight w:val="none"/>
          <w:lang w:val="en-US" w:eastAsia="zh-CN" w:bidi="ar"/>
        </w:rPr>
        <w:t>本项目按改性异氰酸酯最大罐体泄漏量来计算</w:t>
      </w:r>
      <w:r>
        <w:rPr>
          <w:rFonts w:hint="default" w:ascii="Times New Roman" w:hAnsi="Times New Roman" w:cs="Times New Roman"/>
          <w:color w:val="auto"/>
          <w:sz w:val="24"/>
          <w:szCs w:val="21"/>
          <w:highlight w:val="none"/>
          <w:lang w:val="en-US" w:eastAsia="zh-CN"/>
        </w:rPr>
        <w:t>，因此</w:t>
      </w:r>
      <w:r>
        <w:rPr>
          <w:rFonts w:hint="default" w:ascii="Times New Roman" w:hAnsi="Times New Roman" w:eastAsia="宋体" w:cs="Times New Roman"/>
          <w:color w:val="auto"/>
          <w:sz w:val="24"/>
          <w:highlight w:val="none"/>
        </w:rPr>
        <w:t>V</w:t>
      </w:r>
      <w:r>
        <w:rPr>
          <w:rFonts w:hint="default" w:ascii="Times New Roman" w:hAnsi="Times New Roman" w:eastAsia="宋体" w:cs="Times New Roman"/>
          <w:color w:val="auto"/>
          <w:sz w:val="24"/>
          <w:highlight w:val="none"/>
          <w:vertAlign w:val="subscript"/>
        </w:rPr>
        <w:t>1</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val="en-US" w:eastAsia="zh-CN"/>
        </w:rPr>
        <w:t>1.8</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w:t>
      </w:r>
    </w:p>
    <w:p>
      <w:pPr>
        <w:adjustRightInd w:val="0"/>
        <w:snapToGrid w:val="0"/>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②消防废水量</w:t>
      </w:r>
    </w:p>
    <w:p>
      <w:pPr>
        <w:adjustRightInd w:val="0"/>
        <w:snapToGri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根据企业实际情况，消防废水依据《消防给水及消火栓系统技术规范》（GB50974-2014）相关规定，建筑物室外消火栓设计流量见下表：</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建筑物室外消火栓设计流量（L/s）</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425"/>
        <w:gridCol w:w="425"/>
        <w:gridCol w:w="1016"/>
        <w:gridCol w:w="984"/>
        <w:gridCol w:w="1348"/>
        <w:gridCol w:w="1225"/>
        <w:gridCol w:w="1233"/>
        <w:gridCol w:w="1653"/>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耐火</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等级</w:t>
            </w:r>
          </w:p>
        </w:tc>
        <w:tc>
          <w:tcPr>
            <w:tcW w:w="936" w:type="pct"/>
            <w:gridSpan w:val="3"/>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建筑物名称及类别</w:t>
            </w:r>
          </w:p>
        </w:tc>
        <w:tc>
          <w:tcPr>
            <w:tcW w:w="3744" w:type="pct"/>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建筑体积V（m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jc w:val="center"/>
              <w:textAlignment w:val="auto"/>
              <w:rPr>
                <w:rFonts w:hint="default" w:ascii="Times New Roman" w:hAnsi="Times New Roman" w:eastAsia="宋体" w:cs="Times New Roman"/>
                <w:b/>
                <w:bCs/>
                <w:color w:val="auto"/>
                <w:sz w:val="21"/>
                <w:szCs w:val="21"/>
                <w:highlight w:val="none"/>
              </w:rPr>
            </w:pPr>
          </w:p>
        </w:tc>
        <w:tc>
          <w:tcPr>
            <w:tcW w:w="936" w:type="pct"/>
            <w:gridSpan w:val="3"/>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422" w:firstLineChars="200"/>
              <w:jc w:val="center"/>
              <w:textAlignment w:val="auto"/>
              <w:rPr>
                <w:rFonts w:hint="default" w:ascii="Times New Roman" w:hAnsi="Times New Roman" w:eastAsia="宋体" w:cs="Times New Roman"/>
                <w:b/>
                <w:bCs/>
                <w:color w:val="auto"/>
                <w:sz w:val="21"/>
                <w:szCs w:val="21"/>
                <w:highlight w:val="none"/>
              </w:rPr>
            </w:pPr>
          </w:p>
        </w:tc>
        <w:tc>
          <w:tcPr>
            <w:tcW w:w="4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V≤1500</w:t>
            </w:r>
          </w:p>
        </w:tc>
        <w:tc>
          <w:tcPr>
            <w:tcW w:w="67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1500&lt;V≤3000</w:t>
            </w:r>
          </w:p>
        </w:tc>
        <w:tc>
          <w:tcPr>
            <w:tcW w:w="61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3000&lt;V≤</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5000</w:t>
            </w:r>
          </w:p>
        </w:tc>
        <w:tc>
          <w:tcPr>
            <w:tcW w:w="6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5000&lt;V≤</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20000</w:t>
            </w:r>
          </w:p>
        </w:tc>
        <w:tc>
          <w:tcPr>
            <w:tcW w:w="83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20000&lt;V≤50000</w:t>
            </w:r>
          </w:p>
        </w:tc>
        <w:tc>
          <w:tcPr>
            <w:tcW w:w="50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V&gt;50000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一、二级</w:t>
            </w:r>
          </w:p>
        </w:tc>
        <w:tc>
          <w:tcPr>
            <w:tcW w:w="213"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工业建筑</w:t>
            </w:r>
          </w:p>
        </w:tc>
        <w:tc>
          <w:tcPr>
            <w:tcW w:w="213"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厂房</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甲、乙</w:t>
            </w:r>
          </w:p>
        </w:tc>
        <w:tc>
          <w:tcPr>
            <w:tcW w:w="1171"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15"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61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w:t>
            </w:r>
          </w:p>
        </w:tc>
        <w:tc>
          <w:tcPr>
            <w:tcW w:w="830"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319"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1171"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15"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61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w:t>
            </w:r>
          </w:p>
        </w:tc>
        <w:tc>
          <w:tcPr>
            <w:tcW w:w="830"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丁、戊</w:t>
            </w:r>
          </w:p>
        </w:tc>
        <w:tc>
          <w:tcPr>
            <w:tcW w:w="3235" w:type="pct"/>
            <w:gridSpan w:val="5"/>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仓库</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甲、乙</w:t>
            </w:r>
          </w:p>
        </w:tc>
        <w:tc>
          <w:tcPr>
            <w:tcW w:w="1171"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234"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w:t>
            </w:r>
          </w:p>
        </w:tc>
        <w:tc>
          <w:tcPr>
            <w:tcW w:w="1339"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1171"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1234" w:type="pct"/>
            <w:gridSpan w:val="2"/>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w:t>
            </w:r>
          </w:p>
        </w:tc>
        <w:tc>
          <w:tcPr>
            <w:tcW w:w="830"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9"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213"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firstLine="420" w:firstLineChars="200"/>
              <w:jc w:val="center"/>
              <w:textAlignment w:val="auto"/>
              <w:rPr>
                <w:rFonts w:hint="default" w:ascii="Times New Roman" w:hAnsi="Times New Roman" w:eastAsia="宋体" w:cs="Times New Roman"/>
                <w:color w:val="auto"/>
                <w:sz w:val="21"/>
                <w:szCs w:val="21"/>
                <w:highlight w:val="none"/>
              </w:rPr>
            </w:pP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丁、戊</w:t>
            </w:r>
          </w:p>
        </w:tc>
        <w:tc>
          <w:tcPr>
            <w:tcW w:w="3235" w:type="pct"/>
            <w:gridSpan w:val="5"/>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50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r>
    </w:tbl>
    <w:p>
      <w:pPr>
        <w:adjustRightInd w:val="0"/>
        <w:snapToGrid w:val="0"/>
        <w:spacing w:line="360" w:lineRule="auto"/>
        <w:ind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本项目最大厂房</w:t>
      </w:r>
      <w:r>
        <w:rPr>
          <w:rFonts w:hint="default" w:ascii="Times New Roman" w:hAnsi="Times New Roman" w:cs="Times New Roman"/>
          <w:color w:val="auto"/>
          <w:sz w:val="24"/>
          <w:szCs w:val="24"/>
          <w:highlight w:val="none"/>
          <w:lang w:val="en-US" w:eastAsia="zh-CN"/>
        </w:rPr>
        <w:t>为原料仓库和成品仓库，</w:t>
      </w:r>
      <w:r>
        <w:rPr>
          <w:rFonts w:hint="default" w:ascii="Times New Roman" w:hAnsi="Times New Roman" w:eastAsia="宋体" w:cs="Times New Roman"/>
          <w:color w:val="auto"/>
          <w:sz w:val="24"/>
          <w:szCs w:val="24"/>
          <w:highlight w:val="none"/>
          <w:lang w:eastAsia="zh-CN"/>
        </w:rPr>
        <w:t>占地面积为</w:t>
      </w:r>
      <w:r>
        <w:rPr>
          <w:rFonts w:hint="default" w:ascii="Times New Roman" w:hAnsi="Times New Roman" w:cs="Times New Roman"/>
          <w:color w:val="auto"/>
          <w:sz w:val="24"/>
          <w:szCs w:val="24"/>
          <w:highlight w:val="none"/>
          <w:lang w:val="en-US" w:eastAsia="zh-CN"/>
        </w:rPr>
        <w:t>6400</w:t>
      </w:r>
      <w:r>
        <w:rPr>
          <w:rFonts w:hint="default" w:ascii="Times New Roman" w:hAnsi="Times New Roman" w:eastAsia="宋体" w:cs="Times New Roman"/>
          <w:color w:val="auto"/>
          <w:sz w:val="24"/>
          <w:szCs w:val="24"/>
          <w:highlight w:val="none"/>
          <w:lang w:val="en-US" w:eastAsia="zh-CN"/>
        </w:rPr>
        <w:t>平方米，建筑高度为</w:t>
      </w:r>
      <w:r>
        <w:rPr>
          <w:rFonts w:hint="default" w:ascii="Times New Roman" w:hAnsi="Times New Roman"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lang w:val="en-US" w:eastAsia="zh-CN"/>
        </w:rPr>
        <w:t>米，计算得出建筑体积为</w:t>
      </w:r>
      <w:r>
        <w:rPr>
          <w:rFonts w:hint="default" w:ascii="Times New Roman" w:hAnsi="Times New Roman" w:cs="Times New Roman"/>
          <w:color w:val="auto"/>
          <w:sz w:val="24"/>
          <w:szCs w:val="24"/>
          <w:highlight w:val="none"/>
          <w:lang w:val="en-US" w:eastAsia="zh-CN"/>
        </w:rPr>
        <w:t>64000</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b w:val="0"/>
          <w:bCs w:val="0"/>
          <w:color w:val="auto"/>
          <w:sz w:val="24"/>
          <w:szCs w:val="24"/>
          <w:highlight w:val="none"/>
          <w:lang w:val="en-US" w:eastAsia="zh-CN"/>
        </w:rPr>
        <w:t>，厂房类别为丙类，故</w:t>
      </w:r>
      <w:r>
        <w:rPr>
          <w:rFonts w:hint="default" w:ascii="Times New Roman" w:hAnsi="Times New Roman" w:eastAsia="宋体" w:cs="Times New Roman"/>
          <w:color w:val="auto"/>
          <w:sz w:val="24"/>
          <w:szCs w:val="24"/>
          <w:highlight w:val="none"/>
        </w:rPr>
        <w:t>本项目厂房一次灭火的室外消防水量为</w:t>
      </w:r>
      <w:r>
        <w:rPr>
          <w:rFonts w:hint="default" w:ascii="Times New Roman" w:hAnsi="Times New Roman" w:cs="Times New Roman"/>
          <w:color w:val="auto"/>
          <w:sz w:val="24"/>
          <w:szCs w:val="24"/>
          <w:highlight w:val="none"/>
          <w:lang w:val="en-US" w:eastAsia="zh-CN"/>
        </w:rPr>
        <w:t>45</w:t>
      </w:r>
      <w:r>
        <w:rPr>
          <w:rFonts w:hint="default" w:ascii="Times New Roman" w:hAnsi="Times New Roman" w:eastAsia="宋体" w:cs="Times New Roman"/>
          <w:color w:val="auto"/>
          <w:sz w:val="24"/>
          <w:szCs w:val="24"/>
          <w:highlight w:val="none"/>
        </w:rPr>
        <w:t>L/s，厂房火灾延续进间按2h计，则该厂房室外消防废水量=</w:t>
      </w:r>
      <w:r>
        <w:rPr>
          <w:rFonts w:hint="default" w:ascii="Times New Roman" w:hAnsi="Times New Roman" w:cs="Times New Roman"/>
          <w:color w:val="auto"/>
          <w:sz w:val="24"/>
          <w:szCs w:val="24"/>
          <w:highlight w:val="none"/>
          <w:lang w:val="en-US" w:eastAsia="zh-CN"/>
        </w:rPr>
        <w:t>45</w:t>
      </w:r>
      <w:r>
        <w:rPr>
          <w:rFonts w:hint="default" w:ascii="Times New Roman" w:hAnsi="Times New Roman" w:eastAsia="宋体" w:cs="Times New Roman"/>
          <w:color w:val="auto"/>
          <w:sz w:val="24"/>
          <w:szCs w:val="24"/>
          <w:highlight w:val="none"/>
        </w:rPr>
        <w:t>L/s×3600s×2h÷1000=</w:t>
      </w:r>
      <w:r>
        <w:rPr>
          <w:rFonts w:hint="default" w:ascii="Times New Roman" w:hAnsi="Times New Roman" w:cs="Times New Roman"/>
          <w:color w:val="auto"/>
          <w:sz w:val="24"/>
          <w:szCs w:val="24"/>
          <w:highlight w:val="none"/>
          <w:lang w:val="en-US" w:eastAsia="zh-CN"/>
        </w:rPr>
        <w:t>324</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建筑物室内消火栓设计流量（L/s）</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983"/>
        <w:gridCol w:w="1298"/>
        <w:gridCol w:w="1987"/>
        <w:gridCol w:w="1796"/>
        <w:gridCol w:w="2055"/>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20"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建筑物名称</w:t>
            </w:r>
          </w:p>
        </w:tc>
        <w:tc>
          <w:tcPr>
            <w:tcW w:w="164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高度h(m)、火灾危险性</w:t>
            </w:r>
          </w:p>
        </w:tc>
        <w:tc>
          <w:tcPr>
            <w:tcW w:w="90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消火栓设计流量(L/s)</w:t>
            </w:r>
          </w:p>
        </w:tc>
        <w:tc>
          <w:tcPr>
            <w:tcW w:w="103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同时使用消防水枪数（支）</w:t>
            </w:r>
          </w:p>
        </w:tc>
        <w:tc>
          <w:tcPr>
            <w:tcW w:w="69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每根竖管最小流量(L/s)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工业建筑</w:t>
            </w:r>
          </w:p>
        </w:tc>
        <w:tc>
          <w:tcPr>
            <w:tcW w:w="492"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厂房</w:t>
            </w:r>
          </w:p>
        </w:tc>
        <w:tc>
          <w:tcPr>
            <w:tcW w:w="651"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h≤24</w:t>
            </w: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甲、乙、丁、戊</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24＜h≤50</w:t>
            </w: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乙、丁、戊</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h＞50</w:t>
            </w: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乙、丁、戊</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仓库</w:t>
            </w:r>
          </w:p>
        </w:tc>
        <w:tc>
          <w:tcPr>
            <w:tcW w:w="651"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h≤24</w:t>
            </w: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甲、乙、丁、戊</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restar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h＞24</w:t>
            </w: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丁、戊</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92"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651" w:type="pct"/>
            <w:vMerge w:val="continue"/>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997"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丙</w:t>
            </w:r>
          </w:p>
        </w:tc>
        <w:tc>
          <w:tcPr>
            <w:tcW w:w="90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w:t>
            </w:r>
          </w:p>
        </w:tc>
        <w:tc>
          <w:tcPr>
            <w:tcW w:w="1031"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698" w:type="pct"/>
            <w:noWrap w:val="0"/>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r>
    </w:tbl>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szCs w:val="24"/>
          <w:highlight w:val="none"/>
          <w:lang w:eastAsia="zh-CN"/>
        </w:rPr>
        <w:t>最大厂房</w:t>
      </w:r>
      <w:r>
        <w:rPr>
          <w:rFonts w:hint="default" w:ascii="Times New Roman" w:hAnsi="Times New Roman" w:eastAsia="宋体" w:cs="Times New Roman"/>
          <w:color w:val="auto"/>
          <w:sz w:val="24"/>
          <w:highlight w:val="none"/>
          <w:lang w:eastAsia="zh-CN"/>
        </w:rPr>
        <w:t>高度</w:t>
      </w:r>
      <w:r>
        <w:rPr>
          <w:rFonts w:hint="default" w:ascii="Times New Roman" w:hAnsi="Times New Roman" w:cs="Times New Roman"/>
          <w:color w:val="auto"/>
          <w:sz w:val="24"/>
          <w:highlight w:val="none"/>
          <w:lang w:val="en-US" w:eastAsia="zh-CN"/>
        </w:rPr>
        <w:t>10</w:t>
      </w:r>
      <w:r>
        <w:rPr>
          <w:rFonts w:hint="default" w:ascii="Times New Roman" w:hAnsi="Times New Roman" w:eastAsia="宋体" w:cs="Times New Roman"/>
          <w:color w:val="auto"/>
          <w:sz w:val="24"/>
          <w:highlight w:val="none"/>
          <w:lang w:val="en-US" w:eastAsia="zh-CN"/>
        </w:rPr>
        <w:t>m，故</w:t>
      </w:r>
      <w:r>
        <w:rPr>
          <w:rFonts w:hint="default" w:ascii="Times New Roman" w:hAnsi="Times New Roman" w:eastAsia="宋体" w:cs="Times New Roman"/>
          <w:color w:val="auto"/>
          <w:sz w:val="24"/>
          <w:highlight w:val="none"/>
        </w:rPr>
        <w:t>本项目厂房一次灭火的室内消防用水量为</w:t>
      </w:r>
      <w:r>
        <w:rPr>
          <w:rFonts w:hint="default" w:ascii="Times New Roman" w:hAnsi="Times New Roman" w:cs="Times New Roman"/>
          <w:color w:val="auto"/>
          <w:sz w:val="24"/>
          <w:highlight w:val="none"/>
          <w:lang w:val="en-US" w:eastAsia="zh-CN"/>
        </w:rPr>
        <w:t>15</w:t>
      </w:r>
      <w:r>
        <w:rPr>
          <w:rFonts w:hint="default" w:ascii="Times New Roman" w:hAnsi="Times New Roman" w:eastAsia="宋体" w:cs="Times New Roman"/>
          <w:color w:val="auto"/>
          <w:sz w:val="24"/>
          <w:highlight w:val="none"/>
        </w:rPr>
        <w:t>L/s，则室内消防用水量=</w:t>
      </w:r>
      <w:r>
        <w:rPr>
          <w:rFonts w:hint="default" w:ascii="Times New Roman" w:hAnsi="Times New Roman" w:cs="Times New Roman"/>
          <w:color w:val="auto"/>
          <w:sz w:val="24"/>
          <w:highlight w:val="none"/>
          <w:lang w:val="en-US" w:eastAsia="zh-CN"/>
        </w:rPr>
        <w:t>15</w:t>
      </w:r>
      <w:r>
        <w:rPr>
          <w:rFonts w:hint="default" w:ascii="Times New Roman" w:hAnsi="Times New Roman" w:eastAsia="宋体" w:cs="Times New Roman"/>
          <w:color w:val="auto"/>
          <w:sz w:val="24"/>
          <w:highlight w:val="none"/>
        </w:rPr>
        <w:t>L/s×3600s×2h÷1000=</w:t>
      </w:r>
      <w:r>
        <w:rPr>
          <w:rFonts w:hint="default" w:ascii="Times New Roman" w:hAnsi="Times New Roman" w:cs="Times New Roman"/>
          <w:color w:val="auto"/>
          <w:sz w:val="24"/>
          <w:highlight w:val="none"/>
          <w:lang w:val="en-US" w:eastAsia="zh-CN"/>
        </w:rPr>
        <w:t>108</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w:t>
      </w:r>
    </w:p>
    <w:p>
      <w:pPr>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highlight w:val="none"/>
        </w:rPr>
        <w:t>因此厂房一次灭火的消防用水量V</w:t>
      </w:r>
      <w:r>
        <w:rPr>
          <w:rFonts w:hint="default" w:ascii="Times New Roman" w:hAnsi="Times New Roman" w:eastAsia="宋体" w:cs="Times New Roman"/>
          <w:color w:val="auto"/>
          <w:sz w:val="24"/>
          <w:highlight w:val="none"/>
          <w:vertAlign w:val="subscript"/>
        </w:rPr>
        <w:t>2</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val="en-US" w:eastAsia="zh-CN"/>
        </w:rPr>
        <w:t>324</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val="en-US" w:eastAsia="zh-CN"/>
        </w:rPr>
        <w:t>108</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val="en-US" w:eastAsia="zh-CN"/>
        </w:rPr>
        <w:t>432</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w:t>
      </w:r>
    </w:p>
    <w:p>
      <w:pPr>
        <w:adjustRightInd w:val="0"/>
        <w:snapToGrid w:val="0"/>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③转输到其他储存设施的量</w:t>
      </w:r>
    </w:p>
    <w:p>
      <w:pPr>
        <w:adjustRightInd w:val="0"/>
        <w:snapToGrid w:val="0"/>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公司可转输到其他储存设施的量为0m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，即V</w:t>
      </w:r>
      <w:r>
        <w:rPr>
          <w:rFonts w:hint="default" w:ascii="Times New Roman" w:hAnsi="Times New Roman" w:eastAsia="宋体" w:cs="Times New Roman"/>
          <w:color w:val="auto"/>
          <w:sz w:val="24"/>
          <w:szCs w:val="21"/>
          <w:highlight w:val="none"/>
          <w:vertAlign w:val="subscript"/>
        </w:rPr>
        <w:t>3</w:t>
      </w:r>
      <w:r>
        <w:rPr>
          <w:rFonts w:hint="default" w:ascii="Times New Roman" w:hAnsi="Times New Roman" w:eastAsia="宋体" w:cs="Times New Roman"/>
          <w:color w:val="auto"/>
          <w:sz w:val="24"/>
          <w:szCs w:val="21"/>
          <w:highlight w:val="none"/>
        </w:rPr>
        <w:t>=0m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 xml:space="preserve">。 </w:t>
      </w:r>
    </w:p>
    <w:p>
      <w:pPr>
        <w:adjustRightInd w:val="0"/>
        <w:snapToGrid w:val="0"/>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④发生事故时仍必须进入该收集系统的生产废水量为0m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，即V</w:t>
      </w:r>
      <w:r>
        <w:rPr>
          <w:rFonts w:hint="default" w:ascii="Times New Roman" w:hAnsi="Times New Roman" w:cs="Times New Roman"/>
          <w:color w:val="auto"/>
          <w:sz w:val="24"/>
          <w:szCs w:val="21"/>
          <w:highlight w:val="none"/>
          <w:vertAlign w:val="subscript"/>
          <w:lang w:val="en-US" w:eastAsia="zh-CN"/>
        </w:rPr>
        <w:t>4</w:t>
      </w:r>
      <w:r>
        <w:rPr>
          <w:rFonts w:hint="default" w:ascii="Times New Roman" w:hAnsi="Times New Roman" w:eastAsia="宋体" w:cs="Times New Roman"/>
          <w:color w:val="auto"/>
          <w:sz w:val="24"/>
          <w:szCs w:val="21"/>
          <w:highlight w:val="none"/>
        </w:rPr>
        <w:t>=0m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w:t>
      </w:r>
    </w:p>
    <w:p>
      <w:pPr>
        <w:adjustRightInd w:val="0"/>
        <w:snapToGrid w:val="0"/>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⑤发生事故时可能进入该收集系统的降雨量计算：根据《水体污染防控紧急措施设计导则》，降雨量计算公式如下：</w:t>
      </w:r>
    </w:p>
    <w:p>
      <w:pPr>
        <w:autoSpaceDE w:val="0"/>
        <w:autoSpaceDN w:val="0"/>
        <w:adjustRightInd w:val="0"/>
        <w:snapToGrid w:val="0"/>
        <w:spacing w:line="360" w:lineRule="auto"/>
        <w:ind w:firstLine="480" w:firstLineChars="200"/>
        <w:jc w:val="center"/>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color w:val="auto"/>
          <w:kern w:val="0"/>
          <w:sz w:val="24"/>
          <w:szCs w:val="21"/>
          <w:highlight w:val="none"/>
        </w:rPr>
        <w:t>V</w:t>
      </w:r>
      <w:r>
        <w:rPr>
          <w:rFonts w:hint="default" w:ascii="Times New Roman" w:hAnsi="Times New Roman" w:eastAsia="宋体" w:cs="Times New Roman"/>
          <w:color w:val="auto"/>
          <w:kern w:val="0"/>
          <w:sz w:val="24"/>
          <w:szCs w:val="21"/>
          <w:highlight w:val="none"/>
          <w:vertAlign w:val="subscript"/>
        </w:rPr>
        <w:t>5</w:t>
      </w:r>
      <w:r>
        <w:rPr>
          <w:rFonts w:hint="default" w:ascii="Times New Roman" w:hAnsi="Times New Roman" w:eastAsia="宋体" w:cs="Times New Roman"/>
          <w:color w:val="auto"/>
          <w:kern w:val="0"/>
          <w:sz w:val="24"/>
          <w:szCs w:val="21"/>
          <w:highlight w:val="none"/>
        </w:rPr>
        <w:t>=10qF</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color w:val="auto"/>
          <w:kern w:val="0"/>
          <w:sz w:val="24"/>
          <w:szCs w:val="21"/>
          <w:highlight w:val="none"/>
        </w:rPr>
        <w:t>q——降雨强度，mm；按平均日降雨量，q=q</w:t>
      </w:r>
      <w:r>
        <w:rPr>
          <w:rFonts w:hint="default" w:ascii="Times New Roman" w:hAnsi="Times New Roman" w:eastAsia="宋体" w:cs="Times New Roman"/>
          <w:color w:val="auto"/>
          <w:kern w:val="0"/>
          <w:sz w:val="24"/>
          <w:szCs w:val="21"/>
          <w:highlight w:val="none"/>
          <w:vertAlign w:val="subscript"/>
        </w:rPr>
        <w:t>a</w:t>
      </w:r>
      <w:r>
        <w:rPr>
          <w:rFonts w:hint="default" w:ascii="Times New Roman" w:hAnsi="Times New Roman" w:eastAsia="宋体" w:cs="Times New Roman"/>
          <w:color w:val="auto"/>
          <w:kern w:val="0"/>
          <w:sz w:val="24"/>
          <w:szCs w:val="21"/>
          <w:highlight w:val="none"/>
        </w:rPr>
        <w:t>/n</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color w:val="auto"/>
          <w:kern w:val="0"/>
          <w:sz w:val="24"/>
          <w:szCs w:val="21"/>
          <w:highlight w:val="none"/>
        </w:rPr>
        <w:t>q</w:t>
      </w:r>
      <w:r>
        <w:rPr>
          <w:rFonts w:hint="default" w:ascii="Times New Roman" w:hAnsi="Times New Roman" w:eastAsia="宋体" w:cs="Times New Roman"/>
          <w:color w:val="auto"/>
          <w:kern w:val="0"/>
          <w:sz w:val="24"/>
          <w:szCs w:val="21"/>
          <w:highlight w:val="none"/>
          <w:vertAlign w:val="subscript"/>
        </w:rPr>
        <w:t>a</w:t>
      </w:r>
      <w:r>
        <w:rPr>
          <w:rFonts w:hint="default" w:ascii="Times New Roman" w:hAnsi="Times New Roman" w:eastAsia="宋体" w:cs="Times New Roman"/>
          <w:color w:val="auto"/>
          <w:kern w:val="0"/>
          <w:sz w:val="24"/>
          <w:szCs w:val="21"/>
          <w:highlight w:val="none"/>
        </w:rPr>
        <w:t>——年平均降雨量，mm；</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color w:val="auto"/>
          <w:kern w:val="0"/>
          <w:sz w:val="24"/>
          <w:szCs w:val="21"/>
          <w:highlight w:val="none"/>
        </w:rPr>
        <w:t>n——年平均降雨日数。</w:t>
      </w:r>
    </w:p>
    <w:p>
      <w:pPr>
        <w:autoSpaceDE w:val="0"/>
        <w:autoSpaceDN w:val="0"/>
        <w:adjustRightInd w:val="0"/>
        <w:snapToGrid w:val="0"/>
        <w:spacing w:line="360" w:lineRule="auto"/>
        <w:ind w:firstLine="480" w:firstLineChars="200"/>
        <w:jc w:val="left"/>
        <w:rPr>
          <w:rFonts w:hint="default" w:ascii="Times New Roman" w:hAnsi="Times New Roman" w:eastAsia="宋体" w:cs="Times New Roman"/>
          <w:color w:val="auto"/>
          <w:kern w:val="0"/>
          <w:sz w:val="24"/>
          <w:szCs w:val="21"/>
          <w:highlight w:val="none"/>
        </w:rPr>
      </w:pPr>
      <w:r>
        <w:rPr>
          <w:rFonts w:hint="default" w:ascii="Times New Roman" w:hAnsi="Times New Roman" w:eastAsia="宋体" w:cs="Times New Roman"/>
          <w:color w:val="auto"/>
          <w:kern w:val="0"/>
          <w:sz w:val="24"/>
          <w:szCs w:val="21"/>
          <w:highlight w:val="none"/>
        </w:rPr>
        <w:t>F——必须进入事故废水收集系统的雨水汇水面积，ha；</w:t>
      </w:r>
    </w:p>
    <w:p>
      <w:pPr>
        <w:spacing w:line="360" w:lineRule="auto"/>
        <w:ind w:firstLine="480" w:firstLineChars="200"/>
        <w:jc w:val="left"/>
        <w:rPr>
          <w:rFonts w:hint="default" w:ascii="Times New Roman" w:hAnsi="Times New Roman" w:eastAsia="宋体" w:cs="Times New Roman"/>
          <w:color w:val="auto"/>
          <w:sz w:val="24"/>
          <w:szCs w:val="22"/>
          <w:highlight w:val="none"/>
        </w:rPr>
      </w:pPr>
      <w:r>
        <w:rPr>
          <w:rFonts w:hint="default" w:ascii="Times New Roman" w:hAnsi="Times New Roman" w:eastAsia="宋体" w:cs="Times New Roman"/>
          <w:color w:val="auto"/>
          <w:sz w:val="24"/>
          <w:szCs w:val="22"/>
          <w:highlight w:val="none"/>
        </w:rPr>
        <w:t>根据收集的近20年气候统计资料，博罗片区年平均降雨量为</w:t>
      </w:r>
      <w:r>
        <w:rPr>
          <w:rFonts w:hint="default" w:ascii="Times New Roman" w:hAnsi="Times New Roman" w:eastAsia="宋体" w:cs="Times New Roman"/>
          <w:color w:val="auto"/>
          <w:sz w:val="24"/>
          <w:highlight w:val="none"/>
          <w:lang w:val="en-US" w:eastAsia="zh-CN"/>
        </w:rPr>
        <w:t>1832.8</w:t>
      </w:r>
      <w:r>
        <w:rPr>
          <w:rFonts w:hint="default" w:ascii="Times New Roman" w:hAnsi="Times New Roman" w:eastAsia="宋体" w:cs="Times New Roman"/>
          <w:color w:val="auto"/>
          <w:sz w:val="24"/>
          <w:szCs w:val="22"/>
          <w:highlight w:val="none"/>
        </w:rPr>
        <w:t>mm，年平均降雨天数</w:t>
      </w:r>
      <w:r>
        <w:rPr>
          <w:rFonts w:hint="default" w:ascii="Times New Roman" w:hAnsi="Times New Roman" w:eastAsia="宋体" w:cs="Times New Roman"/>
          <w:color w:val="auto"/>
          <w:sz w:val="24"/>
          <w:szCs w:val="22"/>
          <w:highlight w:val="none"/>
          <w:lang w:val="en-US" w:eastAsia="zh-CN"/>
        </w:rPr>
        <w:t>180</w:t>
      </w:r>
      <w:r>
        <w:rPr>
          <w:rFonts w:hint="default" w:ascii="Times New Roman" w:hAnsi="Times New Roman" w:eastAsia="宋体" w:cs="Times New Roman"/>
          <w:color w:val="auto"/>
          <w:sz w:val="24"/>
          <w:szCs w:val="22"/>
          <w:highlight w:val="none"/>
        </w:rPr>
        <w:t>天，</w:t>
      </w:r>
      <w:r>
        <w:rPr>
          <w:rFonts w:hint="default" w:ascii="Times New Roman" w:hAnsi="Times New Roman" w:cs="Times New Roman"/>
          <w:color w:val="auto"/>
          <w:sz w:val="24"/>
          <w:szCs w:val="22"/>
          <w:highlight w:val="none"/>
          <w:lang w:val="en-US" w:eastAsia="zh-CN"/>
        </w:rPr>
        <w:t>项目</w:t>
      </w:r>
      <w:r>
        <w:rPr>
          <w:rFonts w:hint="default" w:ascii="Times New Roman" w:hAnsi="Times New Roman" w:eastAsia="宋体" w:cs="Times New Roman"/>
          <w:color w:val="auto"/>
          <w:sz w:val="24"/>
          <w:szCs w:val="22"/>
          <w:highlight w:val="none"/>
          <w:lang w:val="en-US" w:eastAsia="zh-CN"/>
        </w:rPr>
        <w:t>汇水面积为</w:t>
      </w:r>
      <w:r>
        <w:rPr>
          <w:rFonts w:hint="default" w:ascii="Times New Roman" w:hAnsi="Times New Roman" w:cs="Times New Roman"/>
          <w:color w:val="auto"/>
          <w:sz w:val="24"/>
          <w:szCs w:val="22"/>
          <w:highlight w:val="none"/>
          <w:lang w:val="en-US" w:eastAsia="zh-CN"/>
        </w:rPr>
        <w:t>20336</w:t>
      </w:r>
      <w:r>
        <w:rPr>
          <w:rFonts w:hint="default" w:ascii="Times New Roman" w:hAnsi="Times New Roman" w:eastAsia="宋体" w:cs="Times New Roman"/>
          <w:color w:val="auto"/>
          <w:sz w:val="24"/>
          <w:szCs w:val="22"/>
          <w:highlight w:val="none"/>
          <w:lang w:val="en-US" w:eastAsia="zh-CN"/>
        </w:rPr>
        <w:t>m</w:t>
      </w:r>
      <w:r>
        <w:rPr>
          <w:rFonts w:hint="default" w:ascii="Times New Roman" w:hAnsi="Times New Roman" w:eastAsia="宋体" w:cs="Times New Roman"/>
          <w:color w:val="auto"/>
          <w:sz w:val="24"/>
          <w:szCs w:val="22"/>
          <w:highlight w:val="none"/>
          <w:vertAlign w:val="superscript"/>
          <w:lang w:val="en-US" w:eastAsia="zh-CN"/>
        </w:rPr>
        <w:t>2</w:t>
      </w:r>
      <w:r>
        <w:rPr>
          <w:rFonts w:hint="default" w:ascii="Times New Roman" w:hAnsi="Times New Roman" w:eastAsia="宋体" w:cs="Times New Roman"/>
          <w:color w:val="auto"/>
          <w:sz w:val="24"/>
          <w:szCs w:val="22"/>
          <w:highlight w:val="none"/>
          <w:lang w:val="en-US" w:eastAsia="zh-CN"/>
        </w:rPr>
        <w:t>，</w:t>
      </w:r>
      <w:r>
        <w:rPr>
          <w:rFonts w:hint="default" w:ascii="Times New Roman" w:hAnsi="Times New Roman" w:eastAsia="宋体" w:cs="Times New Roman"/>
          <w:color w:val="auto"/>
          <w:sz w:val="24"/>
          <w:szCs w:val="22"/>
          <w:highlight w:val="none"/>
        </w:rPr>
        <w:t>则事故时厂区的降雨量为V</w:t>
      </w:r>
      <w:r>
        <w:rPr>
          <w:rFonts w:hint="default" w:ascii="Times New Roman" w:hAnsi="Times New Roman" w:eastAsia="宋体" w:cs="Times New Roman"/>
          <w:color w:val="auto"/>
          <w:sz w:val="24"/>
          <w:szCs w:val="22"/>
          <w:highlight w:val="none"/>
          <w:vertAlign w:val="subscript"/>
        </w:rPr>
        <w:t>5</w:t>
      </w:r>
      <w:r>
        <w:rPr>
          <w:rFonts w:hint="default" w:ascii="Times New Roman" w:hAnsi="Times New Roman" w:eastAsia="宋体" w:cs="Times New Roman"/>
          <w:color w:val="auto"/>
          <w:sz w:val="24"/>
          <w:szCs w:val="22"/>
          <w:highlight w:val="none"/>
        </w:rPr>
        <w:t>=10×</w:t>
      </w:r>
      <w:r>
        <w:rPr>
          <w:rFonts w:hint="default" w:ascii="Times New Roman" w:hAnsi="Times New Roman" w:cs="Times New Roman"/>
          <w:color w:val="auto"/>
          <w:sz w:val="24"/>
          <w:szCs w:val="22"/>
          <w:highlight w:val="none"/>
          <w:lang w:eastAsia="zh-CN"/>
        </w:rPr>
        <w:t>（</w:t>
      </w:r>
      <w:r>
        <w:rPr>
          <w:rFonts w:hint="default" w:ascii="Times New Roman" w:hAnsi="Times New Roman" w:eastAsia="宋体" w:cs="Times New Roman"/>
          <w:color w:val="auto"/>
          <w:sz w:val="24"/>
          <w:szCs w:val="22"/>
          <w:highlight w:val="none"/>
          <w:lang w:val="en-US" w:eastAsia="zh-CN"/>
        </w:rPr>
        <w:t>1832.8</w:t>
      </w:r>
      <w:r>
        <w:rPr>
          <w:rFonts w:hint="default" w:ascii="Times New Roman" w:hAnsi="Times New Roman" w:eastAsia="宋体" w:cs="Times New Roman"/>
          <w:color w:val="auto"/>
          <w:sz w:val="24"/>
          <w:szCs w:val="22"/>
          <w:highlight w:val="none"/>
        </w:rPr>
        <w:t>mm÷</w:t>
      </w:r>
      <w:r>
        <w:rPr>
          <w:rFonts w:hint="default" w:ascii="Times New Roman" w:hAnsi="Times New Roman" w:eastAsia="宋体" w:cs="Times New Roman"/>
          <w:color w:val="auto"/>
          <w:sz w:val="24"/>
          <w:szCs w:val="22"/>
          <w:highlight w:val="none"/>
          <w:lang w:val="en-US" w:eastAsia="zh-CN"/>
        </w:rPr>
        <w:t>180</w:t>
      </w:r>
      <w:r>
        <w:rPr>
          <w:rFonts w:hint="default" w:ascii="Times New Roman" w:hAnsi="Times New Roman" w:eastAsia="宋体" w:cs="Times New Roman"/>
          <w:color w:val="auto"/>
          <w:sz w:val="24"/>
          <w:szCs w:val="22"/>
          <w:highlight w:val="none"/>
        </w:rPr>
        <w:t>d</w:t>
      </w:r>
      <w:r>
        <w:rPr>
          <w:rFonts w:hint="default" w:ascii="Times New Roman" w:hAnsi="Times New Roman" w:cs="Times New Roman"/>
          <w:color w:val="auto"/>
          <w:sz w:val="24"/>
          <w:szCs w:val="22"/>
          <w:highlight w:val="none"/>
          <w:lang w:eastAsia="zh-CN"/>
        </w:rPr>
        <w:t>）</w:t>
      </w:r>
      <w:r>
        <w:rPr>
          <w:rFonts w:hint="default" w:ascii="Times New Roman" w:hAnsi="Times New Roman" w:eastAsia="宋体" w:cs="Times New Roman"/>
          <w:color w:val="auto"/>
          <w:sz w:val="24"/>
          <w:szCs w:val="22"/>
          <w:highlight w:val="none"/>
        </w:rPr>
        <w:t>×</w:t>
      </w:r>
      <w:r>
        <w:rPr>
          <w:rFonts w:hint="default" w:ascii="Times New Roman" w:hAnsi="Times New Roman" w:cs="Times New Roman"/>
          <w:color w:val="auto"/>
          <w:sz w:val="24"/>
          <w:szCs w:val="22"/>
          <w:highlight w:val="none"/>
          <w:lang w:val="en-US" w:eastAsia="zh-CN"/>
        </w:rPr>
        <w:t>2.0336</w:t>
      </w:r>
      <w:r>
        <w:rPr>
          <w:rFonts w:hint="default" w:ascii="Times New Roman" w:hAnsi="Times New Roman" w:eastAsia="宋体" w:cs="Times New Roman"/>
          <w:color w:val="auto"/>
          <w:sz w:val="24"/>
          <w:szCs w:val="22"/>
          <w:highlight w:val="none"/>
        </w:rPr>
        <w:t>hm</w:t>
      </w:r>
      <w:r>
        <w:rPr>
          <w:rFonts w:hint="default" w:ascii="Times New Roman" w:hAnsi="Times New Roman" w:eastAsia="宋体" w:cs="Times New Roman"/>
          <w:color w:val="auto"/>
          <w:sz w:val="24"/>
          <w:szCs w:val="22"/>
          <w:highlight w:val="none"/>
          <w:vertAlign w:val="superscript"/>
        </w:rPr>
        <w:t>2</w:t>
      </w:r>
      <w:r>
        <w:rPr>
          <w:rFonts w:hint="default" w:ascii="Times New Roman" w:hAnsi="Times New Roman" w:eastAsia="宋体" w:cs="Times New Roman"/>
          <w:color w:val="auto"/>
          <w:sz w:val="24"/>
          <w:szCs w:val="22"/>
          <w:highlight w:val="none"/>
        </w:rPr>
        <w:t>=</w:t>
      </w:r>
      <w:r>
        <w:rPr>
          <w:rFonts w:hint="default" w:ascii="Times New Roman" w:hAnsi="Times New Roman" w:cs="Times New Roman"/>
          <w:color w:val="auto"/>
          <w:sz w:val="24"/>
          <w:szCs w:val="22"/>
          <w:highlight w:val="none"/>
          <w:lang w:val="en-US" w:eastAsia="zh-CN"/>
        </w:rPr>
        <w:t>207.07</w:t>
      </w:r>
      <w:r>
        <w:rPr>
          <w:rFonts w:hint="default" w:ascii="Times New Roman" w:hAnsi="Times New Roman" w:eastAsia="宋体" w:cs="Times New Roman"/>
          <w:color w:val="auto"/>
          <w:sz w:val="24"/>
          <w:szCs w:val="22"/>
          <w:highlight w:val="none"/>
        </w:rPr>
        <w:t>m</w:t>
      </w:r>
      <w:r>
        <w:rPr>
          <w:rFonts w:hint="default" w:ascii="Times New Roman" w:hAnsi="Times New Roman" w:eastAsia="宋体" w:cs="Times New Roman"/>
          <w:color w:val="auto"/>
          <w:sz w:val="24"/>
          <w:szCs w:val="22"/>
          <w:highlight w:val="none"/>
          <w:vertAlign w:val="superscript"/>
        </w:rPr>
        <w:t>3</w:t>
      </w:r>
      <w:r>
        <w:rPr>
          <w:rFonts w:hint="default" w:ascii="Times New Roman" w:hAnsi="Times New Roman" w:eastAsia="宋体" w:cs="Times New Roman"/>
          <w:color w:val="auto"/>
          <w:sz w:val="24"/>
          <w:szCs w:val="22"/>
          <w:highlight w:val="none"/>
        </w:rPr>
        <w:t>。</w:t>
      </w:r>
    </w:p>
    <w:p>
      <w:pPr>
        <w:spacing w:line="360" w:lineRule="auto"/>
        <w:ind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项目最大泄漏量V</w:t>
      </w:r>
      <w:r>
        <w:rPr>
          <w:rFonts w:hint="default" w:ascii="Times New Roman" w:hAnsi="Times New Roman" w:eastAsia="宋体" w:cs="Times New Roman"/>
          <w:color w:val="auto"/>
          <w:sz w:val="24"/>
          <w:szCs w:val="21"/>
          <w:highlight w:val="none"/>
          <w:vertAlign w:val="subscript"/>
        </w:rPr>
        <w:t>1</w:t>
      </w:r>
      <w:r>
        <w:rPr>
          <w:rFonts w:hint="default" w:ascii="Times New Roman" w:hAnsi="Times New Roman" w:eastAsia="宋体" w:cs="Times New Roman"/>
          <w:color w:val="auto"/>
          <w:sz w:val="24"/>
          <w:szCs w:val="21"/>
          <w:highlight w:val="none"/>
        </w:rPr>
        <w:t>=</w:t>
      </w:r>
      <w:r>
        <w:rPr>
          <w:rFonts w:hint="default" w:ascii="Times New Roman" w:hAnsi="Times New Roman" w:cs="Times New Roman"/>
          <w:color w:val="auto"/>
          <w:sz w:val="24"/>
          <w:szCs w:val="21"/>
          <w:highlight w:val="none"/>
          <w:lang w:val="en-US" w:eastAsia="zh-CN"/>
        </w:rPr>
        <w:t>1.8</w:t>
      </w:r>
      <w:r>
        <w:rPr>
          <w:rFonts w:hint="default" w:ascii="Times New Roman" w:hAnsi="Times New Roman" w:eastAsia="宋体" w:cs="Times New Roman"/>
          <w:color w:val="auto"/>
          <w:sz w:val="24"/>
          <w:szCs w:val="21"/>
          <w:highlight w:val="none"/>
        </w:rPr>
        <w:t>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，消防废水量V</w:t>
      </w:r>
      <w:r>
        <w:rPr>
          <w:rFonts w:hint="default" w:ascii="Times New Roman" w:hAnsi="Times New Roman" w:eastAsia="宋体" w:cs="Times New Roman"/>
          <w:color w:val="auto"/>
          <w:sz w:val="24"/>
          <w:szCs w:val="21"/>
          <w:highlight w:val="none"/>
          <w:vertAlign w:val="subscript"/>
        </w:rPr>
        <w:t>2</w:t>
      </w:r>
      <w:r>
        <w:rPr>
          <w:rFonts w:hint="default" w:ascii="Times New Roman" w:hAnsi="Times New Roman" w:eastAsia="宋体" w:cs="Times New Roman"/>
          <w:color w:val="auto"/>
          <w:sz w:val="24"/>
          <w:szCs w:val="21"/>
          <w:highlight w:val="none"/>
        </w:rPr>
        <w:t>=</w:t>
      </w:r>
      <w:r>
        <w:rPr>
          <w:rFonts w:hint="default" w:ascii="Times New Roman" w:hAnsi="Times New Roman" w:cs="Times New Roman"/>
          <w:color w:val="auto"/>
          <w:sz w:val="24"/>
          <w:szCs w:val="21"/>
          <w:highlight w:val="none"/>
          <w:lang w:val="en-US" w:eastAsia="zh-CN"/>
        </w:rPr>
        <w:t>432</w:t>
      </w:r>
      <w:r>
        <w:rPr>
          <w:rFonts w:hint="default" w:ascii="Times New Roman" w:hAnsi="Times New Roman" w:eastAsia="宋体" w:cs="Times New Roman"/>
          <w:color w:val="auto"/>
          <w:sz w:val="24"/>
          <w:szCs w:val="21"/>
          <w:highlight w:val="none"/>
        </w:rPr>
        <w:t xml:space="preserve"> 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，转移物料量V</w:t>
      </w:r>
      <w:r>
        <w:rPr>
          <w:rFonts w:hint="default" w:ascii="Times New Roman" w:hAnsi="Times New Roman" w:eastAsia="宋体" w:cs="Times New Roman"/>
          <w:color w:val="auto"/>
          <w:sz w:val="24"/>
          <w:szCs w:val="21"/>
          <w:highlight w:val="none"/>
          <w:vertAlign w:val="subscript"/>
        </w:rPr>
        <w:t>3</w:t>
      </w:r>
      <w:r>
        <w:rPr>
          <w:rFonts w:hint="default" w:ascii="Times New Roman" w:hAnsi="Times New Roman" w:eastAsia="宋体" w:cs="Times New Roman"/>
          <w:color w:val="auto"/>
          <w:sz w:val="24"/>
          <w:szCs w:val="21"/>
          <w:highlight w:val="none"/>
        </w:rPr>
        <w:t>=0m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，生产废水量V</w:t>
      </w:r>
      <w:r>
        <w:rPr>
          <w:rFonts w:hint="default" w:ascii="Times New Roman" w:hAnsi="Times New Roman" w:eastAsia="宋体" w:cs="Times New Roman"/>
          <w:color w:val="auto"/>
          <w:sz w:val="24"/>
          <w:szCs w:val="21"/>
          <w:highlight w:val="none"/>
          <w:vertAlign w:val="subscript"/>
        </w:rPr>
        <w:t>4</w:t>
      </w:r>
      <w:r>
        <w:rPr>
          <w:rFonts w:hint="default" w:ascii="Times New Roman" w:hAnsi="Times New Roman" w:eastAsia="宋体" w:cs="Times New Roman"/>
          <w:color w:val="auto"/>
          <w:sz w:val="24"/>
          <w:szCs w:val="21"/>
          <w:highlight w:val="none"/>
        </w:rPr>
        <w:t>=0 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，降雨量V</w:t>
      </w:r>
      <w:r>
        <w:rPr>
          <w:rFonts w:hint="default" w:ascii="Times New Roman" w:hAnsi="Times New Roman" w:eastAsia="宋体" w:cs="Times New Roman"/>
          <w:color w:val="auto"/>
          <w:sz w:val="24"/>
          <w:szCs w:val="21"/>
          <w:highlight w:val="none"/>
          <w:vertAlign w:val="subscript"/>
        </w:rPr>
        <w:t>5</w:t>
      </w:r>
      <w:r>
        <w:rPr>
          <w:rFonts w:hint="default" w:ascii="Times New Roman" w:hAnsi="Times New Roman" w:eastAsia="宋体" w:cs="Times New Roman"/>
          <w:color w:val="auto"/>
          <w:sz w:val="24"/>
          <w:szCs w:val="21"/>
          <w:highlight w:val="none"/>
        </w:rPr>
        <w:t>=</w:t>
      </w:r>
      <w:r>
        <w:rPr>
          <w:rFonts w:hint="default" w:ascii="Times New Roman" w:hAnsi="Times New Roman" w:cs="Times New Roman"/>
          <w:color w:val="auto"/>
          <w:sz w:val="24"/>
          <w:szCs w:val="22"/>
          <w:highlight w:val="none"/>
          <w:lang w:val="en-US" w:eastAsia="zh-CN"/>
        </w:rPr>
        <w:t>207.07</w:t>
      </w:r>
      <w:r>
        <w:rPr>
          <w:rFonts w:hint="default" w:ascii="Times New Roman" w:hAnsi="Times New Roman" w:eastAsia="宋体" w:cs="Times New Roman"/>
          <w:color w:val="auto"/>
          <w:sz w:val="24"/>
          <w:szCs w:val="21"/>
          <w:highlight w:val="none"/>
        </w:rPr>
        <w:t>m</w:t>
      </w:r>
      <w:r>
        <w:rPr>
          <w:rFonts w:hint="default" w:ascii="Times New Roman" w:hAnsi="Times New Roman" w:eastAsia="宋体" w:cs="Times New Roman"/>
          <w:color w:val="auto"/>
          <w:sz w:val="24"/>
          <w:szCs w:val="21"/>
          <w:highlight w:val="none"/>
          <w:vertAlign w:val="superscript"/>
        </w:rPr>
        <w:t>3</w:t>
      </w:r>
      <w:r>
        <w:rPr>
          <w:rFonts w:hint="default" w:ascii="Times New Roman" w:hAnsi="Times New Roman" w:eastAsia="宋体" w:cs="Times New Roman"/>
          <w:color w:val="auto"/>
          <w:sz w:val="24"/>
          <w:szCs w:val="21"/>
          <w:highlight w:val="none"/>
        </w:rPr>
        <w:t>，可算得V</w:t>
      </w:r>
      <w:r>
        <w:rPr>
          <w:rFonts w:hint="default" w:ascii="Times New Roman" w:hAnsi="Times New Roman" w:eastAsia="宋体" w:cs="Times New Roman"/>
          <w:color w:val="auto"/>
          <w:sz w:val="24"/>
          <w:szCs w:val="21"/>
          <w:highlight w:val="none"/>
          <w:vertAlign w:val="subscript"/>
        </w:rPr>
        <w:t>总</w:t>
      </w:r>
      <w:r>
        <w:rPr>
          <w:rFonts w:hint="default" w:ascii="Times New Roman" w:hAnsi="Times New Roman" w:eastAsia="宋体" w:cs="Times New Roman"/>
          <w:color w:val="auto"/>
          <w:sz w:val="24"/>
          <w:szCs w:val="21"/>
          <w:highlight w:val="none"/>
        </w:rPr>
        <w:t>=</w:t>
      </w:r>
      <w:r>
        <w:rPr>
          <w:rFonts w:hint="default" w:ascii="Times New Roman" w:hAnsi="Times New Roman" w:cs="Times New Roman"/>
          <w:color w:val="auto"/>
          <w:sz w:val="24"/>
          <w:highlight w:val="none"/>
          <w:lang w:val="en-US" w:eastAsia="zh-CN"/>
        </w:rPr>
        <w:t>640.86</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w:t>
      </w:r>
    </w:p>
    <w:p>
      <w:pPr>
        <w:spacing w:line="360" w:lineRule="auto"/>
        <w:ind w:firstLine="480" w:firstLineChars="200"/>
        <w:jc w:val="left"/>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根据计算可知，项目应设置</w:t>
      </w:r>
      <w:r>
        <w:rPr>
          <w:rFonts w:hint="default" w:ascii="Times New Roman" w:hAnsi="Times New Roman" w:eastAsia="宋体" w:cs="Times New Roman"/>
          <w:color w:val="auto"/>
          <w:sz w:val="24"/>
          <w:szCs w:val="24"/>
          <w:highlight w:val="none"/>
          <w:lang w:val="en-US" w:eastAsia="zh-CN"/>
        </w:rPr>
        <w:t>1个容量不低于</w:t>
      </w:r>
      <w:r>
        <w:rPr>
          <w:rFonts w:hint="default" w:ascii="Times New Roman" w:hAnsi="Times New Roman" w:cs="Times New Roman"/>
          <w:color w:val="auto"/>
          <w:sz w:val="24"/>
          <w:szCs w:val="24"/>
          <w:highlight w:val="none"/>
          <w:lang w:val="en-US" w:eastAsia="zh-CN"/>
        </w:rPr>
        <w:t>650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vertAlign w:val="baseline"/>
          <w:lang w:eastAsia="zh-CN"/>
        </w:rPr>
        <w:t>的事故应急池</w:t>
      </w:r>
      <w:r>
        <w:rPr>
          <w:rFonts w:hint="default" w:ascii="Times New Roman" w:hAnsi="Times New Roman" w:eastAsia="宋体" w:cs="Times New Roman"/>
          <w:color w:val="auto"/>
          <w:sz w:val="24"/>
          <w:szCs w:val="24"/>
          <w:highlight w:val="none"/>
          <w:lang w:eastAsia="zh-CN"/>
        </w:rPr>
        <w:t>，建设单位拟在</w:t>
      </w:r>
      <w:r>
        <w:rPr>
          <w:rFonts w:hint="default" w:ascii="Times New Roman" w:hAnsi="Times New Roman" w:cs="Times New Roman"/>
          <w:color w:val="auto"/>
          <w:sz w:val="24"/>
          <w:szCs w:val="24"/>
          <w:highlight w:val="none"/>
          <w:lang w:val="en-US" w:eastAsia="zh-CN"/>
        </w:rPr>
        <w:t>化学品仓库的北面</w:t>
      </w:r>
      <w:r>
        <w:rPr>
          <w:rFonts w:hint="default" w:ascii="Times New Roman" w:hAnsi="Times New Roman" w:eastAsia="宋体" w:cs="Times New Roman"/>
          <w:color w:val="auto"/>
          <w:sz w:val="24"/>
          <w:szCs w:val="24"/>
          <w:highlight w:val="none"/>
          <w:lang w:val="en-US" w:eastAsia="zh-CN"/>
        </w:rPr>
        <w:t>设置容量不低于</w:t>
      </w:r>
      <w:r>
        <w:rPr>
          <w:rFonts w:hint="default" w:ascii="Times New Roman" w:hAnsi="Times New Roman" w:cs="Times New Roman"/>
          <w:color w:val="auto"/>
          <w:sz w:val="24"/>
          <w:szCs w:val="24"/>
          <w:highlight w:val="none"/>
          <w:lang w:val="en-US" w:eastAsia="zh-CN"/>
        </w:rPr>
        <w:t>650</w:t>
      </w:r>
      <w:r>
        <w:rPr>
          <w:rFonts w:hint="default" w:ascii="Times New Roman" w:hAnsi="Times New Roman" w:eastAsia="宋体" w:cs="Times New Roman"/>
          <w:color w:val="auto"/>
          <w:sz w:val="24"/>
          <w:szCs w:val="24"/>
          <w:highlight w:val="none"/>
        </w:rPr>
        <w:t>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vertAlign w:val="baseline"/>
          <w:lang w:eastAsia="zh-CN"/>
        </w:rPr>
        <w:t>的</w:t>
      </w:r>
      <w:r>
        <w:rPr>
          <w:rFonts w:hint="default" w:ascii="Times New Roman" w:hAnsi="Times New Roman" w:eastAsia="宋体" w:cs="Times New Roman"/>
          <w:color w:val="auto"/>
          <w:sz w:val="24"/>
          <w:szCs w:val="24"/>
          <w:highlight w:val="none"/>
          <w:lang w:val="en-US" w:eastAsia="zh-CN"/>
        </w:rPr>
        <w:t>事故应急池。</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outlineLvl w:val="9"/>
        <w:rPr>
          <w:rFonts w:hint="default" w:ascii="Times New Roman" w:hAnsi="Times New Roman" w:eastAsia="宋体" w:cs="Times New Roman"/>
          <w:color w:val="auto"/>
          <w:kern w:val="0"/>
          <w:sz w:val="24"/>
          <w:highlight w:val="none"/>
          <w:lang w:eastAsia="zh-CN"/>
        </w:rPr>
      </w:pPr>
      <w:r>
        <w:rPr>
          <w:rFonts w:hint="default" w:ascii="Times New Roman" w:hAnsi="Times New Roman" w:eastAsia="宋体" w:cs="Times New Roman"/>
          <w:color w:val="auto"/>
          <w:sz w:val="24"/>
          <w:szCs w:val="24"/>
          <w:highlight w:val="none"/>
          <w:lang w:eastAsia="zh-CN"/>
        </w:rPr>
        <w:t>三级防控体系：</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项目通过临时围堰、车间缓坡、车间环形沟渠、雨水收集管网及应急截流转换阀、应急事故池等组成三级防控体系，见下图：</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drawing>
          <wp:inline distT="0" distB="0" distL="114300" distR="114300">
            <wp:extent cx="5076825" cy="3181350"/>
            <wp:effectExtent l="0" t="0" r="9525" b="0"/>
            <wp:docPr id="228" name="图片 22" descr="1654959780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 descr="1654959780750"/>
                    <pic:cNvPicPr>
                      <a:picLocks noChangeAspect="1"/>
                    </pic:cNvPicPr>
                  </pic:nvPicPr>
                  <pic:blipFill>
                    <a:blip r:embed="rId54"/>
                    <a:stretch>
                      <a:fillRect/>
                    </a:stretch>
                  </pic:blipFill>
                  <pic:spPr>
                    <a:xfrm>
                      <a:off x="0" y="0"/>
                      <a:ext cx="5076825" cy="3181350"/>
                    </a:xfrm>
                    <a:prstGeom prst="rect">
                      <a:avLst/>
                    </a:prstGeom>
                    <a:noFill/>
                    <a:ln>
                      <a:noFill/>
                    </a:ln>
                  </pic:spPr>
                </pic:pic>
              </a:graphicData>
            </a:graphic>
          </wp:inline>
        </w:drawing>
      </w:r>
    </w:p>
    <w:p>
      <w:pPr>
        <w:keepNext w:val="0"/>
        <w:keepLines w:val="0"/>
        <w:pageBreakBefore w:val="0"/>
        <w:widowControl w:val="0"/>
        <w:numPr>
          <w:ilvl w:val="0"/>
          <w:numId w:val="40"/>
        </w:numPr>
        <w:kinsoku/>
        <w:wordWrap/>
        <w:overflowPunct/>
        <w:topLinePunct w:val="0"/>
        <w:autoSpaceDE w:val="0"/>
        <w:autoSpaceDN w:val="0"/>
        <w:bidi w:val="0"/>
        <w:adjustRightInd w:val="0"/>
        <w:snapToGrid w:val="0"/>
        <w:spacing w:line="360" w:lineRule="auto"/>
        <w:ind w:left="0" w:leftChars="0" w:firstLine="397" w:firstLineChars="0"/>
        <w:jc w:val="center"/>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项目泄漏液及消防水三级防控情况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9"/>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3、主要环境风险源监控措施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项目需在生产车间设置可燃、有毒气体探测器、报警装置以及有害气体检测仪，设置专门消防喷淋系统</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危险废物暂存场所采取防渗设计，地面固化，周围设置围堰和顶棚，防雨防流失，并设置高清探头，安装烟感及有毒气体报警仪。污水排口设置截流阀门，污水处理设施与事故池通过管网和泵连接。</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9"/>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4、地下水环境风险防范</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(1)源头控制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为保护地下水环境，采取防控措施从源头控制对地下水的污染。实施清洁生产和循环经济，减少污染物的排放量。从设计、管理各种工艺设备和物料运输管线上，防止和减少污染物的跑冒滴漏，合理布局，减少污染物的泄漏途径。主要包括工艺、管道、设备、污水储存及处理构筑物等采取相应措施，防止和降低污染物跑、冒、滴、漏，将污染物泄漏的环境风险事故降到最低程度。</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①设备、设施的防泄漏措施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将生产装置区域内易产生泄漏的设备按其物料的物性分类集中布置</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对于不同物料性质的区域进行必要的分隔。</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对于储存和输送有毒有害介质的设备和管线排液阀门采用双阀，设备及管道排放出的各种含有毒有害介质液体设置专门的废液收集系统加以收集。对于机、泵基础周边设置废液收集设施，确保泄漏物料统</w:t>
      </w:r>
      <w:r>
        <w:rPr>
          <w:rFonts w:hint="default" w:ascii="Times New Roman" w:hAnsi="Times New Roman" w:eastAsia="宋体" w:cs="Times New Roman"/>
          <w:color w:val="auto"/>
          <w:sz w:val="24"/>
          <w:szCs w:val="24"/>
          <w:highlight w:val="none"/>
          <w:lang w:eastAsia="zh-CN"/>
        </w:rPr>
        <w:t>一</w:t>
      </w:r>
      <w:r>
        <w:rPr>
          <w:rFonts w:hint="default" w:ascii="Times New Roman" w:hAnsi="Times New Roman" w:eastAsia="宋体" w:cs="Times New Roman"/>
          <w:color w:val="auto"/>
          <w:sz w:val="24"/>
          <w:szCs w:val="24"/>
          <w:highlight w:val="none"/>
        </w:rPr>
        <w:t>收集至排放系统。装有毒有害介质设备的设备法兰，及接管法兰的密封面和垫片提高密封等级，必要时采用焊接连接。所有设备的液面计及视镜加设保护设施。设备的排净及排空口不采用螺纹密封结构，且不直接排放，搅拌设备的轴封选择适当的密封形式。所有转动设备进行有效的设计，尽可能防止有害介质泄漏。对输送有毒有害介质的泵选用无密封泵。</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②给水、排水的防渗漏措施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完善地表污水和雨水的收集系统,各装置污染区及仓储地面初期雨水收集至雨水收集池，使用过的消防水全部收集进入事故应急池，初期雨水及事故应急池内收集废水应分批少量通过泵提升送污水处理场处理。所有穿过污水处理构筑物壁的管道预先设置防水套管，防水套管的环缝隙采用不透水的柔性材料填塞。</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(2)分区防渗措施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根据《环境影响评价技术导则地下水环境》中表7“地下水污染防渗分区参照表”，将厂区划分为重点防渗区、一般防渗区和简单防渗区，针对不同的区域提出相应的防渗要求。重点防渗区:生产车间、危废</w:t>
      </w:r>
      <w:r>
        <w:rPr>
          <w:rFonts w:hint="default" w:ascii="Times New Roman" w:hAnsi="Times New Roman" w:eastAsia="宋体" w:cs="Times New Roman"/>
          <w:color w:val="auto"/>
          <w:sz w:val="24"/>
          <w:szCs w:val="24"/>
          <w:highlight w:val="none"/>
          <w:lang w:eastAsia="zh-CN"/>
        </w:rPr>
        <w:t>暂存间</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化学品仓库</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一般防渗区:</w:t>
      </w:r>
      <w:r>
        <w:rPr>
          <w:rFonts w:hint="default" w:ascii="Times New Roman" w:hAnsi="Times New Roman" w:eastAsia="宋体" w:cs="Times New Roman"/>
          <w:color w:val="auto"/>
          <w:sz w:val="24"/>
          <w:szCs w:val="24"/>
          <w:highlight w:val="none"/>
          <w:lang w:eastAsia="zh-CN"/>
        </w:rPr>
        <w:t>原料仓库、</w:t>
      </w:r>
      <w:r>
        <w:rPr>
          <w:rFonts w:hint="default" w:ascii="Times New Roman" w:hAnsi="Times New Roman" w:cs="Times New Roman"/>
          <w:color w:val="auto"/>
          <w:sz w:val="24"/>
          <w:szCs w:val="24"/>
          <w:highlight w:val="none"/>
          <w:lang w:val="en-US" w:eastAsia="zh-CN"/>
        </w:rPr>
        <w:t>成品仓库</w:t>
      </w:r>
      <w:r>
        <w:rPr>
          <w:rFonts w:hint="default" w:ascii="Times New Roman" w:hAnsi="Times New Roman" w:eastAsia="宋体" w:cs="Times New Roman"/>
          <w:color w:val="auto"/>
          <w:sz w:val="24"/>
          <w:szCs w:val="24"/>
          <w:highlight w:val="none"/>
        </w:rPr>
        <w:t>、公辅工程区域</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简单防渗区:办公区域、厂区路面。</w:t>
      </w:r>
    </w:p>
    <w:p>
      <w:pPr>
        <w:keepNext w:val="0"/>
        <w:keepLines w:val="0"/>
        <w:pageBreakBefore w:val="0"/>
        <w:widowControl w:val="0"/>
        <w:kinsoku/>
        <w:wordWrap/>
        <w:overflowPunct/>
        <w:topLinePunct w:val="0"/>
        <w:autoSpaceDE w:val="0"/>
        <w:autoSpaceDN w:val="0"/>
        <w:bidi w:val="0"/>
        <w:adjustRightInd w:val="0"/>
        <w:snapToGrid w:val="0"/>
        <w:spacing w:before="0" w:line="360" w:lineRule="auto"/>
        <w:ind w:firstLine="482" w:firstLineChars="200"/>
        <w:textAlignment w:val="auto"/>
        <w:outlineLvl w:val="9"/>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5、火灾爆炸事故风险防范措施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公司需针对本项目可能发生的火灾爆炸事故采取以下风险防范措施，由于火灾爆炸事故属于安全范畴，主要参照安全管理相关要求执行。</w:t>
      </w:r>
    </w:p>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360" w:lineRule="auto"/>
        <w:ind w:right="0" w:rightChars="0" w:firstLine="480" w:firstLineChars="200"/>
        <w:jc w:val="left"/>
        <w:textAlignment w:val="auto"/>
        <w:rPr>
          <w:rFonts w:hint="default" w:ascii="Times New Roman" w:hAnsi="Times New Roman" w:eastAsia="宋体" w:cs="Times New Roman"/>
          <w:b/>
          <w:color w:val="auto"/>
          <w:sz w:val="24"/>
          <w:szCs w:val="24"/>
          <w:highlight w:val="none"/>
        </w:rPr>
      </w:pPr>
      <w:r>
        <w:rPr>
          <w:rFonts w:hint="default" w:ascii="Times New Roman" w:hAnsi="Times New Roman" w:eastAsia="宋体" w:cs="Times New Roman"/>
          <w:color w:val="auto"/>
          <w:kern w:val="0"/>
          <w:sz w:val="24"/>
          <w:szCs w:val="24"/>
          <w:highlight w:val="none"/>
        </w:rPr>
        <w:t>根据作业区域（工序）生产过程中火灾、爆炸危险等级及毒物危害程度分级进行分类、分区布置。合理划分管理区、工艺生产区、辅助生产区及储运设施区，各区按其危害程度采取相应的安全防范措施进行管理。</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项目在初步设计时，应严格按照安全预评价的要求，依据《建筑设计防火规范》（GB50016-2014）、《工业企业总平面设计规范》（GB50187-2012）、《中华人民共和国消防法》（2021修订版）及国家其它规范标准进行设计。</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bCs w:val="0"/>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zh-CN"/>
        </w:rPr>
        <w:t>主要技术、工艺和装置设备方面采用先进、安全的自动控制设备，库区设置可燃气体泄漏报警器，库区及连接管道采取相应的防静电、防爆、防雷措施。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zh-CN"/>
        </w:rPr>
      </w:pPr>
      <w:r>
        <w:rPr>
          <w:rFonts w:hint="default" w:ascii="Times New Roman" w:hAnsi="Times New Roman" w:eastAsia="宋体" w:cs="Times New Roman"/>
          <w:color w:val="auto"/>
          <w:kern w:val="0"/>
          <w:sz w:val="24"/>
          <w:szCs w:val="24"/>
          <w:highlight w:val="none"/>
          <w:lang w:val="en-US" w:eastAsia="zh-CN" w:bidi="zh-CN"/>
        </w:rPr>
        <w:t>库区严禁烟火，设置相应的消防栓、消防炮及各类消防设施，加强管理和相关人员的培训，定期对相关设备进行检修维护等。</w:t>
      </w:r>
    </w:p>
    <w:p>
      <w:pPr>
        <w:keepNext w:val="0"/>
        <w:keepLines w:val="0"/>
        <w:pageBreakBefore w:val="0"/>
        <w:widowControl w:val="0"/>
        <w:kinsoku/>
        <w:wordWrap/>
        <w:overflowPunct/>
        <w:topLinePunct w:val="0"/>
        <w:autoSpaceDE w:val="0"/>
        <w:autoSpaceDN w:val="0"/>
        <w:bidi w:val="0"/>
        <w:adjustRightInd w:val="0"/>
        <w:snapToGrid w:val="0"/>
        <w:spacing w:before="0" w:line="360" w:lineRule="auto"/>
        <w:ind w:left="0" w:firstLine="482" w:firstLineChars="200"/>
        <w:textAlignment w:val="auto"/>
        <w:outlineLvl w:val="9"/>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6、危险品运输过程中采取的风险防范措施</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zh-CN"/>
        </w:rPr>
      </w:pPr>
      <w:r>
        <w:rPr>
          <w:rFonts w:hint="default" w:ascii="Times New Roman" w:hAnsi="Times New Roman" w:eastAsia="宋体" w:cs="Times New Roman"/>
          <w:color w:val="auto"/>
          <w:kern w:val="0"/>
          <w:sz w:val="24"/>
          <w:szCs w:val="24"/>
          <w:highlight w:val="none"/>
          <w:lang w:val="en-US" w:eastAsia="zh-CN" w:bidi="zh-CN"/>
        </w:rPr>
        <w:t>本项目危险废物由危废处置单位安排车辆运输，公司仅对运输单位资质进行审核，同时对进厂接收车辆的相关情况进行审核登记。运输单位需具备相应得到危化品运输资质，运输槽车需为专用槽车，阻火器必须完毕，配有相应的导静电拖线及灭活工具，同时加强对驾驶员的安全教育，避免运输过程中产生的风险。</w:t>
      </w:r>
    </w:p>
    <w:p>
      <w:pPr>
        <w:pStyle w:val="62"/>
        <w:numPr>
          <w:ilvl w:val="1"/>
          <w:numId w:val="41"/>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163" w:name="_Toc20429"/>
      <w:bookmarkStart w:id="164" w:name="_Toc18712"/>
      <w:bookmarkStart w:id="165" w:name="_Toc14975"/>
      <w:bookmarkStart w:id="166" w:name="_Toc11849"/>
      <w:r>
        <w:rPr>
          <w:rFonts w:hint="default" w:ascii="Times New Roman" w:hAnsi="Times New Roman" w:eastAsia="宋体" w:cs="Times New Roman"/>
          <w:b/>
          <w:bCs w:val="0"/>
          <w:color w:val="auto"/>
          <w:sz w:val="24"/>
          <w:szCs w:val="24"/>
          <w:highlight w:val="none"/>
        </w:rPr>
        <w:t>突发环境事件应急预案编制要求</w:t>
      </w:r>
      <w:bookmarkEnd w:id="163"/>
      <w:bookmarkEnd w:id="164"/>
      <w:bookmarkEnd w:id="165"/>
      <w:bookmarkEnd w:id="166"/>
    </w:p>
    <w:p>
      <w:pPr>
        <w:pStyle w:val="62"/>
        <w:numPr>
          <w:ilvl w:val="2"/>
          <w:numId w:val="42"/>
        </w:numPr>
        <w:tabs>
          <w:tab w:val="left" w:pos="771"/>
        </w:tabs>
        <w:spacing w:before="41" w:after="0" w:line="360" w:lineRule="auto"/>
        <w:ind w:left="709" w:leftChars="0" w:right="0" w:rightChars="0" w:hanging="709" w:firstLineChars="0"/>
        <w:jc w:val="left"/>
        <w:outlineLvl w:val="2"/>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编制要求</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color w:val="auto"/>
          <w:kern w:val="0"/>
          <w:sz w:val="24"/>
          <w:szCs w:val="24"/>
          <w:highlight w:val="none"/>
          <w:lang w:val="en-US" w:eastAsia="zh-CN" w:bidi="zh-CN"/>
        </w:rPr>
      </w:pPr>
      <w:r>
        <w:rPr>
          <w:rFonts w:hint="default" w:ascii="Times New Roman" w:hAnsi="Times New Roman" w:eastAsia="宋体" w:cs="Times New Roman"/>
          <w:color w:val="auto"/>
          <w:kern w:val="0"/>
          <w:sz w:val="24"/>
          <w:szCs w:val="24"/>
          <w:highlight w:val="none"/>
          <w:lang w:val="en-US" w:eastAsia="zh-CN" w:bidi="zh-CN"/>
        </w:rPr>
        <w:t>根据国家相关要求，通过对污染事故的风险评价，有关企业单位应制定防止环境污染事故发生的工作计划，消除事故隐患的实施及突发性事故应急预案等。建设单位须按照《国家突发环境事件应急预案》、《广东省突发环境事件应急预案》、《广东省突发事件应急预案管理办法》等有关要求，结合项目实际情况，修订完善其环境污染事故应急与响应预案。本项目应急预案的主要内容见下表。</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zh-CN" w:eastAsia="zh-CN"/>
        </w:rPr>
      </w:pPr>
      <w:r>
        <w:rPr>
          <w:rFonts w:hint="default" w:ascii="Times New Roman" w:hAnsi="Times New Roman" w:eastAsia="宋体" w:cs="Times New Roman"/>
          <w:b/>
          <w:bCs/>
          <w:color w:val="auto"/>
          <w:sz w:val="21"/>
          <w:szCs w:val="21"/>
          <w:highlight w:val="none"/>
          <w:lang w:val="zh-CN" w:eastAsia="zh-CN"/>
        </w:rPr>
        <w:t>本项目应急预案内容</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5"/>
        <w:gridCol w:w="2198"/>
        <w:gridCol w:w="64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75" w:type="dxa"/>
            <w:noWrap w:val="0"/>
            <w:vAlign w:val="center"/>
          </w:tcPr>
          <w:p>
            <w:pPr>
              <w:pStyle w:val="56"/>
              <w:keepNext w:val="0"/>
              <w:keepLines w:val="0"/>
              <w:pageBreakBefore w:val="0"/>
              <w:widowControl w:val="0"/>
              <w:kinsoku/>
              <w:wordWrap/>
              <w:overflowPunct/>
              <w:topLinePunct w:val="0"/>
              <w:bidi w:val="0"/>
              <w:spacing w:line="240" w:lineRule="auto"/>
              <w:ind w:left="0" w:right="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2198" w:type="dxa"/>
            <w:noWrap w:val="0"/>
            <w:vAlign w:val="center"/>
          </w:tcPr>
          <w:p>
            <w:pPr>
              <w:pStyle w:val="56"/>
              <w:keepNext w:val="0"/>
              <w:keepLines w:val="0"/>
              <w:pageBreakBefore w:val="0"/>
              <w:widowControl w:val="0"/>
              <w:kinsoku/>
              <w:wordWrap/>
              <w:overflowPunct/>
              <w:topLinePunct w:val="0"/>
              <w:bidi w:val="0"/>
              <w:spacing w:line="240" w:lineRule="auto"/>
              <w:ind w:left="0" w:right="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项目</w:t>
            </w:r>
          </w:p>
        </w:tc>
        <w:tc>
          <w:tcPr>
            <w:tcW w:w="6415" w:type="dxa"/>
            <w:noWrap w:val="0"/>
            <w:vAlign w:val="center"/>
          </w:tcPr>
          <w:p>
            <w:pPr>
              <w:pStyle w:val="56"/>
              <w:keepNext w:val="0"/>
              <w:keepLines w:val="0"/>
              <w:pageBreakBefore w:val="0"/>
              <w:widowControl w:val="0"/>
              <w:kinsoku/>
              <w:wordWrap/>
              <w:overflowPunct/>
              <w:topLinePunct w:val="0"/>
              <w:bidi w:val="0"/>
              <w:spacing w:line="240" w:lineRule="auto"/>
              <w:ind w:left="0" w:right="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内容及要求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1</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预案适用范围</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说明应急预案适用的范围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6"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2</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环境事件分类与分级</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说明突发环境事件的类型、级别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3</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组织机构与职责</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3.1、组织体系</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3.2、指挥机构组成及职责</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①指挥机构组成</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②指挥机构的主要职责</w:t>
            </w:r>
            <w:r>
              <w:rPr>
                <w:rFonts w:hint="default" w:ascii="Times New Roman" w:hAnsi="Times New Roman" w:eastAsia="宋体" w:cs="Times New Roman"/>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4</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监控和预警</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4.1、环境风险源监控</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4.2、预警行动</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4.3、报警、通讯联络方式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5</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信息报告与通报</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5.1、内部报告</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5.2、信息上报</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5.3、信息通报</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5.4、事件报告内容</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5.5、以表格形式列出.上述被报告人及相关部门、单位的联系方式。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6</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应急响应</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6.1、分级响应机制</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6.2、应急措施</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①突发环境事件现场应急措施;</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②大气污染事件保护目标的应急措施;</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③水污染事件保护目标的应急措施;</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④受伤人员现场救护、救治与医院救治</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6.3、应急监测</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6.4、应急终止</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6.5、应急终止后的行动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6"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7</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应急保障</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7.1、经费及其他保障</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7.2、应急物资装备保障</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7.3、应急队伍保障</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7.4、通信与信息保障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8</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善后处置</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8.1、善后处置</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8.2、保险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w w:val="99"/>
                <w:sz w:val="21"/>
                <w:szCs w:val="21"/>
                <w:highlight w:val="none"/>
              </w:rPr>
              <w:t>9</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预案管理与演练</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9.1、培训</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9.2、演练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奖惩</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明确突发环境事件应急救援工作中奖励和处罚的条件和内容。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1"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保障措施</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11.1、经费及其他保障</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11.2、应急物资装备保障</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11.3、应急队伍保障</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11.4、通信与信息保障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预案的评审、备案、发</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布和更新</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应明确预案评审、备案、发布和更新要求。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13</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预案的实施和生效时间</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列出预案实施和生效的具体时间;预案更新的发布与通知。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 w:hRule="atLeast"/>
          <w:jc w:val="center"/>
        </w:trPr>
        <w:tc>
          <w:tcPr>
            <w:tcW w:w="67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2198"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附件</w:t>
            </w:r>
          </w:p>
        </w:tc>
        <w:tc>
          <w:tcPr>
            <w:tcW w:w="6415" w:type="dxa"/>
            <w:noWrap w:val="0"/>
            <w:vAlign w:val="center"/>
          </w:tcPr>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①环境风险评价文件</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②危险废物登记文件及委托处理合同</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③区域位置及周围环境保护目标分布、位置关系图</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④重大环境风险源、应急设施(备)、应急物资储备分布、雨水、清净下水和污水收集管网、污水处理设施平面布置图</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⑤企业(或事业)单位周边区域道路交通图、疏散路线、交通管制示意图</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⑥内部应急人员的职责、姓名、电话清单</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⑦外部联系单位、人员、电话</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⑧各种制度、程序、方案等</w:t>
            </w:r>
            <w:r>
              <w:rPr>
                <w:rFonts w:hint="default" w:ascii="Times New Roman" w:hAnsi="Times New Roman" w:eastAsia="宋体" w:cs="Times New Roman"/>
                <w:color w:val="auto"/>
                <w:sz w:val="21"/>
                <w:szCs w:val="21"/>
                <w:highlight w:val="none"/>
                <w:lang w:eastAsia="zh-CN"/>
              </w:rPr>
              <w:t>；</w:t>
            </w:r>
          </w:p>
          <w:p>
            <w:pPr>
              <w:pStyle w:val="56"/>
              <w:keepNext w:val="0"/>
              <w:keepLines w:val="0"/>
              <w:pageBreakBefore w:val="0"/>
              <w:widowControl w:val="0"/>
              <w:kinsoku/>
              <w:wordWrap/>
              <w:overflowPunct/>
              <w:topLinePunct w:val="0"/>
              <w:autoSpaceDE w:val="0"/>
              <w:autoSpaceDN w:val="0"/>
              <w:bidi w:val="0"/>
              <w:adjustRightInd w:val="0"/>
              <w:snapToGrid w:val="0"/>
              <w:spacing w:line="240" w:lineRule="auto"/>
              <w:ind w:left="0" w:right="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⑨其他。</w:t>
            </w:r>
          </w:p>
        </w:tc>
      </w:tr>
    </w:tbl>
    <w:p>
      <w:pPr>
        <w:pStyle w:val="62"/>
        <w:numPr>
          <w:ilvl w:val="2"/>
          <w:numId w:val="42"/>
        </w:numPr>
        <w:tabs>
          <w:tab w:val="left" w:pos="771"/>
        </w:tabs>
        <w:spacing w:before="41" w:after="0" w:line="360" w:lineRule="auto"/>
        <w:ind w:left="709" w:leftChars="0" w:right="0" w:rightChars="0" w:hanging="709" w:firstLineChars="0"/>
        <w:jc w:val="left"/>
        <w:outlineLvl w:val="2"/>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应急组织机构和职责</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2" w:firstLineChars="200"/>
        <w:jc w:val="left"/>
        <w:textAlignment w:val="auto"/>
        <w:outlineLvl w:val="9"/>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1、应急救援指挥部组织机构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为了应急救援需要，建设单位成立应急救缓组织机构，由应急指挥领导小组、应急救援办公室和5个应急救援专业小组组成，具体分管紧急状态下的各项工作。5个专业组是：1、应急通讯组；2、后勤保障组；3、现场监测组；4、安全保卫组；5、应急抢险组。</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2" w:firstLineChars="200"/>
        <w:jc w:val="left"/>
        <w:textAlignment w:val="auto"/>
        <w:outlineLvl w:val="9"/>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2、应急救援组的职责</w:t>
      </w:r>
    </w:p>
    <w:p>
      <w:pPr>
        <w:pStyle w:val="62"/>
        <w:numPr>
          <w:ilvl w:val="0"/>
          <w:numId w:val="0"/>
        </w:numPr>
        <w:tabs>
          <w:tab w:val="left" w:pos="771"/>
        </w:tabs>
        <w:spacing w:before="41" w:after="0" w:line="360" w:lineRule="auto"/>
        <w:ind w:right="0" w:rightChars="0" w:firstLine="482"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（1）应急指挥领导小组职责</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公司事故应急指挥领导小组的主要职责包括如下：</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1、负责本预案的编制和修订工作的组织、协调。</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2、根据本预案成立和组建公司的应急救援组织机构，并将相关应急工作落实到具体人员上，同时负责组织对应急人员的相应培训、训练、演练和考核。</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3、组织人员对公司进行环境安全检查，消除环境事故隐患，检查防护措施和应急措施的具体落实情况，确保公司防护措施和应急措施有效。</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4、负责整个救援行动的统一指挥，包括成立应急指挥部，发布和解除救援命令或信号，协调指挥部正常运行。</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5、应急处理过程中协调各应急专业组之间的抢险工作，保障救援行动科学、合理、有序进行。</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6、负责发布和解除应急救援命令、信号。</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7、组织事故调查，总结应急救援工作的经验教训。</w:t>
      </w:r>
    </w:p>
    <w:p>
      <w:pPr>
        <w:pStyle w:val="62"/>
        <w:numPr>
          <w:ilvl w:val="0"/>
          <w:numId w:val="0"/>
        </w:numPr>
        <w:tabs>
          <w:tab w:val="left" w:pos="771"/>
        </w:tabs>
        <w:spacing w:before="41" w:after="0" w:line="360" w:lineRule="auto"/>
        <w:ind w:right="0" w:rightChars="0" w:firstLine="482"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（2）应急救援办公室（指挥部）</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发生突发环境事件时，由应急指挥领导总指挥启动应急预案，应急救援办公室负责人立即根据总指挥的指示通知应急指挥领导小组的成员立即成立应急指挥部，并保障指挥工作必要的设施。</w:t>
      </w:r>
    </w:p>
    <w:p>
      <w:pPr>
        <w:pStyle w:val="62"/>
        <w:numPr>
          <w:ilvl w:val="0"/>
          <w:numId w:val="0"/>
        </w:numPr>
        <w:tabs>
          <w:tab w:val="left" w:pos="771"/>
        </w:tabs>
        <w:spacing w:before="41" w:after="0" w:line="360" w:lineRule="auto"/>
        <w:ind w:right="0" w:rightChars="0" w:firstLine="482"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（3）应急救援专业队组成、职责及分工</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1）应急通讯组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应急通讯组人员由1名组长和多名成员组成。组长是应急指挥领导小组成员之一，负责应急通讯组的工作开展和协调。成员根据组长的指示，负责具体工作的实施，包括事故报警、报告，内部人员通讯联络，事态进展的通报，向周边单位发出救援请求等。</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2）后勤保障组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后勤保障组由1名组长和多名成员组成。</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组长是应急指挥领导小组成员之一，负责后勤保障组的工作开展和协调。成员主要是根据组长的指示，负责具体工作的实施，包括救援过程中的应急器材、物资的供给，负责救援人员防护品的发放和使用指导，负责医疗用品的保障，负责事故现场及受伤、中毒人员生活必需品的供给，负责外来人员接待等。</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3）安全保卫组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安全保卫组由1名组长和多名成员组成。</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安全保卫组组长是应急指挥领导小组成员之一，负责安全保卫组的工作开展和协调。成员主要是根据组长的指示，负责具体工作的实施。</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（1）负责做好出、入厂区车辆及人员安全检查和登记工作。</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（2）检查运输车辆入厂前是否留下烟火，车辆是否配戴合格的防火罩，检查化学品运输车辆的危品营运许可证是否过期有效，车上是否配备有效的灭火器材。</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（3）巡查值班岗位周边的设备设施，发现问题及时处理、汇报。</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（4）加强对厂区消防器材，人员的检查和安全监控，发现不安全行为及时制止。</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（5）严格执行交接班制度，交接班时必须把辖区内当班安全情况和保管物品交接清楚。</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（6）发生应急事故时，值班岗位保卫人员做好厂区周边的警戒工作，协助工作人员疏散车辆和人员，其他保卫人员参与现场应急救援。</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4）应急抢险组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应急抢险组是突发环境事件发生时，遏制事件扩展，较彻底处置事件的关键专业组。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应急抢险组由公司生产技术部人员组成和有关技术专家组成。上级政府和支援单位派来的应急抢险工程技术人员，加入该组开展工作。</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公司应急响应指挥中心，应根据公司的特点和环境风险特点，组建各个类别的应急抢险组，如仓库抢险组、生产装置抢险组、管线抢险组、公用工程抢险组等。</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根据公司的事故特点，发生重大安全生产事故或突发环境事件时，要应急抢险组要协同作战，负责消防的人员侧重点在灭火、防爆、防止燃烧、高空抢险、危险化学品燃烧爆炸处理等，负责环保的人员侧重点在大气、水环境、土壤环境污染的应急处理处置和防止污染扩大、危险化学品污染处理等。</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应急抢险组的主要职责如下：</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（1）依据《预案》的有关要求，编写环境污染事故处理具体预案；参加环境事件应急抢险的有关培训、演习演练工作；协助公司应急响应指挥中心的有关管理工作。</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（2）在发生突发环境污染事故时，负责控制污染源，消除污染隐患，处置有毒有害、易燃易爆物质，扑救火灾，维修设备设施、堵漏、事故区域内重要物资的转移和协助人员疏散，被污染区域的洗消等。</w:t>
      </w:r>
    </w:p>
    <w:p>
      <w:pPr>
        <w:pStyle w:val="62"/>
        <w:numPr>
          <w:ilvl w:val="2"/>
          <w:numId w:val="42"/>
        </w:numPr>
        <w:tabs>
          <w:tab w:val="left" w:pos="771"/>
        </w:tabs>
        <w:spacing w:before="41" w:after="0" w:line="360" w:lineRule="auto"/>
        <w:ind w:left="709" w:leftChars="0" w:right="0" w:rightChars="0" w:hanging="709" w:firstLineChars="0"/>
        <w:jc w:val="left"/>
        <w:outlineLvl w:val="2"/>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预案分级响应条件</w:t>
      </w:r>
    </w:p>
    <w:p>
      <w:pPr>
        <w:spacing w:line="360" w:lineRule="auto"/>
        <w:ind w:firstLine="480" w:firstLineChars="200"/>
        <w:jc w:val="left"/>
        <w:rPr>
          <w:rFonts w:hint="default" w:ascii="Times New Roman" w:hAnsi="Times New Roman" w:eastAsia="宋体" w:cs="Times New Roman"/>
          <w:b/>
          <w:color w:val="auto"/>
          <w:sz w:val="24"/>
          <w:highlight w:val="none"/>
        </w:rPr>
      </w:pPr>
      <w:r>
        <w:rPr>
          <w:rFonts w:hint="default" w:ascii="Times New Roman" w:hAnsi="Times New Roman" w:eastAsia="宋体" w:cs="Times New Roman"/>
          <w:color w:val="auto"/>
          <w:sz w:val="24"/>
          <w:highlight w:val="none"/>
        </w:rPr>
        <w:t>根据所发事故的大小，确定相应的预案级别及分级响应程序。</w:t>
      </w:r>
      <w:bookmarkStart w:id="167" w:name="_Toc2206_WPSOffice_Level2"/>
    </w:p>
    <w:p>
      <w:pPr>
        <w:spacing w:line="360" w:lineRule="auto"/>
        <w:ind w:firstLine="482"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
          <w:color w:val="auto"/>
          <w:sz w:val="24"/>
          <w:highlight w:val="none"/>
        </w:rPr>
        <w:t>（</w:t>
      </w:r>
      <w:r>
        <w:rPr>
          <w:rFonts w:hint="default" w:ascii="Times New Roman" w:hAnsi="Times New Roman" w:eastAsia="宋体" w:cs="Times New Roman"/>
          <w:bCs/>
          <w:color w:val="auto"/>
          <w:sz w:val="24"/>
          <w:highlight w:val="none"/>
        </w:rPr>
        <w:t>1）一般污染事故应急响应程序</w:t>
      </w:r>
      <w:bookmarkEnd w:id="167"/>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应急指挥小组接到事故报警后，立即通知各应急小组15min内到达各自岗位，完成人员、车辆及装备调度；同时，应向事故应急处理指挥部报告。综合协调小组在15min之内到达事故现场，进行调查取证，保护现场，查找污染源，并对事故类型、发生时间、地点、污染源、主要污染物质、影响的范围和程度等基本情况进行初步调查分析，形成初步意见，及时反馈上级应急指挥小组。由应急指挥小组根据事故情况启动相应的应急预案，领导各应急小组展开工作。</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在污染事故现场处置妥当后，经应急指挥小组研究确定后，向事故抢险救灾组织机构、 当地政府机关和事故应急处理指挥部报告处理结果。现场应急工作结束。</w:t>
      </w:r>
    </w:p>
    <w:p>
      <w:pPr>
        <w:spacing w:line="360" w:lineRule="auto"/>
        <w:ind w:firstLine="480" w:firstLineChars="200"/>
        <w:jc w:val="left"/>
        <w:rPr>
          <w:rFonts w:hint="default" w:ascii="Times New Roman" w:hAnsi="Times New Roman" w:eastAsia="宋体" w:cs="Times New Roman"/>
          <w:bCs/>
          <w:color w:val="auto"/>
          <w:sz w:val="24"/>
          <w:highlight w:val="none"/>
        </w:rPr>
      </w:pPr>
      <w:bookmarkStart w:id="168" w:name="_Toc22924_WPSOffice_Level2"/>
      <w:r>
        <w:rPr>
          <w:rFonts w:hint="default" w:ascii="Times New Roman" w:hAnsi="Times New Roman" w:eastAsia="宋体" w:cs="Times New Roman"/>
          <w:bCs/>
          <w:color w:val="auto"/>
          <w:sz w:val="24"/>
          <w:highlight w:val="none"/>
        </w:rPr>
        <w:t>（2）较大或严重污染事故应急响应程序</w:t>
      </w:r>
      <w:bookmarkEnd w:id="168"/>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应急指挥小组接到事故报警后，立即通知各应急小组15min内到达各自岗位，完成人员、车辆及装备调度；同时，向事故应急处理指挥部报告。综合协调小组在15min之内到达事故现场，进行调查取证，保护现场，查找污染源，并对事故类型、发生时间、地点、污染源、主要污染物质、影响的范围和程度等基本情况进行初步调查分析，形成初步意见，及时反馈应急指挥小组。</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由应急指挥小组根据事故情况启动相应的应急预案，领导各应急小组展开工作，同时向当地政府机关和应急处理指挥部请求支援；由应急处理指挥部进行紧急动员，适时启动区域的环境污染事故应急预案，迅速调集救援力量，指挥各成员单位、相关职能部门，根据应急预案组成各个应急行动小组。</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区域的各应急行动小组迅速到达事故现场，成立现场应急处理指挥部，厂内应急指挥小组移交事故现场指挥权，制定现场救援具体方案；各应急行动小组在现场指挥部的领导下，按照应急预案中各自的职责和现场救援具体方案开展抢险救援工作；厂内的应急小组应听从现场指挥部的领导。现场指挥部同时将有关进展情况向应急处理指挥部汇报。</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污染事故基本控制稳定后，现场应急指挥部将根据专家意见，迅速调集后援力量展开事故处置工作。现场应急处理结束。以上各步程序按照现场实际情况可交叉进行或同时进行。</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当污染事故有进一步扩大、发展趋势，或因事故衍生问题造成重大社会不稳定事态，现场应急指挥部将根据事态发展，及时调整应急响应级别，并发布预警信息，同时可向事故抢险救灾组织机构、上级应急处理指挥部请求援助。</w:t>
      </w:r>
    </w:p>
    <w:p>
      <w:pPr>
        <w:pStyle w:val="62"/>
        <w:numPr>
          <w:ilvl w:val="2"/>
          <w:numId w:val="42"/>
        </w:numPr>
        <w:tabs>
          <w:tab w:val="left" w:pos="771"/>
        </w:tabs>
        <w:spacing w:before="41" w:after="0" w:line="360" w:lineRule="auto"/>
        <w:ind w:left="709" w:leftChars="0" w:right="0" w:rightChars="0" w:hanging="709" w:firstLineChars="0"/>
        <w:jc w:val="left"/>
        <w:outlineLvl w:val="2"/>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预防与预警</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2" w:firstLineChars="200"/>
        <w:jc w:val="left"/>
        <w:textAlignment w:val="auto"/>
        <w:outlineLvl w:val="9"/>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一、预防</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环境风险源监控措施</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本公司对危险源的预防和监控主要通过日常例行巡查来确保对危险源的监控，从而预防各类事故。主要危险源及监控措施见下表。</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主要危险源及监控措施</w:t>
      </w:r>
    </w:p>
    <w:tbl>
      <w:tblPr>
        <w:tblStyle w:val="33"/>
        <w:tblW w:w="0" w:type="auto"/>
        <w:tblInd w:w="2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1166"/>
        <w:gridCol w:w="2950"/>
        <w:gridCol w:w="2440"/>
        <w:gridCol w:w="2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top"/>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b/>
                <w:bCs/>
                <w:color w:val="auto"/>
                <w:kern w:val="0"/>
                <w:sz w:val="21"/>
                <w:szCs w:val="21"/>
                <w:highlight w:val="none"/>
                <w:vertAlign w:val="baseline"/>
                <w:lang w:val="en-US" w:eastAsia="zh-CN" w:bidi="zh-CN"/>
              </w:rPr>
              <w:t>序号</w:t>
            </w:r>
          </w:p>
        </w:tc>
        <w:tc>
          <w:tcPr>
            <w:tcW w:w="1166" w:type="dxa"/>
            <w:noWrap w:val="0"/>
            <w:vAlign w:val="top"/>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b/>
                <w:bCs/>
                <w:color w:val="auto"/>
                <w:kern w:val="0"/>
                <w:sz w:val="21"/>
                <w:szCs w:val="21"/>
                <w:highlight w:val="none"/>
                <w:vertAlign w:val="baseline"/>
                <w:lang w:val="en-US" w:eastAsia="zh-CN" w:bidi="zh-CN"/>
              </w:rPr>
              <w:t>风险单元</w:t>
            </w:r>
          </w:p>
        </w:tc>
        <w:tc>
          <w:tcPr>
            <w:tcW w:w="2950" w:type="dxa"/>
            <w:noWrap w:val="0"/>
            <w:vAlign w:val="top"/>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b/>
                <w:bCs/>
                <w:color w:val="auto"/>
                <w:kern w:val="0"/>
                <w:sz w:val="21"/>
                <w:szCs w:val="21"/>
                <w:highlight w:val="none"/>
                <w:vertAlign w:val="baseline"/>
                <w:lang w:val="en-US" w:eastAsia="zh-CN" w:bidi="zh-CN"/>
              </w:rPr>
              <w:t>潜在风险因素</w:t>
            </w:r>
          </w:p>
        </w:tc>
        <w:tc>
          <w:tcPr>
            <w:tcW w:w="2440" w:type="dxa"/>
            <w:noWrap w:val="0"/>
            <w:vAlign w:val="top"/>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b/>
                <w:bCs/>
                <w:color w:val="auto"/>
                <w:kern w:val="0"/>
                <w:sz w:val="21"/>
                <w:szCs w:val="21"/>
                <w:highlight w:val="none"/>
                <w:vertAlign w:val="baseline"/>
                <w:lang w:val="en-US" w:eastAsia="zh-CN" w:bidi="zh-CN"/>
              </w:rPr>
              <w:t>风险类型</w:t>
            </w:r>
          </w:p>
        </w:tc>
        <w:tc>
          <w:tcPr>
            <w:tcW w:w="2155" w:type="dxa"/>
            <w:noWrap w:val="0"/>
            <w:vAlign w:val="top"/>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b/>
                <w:bCs/>
                <w:color w:val="auto"/>
                <w:kern w:val="0"/>
                <w:sz w:val="21"/>
                <w:szCs w:val="21"/>
                <w:highlight w:val="none"/>
                <w:vertAlign w:val="baseline"/>
                <w:lang w:val="en-US" w:eastAsia="zh-CN" w:bidi="zh-CN"/>
              </w:rPr>
              <w:t>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1</w:t>
            </w:r>
          </w:p>
        </w:tc>
        <w:tc>
          <w:tcPr>
            <w:tcW w:w="1166"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生产车间</w:t>
            </w:r>
          </w:p>
        </w:tc>
        <w:tc>
          <w:tcPr>
            <w:tcW w:w="295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rPr>
              <w:t>设备、输送管道和</w:t>
            </w:r>
            <w:r>
              <w:rPr>
                <w:rFonts w:hint="default" w:ascii="Times New Roman" w:hAnsi="Times New Roman" w:eastAsia="宋体" w:cs="Times New Roman"/>
                <w:color w:val="auto"/>
                <w:kern w:val="0"/>
                <w:sz w:val="21"/>
                <w:szCs w:val="21"/>
                <w:highlight w:val="none"/>
              </w:rPr>
              <w:t>容器</w:t>
            </w:r>
            <w:r>
              <w:rPr>
                <w:rFonts w:hint="default" w:ascii="Times New Roman" w:hAnsi="Times New Roman" w:eastAsia="宋体" w:cs="Times New Roman"/>
                <w:color w:val="auto"/>
                <w:sz w:val="21"/>
                <w:szCs w:val="21"/>
                <w:highlight w:val="none"/>
              </w:rPr>
              <w:t>等设施破损</w:t>
            </w:r>
          </w:p>
        </w:tc>
        <w:tc>
          <w:tcPr>
            <w:tcW w:w="244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泄漏、火灾、爆炸引发的伴生</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次生污染物排放</w:t>
            </w:r>
          </w:p>
        </w:tc>
        <w:tc>
          <w:tcPr>
            <w:tcW w:w="2155"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lang w:val="en-US" w:eastAsia="zh-CN"/>
              </w:rPr>
              <w:t>定期检查，及时修复破损的裂口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2</w:t>
            </w:r>
          </w:p>
        </w:tc>
        <w:tc>
          <w:tcPr>
            <w:tcW w:w="1166"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原料仓库</w:t>
            </w:r>
          </w:p>
        </w:tc>
        <w:tc>
          <w:tcPr>
            <w:tcW w:w="295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kern w:val="0"/>
                <w:sz w:val="21"/>
                <w:szCs w:val="21"/>
                <w:highlight w:val="none"/>
              </w:rPr>
              <w:t>储桶等容器破裂</w:t>
            </w:r>
          </w:p>
        </w:tc>
        <w:tc>
          <w:tcPr>
            <w:tcW w:w="244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泄漏、火灾、爆炸引发的伴生</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次生污染物排放</w:t>
            </w:r>
          </w:p>
        </w:tc>
        <w:tc>
          <w:tcPr>
            <w:tcW w:w="2155"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lang w:val="en-US" w:eastAsia="zh-CN"/>
              </w:rPr>
              <w:t>定期检查，及时修复破损的裂口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3</w:t>
            </w:r>
          </w:p>
        </w:tc>
        <w:tc>
          <w:tcPr>
            <w:tcW w:w="1166"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cs="Times New Roman"/>
                <w:b w:val="0"/>
                <w:bCs w:val="0"/>
                <w:color w:val="auto"/>
                <w:kern w:val="0"/>
                <w:sz w:val="21"/>
                <w:szCs w:val="21"/>
                <w:highlight w:val="none"/>
                <w:vertAlign w:val="baseline"/>
                <w:lang w:val="en-US" w:eastAsia="zh-CN" w:bidi="zh-CN"/>
              </w:rPr>
              <w:t>预搅拌</w:t>
            </w:r>
            <w:r>
              <w:rPr>
                <w:rFonts w:hint="default" w:ascii="Times New Roman" w:hAnsi="Times New Roman" w:eastAsia="宋体" w:cs="Times New Roman"/>
                <w:b w:val="0"/>
                <w:bCs w:val="0"/>
                <w:color w:val="auto"/>
                <w:kern w:val="0"/>
                <w:sz w:val="21"/>
                <w:szCs w:val="21"/>
                <w:highlight w:val="none"/>
                <w:vertAlign w:val="baseline"/>
                <w:lang w:val="en-US" w:eastAsia="zh-CN" w:bidi="zh-CN"/>
              </w:rPr>
              <w:t>罐区</w:t>
            </w:r>
          </w:p>
        </w:tc>
        <w:tc>
          <w:tcPr>
            <w:tcW w:w="295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cs="Times New Roman"/>
                <w:color w:val="auto"/>
                <w:sz w:val="21"/>
                <w:szCs w:val="21"/>
                <w:highlight w:val="none"/>
                <w:lang w:val="en-US" w:eastAsia="zh-CN"/>
              </w:rPr>
              <w:t>罐体</w:t>
            </w:r>
            <w:r>
              <w:rPr>
                <w:rFonts w:hint="default" w:ascii="Times New Roman" w:hAnsi="Times New Roman" w:eastAsia="宋体" w:cs="Times New Roman"/>
                <w:color w:val="auto"/>
                <w:sz w:val="21"/>
                <w:szCs w:val="21"/>
                <w:highlight w:val="none"/>
              </w:rPr>
              <w:t>、输送管道破损</w:t>
            </w:r>
          </w:p>
        </w:tc>
        <w:tc>
          <w:tcPr>
            <w:tcW w:w="244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泄漏、火灾、爆炸引发的伴生</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次生污染物排放</w:t>
            </w:r>
          </w:p>
        </w:tc>
        <w:tc>
          <w:tcPr>
            <w:tcW w:w="2155"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lang w:val="en-US" w:eastAsia="zh-CN"/>
              </w:rPr>
              <w:t>定期检查，及时修复破损的裂口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4</w:t>
            </w:r>
          </w:p>
        </w:tc>
        <w:tc>
          <w:tcPr>
            <w:tcW w:w="1166"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危废</w:t>
            </w:r>
          </w:p>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暂存间</w:t>
            </w:r>
          </w:p>
        </w:tc>
        <w:tc>
          <w:tcPr>
            <w:tcW w:w="295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kern w:val="0"/>
                <w:sz w:val="21"/>
                <w:szCs w:val="21"/>
                <w:highlight w:val="none"/>
              </w:rPr>
              <w:t>储桶等容器破裂</w:t>
            </w:r>
          </w:p>
        </w:tc>
        <w:tc>
          <w:tcPr>
            <w:tcW w:w="244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泄漏、火灾、爆炸引发的伴生/次生污染物排放</w:t>
            </w:r>
          </w:p>
        </w:tc>
        <w:tc>
          <w:tcPr>
            <w:tcW w:w="2155"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lang w:val="en-US" w:eastAsia="zh-CN"/>
              </w:rPr>
              <w:t>定期检查，及时修复破损的裂口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cs="Times New Roman"/>
                <w:b w:val="0"/>
                <w:bCs w:val="0"/>
                <w:color w:val="auto"/>
                <w:kern w:val="0"/>
                <w:sz w:val="21"/>
                <w:szCs w:val="21"/>
                <w:highlight w:val="none"/>
                <w:vertAlign w:val="baseline"/>
                <w:lang w:val="en-US" w:eastAsia="zh-CN" w:bidi="zh-CN"/>
              </w:rPr>
              <w:t>5</w:t>
            </w:r>
          </w:p>
        </w:tc>
        <w:tc>
          <w:tcPr>
            <w:tcW w:w="1166"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废气处理设施</w:t>
            </w:r>
          </w:p>
        </w:tc>
        <w:tc>
          <w:tcPr>
            <w:tcW w:w="295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kern w:val="0"/>
                <w:sz w:val="21"/>
                <w:szCs w:val="21"/>
                <w:highlight w:val="none"/>
                <w:lang w:val="en-US" w:eastAsia="zh-CN"/>
              </w:rPr>
              <w:t>设备故障操作失误、停电、极端天气等原因导致废气处理系统异常</w:t>
            </w:r>
          </w:p>
        </w:tc>
        <w:tc>
          <w:tcPr>
            <w:tcW w:w="244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事故排放</w:t>
            </w:r>
          </w:p>
        </w:tc>
        <w:tc>
          <w:tcPr>
            <w:tcW w:w="2155"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lang w:val="en-US" w:eastAsia="zh-CN"/>
              </w:rPr>
              <w:t>企业加强日常管理，定期检查，及时维修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cs="Times New Roman"/>
                <w:b w:val="0"/>
                <w:bCs w:val="0"/>
                <w:color w:val="auto"/>
                <w:kern w:val="0"/>
                <w:sz w:val="21"/>
                <w:szCs w:val="21"/>
                <w:highlight w:val="none"/>
                <w:vertAlign w:val="baseline"/>
                <w:lang w:val="en-US" w:eastAsia="zh-CN" w:bidi="zh-CN"/>
              </w:rPr>
              <w:t>6</w:t>
            </w:r>
          </w:p>
        </w:tc>
        <w:tc>
          <w:tcPr>
            <w:tcW w:w="1166"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事故</w:t>
            </w:r>
          </w:p>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zh-CN"/>
              </w:rPr>
            </w:pPr>
            <w:r>
              <w:rPr>
                <w:rFonts w:hint="default" w:ascii="Times New Roman" w:hAnsi="Times New Roman" w:eastAsia="宋体" w:cs="Times New Roman"/>
                <w:b w:val="0"/>
                <w:bCs w:val="0"/>
                <w:color w:val="auto"/>
                <w:kern w:val="0"/>
                <w:sz w:val="21"/>
                <w:szCs w:val="21"/>
                <w:highlight w:val="none"/>
                <w:vertAlign w:val="baseline"/>
                <w:lang w:val="en-US" w:eastAsia="zh-CN" w:bidi="zh-CN"/>
              </w:rPr>
              <w:t>应急池</w:t>
            </w:r>
          </w:p>
        </w:tc>
        <w:tc>
          <w:tcPr>
            <w:tcW w:w="295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kern w:val="0"/>
                <w:sz w:val="21"/>
                <w:szCs w:val="21"/>
                <w:highlight w:val="none"/>
                <w:lang w:val="en-US" w:eastAsia="zh-CN"/>
              </w:rPr>
              <w:t>阀门、管道损坏导致泄漏</w:t>
            </w:r>
          </w:p>
        </w:tc>
        <w:tc>
          <w:tcPr>
            <w:tcW w:w="2440"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事故排放</w:t>
            </w:r>
          </w:p>
        </w:tc>
        <w:tc>
          <w:tcPr>
            <w:tcW w:w="2155" w:type="dxa"/>
            <w:noWrap w:val="0"/>
            <w:vAlign w:val="center"/>
          </w:tcPr>
          <w:p>
            <w:pPr>
              <w:pStyle w:val="62"/>
              <w:keepNext w:val="0"/>
              <w:keepLines w:val="0"/>
              <w:pageBreakBefore w:val="0"/>
              <w:widowControl w:val="0"/>
              <w:numPr>
                <w:ilvl w:val="0"/>
                <w:numId w:val="0"/>
              </w:numPr>
              <w:tabs>
                <w:tab w:val="left" w:pos="771"/>
              </w:tabs>
              <w:kinsoku/>
              <w:wordWrap/>
              <w:overflowPunct/>
              <w:topLinePunct w:val="0"/>
              <w:autoSpaceDE w:val="0"/>
              <w:autoSpaceDN w:val="0"/>
              <w:bidi w:val="0"/>
              <w:adjustRightInd w:val="0"/>
              <w:snapToGrid w:val="0"/>
              <w:spacing w:before="0" w:after="0" w:line="240" w:lineRule="auto"/>
              <w:ind w:right="0" w:right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lang w:val="en-US" w:eastAsia="zh-CN"/>
              </w:rPr>
              <w:t>企业加强日常管理，定期检查，及时维修</w:t>
            </w:r>
          </w:p>
        </w:tc>
      </w:tr>
    </w:tbl>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2" w:firstLineChars="200"/>
        <w:jc w:val="left"/>
        <w:textAlignment w:val="auto"/>
        <w:outlineLvl w:val="9"/>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二、预警</w:t>
      </w:r>
    </w:p>
    <w:p>
      <w:pPr>
        <w:adjustRightIn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按照突发事件严重性和紧急程度，突发环境事件分为两级，预警分别由低到高，依次为企业Ⅰ级（较大环境事件）和企业Ⅱ级（一般环境事件），分别用红色和橙色表示。根据失态的发展情况，预警可以升级、降级和解除。</w:t>
      </w:r>
    </w:p>
    <w:p>
      <w:pPr>
        <w:adjustRightIn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收集到的有关信息证明突发环境事件即将发生或者发生的可能性增大时，按照相关应急预案执行。</w:t>
      </w:r>
    </w:p>
    <w:p>
      <w:pPr>
        <w:adjustRightIn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政府根据预测分析结果，对可能发生和可以预警的环境污染事故发布预警信息，预警信息包括环境污染事故可能影响的范围、警示事项、应采取的措施等。</w:t>
      </w:r>
    </w:p>
    <w:p>
      <w:pPr>
        <w:adjustRightInd w:val="0"/>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预警信息的发布、调整和解除由应急指挥领导小组通过广播、通信、信息网络等方式通知各应急处置组。</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预警发布后应对程序</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进入预警状态后，应急机构应当采取以下措施：</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（1）立即启动相关应急预案。</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（2）发布预警公告。橙色预警由博罗县人民政府负责发布，红色预警报请惠州市人民政府发布。</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（3）转移、撤离或者疏散可能受到危害的人员，并进行妥善安置。</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（4）指令各环境应急救援队伍进入应急状态，环境监测部门立即开展应急监测，随时掌握并报告事态进展情况。</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（5）针对突发事件可能造成的危害，封闭、隔离或者限制使用有关场所，中止可能导致危害扩大的行为和活动。</w:t>
      </w:r>
    </w:p>
    <w:p>
      <w:pPr>
        <w:pStyle w:val="62"/>
        <w:keepNext w:val="0"/>
        <w:keepLines w:val="0"/>
        <w:pageBreakBefore w:val="0"/>
        <w:widowControl/>
        <w:numPr>
          <w:ilvl w:val="0"/>
          <w:numId w:val="0"/>
        </w:numPr>
        <w:tabs>
          <w:tab w:val="left" w:pos="771"/>
        </w:tabs>
        <w:kinsoku/>
        <w:wordWrap/>
        <w:overflowPunct/>
        <w:topLinePunct w:val="0"/>
        <w:autoSpaceDE/>
        <w:autoSpaceDN/>
        <w:bidi w:val="0"/>
        <w:adjustRightInd/>
        <w:snapToGrid/>
        <w:spacing w:before="41" w:after="0" w:line="360" w:lineRule="auto"/>
        <w:ind w:right="0" w:rightChars="0" w:firstLine="480" w:firstLineChars="200"/>
        <w:jc w:val="left"/>
        <w:textAlignment w:val="auto"/>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（6）调集环境应急所需物资和设备，确保应急保障工作。</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预警结束：</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环保局和政府根据事态的发展情况，确认无继续引发环境污染的可能性时解除预警状态。应急领导小组接到地方政府下达的预警解除信息，将预警解除信息通过广播、通信、信息网络等方式通知各应急处置组。</w:t>
      </w:r>
    </w:p>
    <w:p>
      <w:pPr>
        <w:pStyle w:val="62"/>
        <w:numPr>
          <w:ilvl w:val="2"/>
          <w:numId w:val="42"/>
        </w:numPr>
        <w:tabs>
          <w:tab w:val="left" w:pos="771"/>
        </w:tabs>
        <w:spacing w:before="41" w:after="0" w:line="360" w:lineRule="auto"/>
        <w:ind w:left="709" w:leftChars="0" w:right="0" w:rightChars="0" w:hanging="709" w:firstLineChars="0"/>
        <w:jc w:val="left"/>
        <w:outlineLvl w:val="2"/>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bCs/>
          <w:color w:val="auto"/>
          <w:kern w:val="0"/>
          <w:sz w:val="24"/>
          <w:szCs w:val="24"/>
          <w:highlight w:val="none"/>
          <w:lang w:val="en-US" w:eastAsia="zh-CN" w:bidi="zh-CN"/>
        </w:rPr>
        <w:t>应急救援保障</w:t>
      </w:r>
    </w:p>
    <w:p>
      <w:pPr>
        <w:spacing w:line="360" w:lineRule="auto"/>
        <w:ind w:firstLine="482" w:firstLineChars="200"/>
        <w:jc w:val="left"/>
        <w:rPr>
          <w:rFonts w:hint="default" w:ascii="Times New Roman" w:hAnsi="Times New Roman" w:eastAsia="宋体" w:cs="Times New Roman"/>
          <w:b/>
          <w:bCs/>
          <w:color w:val="auto"/>
          <w:sz w:val="24"/>
          <w:highlight w:val="none"/>
          <w:lang w:eastAsia="zh-CN"/>
        </w:rPr>
      </w:pPr>
      <w:r>
        <w:rPr>
          <w:rFonts w:hint="default" w:ascii="Times New Roman" w:hAnsi="Times New Roman" w:eastAsia="宋体" w:cs="Times New Roman"/>
          <w:b/>
          <w:bCs/>
          <w:color w:val="auto"/>
          <w:sz w:val="24"/>
          <w:highlight w:val="none"/>
        </w:rPr>
        <w:t>内部保障</w:t>
      </w:r>
      <w:r>
        <w:rPr>
          <w:rFonts w:hint="default" w:ascii="Times New Roman" w:hAnsi="Times New Roman" w:eastAsia="宋体" w:cs="Times New Roman"/>
          <w:b/>
          <w:bCs/>
          <w:color w:val="auto"/>
          <w:sz w:val="24"/>
          <w:highlight w:val="none"/>
          <w:lang w:eastAsia="zh-CN"/>
        </w:rPr>
        <w:t>：</w:t>
      </w:r>
    </w:p>
    <w:p>
      <w:pPr>
        <w:spacing w:line="360" w:lineRule="auto"/>
        <w:ind w:firstLine="480" w:firstLineChars="200"/>
        <w:jc w:val="left"/>
        <w:rPr>
          <w:rFonts w:hint="default" w:ascii="Times New Roman" w:hAnsi="Times New Roman" w:eastAsia="宋体" w:cs="Times New Roman"/>
          <w:bCs/>
          <w:color w:val="auto"/>
          <w:sz w:val="24"/>
          <w:highlight w:val="none"/>
        </w:rPr>
      </w:pPr>
      <w:r>
        <w:rPr>
          <w:rFonts w:hint="default" w:ascii="Times New Roman" w:hAnsi="Times New Roman" w:eastAsia="宋体" w:cs="Times New Roman"/>
          <w:bCs/>
          <w:color w:val="auto"/>
          <w:sz w:val="24"/>
          <w:highlight w:val="none"/>
        </w:rPr>
        <w:t>1、厂区内的应急设施</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整个厂区的公用工程、行政管理及生产设施人员全部由公司统一配置。</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（1）救援队伍：公司各职能部门和全体员工都负有事故应急救援责任，公司事故应急救援领导小组及义务消防人员是公司事故应急救援的骨干力量，其任务是担负公司各危险化学品事故救援及处置。</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（2）消防设施：根据化工企业及设计规范要求，厂区内设置独立的消防给水和消防基础设施。</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应急通信：整个厂区的电信电缆线路包括扩音对讲电话线路、火灾自动报警系统线路，各系统的电缆均各自独立，自成系统。整个厂区的报警系统采用消防报警系统、可燃气体报警仪、手动报警和电话报警系统相结合方式。</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（4）道路交通：厂区道路交通方便，项目西侧为将军路，北侧为沙湾路。</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（5）照明：整个厂区的照明依照《工业企业照明设计标准》设计。在防爆区内选用隔爆型照明灯，正常环境采用普通灯。</w:t>
      </w:r>
    </w:p>
    <w:p>
      <w:pPr>
        <w:spacing w:line="360" w:lineRule="auto"/>
        <w:ind w:firstLine="480" w:firstLineChars="200"/>
        <w:jc w:val="left"/>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color w:val="auto"/>
          <w:sz w:val="24"/>
          <w:highlight w:val="none"/>
        </w:rPr>
        <w:t>（6）救援设备、物质及药品：厂内必须配备一定的应急设备和防护用品，以便在发生安全事故时，能快速、正确的投入到应急救援行动中，以及在应急行动结束后，做好现场洗消及对人员和设备的清理净化。</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（7）保障制度：整个厂区建立应急救援设备、物资维护和检修制度，由专人负责设备或物质的维护、定期检查与更新。</w:t>
      </w:r>
    </w:p>
    <w:p>
      <w:pPr>
        <w:spacing w:line="360" w:lineRule="auto"/>
        <w:ind w:firstLine="482" w:firstLineChars="200"/>
        <w:jc w:val="left"/>
        <w:rPr>
          <w:rFonts w:hint="default" w:ascii="Times New Roman" w:hAnsi="Times New Roman" w:eastAsia="宋体" w:cs="Times New Roman"/>
          <w:b/>
          <w:bCs/>
          <w:color w:val="auto"/>
          <w:sz w:val="24"/>
          <w:highlight w:val="none"/>
        </w:rPr>
      </w:pPr>
      <w:bookmarkStart w:id="169" w:name="_Toc5650"/>
      <w:r>
        <w:rPr>
          <w:rFonts w:hint="default" w:ascii="Times New Roman" w:hAnsi="Times New Roman" w:eastAsia="宋体" w:cs="Times New Roman"/>
          <w:b/>
          <w:bCs/>
          <w:color w:val="auto"/>
          <w:sz w:val="24"/>
          <w:highlight w:val="none"/>
        </w:rPr>
        <w:t>外部保障</w:t>
      </w:r>
      <w:bookmarkEnd w:id="169"/>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（1）单位互助体系：建设单位和周边企业应建立良好的应急互助关系，在重大事故发生后，能够相互支援。</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（2）公共援助力量：厂区还可以联系博罗县石湾镇消防队、市区公共消防队、医院、公安、交通、安监局以及各相关职能部门，请求救援力量、设备的支持。</w:t>
      </w:r>
    </w:p>
    <w:p>
      <w:pPr>
        <w:spacing w:line="360" w:lineRule="auto"/>
        <w:ind w:firstLine="482" w:firstLineChars="200"/>
        <w:jc w:val="left"/>
        <w:rPr>
          <w:rFonts w:hint="default" w:ascii="Times New Roman" w:hAnsi="Times New Roman" w:eastAsia="宋体" w:cs="Times New Roman"/>
          <w:b/>
          <w:bCs/>
          <w:color w:val="auto"/>
          <w:sz w:val="24"/>
          <w:highlight w:val="none"/>
        </w:rPr>
      </w:pPr>
      <w:bookmarkStart w:id="170" w:name="_Toc20310"/>
      <w:r>
        <w:rPr>
          <w:rFonts w:hint="default" w:ascii="Times New Roman" w:hAnsi="Times New Roman" w:eastAsia="宋体" w:cs="Times New Roman"/>
          <w:b/>
          <w:bCs/>
          <w:color w:val="auto"/>
          <w:sz w:val="24"/>
          <w:highlight w:val="none"/>
        </w:rPr>
        <w:t xml:space="preserve"> 应急救援信息咨询</w:t>
      </w:r>
      <w:bookmarkEnd w:id="170"/>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紧急事件可利用资源联系方式</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1.消防部门 联系电话：119</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2.市急救中心 联系电话：120</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3.公安部门 联系电话：110</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4.气象电话 联系电话：121</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5.惠州市应急管理局 联系电话：</w:t>
      </w:r>
      <w:r>
        <w:rPr>
          <w:rFonts w:hint="default" w:ascii="Times New Roman" w:hAnsi="Times New Roman" w:eastAsia="宋体" w:cs="Times New Roman"/>
          <w:color w:val="auto"/>
          <w:kern w:val="0"/>
          <w:sz w:val="24"/>
          <w:highlight w:val="none"/>
        </w:rPr>
        <w:t>0752-2888000</w:t>
      </w:r>
    </w:p>
    <w:p>
      <w:pPr>
        <w:spacing w:line="360" w:lineRule="auto"/>
        <w:ind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6.博罗县应急管理局 联系电话：</w:t>
      </w:r>
      <w:r>
        <w:rPr>
          <w:rFonts w:hint="default" w:ascii="Times New Roman" w:hAnsi="Times New Roman" w:eastAsia="宋体" w:cs="Times New Roman"/>
          <w:color w:val="auto"/>
          <w:kern w:val="0"/>
          <w:sz w:val="24"/>
          <w:highlight w:val="none"/>
        </w:rPr>
        <w:t>0752-6635600</w:t>
      </w:r>
    </w:p>
    <w:p>
      <w:pPr>
        <w:spacing w:line="360" w:lineRule="auto"/>
        <w:ind w:firstLine="480" w:firstLineChars="200"/>
        <w:jc w:val="left"/>
        <w:rPr>
          <w:rFonts w:hint="default" w:ascii="Times New Roman" w:hAnsi="Times New Roman" w:eastAsia="宋体" w:cs="Times New Roman"/>
          <w:color w:val="auto"/>
          <w:sz w:val="24"/>
          <w:highlight w:val="none"/>
        </w:rPr>
      </w:pPr>
      <w:bookmarkStart w:id="171" w:name="_Toc11121_WPSOffice_Level1"/>
      <w:bookmarkStart w:id="172" w:name="_Toc32720_WPSOffice_Level1"/>
      <w:bookmarkStart w:id="173" w:name="_Toc15157_WPSOffice_Level1"/>
      <w:r>
        <w:rPr>
          <w:rFonts w:hint="default" w:ascii="Times New Roman" w:hAnsi="Times New Roman" w:eastAsia="宋体" w:cs="Times New Roman"/>
          <w:color w:val="auto"/>
          <w:kern w:val="0"/>
          <w:sz w:val="24"/>
          <w:highlight w:val="none"/>
        </w:rPr>
        <w:t>7.惠州市生态环境局</w:t>
      </w:r>
      <w:r>
        <w:rPr>
          <w:rFonts w:hint="default" w:ascii="Times New Roman" w:hAnsi="Times New Roman" w:eastAsia="宋体" w:cs="Times New Roman"/>
          <w:color w:val="auto"/>
          <w:sz w:val="24"/>
          <w:highlight w:val="none"/>
        </w:rPr>
        <w:t xml:space="preserve"> 联系电话</w:t>
      </w:r>
      <w:bookmarkEnd w:id="171"/>
      <w:bookmarkEnd w:id="172"/>
      <w:bookmarkEnd w:id="173"/>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0"/>
          <w:sz w:val="24"/>
          <w:highlight w:val="none"/>
        </w:rPr>
        <w:t>12369/0752-2167989</w:t>
      </w:r>
    </w:p>
    <w:p>
      <w:pPr>
        <w:spacing w:line="360" w:lineRule="auto"/>
        <w:ind w:firstLine="480" w:firstLineChars="200"/>
        <w:jc w:val="left"/>
        <w:rPr>
          <w:rFonts w:hint="default" w:ascii="Times New Roman" w:hAnsi="Times New Roman" w:eastAsia="宋体" w:cs="Times New Roman"/>
          <w:color w:val="auto"/>
          <w:sz w:val="24"/>
          <w:highlight w:val="none"/>
        </w:rPr>
      </w:pPr>
      <w:bookmarkStart w:id="174" w:name="_Toc18075_WPSOffice_Level1"/>
      <w:bookmarkStart w:id="175" w:name="_Toc4123_WPSOffice_Level1"/>
      <w:bookmarkStart w:id="176" w:name="_Toc10067_WPSOffice_Level1"/>
      <w:r>
        <w:rPr>
          <w:rFonts w:hint="default" w:ascii="Times New Roman" w:hAnsi="Times New Roman" w:eastAsia="宋体" w:cs="Times New Roman"/>
          <w:color w:val="auto"/>
          <w:kern w:val="0"/>
          <w:sz w:val="24"/>
          <w:highlight w:val="none"/>
        </w:rPr>
        <w:t>8.惠州市生态环境局博罗分局</w:t>
      </w:r>
      <w:r>
        <w:rPr>
          <w:rFonts w:hint="default" w:ascii="Times New Roman" w:hAnsi="Times New Roman" w:eastAsia="宋体" w:cs="Times New Roman"/>
          <w:color w:val="auto"/>
          <w:sz w:val="24"/>
          <w:highlight w:val="none"/>
        </w:rPr>
        <w:t xml:space="preserve"> 联系电话</w:t>
      </w:r>
      <w:bookmarkEnd w:id="174"/>
      <w:bookmarkEnd w:id="175"/>
      <w:bookmarkEnd w:id="176"/>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kern w:val="0"/>
          <w:sz w:val="24"/>
          <w:highlight w:val="none"/>
        </w:rPr>
        <w:t>0752-6291037/12369</w:t>
      </w:r>
    </w:p>
    <w:p>
      <w:pPr>
        <w:spacing w:line="360" w:lineRule="auto"/>
        <w:ind w:firstLine="480" w:firstLineChars="200"/>
        <w:jc w:val="left"/>
        <w:rPr>
          <w:rFonts w:hint="default" w:ascii="Times New Roman" w:hAnsi="Times New Roman" w:eastAsia="宋体" w:cs="Times New Roman"/>
          <w:color w:val="auto"/>
          <w:sz w:val="24"/>
          <w:highlight w:val="none"/>
        </w:rPr>
      </w:pPr>
      <w:bookmarkStart w:id="177" w:name="_Toc31152_WPSOffice_Level1"/>
      <w:bookmarkStart w:id="178" w:name="_Toc25741_WPSOffice_Level1"/>
      <w:bookmarkStart w:id="179" w:name="_Toc20741_WPSOffice_Level1"/>
      <w:r>
        <w:rPr>
          <w:rFonts w:hint="default" w:ascii="Times New Roman" w:hAnsi="Times New Roman" w:eastAsia="宋体" w:cs="Times New Roman"/>
          <w:color w:val="auto"/>
          <w:sz w:val="24"/>
          <w:highlight w:val="none"/>
        </w:rPr>
        <w:t>9.石湾镇政府 联系电话：</w:t>
      </w:r>
      <w:bookmarkEnd w:id="177"/>
      <w:bookmarkEnd w:id="178"/>
      <w:bookmarkEnd w:id="179"/>
      <w:r>
        <w:rPr>
          <w:rFonts w:hint="default" w:ascii="Times New Roman" w:hAnsi="Times New Roman" w:eastAsia="宋体" w:cs="Times New Roman"/>
          <w:color w:val="auto"/>
          <w:sz w:val="24"/>
          <w:highlight w:val="none"/>
        </w:rPr>
        <w:t>0752-6610026</w:t>
      </w:r>
    </w:p>
    <w:p>
      <w:pPr>
        <w:spacing w:line="360" w:lineRule="auto"/>
        <w:ind w:firstLine="480" w:firstLineChars="200"/>
        <w:jc w:val="left"/>
        <w:rPr>
          <w:rFonts w:hint="default" w:ascii="Times New Roman" w:hAnsi="Times New Roman" w:eastAsia="宋体" w:cs="Times New Roman"/>
          <w:color w:val="auto"/>
          <w:sz w:val="24"/>
          <w:highlight w:val="none"/>
        </w:rPr>
      </w:pPr>
      <w:bookmarkStart w:id="180" w:name="_Toc5523_WPSOffice_Level1"/>
      <w:bookmarkStart w:id="181" w:name="_Toc26814_WPSOffice_Level1"/>
      <w:bookmarkStart w:id="182" w:name="_Toc12736_WPSOffice_Level1"/>
      <w:r>
        <w:rPr>
          <w:rFonts w:hint="default" w:ascii="Times New Roman" w:hAnsi="Times New Roman" w:eastAsia="宋体" w:cs="Times New Roman"/>
          <w:color w:val="auto"/>
          <w:kern w:val="0"/>
          <w:sz w:val="24"/>
          <w:highlight w:val="none"/>
        </w:rPr>
        <w:t>10.博罗县公安消防大队</w:t>
      </w:r>
      <w:r>
        <w:rPr>
          <w:rFonts w:hint="default" w:ascii="Times New Roman" w:hAnsi="Times New Roman" w:eastAsia="宋体" w:cs="Times New Roman"/>
          <w:color w:val="auto"/>
          <w:sz w:val="24"/>
          <w:highlight w:val="none"/>
        </w:rPr>
        <w:t xml:space="preserve">  联系电话：</w:t>
      </w:r>
      <w:bookmarkEnd w:id="180"/>
      <w:bookmarkEnd w:id="181"/>
      <w:bookmarkEnd w:id="182"/>
      <w:r>
        <w:rPr>
          <w:rFonts w:hint="default" w:ascii="Times New Roman" w:hAnsi="Times New Roman" w:eastAsia="宋体" w:cs="Times New Roman"/>
          <w:color w:val="auto"/>
          <w:kern w:val="0"/>
          <w:sz w:val="24"/>
          <w:highlight w:val="none"/>
        </w:rPr>
        <w:t>0752-6622413</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11.博罗县公安局  联系电话：0752-6628080/110</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12.博罗县交警大队 联系电话：0752-6224786</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13.博罗县环境监测站 联系电话：0752-6290650</w:t>
      </w:r>
    </w:p>
    <w:p>
      <w:pPr>
        <w:pStyle w:val="62"/>
        <w:numPr>
          <w:ilvl w:val="2"/>
          <w:numId w:val="42"/>
        </w:numPr>
        <w:tabs>
          <w:tab w:val="left" w:pos="771"/>
        </w:tabs>
        <w:spacing w:before="41" w:after="0" w:line="360" w:lineRule="auto"/>
        <w:ind w:left="709" w:leftChars="0" w:right="0" w:rightChars="0" w:hanging="709" w:firstLineChars="0"/>
        <w:jc w:val="left"/>
        <w:outlineLvl w:val="2"/>
        <w:rPr>
          <w:rFonts w:hint="default" w:ascii="Times New Roman" w:hAnsi="Times New Roman" w:eastAsia="宋体" w:cs="Times New Roman"/>
          <w:b/>
          <w:bCs/>
          <w:color w:val="auto"/>
          <w:kern w:val="0"/>
          <w:sz w:val="24"/>
          <w:szCs w:val="24"/>
          <w:highlight w:val="none"/>
          <w:lang w:val="en-US" w:eastAsia="zh-CN" w:bidi="zh-CN"/>
        </w:rPr>
      </w:pPr>
      <w:bookmarkStart w:id="183" w:name="_Toc24139"/>
      <w:bookmarkStart w:id="184" w:name="_Toc19029"/>
      <w:bookmarkStart w:id="185" w:name="_Toc7488"/>
      <w:bookmarkStart w:id="186" w:name="_Toc9120"/>
      <w:r>
        <w:rPr>
          <w:rFonts w:hint="default" w:ascii="Times New Roman" w:hAnsi="Times New Roman" w:eastAsia="宋体" w:cs="Times New Roman"/>
          <w:b/>
          <w:bCs/>
          <w:color w:val="auto"/>
          <w:kern w:val="0"/>
          <w:sz w:val="24"/>
          <w:szCs w:val="24"/>
          <w:highlight w:val="none"/>
          <w:lang w:val="en-US" w:eastAsia="zh-CN" w:bidi="zh-CN"/>
        </w:rPr>
        <w:t>突发事故的信息报送程序</w:t>
      </w:r>
      <w:bookmarkEnd w:id="183"/>
      <w:bookmarkEnd w:id="184"/>
      <w:bookmarkEnd w:id="185"/>
      <w:bookmarkEnd w:id="186"/>
    </w:p>
    <w:p>
      <w:pPr>
        <w:pStyle w:val="62"/>
        <w:numPr>
          <w:ilvl w:val="0"/>
          <w:numId w:val="0"/>
        </w:numPr>
        <w:tabs>
          <w:tab w:val="left" w:pos="771"/>
        </w:tabs>
        <w:spacing w:before="41" w:after="0" w:line="360" w:lineRule="auto"/>
        <w:ind w:right="0" w:rightChars="0" w:firstLine="482" w:firstLineChars="200"/>
        <w:jc w:val="left"/>
        <w:outlineLvl w:val="9"/>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cs="Times New Roman"/>
          <w:b/>
          <w:bCs/>
          <w:color w:val="auto"/>
          <w:kern w:val="0"/>
          <w:sz w:val="24"/>
          <w:szCs w:val="24"/>
          <w:highlight w:val="none"/>
          <w:lang w:val="en-US" w:eastAsia="zh-CN" w:bidi="zh-CN"/>
        </w:rPr>
        <w:t>1、</w:t>
      </w:r>
      <w:r>
        <w:rPr>
          <w:rFonts w:hint="default" w:ascii="Times New Roman" w:hAnsi="Times New Roman" w:eastAsia="宋体" w:cs="Times New Roman"/>
          <w:b/>
          <w:bCs/>
          <w:color w:val="auto"/>
          <w:kern w:val="0"/>
          <w:sz w:val="24"/>
          <w:szCs w:val="24"/>
          <w:highlight w:val="none"/>
          <w:lang w:val="en-US" w:eastAsia="zh-CN" w:bidi="zh-CN"/>
        </w:rPr>
        <w:t>突发事故的报告时限和程序：</w:t>
      </w:r>
    </w:p>
    <w:p>
      <w:pPr>
        <w:pStyle w:val="62"/>
        <w:numPr>
          <w:ilvl w:val="0"/>
          <w:numId w:val="0"/>
        </w:numPr>
        <w:tabs>
          <w:tab w:val="left" w:pos="771"/>
        </w:tabs>
        <w:spacing w:before="41" w:after="0" w:line="360" w:lineRule="auto"/>
        <w:ind w:right="0" w:rightChars="0" w:firstLine="480" w:firstLineChars="200"/>
        <w:jc w:val="left"/>
        <w:outlineLvl w:val="9"/>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在生产过程中，发生危险品泄漏事故，岗位操作人员立即向班长和值班长及公司值班人员汇报并采取相应措施予以处理。当处理无效，危害有扩大趋势时，应立即向公司安全人员报警。当发生Ⅰ级事故，岗位操作人员应立即向公司安全人员报警，公司安全人员接到报警后，下达按应急救援预案处置的指令，立即通知公司应急救援领导小组成员到场成立应急救援指挥部，各专业组按各自职责开展救援工作。当发生重大事故，指挥部成员应向安检、公安、环保、消防、卫生等上级领导机关报告事故情况。</w:t>
      </w:r>
    </w:p>
    <w:p>
      <w:pPr>
        <w:pStyle w:val="62"/>
        <w:numPr>
          <w:ilvl w:val="0"/>
          <w:numId w:val="0"/>
        </w:numPr>
        <w:tabs>
          <w:tab w:val="left" w:pos="771"/>
        </w:tabs>
        <w:spacing w:before="41" w:after="0" w:line="360" w:lineRule="auto"/>
        <w:ind w:right="0" w:rightChars="0" w:firstLine="482"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cs="Times New Roman"/>
          <w:b/>
          <w:bCs/>
          <w:color w:val="auto"/>
          <w:kern w:val="0"/>
          <w:sz w:val="24"/>
          <w:szCs w:val="24"/>
          <w:highlight w:val="none"/>
          <w:lang w:val="en-US" w:eastAsia="zh-CN" w:bidi="zh-CN"/>
        </w:rPr>
        <w:t>2、</w:t>
      </w:r>
      <w:r>
        <w:rPr>
          <w:rFonts w:hint="default" w:ascii="Times New Roman" w:hAnsi="Times New Roman" w:eastAsia="宋体" w:cs="Times New Roman"/>
          <w:b/>
          <w:bCs/>
          <w:color w:val="auto"/>
          <w:kern w:val="0"/>
          <w:sz w:val="24"/>
          <w:szCs w:val="24"/>
          <w:highlight w:val="none"/>
          <w:lang w:val="en-US" w:eastAsia="zh-CN" w:bidi="zh-CN"/>
        </w:rPr>
        <w:t>突发事故的报告方式与内容：</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突发事故的报告分为初报、续报和处理结果报告三类：</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（1）初报从发现事件后起1小时内上报。初报可用电话或直接报告，主要内容包括：环境事件的类型、发生时间、地点、污染源、主要污染物质、人员受害等初步情况。</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（2）续报在查清有关基本情况后随时上报。续报可通过电话、网络或书面报告，在初报的基础上报告有关确切数据，事件发生的原因、过程、进展情况及采取的应急措施等基本情况。</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val="0"/>
          <w:bCs w:val="0"/>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3）处理结果报告在事件处理完毕后立即上报。处理结果报告采用书面报告，处理结果报告在初报和续报的基础上，报告处理事件的措施、过程和结果，事件潜在或间接的危害、社会影响、处理后的遗留问题，参加处理工作的有关部门和工作内容，出具有关危害与损失的证明文件等详细情况。报告应采用适当方式，避免在当地群众中造成不利影响。各部门之间的信息交换按照相关规定程序执行。</w:t>
      </w:r>
    </w:p>
    <w:p>
      <w:pPr>
        <w:pStyle w:val="62"/>
        <w:numPr>
          <w:ilvl w:val="0"/>
          <w:numId w:val="0"/>
        </w:numPr>
        <w:tabs>
          <w:tab w:val="left" w:pos="771"/>
        </w:tabs>
        <w:spacing w:before="41" w:after="0" w:line="360" w:lineRule="auto"/>
        <w:ind w:right="0" w:rightChars="0" w:firstLine="482"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cs="Times New Roman"/>
          <w:b/>
          <w:bCs/>
          <w:color w:val="auto"/>
          <w:kern w:val="0"/>
          <w:sz w:val="24"/>
          <w:szCs w:val="24"/>
          <w:highlight w:val="none"/>
          <w:lang w:val="en-US" w:eastAsia="zh-CN" w:bidi="zh-CN"/>
        </w:rPr>
        <w:t>3、</w:t>
      </w:r>
      <w:r>
        <w:rPr>
          <w:rFonts w:hint="default" w:ascii="Times New Roman" w:hAnsi="Times New Roman" w:eastAsia="宋体" w:cs="Times New Roman"/>
          <w:b/>
          <w:bCs/>
          <w:color w:val="auto"/>
          <w:kern w:val="0"/>
          <w:sz w:val="24"/>
          <w:szCs w:val="24"/>
          <w:highlight w:val="none"/>
          <w:lang w:val="en-US" w:eastAsia="zh-CN" w:bidi="zh-CN"/>
        </w:rPr>
        <w:t>特殊情况的信息处理：</w:t>
      </w:r>
    </w:p>
    <w:p>
      <w:pPr>
        <w:pStyle w:val="62"/>
        <w:numPr>
          <w:ilvl w:val="0"/>
          <w:numId w:val="0"/>
        </w:numPr>
        <w:tabs>
          <w:tab w:val="left" w:pos="771"/>
        </w:tabs>
        <w:spacing w:before="41" w:after="0" w:line="360" w:lineRule="auto"/>
        <w:ind w:right="0" w:rightChars="0" w:firstLine="480"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eastAsia="宋体" w:cs="Times New Roman"/>
          <w:b w:val="0"/>
          <w:bCs w:val="0"/>
          <w:color w:val="auto"/>
          <w:kern w:val="0"/>
          <w:sz w:val="24"/>
          <w:szCs w:val="24"/>
          <w:highlight w:val="none"/>
          <w:lang w:val="en-US" w:eastAsia="zh-CN" w:bidi="zh-CN"/>
        </w:rPr>
        <w:t>如果环境污染事故的影响范围涉及到区域外时，必须立即形成信息报告连同预警信息报博罗县政府。如果污染事故涉及到外事工作，指挥部将迅速通报博罗县政府，按照政府有关规定处理。</w:t>
      </w:r>
    </w:p>
    <w:p>
      <w:pPr>
        <w:pStyle w:val="62"/>
        <w:numPr>
          <w:ilvl w:val="0"/>
          <w:numId w:val="0"/>
        </w:numPr>
        <w:tabs>
          <w:tab w:val="left" w:pos="771"/>
        </w:tabs>
        <w:spacing w:before="41" w:after="0" w:line="360" w:lineRule="auto"/>
        <w:ind w:right="0" w:rightChars="0" w:firstLine="482" w:firstLineChars="200"/>
        <w:jc w:val="left"/>
        <w:rPr>
          <w:rFonts w:hint="default" w:ascii="Times New Roman" w:hAnsi="Times New Roman" w:eastAsia="宋体" w:cs="Times New Roman"/>
          <w:b/>
          <w:bCs/>
          <w:color w:val="auto"/>
          <w:kern w:val="0"/>
          <w:sz w:val="24"/>
          <w:szCs w:val="24"/>
          <w:highlight w:val="none"/>
          <w:lang w:val="en-US" w:eastAsia="zh-CN" w:bidi="zh-CN"/>
        </w:rPr>
      </w:pPr>
      <w:r>
        <w:rPr>
          <w:rFonts w:hint="default" w:ascii="Times New Roman" w:hAnsi="Times New Roman" w:cs="Times New Roman"/>
          <w:b/>
          <w:bCs/>
          <w:color w:val="auto"/>
          <w:kern w:val="0"/>
          <w:sz w:val="24"/>
          <w:szCs w:val="24"/>
          <w:highlight w:val="none"/>
          <w:lang w:val="en-US" w:eastAsia="zh-CN" w:bidi="zh-CN"/>
        </w:rPr>
        <w:t>4、</w:t>
      </w:r>
      <w:r>
        <w:rPr>
          <w:rFonts w:hint="default" w:ascii="Times New Roman" w:hAnsi="Times New Roman" w:eastAsia="宋体" w:cs="Times New Roman"/>
          <w:b/>
          <w:bCs/>
          <w:color w:val="auto"/>
          <w:kern w:val="0"/>
          <w:sz w:val="24"/>
          <w:szCs w:val="24"/>
          <w:highlight w:val="none"/>
          <w:lang w:val="en-US" w:eastAsia="zh-CN" w:bidi="zh-CN"/>
        </w:rPr>
        <w:t>联动区域环境风险应急机制</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积极配合当地政府建设和完善环境风险预警体系、环境风险防控工程、环境应急保障体系，建立本项目与周边企业、村镇、区政府等之间的应急联动机制，做好企业突发环境风险应急预案与区域相关部门的应急预案相衔接，加强区域应急物资调配管理，参与区域环境风险联控机制。本项目环境风险事故发生后，根据事故类别，执行环境风险应急预案，根据风险事故的类型和等级，充分发挥与区域有关部门的分级响应联动机制，应对各类环境风险事故。对于超出本预案规定的适用范围的其他事故，或者事故扩大升级，演变为较大、重大、特别重大事故，超出公司应对能力时，建设单位应立即通知当地政府相关管理部门协同应对，降低环境风险影响。</w:t>
      </w:r>
    </w:p>
    <w:p>
      <w:pPr>
        <w:jc w:val="center"/>
        <w:rPr>
          <w:rFonts w:hint="default" w:ascii="Times New Roman" w:hAnsi="Times New Roman" w:cs="Times New Roman"/>
          <w:color w:val="auto"/>
          <w:highlight w:val="none"/>
        </w:rPr>
        <w:sectPr>
          <w:headerReference r:id="rId17" w:type="default"/>
          <w:footerReference r:id="rId18" w:type="default"/>
          <w:pgSz w:w="11906" w:h="16838"/>
          <w:pgMar w:top="1440" w:right="1080" w:bottom="1440" w:left="1080" w:header="851" w:footer="851" w:gutter="0"/>
          <w:pgNumType w:fmt="decimal"/>
          <w:cols w:space="720" w:num="1"/>
          <w:docGrid w:linePitch="312" w:charSpace="0"/>
        </w:sectPr>
      </w:pPr>
    </w:p>
    <w:p>
      <w:pPr>
        <w:pStyle w:val="116"/>
        <w:bidi w:val="0"/>
        <w:rPr>
          <w:rFonts w:hint="default" w:ascii="Times New Roman" w:hAnsi="Times New Roman" w:cs="Times New Roman"/>
          <w:color w:val="auto"/>
          <w:lang w:eastAsia="zh-CN"/>
        </w:rPr>
      </w:pPr>
      <w:bookmarkStart w:id="187" w:name="_Toc6357"/>
      <w:bookmarkStart w:id="188" w:name="_Toc12599"/>
      <w:bookmarkStart w:id="189" w:name="_Toc25672"/>
      <w:bookmarkStart w:id="190" w:name="_Toc19328"/>
      <w:r>
        <w:rPr>
          <w:rFonts w:hint="default" w:ascii="Times New Roman" w:hAnsi="Times New Roman" w:cs="Times New Roman"/>
          <w:color w:val="auto"/>
          <w:lang w:eastAsia="zh-CN"/>
        </w:rPr>
        <w:t>评价结论与建议</w:t>
      </w:r>
      <w:bookmarkEnd w:id="187"/>
      <w:bookmarkEnd w:id="188"/>
      <w:bookmarkEnd w:id="189"/>
      <w:bookmarkEnd w:id="190"/>
    </w:p>
    <w:p>
      <w:pPr>
        <w:pStyle w:val="62"/>
        <w:numPr>
          <w:ilvl w:val="1"/>
          <w:numId w:val="43"/>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191" w:name="_Toc22470"/>
      <w:bookmarkStart w:id="192" w:name="_Toc15776"/>
      <w:bookmarkStart w:id="193" w:name="_Toc11110"/>
      <w:bookmarkStart w:id="194" w:name="_Toc22124"/>
      <w:r>
        <w:rPr>
          <w:rFonts w:hint="default" w:ascii="Times New Roman" w:hAnsi="Times New Roman" w:eastAsia="宋体" w:cs="Times New Roman"/>
          <w:b/>
          <w:bCs w:val="0"/>
          <w:color w:val="auto"/>
          <w:sz w:val="24"/>
          <w:szCs w:val="24"/>
          <w:highlight w:val="none"/>
          <w:lang w:val="en-US" w:eastAsia="zh-CN"/>
        </w:rPr>
        <w:t>项目危险因素</w:t>
      </w:r>
      <w:bookmarkEnd w:id="191"/>
      <w:bookmarkEnd w:id="192"/>
      <w:bookmarkEnd w:id="193"/>
      <w:bookmarkEnd w:id="194"/>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主要危险物质：</w:t>
      </w:r>
      <w:r>
        <w:rPr>
          <w:rFonts w:hint="default" w:ascii="Times New Roman" w:hAnsi="Times New Roman" w:cs="Times New Roman"/>
          <w:color w:val="auto"/>
          <w:sz w:val="24"/>
          <w:szCs w:val="24"/>
          <w:highlight w:val="none"/>
          <w:lang w:val="en-US" w:eastAsia="zh-CN"/>
        </w:rPr>
        <w:t>改性异氰酸酯、聚醚多元醇、硅油</w:t>
      </w:r>
      <w:r>
        <w:rPr>
          <w:rFonts w:hint="default" w:ascii="Times New Roman" w:hAnsi="Times New Roman" w:eastAsia="宋体" w:cs="Times New Roman"/>
          <w:color w:val="auto"/>
          <w:sz w:val="24"/>
          <w:szCs w:val="24"/>
          <w:highlight w:val="none"/>
          <w:lang w:val="en-US" w:eastAsia="zh-CN"/>
        </w:rPr>
        <w:t>等。</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危险单元：原料仓库、</w:t>
      </w:r>
      <w:r>
        <w:rPr>
          <w:rFonts w:hint="default" w:ascii="Times New Roman" w:hAnsi="Times New Roman" w:cs="Times New Roman"/>
          <w:color w:val="auto"/>
          <w:sz w:val="24"/>
          <w:szCs w:val="24"/>
          <w:highlight w:val="none"/>
          <w:lang w:val="en-US" w:eastAsia="zh-CN"/>
        </w:rPr>
        <w:t>预搅拌罐</w:t>
      </w:r>
      <w:r>
        <w:rPr>
          <w:rFonts w:hint="default" w:ascii="Times New Roman" w:hAnsi="Times New Roman" w:eastAsia="宋体" w:cs="Times New Roman"/>
          <w:color w:val="auto"/>
          <w:sz w:val="24"/>
          <w:szCs w:val="24"/>
          <w:highlight w:val="none"/>
          <w:lang w:eastAsia="zh-CN"/>
        </w:rPr>
        <w:t>区、危废暂存间、生产车间、废气处理设施等。</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原料仓库：1、容器倾倒、设备选型不当、材质低劣或产品质量不符合设计要求或其他意外情况引起泄漏，引发火灾、爆炸；2、设备及容器的密封不良，阀门劣化而出现物料泄漏、引发火灾、爆炸；</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预搅拌罐</w:t>
      </w:r>
      <w:r>
        <w:rPr>
          <w:rFonts w:hint="default" w:ascii="Times New Roman" w:hAnsi="Times New Roman" w:eastAsia="宋体" w:cs="Times New Roman"/>
          <w:color w:val="auto"/>
          <w:sz w:val="24"/>
          <w:szCs w:val="24"/>
          <w:highlight w:val="none"/>
          <w:lang w:eastAsia="zh-CN"/>
        </w:rPr>
        <w:t>区：失误操作、阀门损坏、管道泄漏导致</w:t>
      </w:r>
      <w:r>
        <w:rPr>
          <w:rFonts w:hint="default" w:ascii="Times New Roman" w:hAnsi="Times New Roman" w:cs="Times New Roman"/>
          <w:color w:val="auto"/>
          <w:sz w:val="24"/>
          <w:szCs w:val="24"/>
          <w:highlight w:val="none"/>
          <w:lang w:val="en-US" w:eastAsia="zh-CN"/>
        </w:rPr>
        <w:t>预搅拌罐</w:t>
      </w:r>
      <w:r>
        <w:rPr>
          <w:rFonts w:hint="default" w:ascii="Times New Roman" w:hAnsi="Times New Roman" w:eastAsia="宋体" w:cs="Times New Roman"/>
          <w:color w:val="auto"/>
          <w:sz w:val="24"/>
          <w:szCs w:val="24"/>
          <w:highlight w:val="none"/>
          <w:lang w:eastAsia="zh-CN"/>
        </w:rPr>
        <w:t>区</w:t>
      </w:r>
      <w:r>
        <w:rPr>
          <w:rFonts w:hint="default" w:ascii="Times New Roman" w:hAnsi="Times New Roman" w:cs="Times New Roman"/>
          <w:color w:val="auto"/>
          <w:sz w:val="24"/>
          <w:szCs w:val="24"/>
          <w:highlight w:val="none"/>
          <w:lang w:val="en-US" w:eastAsia="zh-CN"/>
        </w:rPr>
        <w:t>改性异氰酸酯</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聚醚多元醇、硅油</w:t>
      </w:r>
      <w:r>
        <w:rPr>
          <w:rFonts w:hint="default" w:ascii="Times New Roman" w:hAnsi="Times New Roman" w:eastAsia="宋体" w:cs="Times New Roman"/>
          <w:color w:val="auto"/>
          <w:sz w:val="24"/>
          <w:szCs w:val="24"/>
          <w:highlight w:val="none"/>
          <w:lang w:eastAsia="zh-CN"/>
        </w:rPr>
        <w:t>等发生泄漏，引发火灾、爆炸。</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危废暂存间：容器的密封不良导致泄漏引发火灾、爆炸；</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生产车间：1、容器倾倒、设备选型不当、材质低劣或产品质量不符合设计要求或其他意外情况引起泄漏，引发火灾、爆炸；2、设备及容器的密封不良，阀门劣化而出现物料泄漏、引发火灾、爆炸；</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废气处理设施：因设备故障、操作失误、停电、极端天气等原因导致废气处理系统异常，最终使得废气不达标排放。</w:t>
      </w:r>
    </w:p>
    <w:p>
      <w:pPr>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环境风险为物料泄漏和火灾、爆炸等引发的伴生</w:t>
      </w:r>
      <w:r>
        <w:rPr>
          <w:rFonts w:hint="default" w:ascii="Times New Roman" w:hAnsi="Times New Roman" w:eastAsia="宋体" w:cs="Times New Roman"/>
          <w:color w:val="auto"/>
          <w:sz w:val="24"/>
          <w:szCs w:val="24"/>
          <w:highlight w:val="none"/>
          <w:lang w:val="en-US" w:eastAsia="zh-CN"/>
        </w:rPr>
        <w:t>/次生污染物排放。</w:t>
      </w:r>
    </w:p>
    <w:p>
      <w:pPr>
        <w:pStyle w:val="62"/>
        <w:numPr>
          <w:ilvl w:val="1"/>
          <w:numId w:val="43"/>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195" w:name="_Toc28049"/>
      <w:bookmarkStart w:id="196" w:name="_Toc12113"/>
      <w:bookmarkStart w:id="197" w:name="_Toc21330"/>
      <w:bookmarkStart w:id="198" w:name="_Toc5797"/>
      <w:r>
        <w:rPr>
          <w:rFonts w:hint="default" w:ascii="Times New Roman" w:hAnsi="Times New Roman" w:eastAsia="宋体" w:cs="Times New Roman"/>
          <w:b/>
          <w:bCs w:val="0"/>
          <w:color w:val="auto"/>
          <w:sz w:val="24"/>
          <w:szCs w:val="24"/>
          <w:highlight w:val="none"/>
          <w:lang w:val="en-US" w:eastAsia="zh-CN"/>
        </w:rPr>
        <w:t>环境敏感性及事故环境影响</w:t>
      </w:r>
      <w:bookmarkEnd w:id="195"/>
      <w:bookmarkEnd w:id="196"/>
      <w:bookmarkEnd w:id="197"/>
      <w:bookmarkEnd w:id="198"/>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eastAsia="宋体" w:cs="Times New Roman"/>
          <w:b w:val="0"/>
          <w:bCs w:val="0"/>
          <w:color w:val="auto"/>
          <w:sz w:val="24"/>
          <w:szCs w:val="24"/>
          <w:highlight w:val="none"/>
          <w:lang w:eastAsia="zh-CN"/>
        </w:rPr>
        <w:t>根据调查并结合《建设项目环境风险评价技术导则》</w:t>
      </w:r>
      <w:r>
        <w:rPr>
          <w:rFonts w:hint="default" w:ascii="Times New Roman" w:hAnsi="Times New Roman" w:eastAsia="宋体" w:cs="Times New Roman"/>
          <w:b w:val="0"/>
          <w:bCs w:val="0"/>
          <w:color w:val="auto"/>
          <w:sz w:val="24"/>
          <w:szCs w:val="24"/>
          <w:highlight w:val="none"/>
        </w:rPr>
        <w:t>(HJ169-2018)</w:t>
      </w:r>
      <w:r>
        <w:rPr>
          <w:rFonts w:hint="default" w:ascii="Times New Roman" w:hAnsi="Times New Roman" w:eastAsia="宋体" w:cs="Times New Roman"/>
          <w:b w:val="0"/>
          <w:bCs w:val="0"/>
          <w:color w:val="auto"/>
          <w:spacing w:val="-3"/>
          <w:sz w:val="24"/>
          <w:szCs w:val="24"/>
          <w:highlight w:val="none"/>
        </w:rPr>
        <w:t>，</w:t>
      </w:r>
      <w:r>
        <w:rPr>
          <w:rFonts w:hint="default" w:ascii="Times New Roman" w:hAnsi="Times New Roman" w:eastAsia="宋体" w:cs="Times New Roman"/>
          <w:b w:val="0"/>
          <w:bCs w:val="0"/>
          <w:color w:val="auto"/>
          <w:spacing w:val="-3"/>
          <w:sz w:val="24"/>
          <w:szCs w:val="24"/>
          <w:highlight w:val="none"/>
          <w:lang w:eastAsia="zh-CN"/>
        </w:rPr>
        <w:t>区域环境要素大气环境、地表水环境和地下水环境敏感程度分别为</w:t>
      </w:r>
      <w:r>
        <w:rPr>
          <w:rFonts w:hint="default" w:ascii="Times New Roman" w:hAnsi="Times New Roman" w:eastAsia="宋体" w:cs="Times New Roman"/>
          <w:b w:val="0"/>
          <w:bCs w:val="0"/>
          <w:color w:val="auto"/>
          <w:spacing w:val="-3"/>
          <w:sz w:val="24"/>
          <w:szCs w:val="24"/>
          <w:highlight w:val="none"/>
          <w:lang w:val="en-US" w:eastAsia="zh-CN"/>
        </w:rPr>
        <w:t>E2、E3、E3。当物料泄漏发生火灾爆炸事故时，对周边敏感目标影响较小。当发生火灾爆炸事故时，应立即启动应急救援响应机制，根据泄漏物料做出影响范围判断。立即通过广播、电话、通告、人员通知的方式向周围环境敏感点进行告知，做好防护措施并尽快有序撤离。根据地表水、地下水风险预测结果，在不采取防渗措施的前提下，事故状态下的消防废水通过渗透作用会对地表水、地下水产生一定的影响。因此，企业需对生产车间、</w:t>
      </w:r>
      <w:r>
        <w:rPr>
          <w:rFonts w:hint="default" w:ascii="Times New Roman" w:hAnsi="Times New Roman" w:cs="Times New Roman"/>
          <w:b w:val="0"/>
          <w:bCs w:val="0"/>
          <w:color w:val="auto"/>
          <w:spacing w:val="-3"/>
          <w:sz w:val="24"/>
          <w:szCs w:val="24"/>
          <w:highlight w:val="none"/>
          <w:lang w:val="en-US" w:eastAsia="zh-CN"/>
        </w:rPr>
        <w:t>预搅拌</w:t>
      </w:r>
      <w:r>
        <w:rPr>
          <w:rFonts w:hint="default" w:ascii="Times New Roman" w:hAnsi="Times New Roman" w:eastAsia="宋体" w:cs="Times New Roman"/>
          <w:b w:val="0"/>
          <w:bCs w:val="0"/>
          <w:color w:val="auto"/>
          <w:spacing w:val="-3"/>
          <w:sz w:val="24"/>
          <w:szCs w:val="24"/>
          <w:highlight w:val="none"/>
          <w:lang w:val="en-US" w:eastAsia="zh-CN"/>
        </w:rPr>
        <w:t>罐区、原料仓库、危废暂存间等做好防渗措施，确保污染物不进入地表水、地下水。</w:t>
      </w:r>
    </w:p>
    <w:p>
      <w:pPr>
        <w:pStyle w:val="62"/>
        <w:numPr>
          <w:ilvl w:val="1"/>
          <w:numId w:val="43"/>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199" w:name="_Toc1535"/>
      <w:bookmarkStart w:id="200" w:name="_Toc6525"/>
      <w:bookmarkStart w:id="201" w:name="_Toc26691"/>
      <w:bookmarkStart w:id="202" w:name="_Toc18269"/>
      <w:r>
        <w:rPr>
          <w:rFonts w:hint="default" w:ascii="Times New Roman" w:hAnsi="Times New Roman" w:eastAsia="宋体" w:cs="Times New Roman"/>
          <w:b/>
          <w:bCs w:val="0"/>
          <w:color w:val="auto"/>
          <w:sz w:val="24"/>
          <w:szCs w:val="24"/>
          <w:highlight w:val="none"/>
          <w:lang w:val="en-US" w:eastAsia="zh-CN"/>
        </w:rPr>
        <w:t>环境风险防范措施和应急预案</w:t>
      </w:r>
      <w:bookmarkEnd w:id="199"/>
      <w:bookmarkEnd w:id="200"/>
      <w:bookmarkEnd w:id="201"/>
      <w:bookmarkEnd w:id="202"/>
    </w:p>
    <w:p>
      <w:pPr>
        <w:keepNext w:val="0"/>
        <w:keepLines w:val="0"/>
        <w:pageBreakBefore w:val="0"/>
        <w:widowControl w:val="0"/>
        <w:kinsoku/>
        <w:wordWrap/>
        <w:overflowPunct/>
        <w:topLinePunct w:val="0"/>
        <w:autoSpaceDE w:val="0"/>
        <w:autoSpaceDN w:val="0"/>
        <w:bidi w:val="0"/>
        <w:adjustRightInd w:val="0"/>
        <w:snapToGrid w:val="0"/>
        <w:spacing w:before="0" w:line="360" w:lineRule="auto"/>
        <w:ind w:left="0" w:firstLine="480" w:firstLineChars="200"/>
        <w:textAlignment w:val="auto"/>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lang w:eastAsia="zh-CN"/>
        </w:rPr>
        <w:t>项目采用“单元</w:t>
      </w:r>
      <w:r>
        <w:rPr>
          <w:rFonts w:hint="default" w:ascii="Times New Roman" w:hAnsi="Times New Roman" w:eastAsia="宋体" w:cs="Times New Roman"/>
          <w:b w:val="0"/>
          <w:bCs w:val="0"/>
          <w:color w:val="auto"/>
          <w:sz w:val="24"/>
          <w:szCs w:val="24"/>
          <w:highlight w:val="none"/>
          <w:lang w:val="en-US" w:eastAsia="zh-CN"/>
        </w:rPr>
        <w:t>-厂区-区域</w:t>
      </w:r>
      <w:r>
        <w:rPr>
          <w:rFonts w:hint="default" w:ascii="Times New Roman" w:hAnsi="Times New Roman" w:eastAsia="宋体" w:cs="Times New Roman"/>
          <w:b w:val="0"/>
          <w:bCs w:val="0"/>
          <w:color w:val="auto"/>
          <w:sz w:val="24"/>
          <w:szCs w:val="24"/>
          <w:highlight w:val="none"/>
          <w:lang w:eastAsia="zh-CN"/>
        </w:rPr>
        <w:t>”三级防控措施，可有效从源头和过程中降低突发事故对外环境的影响。本项目运行期建设单位应组织突发环境事件应急预案编制工作。应急预案必须包括适用范围、环境事件分类与分级、组织机构与职责、监控和预警、应急响应、应急保障、善后处置、预警管理与演练等内容。企业突发环境事件应急预案应体现分级响应、区域联动的原则，与地方政府突发环境事件应急预案相衔接，明确分级响应程序。</w:t>
      </w:r>
    </w:p>
    <w:p>
      <w:pPr>
        <w:pStyle w:val="62"/>
        <w:numPr>
          <w:ilvl w:val="1"/>
          <w:numId w:val="43"/>
        </w:numPr>
        <w:tabs>
          <w:tab w:val="left" w:pos="771"/>
        </w:tabs>
        <w:spacing w:before="41" w:after="0" w:line="360" w:lineRule="auto"/>
        <w:ind w:left="567" w:leftChars="0" w:right="0" w:rightChars="0" w:hanging="567" w:firstLineChars="0"/>
        <w:jc w:val="left"/>
        <w:outlineLvl w:val="1"/>
        <w:rPr>
          <w:rFonts w:hint="default" w:ascii="Times New Roman" w:hAnsi="Times New Roman" w:eastAsia="宋体" w:cs="Times New Roman"/>
          <w:b/>
          <w:bCs w:val="0"/>
          <w:color w:val="auto"/>
          <w:sz w:val="24"/>
          <w:szCs w:val="24"/>
          <w:highlight w:val="none"/>
          <w:lang w:val="en-US" w:eastAsia="zh-CN"/>
        </w:rPr>
      </w:pPr>
      <w:bookmarkStart w:id="203" w:name="_Toc1222"/>
      <w:bookmarkStart w:id="204" w:name="_Toc28868"/>
      <w:bookmarkStart w:id="205" w:name="_Toc13031"/>
      <w:bookmarkStart w:id="206" w:name="_Toc15609"/>
      <w:r>
        <w:rPr>
          <w:rFonts w:hint="default" w:ascii="Times New Roman" w:hAnsi="Times New Roman" w:eastAsia="宋体" w:cs="Times New Roman"/>
          <w:b/>
          <w:bCs w:val="0"/>
          <w:color w:val="auto"/>
          <w:sz w:val="24"/>
          <w:szCs w:val="24"/>
          <w:highlight w:val="none"/>
          <w:lang w:val="en-US" w:eastAsia="zh-CN"/>
        </w:rPr>
        <w:t>环境风险评价结论与建议</w:t>
      </w:r>
      <w:bookmarkEnd w:id="203"/>
      <w:bookmarkEnd w:id="204"/>
      <w:bookmarkEnd w:id="205"/>
      <w:bookmarkEnd w:id="206"/>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9"/>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（1）环境风险评价结论</w:t>
      </w:r>
    </w:p>
    <w:p>
      <w:pPr>
        <w:keepNext w:val="0"/>
        <w:keepLines w:val="0"/>
        <w:pageBreakBefore w:val="0"/>
        <w:widowControl w:val="0"/>
        <w:kinsoku/>
        <w:wordWrap/>
        <w:overflowPunct/>
        <w:topLinePunct w:val="0"/>
        <w:autoSpaceDE w:val="0"/>
        <w:autoSpaceDN w:val="0"/>
        <w:bidi w:val="0"/>
        <w:adjustRightInd w:val="0"/>
        <w:snapToGrid w:val="0"/>
        <w:spacing w:before="0" w:line="360" w:lineRule="auto"/>
        <w:ind w:left="0" w:firstLine="480" w:firstLineChars="200"/>
        <w:textAlignment w:val="auto"/>
        <w:outlineLvl w:val="9"/>
        <w:rPr>
          <w:rFonts w:hint="default" w:ascii="Times New Roman" w:hAnsi="Times New Roman" w:eastAsia="宋体" w:cs="Times New Roman"/>
          <w:b w:val="0"/>
          <w:bCs w:val="0"/>
          <w:color w:val="auto"/>
          <w:sz w:val="24"/>
          <w:szCs w:val="24"/>
          <w:highlight w:val="none"/>
          <w:lang w:eastAsia="zh-CN"/>
        </w:rPr>
      </w:pPr>
      <w:r>
        <w:rPr>
          <w:rFonts w:hint="default" w:ascii="Times New Roman" w:hAnsi="Times New Roman" w:eastAsia="宋体" w:cs="Times New Roman"/>
          <w:b w:val="0"/>
          <w:bCs w:val="0"/>
          <w:color w:val="auto"/>
          <w:sz w:val="24"/>
          <w:szCs w:val="24"/>
          <w:highlight w:val="none"/>
          <w:lang w:eastAsia="zh-CN"/>
        </w:rPr>
        <w:t>本项目在严格采取各项风险防范应急措施的情况下，可最大限度地降低环境风险，一旦意外事件发生，环境风险可达到控制要求，也能最大限度地减少环境污染危害，风险影响程度可接受。</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outlineLvl w:val="9"/>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（2）建议</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①严格执行国家、地方有关安全、环保、卫生的设计规范和标准，在设计、施工和运行过程中针对可能存在的风险隐患采取相应的安全环保防范措施，消除事故隐患。严格按照安全、消防要求，落实各项消防或防火措施，有效防范火灾事故发生。</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②进一步加强与邻近企业、敏感点的联系沟通，适时开展联合演练培训，一旦发生可能影响厂区外企业、居民的风险事故，能立即通知相关人员并组织受影响人员疏散。</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③加强对职工的教育和培训，增强职工环境风险意识和事故自救能力，制定和强化生产和管理规程，减少人为风险事故的发生。</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④建设单位应对公司的环境风险应预案给予足够重视，根据实际运营状况及最新的要求，及时编制应急预案，提高风险防范意识和风险管理能力。</w:t>
      </w:r>
    </w:p>
    <w:p>
      <w:pPr>
        <w:numPr>
          <w:ilvl w:val="0"/>
          <w:numId w:val="44"/>
        </w:numPr>
        <w:spacing w:line="400" w:lineRule="exact"/>
        <w:ind w:left="0" w:leftChars="0" w:firstLine="397" w:firstLineChars="0"/>
        <w:jc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环境风险评价自查表</w:t>
      </w:r>
    </w:p>
    <w:tbl>
      <w:tblPr>
        <w:tblStyle w:val="3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91"/>
        <w:gridCol w:w="868"/>
        <w:gridCol w:w="1318"/>
        <w:gridCol w:w="1536"/>
        <w:gridCol w:w="73"/>
        <w:gridCol w:w="591"/>
        <w:gridCol w:w="665"/>
        <w:gridCol w:w="537"/>
        <w:gridCol w:w="726"/>
        <w:gridCol w:w="561"/>
        <w:gridCol w:w="95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noWrap w:val="0"/>
            <w:vAlign w:val="center"/>
          </w:tcPr>
          <w:p>
            <w:pPr>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工作内容</w:t>
            </w:r>
          </w:p>
        </w:tc>
        <w:tc>
          <w:tcPr>
            <w:tcW w:w="4084" w:type="pct"/>
            <w:gridSpan w:val="9"/>
            <w:noWrap w:val="0"/>
            <w:vAlign w:val="center"/>
          </w:tcPr>
          <w:p>
            <w:pPr>
              <w:snapToGrid w:val="0"/>
              <w:spacing w:line="240"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风险调查</w:t>
            </w:r>
          </w:p>
        </w:tc>
        <w:tc>
          <w:tcPr>
            <w:tcW w:w="509"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危险物质</w:t>
            </w: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名称</w:t>
            </w:r>
          </w:p>
        </w:tc>
        <w:tc>
          <w:tcPr>
            <w:tcW w:w="901"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硅油</w:t>
            </w:r>
          </w:p>
        </w:tc>
        <w:tc>
          <w:tcPr>
            <w:tcW w:w="1094"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 w:val="0"/>
                <w:bCs w:val="0"/>
                <w:color w:val="auto"/>
                <w:sz w:val="24"/>
                <w:lang w:val="en-US" w:eastAsia="zh-CN"/>
              </w:rPr>
              <w:t>聚醚多元醇</w:t>
            </w:r>
          </w:p>
        </w:tc>
        <w:tc>
          <w:tcPr>
            <w:tcW w:w="1314"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改性异氰酸酯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1"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存在总量/t</w:t>
            </w:r>
          </w:p>
        </w:tc>
        <w:tc>
          <w:tcPr>
            <w:tcW w:w="901"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0.4</w:t>
            </w:r>
          </w:p>
        </w:tc>
        <w:tc>
          <w:tcPr>
            <w:tcW w:w="1094"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2.2</w:t>
            </w:r>
          </w:p>
        </w:tc>
        <w:tc>
          <w:tcPr>
            <w:tcW w:w="1314"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环境敏感性</w:t>
            </w:r>
          </w:p>
        </w:tc>
        <w:tc>
          <w:tcPr>
            <w:tcW w:w="773"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w:t>
            </w:r>
          </w:p>
        </w:tc>
        <w:tc>
          <w:tcPr>
            <w:tcW w:w="1680"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500m范围内人口数</w:t>
            </w:r>
            <w:r>
              <w:rPr>
                <w:rFonts w:hint="default" w:ascii="Times New Roman" w:hAnsi="Times New Roman" w:cs="Times New Roman"/>
                <w:color w:val="auto"/>
                <w:sz w:val="21"/>
                <w:szCs w:val="21"/>
                <w:highlight w:val="none"/>
                <w:u w:val="single"/>
                <w:lang w:val="en-US" w:eastAsia="zh-CN"/>
              </w:rPr>
              <w:t>200</w:t>
            </w:r>
            <w:r>
              <w:rPr>
                <w:rFonts w:hint="default" w:ascii="Times New Roman" w:hAnsi="Times New Roman" w:eastAsia="宋体" w:cs="Times New Roman"/>
                <w:color w:val="auto"/>
                <w:sz w:val="21"/>
                <w:szCs w:val="21"/>
                <w:highlight w:val="none"/>
              </w:rPr>
              <w:t>人</w:t>
            </w:r>
          </w:p>
        </w:tc>
        <w:tc>
          <w:tcPr>
            <w:tcW w:w="1629"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5km范围内人口数</w:t>
            </w:r>
            <w:r>
              <w:rPr>
                <w:rFonts w:hint="default" w:ascii="Times New Roman" w:hAnsi="Times New Roman" w:cs="Times New Roman"/>
                <w:color w:val="auto"/>
                <w:sz w:val="21"/>
                <w:szCs w:val="21"/>
                <w:highlight w:val="none"/>
                <w:u w:val="single"/>
                <w:lang w:val="en-US" w:eastAsia="zh-CN"/>
              </w:rPr>
              <w:t>8.08</w:t>
            </w:r>
            <w:r>
              <w:rPr>
                <w:rFonts w:hint="default" w:ascii="Times New Roman" w:hAnsi="Times New Roman" w:eastAsia="宋体" w:cs="Times New Roman"/>
                <w:color w:val="auto"/>
                <w:sz w:val="21"/>
                <w:szCs w:val="21"/>
                <w:highlight w:val="none"/>
                <w:u w:val="single"/>
              </w:rPr>
              <w:t>万</w:t>
            </w:r>
            <w:r>
              <w:rPr>
                <w:rFonts w:hint="default" w:ascii="Times New Roman" w:hAnsi="Times New Roman" w:eastAsia="宋体" w:cs="Times New Roman"/>
                <w:color w:val="auto"/>
                <w:sz w:val="21"/>
                <w:szCs w:val="21"/>
                <w:highlight w:val="none"/>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2751" w:type="pct"/>
            <w:gridSpan w:val="7"/>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每公里管段周边200m范围内人口数（最大）</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u w:val="single"/>
              </w:rPr>
              <w:t>/人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地表水功能敏感性</w:t>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F1 □</w:t>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F2 □</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环境敏感目标分级</w:t>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S1 □</w:t>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S2 □</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地下水功能敏感性</w:t>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G1 □</w:t>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G2 □</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包气带防污性能</w:t>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D1 □</w:t>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D2 √</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物质及工艺系统危险性</w:t>
            </w: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Q值</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Q＜1</w:t>
            </w:r>
            <w:r>
              <w:rPr>
                <w:rFonts w:hint="default" w:ascii="Times New Roman" w:hAnsi="Times New Roman" w:eastAsia="宋体" w:cs="Times New Roman"/>
                <w:color w:val="auto"/>
                <w:sz w:val="21"/>
                <w:szCs w:val="21"/>
                <w:highlight w:val="none"/>
              </w:rPr>
              <w:sym w:font="Wingdings 2" w:char="00A3"/>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1≤Q＜10</w:t>
            </w:r>
            <w:r>
              <w:rPr>
                <w:rFonts w:hint="default" w:ascii="Times New Roman" w:hAnsi="Times New Roman" w:eastAsia="宋体" w:cs="Times New Roman"/>
                <w:color w:val="auto"/>
                <w:sz w:val="21"/>
                <w:szCs w:val="21"/>
                <w:highlight w:val="none"/>
              </w:rPr>
              <w:sym w:font="Wingdings 2" w:char="0052"/>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10≤Q＜100 </w:t>
            </w:r>
            <w:r>
              <w:rPr>
                <w:rFonts w:hint="default" w:ascii="Times New Roman" w:hAnsi="Times New Roman" w:eastAsia="宋体" w:cs="Times New Roman"/>
                <w:color w:val="auto"/>
                <w:sz w:val="21"/>
                <w:szCs w:val="21"/>
                <w:highlight w:val="none"/>
              </w:rPr>
              <w:sym w:font="Wingdings 2" w:char="00A3"/>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Q≥100 </w:t>
            </w:r>
            <w:r>
              <w:rPr>
                <w:rFonts w:hint="default" w:ascii="Times New Roman" w:hAnsi="Times New Roman" w:eastAsia="宋体" w:cs="Times New Roman"/>
                <w:color w:val="auto"/>
                <w:sz w:val="21"/>
                <w:szCs w:val="21"/>
                <w:highlight w:val="none"/>
              </w:rPr>
              <w:sym w:font="Wingdings 2" w:char="00A3"/>
            </w:r>
            <w:r>
              <w:rPr>
                <w:rFonts w:hint="default" w:ascii="Times New Roman" w:hAnsi="Times New Roman" w:eastAsia="宋体" w:cs="Times New Roman"/>
                <w:color w:val="auto"/>
                <w:sz w:val="21"/>
                <w:szCs w:val="21"/>
                <w:highlight w:val="non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M值</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M1</w:t>
            </w:r>
            <w:r>
              <w:rPr>
                <w:rFonts w:hint="default" w:ascii="Times New Roman" w:hAnsi="Times New Roman" w:eastAsia="宋体" w:cs="Times New Roman"/>
                <w:color w:val="auto"/>
                <w:sz w:val="21"/>
                <w:szCs w:val="21"/>
                <w:highlight w:val="none"/>
              </w:rPr>
              <w:sym w:font="Wingdings 2" w:char="00A3"/>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M2 </w:t>
            </w:r>
            <w:r>
              <w:rPr>
                <w:rFonts w:hint="default" w:ascii="Times New Roman" w:hAnsi="Times New Roman" w:eastAsia="宋体" w:cs="Times New Roman"/>
                <w:color w:val="auto"/>
                <w:sz w:val="21"/>
                <w:szCs w:val="21"/>
                <w:highlight w:val="none"/>
              </w:rPr>
              <w:sym w:font="Wingdings 2" w:char="0052"/>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M3□</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cs="Times New Roman"/>
                <w:color w:val="auto"/>
                <w:sz w:val="21"/>
                <w:szCs w:val="21"/>
                <w:highlight w:val="none"/>
                <w:lang w:val="en-US" w:eastAsia="zh-CN"/>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P值</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P1□</w:t>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P2□</w:t>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P3 </w:t>
            </w:r>
            <w:r>
              <w:rPr>
                <w:rFonts w:hint="default" w:ascii="Times New Roman" w:hAnsi="Times New Roman" w:eastAsia="宋体" w:cs="Times New Roman"/>
                <w:color w:val="auto"/>
                <w:sz w:val="21"/>
                <w:szCs w:val="21"/>
                <w:highlight w:val="none"/>
              </w:rPr>
              <w:sym w:font="Wingdings 2" w:char="0052"/>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 xml:space="preserve">P4 </w:t>
            </w:r>
            <w:r>
              <w:rPr>
                <w:rFonts w:hint="default" w:ascii="Times New Roman" w:hAnsi="Times New Roman" w:cs="Times New Roman"/>
                <w:color w:val="auto"/>
                <w:sz w:val="21"/>
                <w:szCs w:val="21"/>
                <w:highlight w:val="none"/>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环境敏感程度</w:t>
            </w: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E1 </w:t>
            </w:r>
            <w:r>
              <w:rPr>
                <w:rFonts w:hint="default" w:ascii="Times New Roman" w:hAnsi="Times New Roman" w:eastAsia="宋体" w:cs="Times New Roman"/>
                <w:color w:val="auto"/>
                <w:sz w:val="21"/>
                <w:szCs w:val="21"/>
                <w:highlight w:val="none"/>
              </w:rPr>
              <w:sym w:font="Wingdings 2" w:char="0052"/>
            </w:r>
          </w:p>
        </w:tc>
        <w:tc>
          <w:tcPr>
            <w:tcW w:w="1131"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E2□</w:t>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E1 □</w:t>
            </w:r>
          </w:p>
        </w:tc>
        <w:tc>
          <w:tcPr>
            <w:tcW w:w="1131"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E2 □</w:t>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E3√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E1 □</w:t>
            </w:r>
          </w:p>
        </w:tc>
        <w:tc>
          <w:tcPr>
            <w:tcW w:w="1131"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E2 □</w:t>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E3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环境风险潜势</w:t>
            </w: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IV</w:t>
            </w:r>
            <w:r>
              <w:rPr>
                <w:rFonts w:hint="default" w:ascii="Times New Roman" w:hAnsi="Times New Roman" w:eastAsia="宋体" w:cs="Times New Roman"/>
                <w:color w:val="auto"/>
                <w:sz w:val="21"/>
                <w:szCs w:val="21"/>
                <w:highlight w:val="none"/>
                <w:vertAlign w:val="superscript"/>
              </w:rPr>
              <w:t>+</w:t>
            </w:r>
            <w:r>
              <w:rPr>
                <w:rFonts w:hint="default" w:ascii="Times New Roman" w:hAnsi="Times New Roman" w:eastAsia="宋体" w:cs="Times New Roman"/>
                <w:color w:val="auto"/>
                <w:sz w:val="21"/>
                <w:szCs w:val="21"/>
                <w:highlight w:val="none"/>
              </w:rPr>
              <w:t xml:space="preserve">□ </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IV□</w:t>
            </w:r>
          </w:p>
        </w:tc>
        <w:tc>
          <w:tcPr>
            <w:tcW w:w="70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III </w:t>
            </w:r>
            <w:r>
              <w:rPr>
                <w:rFonts w:hint="default" w:ascii="Times New Roman" w:hAnsi="Times New Roman" w:eastAsia="宋体" w:cs="Times New Roman"/>
                <w:color w:val="auto"/>
                <w:sz w:val="21"/>
                <w:szCs w:val="21"/>
                <w:highlight w:val="none"/>
              </w:rPr>
              <w:sym w:font="Wingdings 2" w:char="0052"/>
            </w:r>
          </w:p>
        </w:tc>
        <w:tc>
          <w:tcPr>
            <w:tcW w:w="75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 xml:space="preserve">II </w:t>
            </w:r>
            <w:r>
              <w:rPr>
                <w:rFonts w:hint="default" w:ascii="Times New Roman" w:hAnsi="Times New Roman" w:cs="Times New Roman"/>
                <w:color w:val="auto"/>
                <w:sz w:val="21"/>
                <w:szCs w:val="21"/>
                <w:highlight w:val="none"/>
                <w:lang w:eastAsia="zh-CN"/>
              </w:rPr>
              <w:t>□</w:t>
            </w:r>
          </w:p>
        </w:tc>
        <w:tc>
          <w:tcPr>
            <w:tcW w:w="55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I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评价等级</w:t>
            </w:r>
          </w:p>
        </w:tc>
        <w:tc>
          <w:tcPr>
            <w:tcW w:w="773"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一级 □</w:t>
            </w:r>
          </w:p>
        </w:tc>
        <w:tc>
          <w:tcPr>
            <w:tcW w:w="1290"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 xml:space="preserve">二级 </w:t>
            </w:r>
            <w:r>
              <w:rPr>
                <w:rFonts w:hint="default" w:ascii="Times New Roman" w:hAnsi="Times New Roman" w:cs="Times New Roman"/>
                <w:color w:val="auto"/>
                <w:sz w:val="21"/>
                <w:szCs w:val="21"/>
                <w:highlight w:val="none"/>
                <w:lang w:eastAsia="zh-CN"/>
              </w:rPr>
              <w:t>☑</w:t>
            </w:r>
          </w:p>
        </w:tc>
        <w:tc>
          <w:tcPr>
            <w:tcW w:w="1131"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 xml:space="preserve">三级 </w:t>
            </w:r>
            <w:r>
              <w:rPr>
                <w:rFonts w:hint="default" w:ascii="Times New Roman" w:hAnsi="Times New Roman" w:cs="Times New Roman"/>
                <w:color w:val="auto"/>
                <w:sz w:val="21"/>
                <w:szCs w:val="21"/>
                <w:highlight w:val="none"/>
                <w:lang w:eastAsia="zh-CN"/>
              </w:rPr>
              <w:t>□</w:t>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简单分析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风险识别</w:t>
            </w:r>
          </w:p>
        </w:tc>
        <w:tc>
          <w:tcPr>
            <w:tcW w:w="50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物质危险性</w:t>
            </w:r>
          </w:p>
        </w:tc>
        <w:tc>
          <w:tcPr>
            <w:tcW w:w="2454" w:type="pct"/>
            <w:gridSpan w:val="5"/>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有毒有害 √</w:t>
            </w:r>
          </w:p>
        </w:tc>
        <w:tc>
          <w:tcPr>
            <w:tcW w:w="1629"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易燃易爆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环境风险类型</w:t>
            </w:r>
          </w:p>
        </w:tc>
        <w:tc>
          <w:tcPr>
            <w:tcW w:w="2064"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泄漏 √</w:t>
            </w:r>
          </w:p>
        </w:tc>
        <w:tc>
          <w:tcPr>
            <w:tcW w:w="2020" w:type="pct"/>
            <w:gridSpan w:val="5"/>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火灾、爆炸引发伴生/次生污染物排放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影响途径</w:t>
            </w:r>
          </w:p>
        </w:tc>
        <w:tc>
          <w:tcPr>
            <w:tcW w:w="2064" w:type="pct"/>
            <w:gridSpan w:val="4"/>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 √</w:t>
            </w:r>
          </w:p>
        </w:tc>
        <w:tc>
          <w:tcPr>
            <w:tcW w:w="1131"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w:t>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915"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事故情形分析</w:t>
            </w:r>
          </w:p>
        </w:tc>
        <w:tc>
          <w:tcPr>
            <w:tcW w:w="1717"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源强设定方法</w:t>
            </w:r>
          </w:p>
        </w:tc>
        <w:tc>
          <w:tcPr>
            <w:tcW w:w="736"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计算法</w:t>
            </w:r>
            <w:r>
              <w:rPr>
                <w:rFonts w:hint="default" w:ascii="Times New Roman" w:hAnsi="Times New Roman" w:cs="Times New Roman"/>
                <w:color w:val="auto"/>
                <w:sz w:val="21"/>
                <w:szCs w:val="21"/>
                <w:highlight w:val="none"/>
                <w:lang w:eastAsia="zh-CN"/>
              </w:rPr>
              <w:t>☑</w:t>
            </w:r>
          </w:p>
        </w:tc>
        <w:tc>
          <w:tcPr>
            <w:tcW w:w="741"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经验估算法□</w:t>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其他估算法□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风险预测与评价</w:t>
            </w:r>
          </w:p>
        </w:tc>
        <w:tc>
          <w:tcPr>
            <w:tcW w:w="50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w:t>
            </w:r>
          </w:p>
        </w:tc>
        <w:tc>
          <w:tcPr>
            <w:tcW w:w="1717" w:type="pct"/>
            <w:gridSpan w:val="3"/>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预测模型</w:t>
            </w:r>
          </w:p>
        </w:tc>
        <w:tc>
          <w:tcPr>
            <w:tcW w:w="736"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SLAB □ </w:t>
            </w:r>
          </w:p>
        </w:tc>
        <w:tc>
          <w:tcPr>
            <w:tcW w:w="741"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AFTOX </w:t>
            </w:r>
            <w:r>
              <w:rPr>
                <w:rFonts w:hint="default" w:ascii="Times New Roman" w:hAnsi="Times New Roman" w:eastAsia="宋体" w:cs="Times New Roman"/>
                <w:color w:val="auto"/>
                <w:sz w:val="21"/>
                <w:szCs w:val="21"/>
                <w:highlight w:val="none"/>
              </w:rPr>
              <w:sym w:font="Wingdings 2" w:char="0052"/>
            </w:r>
          </w:p>
        </w:tc>
        <w:tc>
          <w:tcPr>
            <w:tcW w:w="888" w:type="pct"/>
            <w:gridSpan w:val="2"/>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w:t>
            </w:r>
          </w:p>
        </w:tc>
        <w:tc>
          <w:tcPr>
            <w:tcW w:w="4084" w:type="pct"/>
            <w:gridSpan w:val="9"/>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最近环境敏感目标</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rPr>
              <w:t>，达到时间</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rPr>
              <w:t>h</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restar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地下水</w:t>
            </w:r>
          </w:p>
        </w:tc>
        <w:tc>
          <w:tcPr>
            <w:tcW w:w="4084" w:type="pct"/>
            <w:gridSpan w:val="9"/>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下游厂区边界到达时间</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rPr>
              <w:t>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509" w:type="pct"/>
            <w:vMerge w:val="continue"/>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p>
        </w:tc>
        <w:tc>
          <w:tcPr>
            <w:tcW w:w="4084" w:type="pct"/>
            <w:gridSpan w:val="9"/>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最近环境敏感目标</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rPr>
              <w:t>，到达时间</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rPr>
              <w:t>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重点风险防范措施</w:t>
            </w:r>
          </w:p>
        </w:tc>
        <w:tc>
          <w:tcPr>
            <w:tcW w:w="4593" w:type="pct"/>
            <w:gridSpan w:val="10"/>
            <w:noWrap w:val="0"/>
            <w:vAlign w:val="center"/>
          </w:tcPr>
          <w:p>
            <w:pPr>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严格按《危险化学品安全管理条例》的要求，加强对危险化学品的管理；制定危险化学品安全操作规程，仓库</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罐体</w:t>
            </w:r>
            <w:r>
              <w:rPr>
                <w:rFonts w:hint="default" w:ascii="Times New Roman" w:hAnsi="Times New Roman" w:eastAsia="宋体" w:cs="Times New Roman"/>
                <w:color w:val="auto"/>
                <w:sz w:val="21"/>
                <w:szCs w:val="21"/>
                <w:highlight w:val="none"/>
                <w:lang w:eastAsia="zh-CN"/>
              </w:rPr>
              <w:t>、危废暂存间</w:t>
            </w:r>
            <w:r>
              <w:rPr>
                <w:rFonts w:hint="default" w:ascii="Times New Roman" w:hAnsi="Times New Roman" w:eastAsia="宋体" w:cs="Times New Roman"/>
                <w:color w:val="auto"/>
                <w:sz w:val="21"/>
                <w:szCs w:val="21"/>
                <w:highlight w:val="none"/>
              </w:rPr>
              <w:t>应符合储存危险化学品的相关条件（如防晒、防潮、通风、防雷、防静电等），实施危险化学品的储存和使用；严格按照《危险废物污染防治技术政策》、《危险废物贮存污染控制标准》及标准修改单中规范要求完善危险废物暂存间的建设，落实“四防”措施，及时委托有资质的单位清运处置，减少在厂内的暂存时间</w:t>
            </w:r>
            <w:r>
              <w:rPr>
                <w:rFonts w:hint="default" w:ascii="Times New Roman" w:hAnsi="Times New Roman" w:eastAsia="宋体" w:cs="Times New Roman"/>
                <w:color w:val="auto"/>
                <w:sz w:val="21"/>
                <w:szCs w:val="21"/>
                <w:highlight w:val="none"/>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06" w:type="pct"/>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评价结论与建议</w:t>
            </w:r>
          </w:p>
        </w:tc>
        <w:tc>
          <w:tcPr>
            <w:tcW w:w="4593" w:type="pct"/>
            <w:gridSpan w:val="10"/>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通过公司设置风险防范措施，建立风险应急预案，基本能够满足当前风险防范的要求，可以有效的防范风险事故的发生和处置，结合企业在运营期间不断完善的风险防范措施，工企业发生的环境风险可以控制在较低的水平，本项目的事故风险值处于可接受水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000" w:type="pct"/>
            <w:gridSpan w:val="11"/>
            <w:noWrap w:val="0"/>
            <w:vAlign w:val="center"/>
          </w:tcPr>
          <w:p>
            <w:pPr>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注：“□”为勾选项，“</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rPr>
              <w:t>”为填写项。</w:t>
            </w:r>
          </w:p>
        </w:tc>
      </w:tr>
    </w:tbl>
    <w:p>
      <w:pPr>
        <w:rPr>
          <w:rFonts w:hint="default" w:ascii="Times New Roman" w:hAnsi="Times New Roman" w:eastAsia="宋体" w:cs="Times New Roman"/>
          <w:color w:val="auto"/>
          <w:highlight w:val="none"/>
        </w:rPr>
      </w:pPr>
    </w:p>
    <w:p>
      <w:pPr>
        <w:keepNext w:val="0"/>
        <w:keepLines w:val="0"/>
        <w:widowControl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eastAsia="宋体" w:cs="Times New Roman"/>
          <w:color w:val="auto"/>
          <w:kern w:val="0"/>
          <w:sz w:val="24"/>
          <w:szCs w:val="20"/>
          <w:highlight w:val="none"/>
          <w:lang w:val="en-US" w:eastAsia="zh-CN" w:bidi="ar"/>
        </w:rPr>
      </w:pPr>
    </w:p>
    <w:p>
      <w:pPr>
        <w:keepNext w:val="0"/>
        <w:keepLines w:val="0"/>
        <w:widowControl w:val="0"/>
        <w:suppressLineNumbers w:val="0"/>
        <w:autoSpaceDE w:val="0"/>
        <w:autoSpaceDN w:val="0"/>
        <w:adjustRightInd w:val="0"/>
        <w:spacing w:before="0" w:beforeAutospacing="0" w:after="0" w:afterAutospacing="0"/>
        <w:ind w:left="0" w:right="0"/>
        <w:jc w:val="left"/>
        <w:textAlignment w:val="baseline"/>
        <w:rPr>
          <w:rFonts w:hint="default" w:ascii="Times New Roman" w:hAnsi="Times New Roman" w:eastAsia="宋体" w:cs="Times New Roman"/>
          <w:color w:val="auto"/>
          <w:kern w:val="0"/>
          <w:sz w:val="24"/>
          <w:szCs w:val="20"/>
          <w:highlight w:val="none"/>
          <w:lang w:val="en-US" w:eastAsia="zh-CN" w:bidi="ar"/>
        </w:rPr>
      </w:pPr>
    </w:p>
    <w:p>
      <w:pPr>
        <w:pStyle w:val="27"/>
        <w:tabs>
          <w:tab w:val="right" w:leader="dot" w:pos="9060"/>
        </w:tabs>
        <w:rPr>
          <w:rFonts w:hint="default" w:ascii="Times New Roman" w:hAnsi="Times New Roman" w:eastAsia="宋体" w:cs="Times New Roman"/>
          <w:b/>
          <w:bCs/>
          <w:color w:val="auto"/>
          <w:sz w:val="24"/>
          <w:szCs w:val="24"/>
          <w:highlight w:val="none"/>
          <w:lang w:val="en-US" w:eastAsia="zh-CN"/>
        </w:rPr>
        <w:sectPr>
          <w:headerReference r:id="rId19" w:type="default"/>
          <w:footerReference r:id="rId20" w:type="default"/>
          <w:pgSz w:w="11906" w:h="16838"/>
          <w:pgMar w:top="1440" w:right="1800" w:bottom="1440" w:left="1800" w:header="851" w:footer="992" w:gutter="0"/>
          <w:pgNumType w:fmt="decimal"/>
          <w:cols w:space="425" w:num="1"/>
          <w:docGrid w:type="lines" w:linePitch="312" w:charSpace="0"/>
        </w:sectPr>
      </w:pPr>
    </w:p>
    <w:p>
      <w:pPr>
        <w:spacing w:line="360" w:lineRule="auto"/>
        <w:jc w:val="both"/>
        <w:rPr>
          <w:rFonts w:hint="default" w:ascii="Times New Roman" w:hAnsi="Times New Roman" w:cs="Times New Roman"/>
          <w:b/>
          <w:bCs/>
          <w:color w:val="auto"/>
          <w:sz w:val="48"/>
          <w:szCs w:val="52"/>
          <w:lang w:val="en-US" w:eastAsia="zh-CN"/>
        </w:rPr>
      </w:pPr>
    </w:p>
    <w:sectPr>
      <w:footerReference r:id="rId21" w:type="default"/>
      <w:pgSz w:w="16838" w:h="11906" w:orient="landscape"/>
      <w:pgMar w:top="1134" w:right="1247" w:bottom="1134" w:left="1247" w:header="851" w:footer="992" w:gutter="0"/>
      <w:pgBorders>
        <w:top w:val="none" w:sz="0" w:space="0"/>
        <w:left w:val="none" w:sz="0" w:space="0"/>
        <w:bottom w:val="none" w:sz="0" w:space="0"/>
        <w:right w:val="none" w:sz="0" w:space="0"/>
      </w:pgBorders>
      <w:pgNumType w:fmt="decimal"/>
      <w:cols w:space="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Meiryo UI"/>
    <w:panose1 w:val="02020609040205080304"/>
    <w:charset w:val="80"/>
    <w:family w:val="modern"/>
    <w:pitch w:val="default"/>
    <w:sig w:usb0="00000000" w:usb1="00000000" w:usb2="00000012" w:usb3="00000000" w:csb0="4002009F" w:csb1="DFD70000"/>
  </w:font>
  <w:font w:name="Meiryo UI">
    <w:panose1 w:val="020B0604030504040204"/>
    <w:charset w:val="80"/>
    <w:family w:val="auto"/>
    <w:pitch w:val="default"/>
    <w:sig w:usb0="E10102FF" w:usb1="EAC7FFFF" w:usb2="00010012" w:usb3="00000000" w:csb0="6002009F" w:csb1="DFD70000"/>
  </w:font>
  <w:font w:name="Impact">
    <w:panose1 w:val="020B0806030902050204"/>
    <w:charset w:val="00"/>
    <w:family w:val="swiss"/>
    <w:pitch w:val="default"/>
    <w:sig w:usb0="00000287" w:usb1="00000000" w:usb2="00000000" w:usb3="00000000" w:csb0="2000009F" w:csb1="DFD70000"/>
  </w:font>
  <w:font w:name="Roman">
    <w:altName w:val="Times New Roman"/>
    <w:panose1 w:val="00000000000000000000"/>
    <w:charset w:val="00"/>
    <w:family w:val="roman"/>
    <w:pitch w:val="default"/>
    <w:sig w:usb0="00000000" w:usb1="00000000" w:usb2="00000000" w:usb3="00000000" w:csb0="00040001" w:csb1="00000000"/>
  </w:font>
  <w:font w:name="PMingLiU">
    <w:altName w:val="Microsoft JhengHei"/>
    <w:panose1 w:val="02020500000000000000"/>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087" w:usb1="28AF4000" w:usb2="00000016" w:usb3="00000000" w:csb0="00100009" w:csb1="00000000"/>
  </w:font>
  <w:font w:name="Tahoma">
    <w:panose1 w:val="020B0604030504040204"/>
    <w:charset w:val="00"/>
    <w:family w:val="auto"/>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新宋体">
    <w:panose1 w:val="02010609030101010101"/>
    <w:charset w:val="86"/>
    <w:family w:val="auto"/>
    <w:pitch w:val="default"/>
    <w:sig w:usb0="00000003" w:usb1="288F0000" w:usb2="0000000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36"/>
      </w:rPr>
    </w:pPr>
    <w:r>
      <w:fldChar w:fldCharType="begin"/>
    </w:r>
    <w:r>
      <w:rPr>
        <w:rStyle w:val="36"/>
      </w:rPr>
      <w:instrText xml:space="preserve">PAGE  </w:instrText>
    </w:r>
    <w:r>
      <w:fldChar w:fldCharType="end"/>
    </w:r>
  </w:p>
  <w:p>
    <w:pPr>
      <w:pStyle w:val="2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2zUA5AgAAcQQAAA4AAABkcnMvZTJvRG9jLnhtbK1UzY7TMBC+I/EO&#10;lu80aWFX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Ev2zUA5AgAAcQQAAA4AAAAAAAAAAQAgAAAAHwEAAGRycy9lMm9Eb2Mu&#10;eG1sUEsFBgAAAAAGAAYAWQEAAMoFAAAAAA==&#10;">
              <v:fill on="f" focussize="0,0"/>
              <v:stroke on="f" weight="0.5pt"/>
              <v:imagedata o:title=""/>
              <o:lock v:ext="edit" aspectratio="f"/>
              <v:textbox inset="0mm,0mm,0mm,0mm" style="mso-fit-shape-to-text:t;">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pPr>
                      <w:pStyle w:val="24"/>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uGLA5AgAAcQQAAA4AAABkcnMvZTJvRG9jLnhtbK1UzY7TMBC+I/EO&#10;lu80aVesSt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tuGLA5AgAAcQQAAA4AAAAAAAAAAQAgAAAAHwEAAGRycy9lMm9Eb2Mu&#10;eG1sUEsFBgAAAAAGAAYAWQEAAMoFAAAAAA==&#10;">
              <v:fill on="f" focussize="0,0"/>
              <v:stroke on="f" weight="0.5pt"/>
              <v:imagedata o:title=""/>
              <o:lock v:ext="edit" aspectratio="f"/>
              <v:textbox inset="0mm,0mm,0mm,0mm" style="mso-fit-shape-to-text:t;">
                <w:txbxContent>
                  <w:p>
                    <w:pPr>
                      <w:pStyle w:val="24"/>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9" name="文本框 30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64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P+qU0AgAAZQ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7D/qlNAIAAGUEAAAOAAAAAAAAAAEAIAAAAB8BAABkcnMvZTJvRG9jLnhtbFBL&#10;BQYAAAAABgAGAFkBAADF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64</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Times New Roman" w:hAnsi="Times New Roman" w:eastAsia="宋体" w:cs="Times New Roman"/>
        <w:sz w:val="18"/>
        <w:szCs w:val="18"/>
      </w:rPr>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0" name="文本框 3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175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JjS9w0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iY0vcNAIAAGUEAAAOAAAAAAAAAAEAIAAAAB8BAABkcnMvZTJvRG9jLnhtbFBL&#10;BQYAAAAABgAGAFkBAADF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175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Times New Roman" w:hAnsi="Times New Roman" w:eastAsia="宋体" w:cs="Times New Roman"/>
        <w:sz w:val="18"/>
        <w:szCs w:val="18"/>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Times New Roman" w:hAnsi="Times New Roman" w:eastAsia="宋体" w:cs="Times New Roman"/>
        <w:sz w:val="18"/>
        <w:szCs w:val="18"/>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Times New Roman" w:hAnsi="Times New Roman" w:eastAsia="宋体" w:cs="Times New Roman"/>
        <w:sz w:val="18"/>
        <w:szCs w:val="18"/>
      </w:rP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8" name="文本框 3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ImduQ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iJnbkNAIAAGUEAAAOAAAAAAAAAAEAIAAAAB8BAABkcnMvZTJvRG9jLnhtbFBL&#10;BQYAAAAABgAGAFkBAADF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ascii="Times New Roman" w:hAnsi="Times New Roman" w:eastAsia="宋体" w:cs="Times New Roman"/>
      </w:rPr>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9" name="文本框 3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ma6Hg1AgAAZQQAAA4AAABkcnMvZTJvRG9jLnhtbK1UzY7TMBC+I/EO&#10;lu80aRdWpW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CZroeDUCAABlBAAADgAAAAAAAAABACAAAAAfAQAAZHJzL2Uyb0RvYy54bWxQ&#10;SwUGAAAAAAYABgBZAQAAxg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ascii="Times New Roman" w:hAnsi="Times New Roman" w:eastAsia="宋体" w:cs="Times New Roman"/>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0" name="文本框 3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D2WQE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Q9lkBMQIAAGUEAAAOAAAAAAAAAAEAIAAAAB8BAABkcnMvZTJvRG9jLnhtbFBLBQYA&#10;AAAABgAGAFkBAADC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widowControl/>
      <w:overflowPunct w:val="0"/>
      <w:autoSpaceDE w:val="0"/>
      <w:autoSpaceDN w:val="0"/>
      <w:ind w:right="360" w:firstLine="31680"/>
      <w:jc w:val="right"/>
      <w:textAlignment w:val="bottom"/>
      <w:rPr>
        <w:rFonts w:ascii="Times New Roman" w:hAnsi="Times New Roman" w:eastAsia="宋体" w:cs="Times New Roman"/>
      </w:rPr>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51" name="文本框 3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7SsedNAIAAGUEAAAOAAAAAAAAAAEAIAAAAB8BAABkcnMvZTJvRG9jLnhtbFBL&#10;BQYAAAAABgAGAFkBAADF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overflowPunct w:val="0"/>
      <w:autoSpaceDE w:val="0"/>
      <w:autoSpaceDN w:val="0"/>
      <w:snapToGrid w:val="0"/>
      <w:spacing w:line="240" w:lineRule="auto"/>
      <w:ind w:right="360" w:firstLine="360" w:firstLineChars="200"/>
      <w:jc w:val="right"/>
      <w:textAlignment w:val="bottom"/>
      <w:rPr>
        <w:rFonts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352" name="文本框 3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IFeM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HiBXjNAIAAGUEAAAOAAAAAAAAAAEAIAAAAB8BAABkcnMvZTJvRG9jLnhtbFBL&#10;BQYAAAAABgAGAFkBAADF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firstLine="360"/>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353" name="文本框 3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61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sNIt/NAIAAGUEAAAOAAAAAAAAAAEAIAAAAB8BAABkcnMvZTJvRG9jLnhtbFBL&#10;BQYAAAAABgAGAFkBAADF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tabs>
        <w:tab w:val="center" w:pos="4147"/>
        <w:tab w:val="right" w:pos="8309"/>
        <w:tab w:val="clear" w:pos="4153"/>
        <w:tab w:val="clear" w:pos="8306"/>
      </w:tabs>
      <w:ind w:firstLine="31680"/>
      <w:rPr>
        <w:rFonts w:ascii="Times New Roman" w:hAnsi="Times New Roman"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adjustRightInd w:val="0"/>
      <w:spacing w:after="0" w:line="240" w:lineRule="auto"/>
      <w:ind w:firstLine="420" w:firstLineChars="200"/>
      <w:jc w:val="center"/>
      <w:textAlignment w:val="baseline"/>
      <w:rPr>
        <w:rFonts w:ascii="Times New Roman" w:hAnsi="Times New Roman" w:eastAsia="宋体" w:cs="Times New Roman"/>
        <w:kern w:val="0"/>
        <w:sz w:val="21"/>
        <w:szCs w:val="20"/>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546774"/>
    <w:multiLevelType w:val="singleLevel"/>
    <w:tmpl w:val="89546774"/>
    <w:lvl w:ilvl="0" w:tentative="0">
      <w:start w:val="3"/>
      <w:numFmt w:val="decimal"/>
      <w:suff w:val="nothing"/>
      <w:lvlText w:val="%1）"/>
      <w:lvlJc w:val="left"/>
    </w:lvl>
  </w:abstractNum>
  <w:abstractNum w:abstractNumId="1">
    <w:nsid w:val="8FD56F23"/>
    <w:multiLevelType w:val="singleLevel"/>
    <w:tmpl w:val="8FD56F23"/>
    <w:lvl w:ilvl="0" w:tentative="0">
      <w:start w:val="1"/>
      <w:numFmt w:val="decimal"/>
      <w:suff w:val="nothing"/>
      <w:lvlText w:val="表%1　"/>
      <w:lvlJc w:val="left"/>
      <w:pPr>
        <w:ind w:left="0" w:firstLine="397"/>
      </w:pPr>
      <w:rPr>
        <w:rFonts w:hint="default"/>
        <w:b/>
        <w:bCs/>
        <w:vertAlign w:val="baseline"/>
      </w:rPr>
    </w:lvl>
  </w:abstractNum>
  <w:abstractNum w:abstractNumId="2">
    <w:nsid w:val="9279F1AB"/>
    <w:multiLevelType w:val="singleLevel"/>
    <w:tmpl w:val="9279F1AB"/>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3">
    <w:nsid w:val="9A4732FD"/>
    <w:multiLevelType w:val="singleLevel"/>
    <w:tmpl w:val="9A4732FD"/>
    <w:lvl w:ilvl="0" w:tentative="0">
      <w:start w:val="1"/>
      <w:numFmt w:val="upperLetter"/>
      <w:suff w:val="nothing"/>
      <w:lvlText w:val="%1、"/>
      <w:lvlJc w:val="left"/>
    </w:lvl>
  </w:abstractNum>
  <w:abstractNum w:abstractNumId="4">
    <w:nsid w:val="A55B4709"/>
    <w:multiLevelType w:val="singleLevel"/>
    <w:tmpl w:val="A55B4709"/>
    <w:lvl w:ilvl="0" w:tentative="0">
      <w:start w:val="1"/>
      <w:numFmt w:val="decimal"/>
      <w:suff w:val="nothing"/>
      <w:lvlText w:val="表3-%1　"/>
      <w:lvlJc w:val="left"/>
      <w:pPr>
        <w:ind w:left="0" w:firstLine="403"/>
      </w:pPr>
      <w:rPr>
        <w:rFonts w:hint="default"/>
      </w:rPr>
    </w:lvl>
  </w:abstractNum>
  <w:abstractNum w:abstractNumId="5">
    <w:nsid w:val="A693B8E0"/>
    <w:multiLevelType w:val="multilevel"/>
    <w:tmpl w:val="A693B8E0"/>
    <w:lvl w:ilvl="0" w:tentative="0">
      <w:start w:val="1"/>
      <w:numFmt w:val="decimal"/>
      <w:pStyle w:val="45"/>
      <w:isLgl/>
      <w:lvlText w:val="表%1 "/>
      <w:lvlJc w:val="left"/>
      <w:pPr>
        <w:tabs>
          <w:tab w:val="left" w:pos="0"/>
        </w:tabs>
        <w:ind w:left="0" w:leftChars="0" w:firstLine="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6">
    <w:nsid w:val="AC4CCFBA"/>
    <w:multiLevelType w:val="singleLevel"/>
    <w:tmpl w:val="AC4CCFBA"/>
    <w:lvl w:ilvl="0" w:tentative="0">
      <w:start w:val="1"/>
      <w:numFmt w:val="decimal"/>
      <w:suff w:val="nothing"/>
      <w:lvlText w:val="表8-%1 "/>
      <w:lvlJc w:val="left"/>
      <w:pPr>
        <w:ind w:left="0" w:firstLine="397"/>
      </w:pPr>
      <w:rPr>
        <w:rFonts w:hint="default"/>
      </w:rPr>
    </w:lvl>
  </w:abstractNum>
  <w:abstractNum w:abstractNumId="7">
    <w:nsid w:val="AD9FC904"/>
    <w:multiLevelType w:val="multilevel"/>
    <w:tmpl w:val="AD9FC904"/>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5.3.%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BB0D85BC"/>
    <w:multiLevelType w:val="multilevel"/>
    <w:tmpl w:val="BB0D85BC"/>
    <w:lvl w:ilvl="0" w:tentative="0">
      <w:start w:val="1"/>
      <w:numFmt w:val="decimal"/>
      <w:lvlText w:val="%1."/>
      <w:lvlJc w:val="left"/>
      <w:pPr>
        <w:ind w:left="425" w:hanging="425"/>
      </w:pPr>
      <w:rPr>
        <w:rFonts w:hint="default" w:ascii="宋体" w:hAnsi="宋体" w:eastAsia="宋体" w:cs="宋体"/>
      </w:rPr>
    </w:lvl>
    <w:lvl w:ilvl="1" w:tentative="0">
      <w:start w:val="1"/>
      <w:numFmt w:val="decimal"/>
      <w:pStyle w:val="3"/>
      <w:lvlText w:val="%1.%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BEADF091"/>
    <w:multiLevelType w:val="singleLevel"/>
    <w:tmpl w:val="BEADF091"/>
    <w:lvl w:ilvl="0" w:tentative="0">
      <w:start w:val="13"/>
      <w:numFmt w:val="chineseCounting"/>
      <w:suff w:val="space"/>
      <w:lvlText w:val="第%1条"/>
      <w:lvlJc w:val="left"/>
      <w:rPr>
        <w:rFonts w:hint="eastAsia"/>
      </w:rPr>
    </w:lvl>
  </w:abstractNum>
  <w:abstractNum w:abstractNumId="10">
    <w:nsid w:val="C234B945"/>
    <w:multiLevelType w:val="singleLevel"/>
    <w:tmpl w:val="C234B945"/>
    <w:lvl w:ilvl="0" w:tentative="0">
      <w:start w:val="2"/>
      <w:numFmt w:val="decimal"/>
      <w:suff w:val="nothing"/>
      <w:lvlText w:val="（%1）"/>
      <w:lvlJc w:val="left"/>
    </w:lvl>
  </w:abstractNum>
  <w:abstractNum w:abstractNumId="11">
    <w:nsid w:val="CF581B23"/>
    <w:multiLevelType w:val="multilevel"/>
    <w:tmpl w:val="CF581B23"/>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ascii="宋体" w:hAnsi="宋体" w:eastAsia="宋体" w:cs="宋体"/>
      </w:rPr>
    </w:lvl>
    <w:lvl w:ilvl="2" w:tentative="0">
      <w:start w:val="1"/>
      <w:numFmt w:val="decimal"/>
      <w:lvlText w:val="5.%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2">
    <w:nsid w:val="D07DC5C0"/>
    <w:multiLevelType w:val="multilevel"/>
    <w:tmpl w:val="D07DC5C0"/>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6.1.%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3">
    <w:nsid w:val="D521DA74"/>
    <w:multiLevelType w:val="singleLevel"/>
    <w:tmpl w:val="D521DA74"/>
    <w:lvl w:ilvl="0" w:tentative="0">
      <w:start w:val="1"/>
      <w:numFmt w:val="decimal"/>
      <w:suff w:val="nothing"/>
      <w:lvlText w:val="表%1　"/>
      <w:lvlJc w:val="left"/>
      <w:pPr>
        <w:ind w:left="0" w:firstLine="403"/>
      </w:pPr>
      <w:rPr>
        <w:rFonts w:hint="default" w:ascii="宋体" w:hAnsi="宋体" w:eastAsia="宋体" w:cs="宋体"/>
        <w:b/>
        <w:bCs/>
        <w:vertAlign w:val="baseline"/>
      </w:rPr>
    </w:lvl>
  </w:abstractNum>
  <w:abstractNum w:abstractNumId="14">
    <w:nsid w:val="DBFDC1A0"/>
    <w:multiLevelType w:val="multilevel"/>
    <w:tmpl w:val="DBFDC1A0"/>
    <w:lvl w:ilvl="0" w:tentative="0">
      <w:start w:val="1"/>
      <w:numFmt w:val="decimal"/>
      <w:pStyle w:val="58"/>
      <w:suff w:val="space"/>
      <w:lvlText w:val="图%1"/>
      <w:lvlJc w:val="center"/>
      <w:pPr>
        <w:tabs>
          <w:tab w:val="left" w:pos="0"/>
        </w:tabs>
        <w:ind w:left="425" w:hanging="425"/>
      </w:pPr>
      <w:rPr>
        <w:rFonts w:hint="default" w:ascii="Times New Roman" w:hAnsi="Times New Roman" w:eastAsia="宋体" w:cs="Times New Roman"/>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5">
    <w:nsid w:val="E248CE9D"/>
    <w:multiLevelType w:val="multilevel"/>
    <w:tmpl w:val="E248CE9D"/>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4"/>
      <w:lvlText w:val="%1.%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6">
    <w:nsid w:val="F10BB453"/>
    <w:multiLevelType w:val="multilevel"/>
    <w:tmpl w:val="F10BB453"/>
    <w:lvl w:ilvl="0" w:tentative="0">
      <w:start w:val="1"/>
      <w:numFmt w:val="decimal"/>
      <w:pStyle w:val="2"/>
      <w:lvlText w:val="%1."/>
      <w:lvlJc w:val="left"/>
      <w:pPr>
        <w:tabs>
          <w:tab w:val="left" w:pos="0"/>
        </w:tabs>
        <w:ind w:left="0" w:leftChars="0" w:firstLine="0" w:firstLineChars="0"/>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7">
    <w:nsid w:val="F5CB649D"/>
    <w:multiLevelType w:val="singleLevel"/>
    <w:tmpl w:val="F5CB649D"/>
    <w:lvl w:ilvl="0" w:tentative="0">
      <w:start w:val="2"/>
      <w:numFmt w:val="decimal"/>
      <w:suff w:val="nothing"/>
      <w:lvlText w:val="（%1）"/>
      <w:lvlJc w:val="left"/>
    </w:lvl>
  </w:abstractNum>
  <w:abstractNum w:abstractNumId="18">
    <w:nsid w:val="00000002"/>
    <w:multiLevelType w:val="multilevel"/>
    <w:tmpl w:val="00000002"/>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9">
    <w:nsid w:val="0D40A816"/>
    <w:multiLevelType w:val="multilevel"/>
    <w:tmpl w:val="0D40A816"/>
    <w:lvl w:ilvl="0" w:tentative="0">
      <w:start w:val="1"/>
      <w:numFmt w:val="decimal"/>
      <w:lvlText w:val="%1."/>
      <w:lvlJc w:val="left"/>
      <w:pPr>
        <w:ind w:left="425" w:hanging="425"/>
      </w:pPr>
      <w:rPr>
        <w:rFonts w:hint="default"/>
      </w:rPr>
    </w:lvl>
    <w:lvl w:ilvl="1" w:tentative="0">
      <w:start w:val="3"/>
      <w:numFmt w:val="decimal"/>
      <w:lvlText w:val="7.%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0">
    <w:nsid w:val="10088609"/>
    <w:multiLevelType w:val="singleLevel"/>
    <w:tmpl w:val="10088609"/>
    <w:lvl w:ilvl="0" w:tentative="0">
      <w:start w:val="1"/>
      <w:numFmt w:val="decimal"/>
      <w:suff w:val="nothing"/>
      <w:lvlText w:val="表7-%1　"/>
      <w:lvlJc w:val="left"/>
      <w:pPr>
        <w:ind w:left="0" w:firstLine="0"/>
      </w:pPr>
      <w:rPr>
        <w:rFonts w:hint="default"/>
      </w:rPr>
    </w:lvl>
  </w:abstractNum>
  <w:abstractNum w:abstractNumId="21">
    <w:nsid w:val="15D7DB02"/>
    <w:multiLevelType w:val="multilevel"/>
    <w:tmpl w:val="15D7DB02"/>
    <w:lvl w:ilvl="0" w:tentative="0">
      <w:start w:val="1"/>
      <w:numFmt w:val="decimal"/>
      <w:lvlText w:val="%1."/>
      <w:lvlJc w:val="left"/>
      <w:pPr>
        <w:ind w:left="425" w:hanging="425"/>
      </w:pPr>
      <w:rPr>
        <w:rFonts w:hint="default"/>
      </w:rPr>
    </w:lvl>
    <w:lvl w:ilvl="1" w:tentative="0">
      <w:start w:val="1"/>
      <w:numFmt w:val="decimal"/>
      <w:lvlText w:val="7.%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2">
    <w:nsid w:val="1B5BECA7"/>
    <w:multiLevelType w:val="singleLevel"/>
    <w:tmpl w:val="1B5BECA7"/>
    <w:lvl w:ilvl="0" w:tentative="0">
      <w:start w:val="17"/>
      <w:numFmt w:val="chineseCounting"/>
      <w:suff w:val="space"/>
      <w:lvlText w:val="第%1条"/>
      <w:lvlJc w:val="left"/>
      <w:rPr>
        <w:rFonts w:hint="eastAsia"/>
      </w:rPr>
    </w:lvl>
  </w:abstractNum>
  <w:abstractNum w:abstractNumId="23">
    <w:nsid w:val="1C16754E"/>
    <w:multiLevelType w:val="singleLevel"/>
    <w:tmpl w:val="1C16754E"/>
    <w:lvl w:ilvl="0" w:tentative="0">
      <w:start w:val="1"/>
      <w:numFmt w:val="decimal"/>
      <w:suff w:val="nothing"/>
      <w:lvlText w:val="（%1）"/>
      <w:lvlJc w:val="left"/>
      <w:pPr>
        <w:ind w:left="-12"/>
      </w:pPr>
    </w:lvl>
  </w:abstractNum>
  <w:abstractNum w:abstractNumId="24">
    <w:nsid w:val="21AA67C8"/>
    <w:multiLevelType w:val="singleLevel"/>
    <w:tmpl w:val="21AA67C8"/>
    <w:lvl w:ilvl="0" w:tentative="0">
      <w:start w:val="1"/>
      <w:numFmt w:val="decimal"/>
      <w:suff w:val="nothing"/>
      <w:lvlText w:val="图6-%1　"/>
      <w:lvlJc w:val="left"/>
      <w:pPr>
        <w:ind w:left="0" w:firstLine="397"/>
      </w:pPr>
      <w:rPr>
        <w:rFonts w:hint="default"/>
      </w:rPr>
    </w:lvl>
  </w:abstractNum>
  <w:abstractNum w:abstractNumId="25">
    <w:nsid w:val="2C806BBE"/>
    <w:multiLevelType w:val="multilevel"/>
    <w:tmpl w:val="2C806BBE"/>
    <w:lvl w:ilvl="0" w:tentative="0">
      <w:start w:val="1"/>
      <w:numFmt w:val="decimal"/>
      <w:pStyle w:val="119"/>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tabs>
          <w:tab w:val="left" w:pos="0"/>
        </w:tabs>
        <w:ind w:left="0" w:leftChars="0" w:firstLine="0" w:firstLineChars="0"/>
      </w:pPr>
      <w:rPr>
        <w:rFonts w:hint="default" w:ascii="宋体" w:hAnsi="宋体" w:eastAsia="宋体" w:cs="宋体"/>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26">
    <w:nsid w:val="333A26D6"/>
    <w:multiLevelType w:val="singleLevel"/>
    <w:tmpl w:val="333A26D6"/>
    <w:lvl w:ilvl="0" w:tentative="0">
      <w:start w:val="1"/>
      <w:numFmt w:val="decimal"/>
      <w:suff w:val="nothing"/>
      <w:lvlText w:val="表6-%1　"/>
      <w:lvlJc w:val="left"/>
      <w:pPr>
        <w:ind w:left="0" w:firstLine="397"/>
      </w:pPr>
      <w:rPr>
        <w:rFonts w:hint="default"/>
      </w:rPr>
    </w:lvl>
  </w:abstractNum>
  <w:abstractNum w:abstractNumId="27">
    <w:nsid w:val="3602FC4D"/>
    <w:multiLevelType w:val="multilevel"/>
    <w:tmpl w:val="3602FC4D"/>
    <w:lvl w:ilvl="0" w:tentative="0">
      <w:start w:val="1"/>
      <w:numFmt w:val="decimal"/>
      <w:lvlText w:val="%1."/>
      <w:lvlJc w:val="left"/>
      <w:pPr>
        <w:ind w:left="425" w:hanging="425"/>
      </w:pPr>
      <w:rPr>
        <w:rFonts w:hint="default"/>
      </w:rPr>
    </w:lvl>
    <w:lvl w:ilvl="1" w:tentative="0">
      <w:start w:val="1"/>
      <w:numFmt w:val="decimal"/>
      <w:lvlText w:val="8.%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3EAFBDA8"/>
    <w:multiLevelType w:val="singleLevel"/>
    <w:tmpl w:val="3EAFBDA8"/>
    <w:lvl w:ilvl="0" w:tentative="0">
      <w:start w:val="1"/>
      <w:numFmt w:val="decimal"/>
      <w:pStyle w:val="121"/>
      <w:suff w:val="nothing"/>
      <w:lvlText w:val="%1、"/>
      <w:lvlJc w:val="left"/>
      <w:pPr>
        <w:ind w:left="0" w:firstLine="0"/>
      </w:pPr>
      <w:rPr>
        <w:rFonts w:hint="default"/>
      </w:rPr>
    </w:lvl>
  </w:abstractNum>
  <w:abstractNum w:abstractNumId="29">
    <w:nsid w:val="4D2C40AF"/>
    <w:multiLevelType w:val="multilevel"/>
    <w:tmpl w:val="4D2C40AF"/>
    <w:lvl w:ilvl="0" w:tentative="0">
      <w:start w:val="1"/>
      <w:numFmt w:val="decimal"/>
      <w:pStyle w:val="116"/>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30">
    <w:nsid w:val="4D4AF8E3"/>
    <w:multiLevelType w:val="singleLevel"/>
    <w:tmpl w:val="4D4AF8E3"/>
    <w:lvl w:ilvl="0" w:tentative="0">
      <w:start w:val="1"/>
      <w:numFmt w:val="decimal"/>
      <w:suff w:val="nothing"/>
      <w:lvlText w:val="表2-%1 "/>
      <w:lvlJc w:val="left"/>
      <w:pPr>
        <w:tabs>
          <w:tab w:val="left" w:pos="0"/>
        </w:tabs>
        <w:ind w:left="0" w:firstLine="403"/>
      </w:pPr>
      <w:rPr>
        <w:rFonts w:hint="default" w:ascii="宋体" w:hAnsi="宋体" w:eastAsia="宋体" w:cs="宋体"/>
      </w:rPr>
    </w:lvl>
  </w:abstractNum>
  <w:abstractNum w:abstractNumId="31">
    <w:nsid w:val="53EDF307"/>
    <w:multiLevelType w:val="multilevel"/>
    <w:tmpl w:val="53EDF307"/>
    <w:lvl w:ilvl="0" w:tentative="0">
      <w:start w:val="1"/>
      <w:numFmt w:val="decimal"/>
      <w:suff w:val="space"/>
      <w:lvlText w:val="%1"/>
      <w:lvlJc w:val="left"/>
      <w:pPr>
        <w:tabs>
          <w:tab w:val="left" w:pos="0"/>
        </w:tabs>
        <w:ind w:left="432" w:hanging="432"/>
      </w:pPr>
      <w:rPr>
        <w:rFonts w:hint="default" w:ascii="Times New Roman" w:hAnsi="Times New Roman" w:eastAsia="宋体" w:cs="Times New Roman"/>
        <w:sz w:val="36"/>
        <w:szCs w:val="36"/>
      </w:rPr>
    </w:lvl>
    <w:lvl w:ilvl="1" w:tentative="0">
      <w:start w:val="1"/>
      <w:numFmt w:val="decimal"/>
      <w:suff w:val="space"/>
      <w:lvlText w:val="%1.%2"/>
      <w:lvlJc w:val="left"/>
      <w:pPr>
        <w:tabs>
          <w:tab w:val="left" w:pos="0"/>
        </w:tabs>
        <w:ind w:left="576" w:hanging="576"/>
      </w:pPr>
      <w:rPr>
        <w:rFonts w:hint="default" w:ascii="Times New Roman" w:hAnsi="Times New Roman" w:eastAsia="宋体" w:cs="Times New Roman"/>
        <w:sz w:val="30"/>
        <w:szCs w:val="30"/>
      </w:rPr>
    </w:lvl>
    <w:lvl w:ilvl="2" w:tentative="0">
      <w:start w:val="1"/>
      <w:numFmt w:val="decimal"/>
      <w:suff w:val="space"/>
      <w:lvlText w:val="%1.%2.%3"/>
      <w:lvlJc w:val="left"/>
      <w:pPr>
        <w:tabs>
          <w:tab w:val="left" w:pos="420"/>
        </w:tabs>
        <w:ind w:left="720" w:hanging="720"/>
      </w:pPr>
      <w:rPr>
        <w:rFonts w:hint="default" w:ascii="Times New Roman" w:hAnsi="Times New Roman" w:eastAsia="宋体" w:cs="Times New Roman"/>
        <w:sz w:val="24"/>
        <w:szCs w:val="24"/>
      </w:rPr>
    </w:lvl>
    <w:lvl w:ilvl="3" w:tentative="0">
      <w:start w:val="1"/>
      <w:numFmt w:val="decimal"/>
      <w:suff w:val="space"/>
      <w:lvlText w:val="%1.%2.%3.%4"/>
      <w:lvlJc w:val="left"/>
      <w:pPr>
        <w:tabs>
          <w:tab w:val="left" w:pos="420"/>
        </w:tabs>
        <w:ind w:left="864" w:hanging="864"/>
      </w:pPr>
      <w:rPr>
        <w:rFonts w:hint="default" w:ascii="Times New Roman" w:hAnsi="Times New Roman" w:eastAsia="宋体" w:cs="Times New Roman"/>
        <w:sz w:val="24"/>
        <w:szCs w:val="24"/>
      </w:rPr>
    </w:lvl>
    <w:lvl w:ilvl="4" w:tentative="0">
      <w:start w:val="1"/>
      <w:numFmt w:val="decimal"/>
      <w:lvlRestart w:val="2"/>
      <w:pStyle w:val="86"/>
      <w:suff w:val="space"/>
      <w:lvlText w:val="表%1.%2-%5"/>
      <w:lvlJc w:val="left"/>
      <w:pPr>
        <w:tabs>
          <w:tab w:val="left" w:pos="0"/>
        </w:tabs>
        <w:ind w:left="1008" w:hanging="1008"/>
      </w:pPr>
      <w:rPr>
        <w:rFonts w:hint="default" w:ascii="Times New Roman" w:hAnsi="Times New Roman" w:eastAsia="宋体" w:cs="Times New Roman"/>
        <w:sz w:val="24"/>
        <w:szCs w:val="24"/>
      </w:rPr>
    </w:lvl>
    <w:lvl w:ilvl="5" w:tentative="0">
      <w:start w:val="1"/>
      <w:numFmt w:val="decimal"/>
      <w:lvlRestart w:val="2"/>
      <w:suff w:val="space"/>
      <w:lvlText w:val="图%1.%2-%6"/>
      <w:lvlJc w:val="left"/>
      <w:pPr>
        <w:tabs>
          <w:tab w:val="left" w:pos="420"/>
        </w:tabs>
        <w:ind w:left="1152" w:hanging="1152"/>
      </w:pPr>
      <w:rPr>
        <w:rFonts w:hint="default" w:ascii="Times New Roman" w:hAnsi="Times New Roman" w:eastAsia="宋体" w:cs="Times New Roman"/>
        <w:sz w:val="24"/>
        <w:szCs w:val="24"/>
      </w:r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2">
    <w:nsid w:val="56E608AD"/>
    <w:multiLevelType w:val="multilevel"/>
    <w:tmpl w:val="56E608AD"/>
    <w:lvl w:ilvl="0" w:tentative="0">
      <w:start w:val="1"/>
      <w:numFmt w:val="decimal"/>
      <w:lvlText w:val="%1."/>
      <w:lvlJc w:val="left"/>
      <w:pPr>
        <w:ind w:left="425" w:hanging="425"/>
      </w:pPr>
      <w:rPr>
        <w:rFonts w:hint="default"/>
      </w:rPr>
    </w:lvl>
    <w:lvl w:ilvl="1" w:tentative="0">
      <w:start w:val="1"/>
      <w:numFmt w:val="decimal"/>
      <w:pStyle w:val="117"/>
      <w:lvlText w:val="%1.%2."/>
      <w:lvlJc w:val="left"/>
      <w:pPr>
        <w:tabs>
          <w:tab w:val="left" w:pos="0"/>
        </w:tabs>
        <w:ind w:left="0" w:leftChars="0" w:firstLine="0" w:firstLineChars="0"/>
      </w:pPr>
      <w:rPr>
        <w:rFonts w:hint="default" w:ascii="Times New Roman" w:hAnsi="Times New Roman" w:eastAsia="宋体" w:cs="Times New Roman"/>
        <w:sz w:val="24"/>
        <w:szCs w:val="24"/>
      </w:rPr>
    </w:lvl>
    <w:lvl w:ilvl="2" w:tentative="0">
      <w:start w:val="1"/>
      <w:numFmt w:val="decimal"/>
      <w:lvlText w:val="%1.%2.%3."/>
      <w:lvlJc w:val="left"/>
      <w:pPr>
        <w:ind w:left="1508" w:hanging="708"/>
      </w:pPr>
      <w:rPr>
        <w:rFonts w:hint="default" w:ascii="Times New Roman" w:hAnsi="Times New Roman" w:eastAsia="宋体" w:cs="Times New Roman"/>
        <w:sz w:val="24"/>
        <w:szCs w:val="24"/>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33">
    <w:nsid w:val="57D447A3"/>
    <w:multiLevelType w:val="singleLevel"/>
    <w:tmpl w:val="57D447A3"/>
    <w:lvl w:ilvl="0" w:tentative="0">
      <w:start w:val="1"/>
      <w:numFmt w:val="upperLetter"/>
      <w:suff w:val="nothing"/>
      <w:lvlText w:val="%1、"/>
      <w:lvlJc w:val="left"/>
    </w:lvl>
  </w:abstractNum>
  <w:abstractNum w:abstractNumId="34">
    <w:nsid w:val="59F00F8B"/>
    <w:multiLevelType w:val="multilevel"/>
    <w:tmpl w:val="59F00F8B"/>
    <w:lvl w:ilvl="0" w:tentative="0">
      <w:start w:val="1"/>
      <w:numFmt w:val="decimal"/>
      <w:lvlText w:val="%1."/>
      <w:lvlJc w:val="left"/>
      <w:pPr>
        <w:ind w:left="425" w:hanging="425"/>
      </w:pPr>
      <w:rPr>
        <w:rFonts w:hint="default"/>
      </w:rPr>
    </w:lvl>
    <w:lvl w:ilvl="1" w:tentative="0">
      <w:start w:val="1"/>
      <w:numFmt w:val="decimal"/>
      <w:lvlText w:val="6.%2."/>
      <w:lvlJc w:val="left"/>
      <w:pPr>
        <w:ind w:left="567" w:hanging="567"/>
      </w:pPr>
      <w:rPr>
        <w:rFonts w:hint="default" w:ascii="宋体" w:hAnsi="宋体" w:eastAsia="宋体" w:cs="宋体"/>
      </w:rPr>
    </w:lvl>
    <w:lvl w:ilvl="2" w:tentative="0">
      <w:start w:val="1"/>
      <w:numFmt w:val="decimal"/>
      <w:lvlText w:val="%1.%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5">
    <w:nsid w:val="5B1C007A"/>
    <w:multiLevelType w:val="singleLevel"/>
    <w:tmpl w:val="5B1C007A"/>
    <w:lvl w:ilvl="0" w:tentative="0">
      <w:start w:val="1"/>
      <w:numFmt w:val="decimal"/>
      <w:suff w:val="nothing"/>
      <w:lvlText w:val="图7-%1　"/>
      <w:lvlJc w:val="left"/>
      <w:pPr>
        <w:ind w:left="0" w:firstLine="397"/>
      </w:pPr>
      <w:rPr>
        <w:rFonts w:hint="default"/>
      </w:rPr>
    </w:lvl>
  </w:abstractNum>
  <w:abstractNum w:abstractNumId="36">
    <w:nsid w:val="5BD627EC"/>
    <w:multiLevelType w:val="multilevel"/>
    <w:tmpl w:val="5BD627EC"/>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7.3.%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7">
    <w:nsid w:val="5D227194"/>
    <w:multiLevelType w:val="singleLevel"/>
    <w:tmpl w:val="5D227194"/>
    <w:lvl w:ilvl="0" w:tentative="0">
      <w:start w:val="1"/>
      <w:numFmt w:val="decimal"/>
      <w:suff w:val="nothing"/>
      <w:lvlText w:val="表4-%1 "/>
      <w:lvlJc w:val="left"/>
      <w:pPr>
        <w:ind w:left="0" w:firstLine="403"/>
      </w:pPr>
      <w:rPr>
        <w:rFonts w:hint="default"/>
        <w:sz w:val="21"/>
      </w:rPr>
    </w:lvl>
  </w:abstractNum>
  <w:abstractNum w:abstractNumId="38">
    <w:nsid w:val="613396C1"/>
    <w:multiLevelType w:val="multilevel"/>
    <w:tmpl w:val="613396C1"/>
    <w:lvl w:ilvl="0" w:tentative="0">
      <w:start w:val="1"/>
      <w:numFmt w:val="decimal"/>
      <w:pStyle w:val="46"/>
      <w:isLgl/>
      <w:suff w:val="space"/>
      <w:lvlText w:val="图%1"/>
      <w:lvlJc w:val="center"/>
      <w:pPr>
        <w:tabs>
          <w:tab w:val="left" w:pos="0"/>
        </w:tabs>
        <w:ind w:left="5520" w:leftChars="0" w:firstLine="0" w:firstLineChars="0"/>
      </w:pPr>
      <w:rPr>
        <w:rFonts w:hint="default" w:ascii="宋体" w:hAnsi="宋体" w:eastAsia="宋体" w:cs="宋体"/>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9">
    <w:nsid w:val="617C57FC"/>
    <w:multiLevelType w:val="singleLevel"/>
    <w:tmpl w:val="617C57FC"/>
    <w:lvl w:ilvl="0" w:tentative="0">
      <w:start w:val="1"/>
      <w:numFmt w:val="decimal"/>
      <w:suff w:val="nothing"/>
      <w:lvlText w:val="（%1）"/>
      <w:lvlJc w:val="left"/>
      <w:pPr>
        <w:ind w:left="-12"/>
      </w:pPr>
    </w:lvl>
  </w:abstractNum>
  <w:abstractNum w:abstractNumId="40">
    <w:nsid w:val="68754263"/>
    <w:multiLevelType w:val="multilevel"/>
    <w:tmpl w:val="68754263"/>
    <w:lvl w:ilvl="0" w:tentative="0">
      <w:start w:val="1"/>
      <w:numFmt w:val="chineseCounting"/>
      <w:lvlText w:val="%1、"/>
      <w:lvlJc w:val="left"/>
      <w:pPr>
        <w:tabs>
          <w:tab w:val="left" w:pos="420"/>
        </w:tabs>
        <w:ind w:left="425" w:hanging="425"/>
      </w:pPr>
      <w:rPr>
        <w:rFonts w:hint="eastAsia" w:ascii="宋体" w:hAnsi="宋体" w:eastAsia="宋体" w:cs="宋体"/>
        <w:sz w:val="30"/>
        <w:szCs w:val="30"/>
      </w:rPr>
    </w:lvl>
    <w:lvl w:ilvl="1" w:tentative="0">
      <w:start w:val="1"/>
      <w:numFmt w:val="decimal"/>
      <w:pStyle w:val="105"/>
      <w:isLgl/>
      <w:suff w:val="space"/>
      <w:lvlText w:val="表%1-%2"/>
      <w:lvlJc w:val="left"/>
      <w:pPr>
        <w:tabs>
          <w:tab w:val="left" w:pos="0"/>
        </w:tabs>
        <w:ind w:left="3087" w:hanging="3087"/>
      </w:pPr>
      <w:rPr>
        <w:rFonts w:hint="default" w:ascii="Times New Roman" w:hAnsi="Times New Roman" w:eastAsia="宋体" w:cs="Times New Roman"/>
        <w:sz w:val="24"/>
        <w:szCs w:val="24"/>
      </w:rPr>
    </w:lvl>
    <w:lvl w:ilvl="2" w:tentative="0">
      <w:start w:val="1"/>
      <w:numFmt w:val="none"/>
      <w:lvlText w:val="表3-%1 "/>
      <w:lvlJc w:val="left"/>
      <w:pPr>
        <w:ind w:left="709" w:hanging="709"/>
      </w:pPr>
      <w:rPr>
        <w:rFonts w:hint="eastAsia" w:ascii="宋体" w:hAnsi="宋体" w:eastAsia="宋体" w:cs="宋体"/>
      </w:rPr>
    </w:lvl>
    <w:lvl w:ilvl="3" w:tentative="0">
      <w:start w:val="1"/>
      <w:numFmt w:val="none"/>
      <w:lvlText w:val="表4-%1 "/>
      <w:lvlJc w:val="left"/>
      <w:pPr>
        <w:ind w:left="850" w:hanging="850"/>
      </w:pPr>
      <w:rPr>
        <w:rFonts w:hint="eastAsia" w:ascii="宋体" w:hAnsi="宋体" w:eastAsia="宋体" w:cs="宋体"/>
      </w:rPr>
    </w:lvl>
    <w:lvl w:ilvl="4" w:tentative="0">
      <w:start w:val="1"/>
      <w:numFmt w:val="none"/>
      <w:lvlText w:val="表5-%1 "/>
      <w:lvlJc w:val="left"/>
      <w:pPr>
        <w:ind w:left="991" w:hanging="991"/>
      </w:pPr>
      <w:rPr>
        <w:rFonts w:hint="eastAsia" w:ascii="宋体" w:hAnsi="宋体" w:eastAsia="宋体" w:cs="宋体"/>
      </w:rPr>
    </w:lvl>
    <w:lvl w:ilvl="5" w:tentative="0">
      <w:start w:val="1"/>
      <w:numFmt w:val="none"/>
      <w:lvlText w:val="表6-%1 "/>
      <w:lvlJc w:val="left"/>
      <w:pPr>
        <w:ind w:left="1134" w:hanging="1134"/>
      </w:pPr>
      <w:rPr>
        <w:rFonts w:hint="eastAsia" w:ascii="宋体" w:hAnsi="宋体" w:eastAsia="宋体" w:cs="宋体"/>
      </w:rPr>
    </w:lvl>
    <w:lvl w:ilvl="6" w:tentative="0">
      <w:start w:val="1"/>
      <w:numFmt w:val="none"/>
      <w:lvlText w:val="表7-%1 "/>
      <w:lvlJc w:val="left"/>
      <w:pPr>
        <w:ind w:left="1275" w:hanging="1275"/>
      </w:pPr>
      <w:rPr>
        <w:rFonts w:hint="eastAsia" w:ascii="宋体" w:hAnsi="宋体" w:eastAsia="宋体" w:cs="宋体"/>
      </w:rPr>
    </w:lvl>
    <w:lvl w:ilvl="7" w:tentative="0">
      <w:start w:val="1"/>
      <w:numFmt w:val="none"/>
      <w:lvlText w:val="表8-%1 "/>
      <w:lvlJc w:val="left"/>
      <w:pPr>
        <w:ind w:left="1418" w:hanging="1418"/>
      </w:pPr>
      <w:rPr>
        <w:rFonts w:hint="eastAsia" w:ascii="宋体" w:hAnsi="宋体" w:eastAsia="宋体" w:cs="宋体"/>
      </w:rPr>
    </w:lvl>
    <w:lvl w:ilvl="8" w:tentative="0">
      <w:start w:val="1"/>
      <w:numFmt w:val="none"/>
      <w:lvlText w:val="表9-%1 "/>
      <w:lvlJc w:val="left"/>
      <w:pPr>
        <w:ind w:left="1558" w:hanging="1558"/>
      </w:pPr>
      <w:rPr>
        <w:rFonts w:hint="eastAsia" w:ascii="宋体" w:hAnsi="宋体" w:eastAsia="宋体" w:cs="宋体"/>
      </w:rPr>
    </w:lvl>
  </w:abstractNum>
  <w:abstractNum w:abstractNumId="41">
    <w:nsid w:val="69C83D1E"/>
    <w:multiLevelType w:val="singleLevel"/>
    <w:tmpl w:val="69C83D1E"/>
    <w:lvl w:ilvl="0" w:tentative="0">
      <w:start w:val="1"/>
      <w:numFmt w:val="decimal"/>
      <w:suff w:val="nothing"/>
      <w:lvlText w:val="%1）"/>
      <w:lvlJc w:val="left"/>
    </w:lvl>
  </w:abstractNum>
  <w:abstractNum w:abstractNumId="42">
    <w:nsid w:val="6D784DF2"/>
    <w:multiLevelType w:val="singleLevel"/>
    <w:tmpl w:val="6D784DF2"/>
    <w:lvl w:ilvl="0" w:tentative="0">
      <w:start w:val="1"/>
      <w:numFmt w:val="decimal"/>
      <w:pStyle w:val="54"/>
      <w:lvlText w:val="表%1"/>
      <w:lvlJc w:val="left"/>
      <w:pPr>
        <w:tabs>
          <w:tab w:val="left" w:pos="420"/>
        </w:tabs>
        <w:ind w:left="425" w:hanging="425"/>
      </w:pPr>
      <w:rPr>
        <w:rFonts w:hint="default"/>
      </w:rPr>
    </w:lvl>
  </w:abstractNum>
  <w:abstractNum w:abstractNumId="43">
    <w:nsid w:val="786F423F"/>
    <w:multiLevelType w:val="singleLevel"/>
    <w:tmpl w:val="786F423F"/>
    <w:lvl w:ilvl="0" w:tentative="0">
      <w:start w:val="1"/>
      <w:numFmt w:val="decimal"/>
      <w:suff w:val="nothing"/>
      <w:lvlText w:val="表5-%1　"/>
      <w:lvlJc w:val="left"/>
      <w:pPr>
        <w:ind w:left="0" w:firstLine="0"/>
      </w:pPr>
      <w:rPr>
        <w:rFonts w:hint="default"/>
      </w:rPr>
    </w:lvl>
  </w:abstractNum>
  <w:num w:numId="1">
    <w:abstractNumId w:val="16"/>
  </w:num>
  <w:num w:numId="2">
    <w:abstractNumId w:val="8"/>
  </w:num>
  <w:num w:numId="3">
    <w:abstractNumId w:val="15"/>
  </w:num>
  <w:num w:numId="4">
    <w:abstractNumId w:val="18"/>
  </w:num>
  <w:num w:numId="5">
    <w:abstractNumId w:val="2"/>
  </w:num>
  <w:num w:numId="6">
    <w:abstractNumId w:val="5"/>
  </w:num>
  <w:num w:numId="7">
    <w:abstractNumId w:val="38"/>
  </w:num>
  <w:num w:numId="8">
    <w:abstractNumId w:val="42"/>
  </w:num>
  <w:num w:numId="9">
    <w:abstractNumId w:val="14"/>
  </w:num>
  <w:num w:numId="10">
    <w:abstractNumId w:val="31"/>
  </w:num>
  <w:num w:numId="11">
    <w:abstractNumId w:val="40"/>
  </w:num>
  <w:num w:numId="12">
    <w:abstractNumId w:val="29"/>
  </w:num>
  <w:num w:numId="13">
    <w:abstractNumId w:val="32"/>
  </w:num>
  <w:num w:numId="14">
    <w:abstractNumId w:val="25"/>
  </w:num>
  <w:num w:numId="15">
    <w:abstractNumId w:val="28"/>
  </w:num>
  <w:num w:numId="16">
    <w:abstractNumId w:val="13"/>
  </w:num>
  <w:num w:numId="17">
    <w:abstractNumId w:val="9"/>
  </w:num>
  <w:num w:numId="18">
    <w:abstractNumId w:val="22"/>
  </w:num>
  <w:num w:numId="19">
    <w:abstractNumId w:val="10"/>
  </w:num>
  <w:num w:numId="20">
    <w:abstractNumId w:val="0"/>
  </w:num>
  <w:num w:numId="21">
    <w:abstractNumId w:val="3"/>
  </w:num>
  <w:num w:numId="22">
    <w:abstractNumId w:val="1"/>
  </w:num>
  <w:num w:numId="23">
    <w:abstractNumId w:val="41"/>
  </w:num>
  <w:num w:numId="24">
    <w:abstractNumId w:val="30"/>
  </w:num>
  <w:num w:numId="25">
    <w:abstractNumId w:val="4"/>
  </w:num>
  <w:num w:numId="26">
    <w:abstractNumId w:val="37"/>
  </w:num>
  <w:num w:numId="27">
    <w:abstractNumId w:val="11"/>
  </w:num>
  <w:num w:numId="28">
    <w:abstractNumId w:val="43"/>
  </w:num>
  <w:num w:numId="29">
    <w:abstractNumId w:val="7"/>
  </w:num>
  <w:num w:numId="30">
    <w:abstractNumId w:val="17"/>
  </w:num>
  <w:num w:numId="31">
    <w:abstractNumId w:val="39"/>
  </w:num>
  <w:num w:numId="32">
    <w:abstractNumId w:val="34"/>
  </w:num>
  <w:num w:numId="33">
    <w:abstractNumId w:val="23"/>
  </w:num>
  <w:num w:numId="34">
    <w:abstractNumId w:val="26"/>
  </w:num>
  <w:num w:numId="35">
    <w:abstractNumId w:val="12"/>
  </w:num>
  <w:num w:numId="36">
    <w:abstractNumId w:val="24"/>
  </w:num>
  <w:num w:numId="37">
    <w:abstractNumId w:val="21"/>
  </w:num>
  <w:num w:numId="38">
    <w:abstractNumId w:val="33"/>
  </w:num>
  <w:num w:numId="39">
    <w:abstractNumId w:val="20"/>
  </w:num>
  <w:num w:numId="40">
    <w:abstractNumId w:val="35"/>
  </w:num>
  <w:num w:numId="41">
    <w:abstractNumId w:val="19"/>
  </w:num>
  <w:num w:numId="42">
    <w:abstractNumId w:val="36"/>
  </w:num>
  <w:num w:numId="43">
    <w:abstractNumId w:val="27"/>
  </w:num>
  <w:num w:numId="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2MDQwMGU0ZDYxYThhMDBmOGNjMTg2YjQ0MWQ5NDgifQ=="/>
  </w:docVars>
  <w:rsids>
    <w:rsidRoot w:val="00172A27"/>
    <w:rsid w:val="000118A6"/>
    <w:rsid w:val="00013654"/>
    <w:rsid w:val="00046CA0"/>
    <w:rsid w:val="000749E3"/>
    <w:rsid w:val="000969AD"/>
    <w:rsid w:val="001113BD"/>
    <w:rsid w:val="001254F2"/>
    <w:rsid w:val="001E3542"/>
    <w:rsid w:val="001F095A"/>
    <w:rsid w:val="00276E96"/>
    <w:rsid w:val="00296707"/>
    <w:rsid w:val="0031380D"/>
    <w:rsid w:val="00364BC3"/>
    <w:rsid w:val="00377076"/>
    <w:rsid w:val="00384B9C"/>
    <w:rsid w:val="003B643A"/>
    <w:rsid w:val="00411CA3"/>
    <w:rsid w:val="0046550B"/>
    <w:rsid w:val="00491693"/>
    <w:rsid w:val="004B3D22"/>
    <w:rsid w:val="004C0647"/>
    <w:rsid w:val="004E2611"/>
    <w:rsid w:val="00505003"/>
    <w:rsid w:val="00527A56"/>
    <w:rsid w:val="00551FF9"/>
    <w:rsid w:val="005A240E"/>
    <w:rsid w:val="005B020B"/>
    <w:rsid w:val="005E24E7"/>
    <w:rsid w:val="00611F3B"/>
    <w:rsid w:val="00685AA4"/>
    <w:rsid w:val="006911F9"/>
    <w:rsid w:val="0069744B"/>
    <w:rsid w:val="006B6531"/>
    <w:rsid w:val="006D0CE9"/>
    <w:rsid w:val="006D2A98"/>
    <w:rsid w:val="006E4D1C"/>
    <w:rsid w:val="00726300"/>
    <w:rsid w:val="00757B9E"/>
    <w:rsid w:val="007A7DA9"/>
    <w:rsid w:val="007C2CDB"/>
    <w:rsid w:val="007C4780"/>
    <w:rsid w:val="00807757"/>
    <w:rsid w:val="0083050D"/>
    <w:rsid w:val="00865084"/>
    <w:rsid w:val="008B5614"/>
    <w:rsid w:val="008F127C"/>
    <w:rsid w:val="008F5FA1"/>
    <w:rsid w:val="00936276"/>
    <w:rsid w:val="0098388D"/>
    <w:rsid w:val="009C4D62"/>
    <w:rsid w:val="009E62BA"/>
    <w:rsid w:val="00A3295D"/>
    <w:rsid w:val="00A67D58"/>
    <w:rsid w:val="00A76083"/>
    <w:rsid w:val="00A83AD0"/>
    <w:rsid w:val="00A84123"/>
    <w:rsid w:val="00AC0886"/>
    <w:rsid w:val="00AD7338"/>
    <w:rsid w:val="00AE30B0"/>
    <w:rsid w:val="00B46918"/>
    <w:rsid w:val="00B52173"/>
    <w:rsid w:val="00B617EE"/>
    <w:rsid w:val="00B76409"/>
    <w:rsid w:val="00BA3803"/>
    <w:rsid w:val="00BA7CA7"/>
    <w:rsid w:val="00BE0217"/>
    <w:rsid w:val="00BE32F3"/>
    <w:rsid w:val="00CD1788"/>
    <w:rsid w:val="00D64AE1"/>
    <w:rsid w:val="00D67C8D"/>
    <w:rsid w:val="00D94308"/>
    <w:rsid w:val="00E03CA3"/>
    <w:rsid w:val="00E13486"/>
    <w:rsid w:val="00E23910"/>
    <w:rsid w:val="00E72792"/>
    <w:rsid w:val="00E90493"/>
    <w:rsid w:val="00ED19D5"/>
    <w:rsid w:val="00EF16FF"/>
    <w:rsid w:val="00F05477"/>
    <w:rsid w:val="00F131C3"/>
    <w:rsid w:val="00F16774"/>
    <w:rsid w:val="00F46D15"/>
    <w:rsid w:val="00FB62F5"/>
    <w:rsid w:val="00FC02BF"/>
    <w:rsid w:val="00FF1A59"/>
    <w:rsid w:val="01001B5E"/>
    <w:rsid w:val="010158D6"/>
    <w:rsid w:val="01017684"/>
    <w:rsid w:val="0104303E"/>
    <w:rsid w:val="01066F7B"/>
    <w:rsid w:val="01096C6D"/>
    <w:rsid w:val="010F0E25"/>
    <w:rsid w:val="0116050E"/>
    <w:rsid w:val="01180B07"/>
    <w:rsid w:val="01203FAE"/>
    <w:rsid w:val="01227446"/>
    <w:rsid w:val="01261978"/>
    <w:rsid w:val="012A19CC"/>
    <w:rsid w:val="012A3B18"/>
    <w:rsid w:val="012C3FDC"/>
    <w:rsid w:val="01372051"/>
    <w:rsid w:val="013B0DE8"/>
    <w:rsid w:val="013D6280"/>
    <w:rsid w:val="01401F5A"/>
    <w:rsid w:val="01447C0F"/>
    <w:rsid w:val="0147153B"/>
    <w:rsid w:val="014C4DA3"/>
    <w:rsid w:val="01510A39"/>
    <w:rsid w:val="01537DDF"/>
    <w:rsid w:val="01541EA9"/>
    <w:rsid w:val="015E4AD6"/>
    <w:rsid w:val="016110B2"/>
    <w:rsid w:val="016320EC"/>
    <w:rsid w:val="016A5229"/>
    <w:rsid w:val="016D4D19"/>
    <w:rsid w:val="017442FA"/>
    <w:rsid w:val="017A7F3A"/>
    <w:rsid w:val="017E6F26"/>
    <w:rsid w:val="017F58CA"/>
    <w:rsid w:val="01804A4C"/>
    <w:rsid w:val="01883A7A"/>
    <w:rsid w:val="018856AF"/>
    <w:rsid w:val="018969A9"/>
    <w:rsid w:val="01960024"/>
    <w:rsid w:val="0196601E"/>
    <w:rsid w:val="019A0A09"/>
    <w:rsid w:val="019C51B2"/>
    <w:rsid w:val="019E4ED3"/>
    <w:rsid w:val="019F1377"/>
    <w:rsid w:val="01A30D49"/>
    <w:rsid w:val="01A52705"/>
    <w:rsid w:val="01A85D51"/>
    <w:rsid w:val="01AA7D1B"/>
    <w:rsid w:val="01B841E6"/>
    <w:rsid w:val="01B91D0C"/>
    <w:rsid w:val="01C0753F"/>
    <w:rsid w:val="01C26E13"/>
    <w:rsid w:val="01C40DDD"/>
    <w:rsid w:val="01CD0EC9"/>
    <w:rsid w:val="01D46B46"/>
    <w:rsid w:val="01D6352B"/>
    <w:rsid w:val="01DE1773"/>
    <w:rsid w:val="01DE2808"/>
    <w:rsid w:val="01DF087E"/>
    <w:rsid w:val="01E21263"/>
    <w:rsid w:val="01E27FB2"/>
    <w:rsid w:val="01E30F27"/>
    <w:rsid w:val="01E66FA5"/>
    <w:rsid w:val="01EA67F4"/>
    <w:rsid w:val="01F246B9"/>
    <w:rsid w:val="01F3521E"/>
    <w:rsid w:val="01FE6242"/>
    <w:rsid w:val="02070CCA"/>
    <w:rsid w:val="020B6834"/>
    <w:rsid w:val="020D0860"/>
    <w:rsid w:val="021138F7"/>
    <w:rsid w:val="02117D9A"/>
    <w:rsid w:val="021331E0"/>
    <w:rsid w:val="02135600"/>
    <w:rsid w:val="021D229B"/>
    <w:rsid w:val="02223D56"/>
    <w:rsid w:val="0225297F"/>
    <w:rsid w:val="022950E4"/>
    <w:rsid w:val="022A2A90"/>
    <w:rsid w:val="022B3727"/>
    <w:rsid w:val="022C27C5"/>
    <w:rsid w:val="022F343C"/>
    <w:rsid w:val="02311B44"/>
    <w:rsid w:val="02313F99"/>
    <w:rsid w:val="02344FA7"/>
    <w:rsid w:val="023575E5"/>
    <w:rsid w:val="02362C2C"/>
    <w:rsid w:val="02380E83"/>
    <w:rsid w:val="02385327"/>
    <w:rsid w:val="023D0B8F"/>
    <w:rsid w:val="023F4547"/>
    <w:rsid w:val="024261A6"/>
    <w:rsid w:val="02447828"/>
    <w:rsid w:val="024535A0"/>
    <w:rsid w:val="024617F2"/>
    <w:rsid w:val="02483192"/>
    <w:rsid w:val="024A2E12"/>
    <w:rsid w:val="025008C3"/>
    <w:rsid w:val="02502671"/>
    <w:rsid w:val="02513D1B"/>
    <w:rsid w:val="025245B6"/>
    <w:rsid w:val="02596A1D"/>
    <w:rsid w:val="025B2440"/>
    <w:rsid w:val="025F28B4"/>
    <w:rsid w:val="02691984"/>
    <w:rsid w:val="027653BD"/>
    <w:rsid w:val="027A461A"/>
    <w:rsid w:val="027B04B8"/>
    <w:rsid w:val="027C7ED5"/>
    <w:rsid w:val="02814F7F"/>
    <w:rsid w:val="028440C8"/>
    <w:rsid w:val="0286090C"/>
    <w:rsid w:val="02884260"/>
    <w:rsid w:val="028879D6"/>
    <w:rsid w:val="028E13EB"/>
    <w:rsid w:val="02924A37"/>
    <w:rsid w:val="029539DE"/>
    <w:rsid w:val="02987B74"/>
    <w:rsid w:val="029A1B3E"/>
    <w:rsid w:val="02A36C44"/>
    <w:rsid w:val="02A76009"/>
    <w:rsid w:val="02A94954"/>
    <w:rsid w:val="02AB27CD"/>
    <w:rsid w:val="02AE7397"/>
    <w:rsid w:val="02AF383B"/>
    <w:rsid w:val="02B3536B"/>
    <w:rsid w:val="02B53D64"/>
    <w:rsid w:val="02B726F0"/>
    <w:rsid w:val="02B80984"/>
    <w:rsid w:val="02B80B7A"/>
    <w:rsid w:val="02B96468"/>
    <w:rsid w:val="02BA5D3C"/>
    <w:rsid w:val="02BF3353"/>
    <w:rsid w:val="02C02DD6"/>
    <w:rsid w:val="02C62933"/>
    <w:rsid w:val="02CD6DE4"/>
    <w:rsid w:val="02CF7A3A"/>
    <w:rsid w:val="02D05560"/>
    <w:rsid w:val="02D23086"/>
    <w:rsid w:val="02D52B76"/>
    <w:rsid w:val="02D84A47"/>
    <w:rsid w:val="02DB6D23"/>
    <w:rsid w:val="02DE7C7D"/>
    <w:rsid w:val="02E01C47"/>
    <w:rsid w:val="02E334E5"/>
    <w:rsid w:val="02EA7AB7"/>
    <w:rsid w:val="02EB0A9A"/>
    <w:rsid w:val="02EF1E8A"/>
    <w:rsid w:val="02F23728"/>
    <w:rsid w:val="02F4124E"/>
    <w:rsid w:val="02F87A8D"/>
    <w:rsid w:val="02F96864"/>
    <w:rsid w:val="0305345B"/>
    <w:rsid w:val="0314369E"/>
    <w:rsid w:val="031511C4"/>
    <w:rsid w:val="0317037B"/>
    <w:rsid w:val="032152F8"/>
    <w:rsid w:val="0328613E"/>
    <w:rsid w:val="03327FC8"/>
    <w:rsid w:val="033667C1"/>
    <w:rsid w:val="033C14BF"/>
    <w:rsid w:val="033E3E1D"/>
    <w:rsid w:val="033F7CB3"/>
    <w:rsid w:val="03436045"/>
    <w:rsid w:val="03437488"/>
    <w:rsid w:val="03477597"/>
    <w:rsid w:val="034C108A"/>
    <w:rsid w:val="034D4E02"/>
    <w:rsid w:val="0350044F"/>
    <w:rsid w:val="03507B72"/>
    <w:rsid w:val="035B3327"/>
    <w:rsid w:val="035F22B0"/>
    <w:rsid w:val="035F4ABA"/>
    <w:rsid w:val="036337AB"/>
    <w:rsid w:val="036363D4"/>
    <w:rsid w:val="03655CA8"/>
    <w:rsid w:val="036A59B4"/>
    <w:rsid w:val="03766107"/>
    <w:rsid w:val="037B54CB"/>
    <w:rsid w:val="037D1AE5"/>
    <w:rsid w:val="037E4FBC"/>
    <w:rsid w:val="038325D2"/>
    <w:rsid w:val="0386666E"/>
    <w:rsid w:val="038A56C8"/>
    <w:rsid w:val="038C592B"/>
    <w:rsid w:val="039245AE"/>
    <w:rsid w:val="03931D99"/>
    <w:rsid w:val="039667A9"/>
    <w:rsid w:val="039B5B6E"/>
    <w:rsid w:val="03A03184"/>
    <w:rsid w:val="03A52453"/>
    <w:rsid w:val="03A756C1"/>
    <w:rsid w:val="03B3019C"/>
    <w:rsid w:val="03B35954"/>
    <w:rsid w:val="03B37E3E"/>
    <w:rsid w:val="03B4084F"/>
    <w:rsid w:val="03B4634C"/>
    <w:rsid w:val="03B73F68"/>
    <w:rsid w:val="03B9241B"/>
    <w:rsid w:val="03BD3D36"/>
    <w:rsid w:val="03BD5772"/>
    <w:rsid w:val="03BE360A"/>
    <w:rsid w:val="03BF11E6"/>
    <w:rsid w:val="03C07382"/>
    <w:rsid w:val="03C50E3C"/>
    <w:rsid w:val="03C70711"/>
    <w:rsid w:val="03C85975"/>
    <w:rsid w:val="03C9092D"/>
    <w:rsid w:val="03CB2F8A"/>
    <w:rsid w:val="03D42E2E"/>
    <w:rsid w:val="03DF34F7"/>
    <w:rsid w:val="03E07A24"/>
    <w:rsid w:val="03E47515"/>
    <w:rsid w:val="03EC2684"/>
    <w:rsid w:val="03FE43AE"/>
    <w:rsid w:val="040931BE"/>
    <w:rsid w:val="04110215"/>
    <w:rsid w:val="04114082"/>
    <w:rsid w:val="04117BDE"/>
    <w:rsid w:val="04137DFA"/>
    <w:rsid w:val="041607D0"/>
    <w:rsid w:val="04175268"/>
    <w:rsid w:val="041A14B3"/>
    <w:rsid w:val="04267B2D"/>
    <w:rsid w:val="0429606F"/>
    <w:rsid w:val="04330137"/>
    <w:rsid w:val="04332051"/>
    <w:rsid w:val="04357D70"/>
    <w:rsid w:val="044004C3"/>
    <w:rsid w:val="04401E95"/>
    <w:rsid w:val="04497527"/>
    <w:rsid w:val="044E0E32"/>
    <w:rsid w:val="044F0706"/>
    <w:rsid w:val="04504404"/>
    <w:rsid w:val="04504BAA"/>
    <w:rsid w:val="04536448"/>
    <w:rsid w:val="04576B09"/>
    <w:rsid w:val="045A3333"/>
    <w:rsid w:val="045F303F"/>
    <w:rsid w:val="04602913"/>
    <w:rsid w:val="0462039F"/>
    <w:rsid w:val="04651CD8"/>
    <w:rsid w:val="0466131E"/>
    <w:rsid w:val="04675A50"/>
    <w:rsid w:val="046917C8"/>
    <w:rsid w:val="046E6DDE"/>
    <w:rsid w:val="047343F5"/>
    <w:rsid w:val="0475016D"/>
    <w:rsid w:val="04760F2D"/>
    <w:rsid w:val="0477291D"/>
    <w:rsid w:val="04803170"/>
    <w:rsid w:val="04842AA6"/>
    <w:rsid w:val="048760F2"/>
    <w:rsid w:val="048C55C9"/>
    <w:rsid w:val="048D02BF"/>
    <w:rsid w:val="048E122E"/>
    <w:rsid w:val="048F7AB1"/>
    <w:rsid w:val="04905D97"/>
    <w:rsid w:val="04912ACD"/>
    <w:rsid w:val="04932CE9"/>
    <w:rsid w:val="04A558C5"/>
    <w:rsid w:val="04A61128"/>
    <w:rsid w:val="04AC5B58"/>
    <w:rsid w:val="04AC7ABF"/>
    <w:rsid w:val="04AD3DAA"/>
    <w:rsid w:val="04B05649"/>
    <w:rsid w:val="04B35A84"/>
    <w:rsid w:val="04BD63B9"/>
    <w:rsid w:val="04BF3ADE"/>
    <w:rsid w:val="04C11604"/>
    <w:rsid w:val="04C462FB"/>
    <w:rsid w:val="04C609C8"/>
    <w:rsid w:val="04C9495C"/>
    <w:rsid w:val="04CB5FDF"/>
    <w:rsid w:val="04CE1F73"/>
    <w:rsid w:val="04D01847"/>
    <w:rsid w:val="04D05CEB"/>
    <w:rsid w:val="04D15883"/>
    <w:rsid w:val="04D1736D"/>
    <w:rsid w:val="04D70E27"/>
    <w:rsid w:val="04D72BD5"/>
    <w:rsid w:val="04D74983"/>
    <w:rsid w:val="04D8694E"/>
    <w:rsid w:val="04DB2BDE"/>
    <w:rsid w:val="04DB48E1"/>
    <w:rsid w:val="04DC01EC"/>
    <w:rsid w:val="04DE21B6"/>
    <w:rsid w:val="04E45D24"/>
    <w:rsid w:val="04E62E18"/>
    <w:rsid w:val="04EA092F"/>
    <w:rsid w:val="04EE1356"/>
    <w:rsid w:val="04EE6453"/>
    <w:rsid w:val="04F55751"/>
    <w:rsid w:val="04F76DD4"/>
    <w:rsid w:val="04FF3EDA"/>
    <w:rsid w:val="050634BB"/>
    <w:rsid w:val="050B0AD1"/>
    <w:rsid w:val="050B6D23"/>
    <w:rsid w:val="0511630F"/>
    <w:rsid w:val="05117F2B"/>
    <w:rsid w:val="0519526F"/>
    <w:rsid w:val="051C2CDE"/>
    <w:rsid w:val="052102F4"/>
    <w:rsid w:val="05277C44"/>
    <w:rsid w:val="052C7DAD"/>
    <w:rsid w:val="052E4B66"/>
    <w:rsid w:val="052F5E15"/>
    <w:rsid w:val="05300538"/>
    <w:rsid w:val="053022E6"/>
    <w:rsid w:val="053260B8"/>
    <w:rsid w:val="05377B18"/>
    <w:rsid w:val="053C6EDC"/>
    <w:rsid w:val="053E0EA6"/>
    <w:rsid w:val="05482EE2"/>
    <w:rsid w:val="05492C0D"/>
    <w:rsid w:val="054B35C3"/>
    <w:rsid w:val="054E09BE"/>
    <w:rsid w:val="055040F3"/>
    <w:rsid w:val="05504736"/>
    <w:rsid w:val="05524952"/>
    <w:rsid w:val="055724A2"/>
    <w:rsid w:val="05575AC4"/>
    <w:rsid w:val="055C1D03"/>
    <w:rsid w:val="055C30DB"/>
    <w:rsid w:val="055C64B1"/>
    <w:rsid w:val="055D7941"/>
    <w:rsid w:val="05600E1D"/>
    <w:rsid w:val="056106F1"/>
    <w:rsid w:val="056D430E"/>
    <w:rsid w:val="056F2E0E"/>
    <w:rsid w:val="0573412F"/>
    <w:rsid w:val="05777F14"/>
    <w:rsid w:val="057C0063"/>
    <w:rsid w:val="057C6CAA"/>
    <w:rsid w:val="058A7D39"/>
    <w:rsid w:val="05942874"/>
    <w:rsid w:val="0599432F"/>
    <w:rsid w:val="05997E73"/>
    <w:rsid w:val="059C4FD6"/>
    <w:rsid w:val="059C5BCD"/>
    <w:rsid w:val="05A131E3"/>
    <w:rsid w:val="05A9017D"/>
    <w:rsid w:val="05AD1B88"/>
    <w:rsid w:val="05AE3ABE"/>
    <w:rsid w:val="05B564DB"/>
    <w:rsid w:val="05B57C30"/>
    <w:rsid w:val="05BB24F7"/>
    <w:rsid w:val="05BB6053"/>
    <w:rsid w:val="05C375FE"/>
    <w:rsid w:val="05C47E38"/>
    <w:rsid w:val="05C649F8"/>
    <w:rsid w:val="05C6640F"/>
    <w:rsid w:val="05C80770"/>
    <w:rsid w:val="05C937B1"/>
    <w:rsid w:val="05D11D1B"/>
    <w:rsid w:val="05D307F8"/>
    <w:rsid w:val="05D610DF"/>
    <w:rsid w:val="05D67331"/>
    <w:rsid w:val="05D709B3"/>
    <w:rsid w:val="05D77B36"/>
    <w:rsid w:val="05D93B2D"/>
    <w:rsid w:val="05DA631F"/>
    <w:rsid w:val="05E8737A"/>
    <w:rsid w:val="05EB09CA"/>
    <w:rsid w:val="05ED01D7"/>
    <w:rsid w:val="05F41565"/>
    <w:rsid w:val="05FB6D97"/>
    <w:rsid w:val="06007F0A"/>
    <w:rsid w:val="06043E9E"/>
    <w:rsid w:val="06085010"/>
    <w:rsid w:val="06087CEC"/>
    <w:rsid w:val="060A65C3"/>
    <w:rsid w:val="060B55A1"/>
    <w:rsid w:val="060F394B"/>
    <w:rsid w:val="06191E5D"/>
    <w:rsid w:val="061928BD"/>
    <w:rsid w:val="061F40D3"/>
    <w:rsid w:val="06262E04"/>
    <w:rsid w:val="062A142B"/>
    <w:rsid w:val="06345BBB"/>
    <w:rsid w:val="0636392C"/>
    <w:rsid w:val="06373283"/>
    <w:rsid w:val="063D7B82"/>
    <w:rsid w:val="063F499F"/>
    <w:rsid w:val="06425C22"/>
    <w:rsid w:val="06450013"/>
    <w:rsid w:val="06461519"/>
    <w:rsid w:val="06471FDD"/>
    <w:rsid w:val="064918B1"/>
    <w:rsid w:val="06495287"/>
    <w:rsid w:val="064D0467"/>
    <w:rsid w:val="064E336B"/>
    <w:rsid w:val="064F0AD0"/>
    <w:rsid w:val="06514C09"/>
    <w:rsid w:val="06520EC4"/>
    <w:rsid w:val="065663FB"/>
    <w:rsid w:val="066A7A79"/>
    <w:rsid w:val="066B0EE6"/>
    <w:rsid w:val="066C559F"/>
    <w:rsid w:val="06700252"/>
    <w:rsid w:val="06733871"/>
    <w:rsid w:val="06734BA3"/>
    <w:rsid w:val="067508F8"/>
    <w:rsid w:val="06751FE2"/>
    <w:rsid w:val="067F52D3"/>
    <w:rsid w:val="0680729D"/>
    <w:rsid w:val="068103D7"/>
    <w:rsid w:val="068226EA"/>
    <w:rsid w:val="06826B71"/>
    <w:rsid w:val="068428E9"/>
    <w:rsid w:val="068B1EC9"/>
    <w:rsid w:val="06982838"/>
    <w:rsid w:val="06986EFD"/>
    <w:rsid w:val="069F3BC7"/>
    <w:rsid w:val="06A01279"/>
    <w:rsid w:val="06A07511"/>
    <w:rsid w:val="06A25465"/>
    <w:rsid w:val="06A370B7"/>
    <w:rsid w:val="06A64F55"/>
    <w:rsid w:val="06AC1E40"/>
    <w:rsid w:val="06B01930"/>
    <w:rsid w:val="06B5335F"/>
    <w:rsid w:val="06BA455D"/>
    <w:rsid w:val="06BF6017"/>
    <w:rsid w:val="06C21663"/>
    <w:rsid w:val="06C400C5"/>
    <w:rsid w:val="06C70113"/>
    <w:rsid w:val="06CC071E"/>
    <w:rsid w:val="06CE625A"/>
    <w:rsid w:val="06D03D80"/>
    <w:rsid w:val="06DA4BFF"/>
    <w:rsid w:val="06DA52EF"/>
    <w:rsid w:val="06E25698"/>
    <w:rsid w:val="06E4782C"/>
    <w:rsid w:val="06E61CA5"/>
    <w:rsid w:val="06F15AA5"/>
    <w:rsid w:val="06F537E7"/>
    <w:rsid w:val="06F85085"/>
    <w:rsid w:val="06FA2BAB"/>
    <w:rsid w:val="06FC5430"/>
    <w:rsid w:val="070005F5"/>
    <w:rsid w:val="070129F4"/>
    <w:rsid w:val="070457D8"/>
    <w:rsid w:val="0708351A"/>
    <w:rsid w:val="070C28DE"/>
    <w:rsid w:val="070D06B6"/>
    <w:rsid w:val="07126147"/>
    <w:rsid w:val="07131EBF"/>
    <w:rsid w:val="07222102"/>
    <w:rsid w:val="072B545A"/>
    <w:rsid w:val="072B67D2"/>
    <w:rsid w:val="072C6C75"/>
    <w:rsid w:val="072E0AA7"/>
    <w:rsid w:val="0730481F"/>
    <w:rsid w:val="073071A3"/>
    <w:rsid w:val="073328D3"/>
    <w:rsid w:val="07356FC2"/>
    <w:rsid w:val="073B7BF8"/>
    <w:rsid w:val="073F40F9"/>
    <w:rsid w:val="07416A2C"/>
    <w:rsid w:val="074904E8"/>
    <w:rsid w:val="074A1D85"/>
    <w:rsid w:val="074A3B33"/>
    <w:rsid w:val="07505D20"/>
    <w:rsid w:val="07520C39"/>
    <w:rsid w:val="07554285"/>
    <w:rsid w:val="075A7AEE"/>
    <w:rsid w:val="07610E7C"/>
    <w:rsid w:val="07612C2A"/>
    <w:rsid w:val="07613354"/>
    <w:rsid w:val="076170CE"/>
    <w:rsid w:val="07646EC6"/>
    <w:rsid w:val="07647F44"/>
    <w:rsid w:val="07666493"/>
    <w:rsid w:val="07697D31"/>
    <w:rsid w:val="076A5F83"/>
    <w:rsid w:val="076B2C9B"/>
    <w:rsid w:val="076D5A73"/>
    <w:rsid w:val="07702E6D"/>
    <w:rsid w:val="07723089"/>
    <w:rsid w:val="077A506D"/>
    <w:rsid w:val="077E1A2E"/>
    <w:rsid w:val="0781151E"/>
    <w:rsid w:val="07812E2C"/>
    <w:rsid w:val="078608E3"/>
    <w:rsid w:val="078801B7"/>
    <w:rsid w:val="078B676E"/>
    <w:rsid w:val="078D77EF"/>
    <w:rsid w:val="078D7EC3"/>
    <w:rsid w:val="078F59E9"/>
    <w:rsid w:val="078F7797"/>
    <w:rsid w:val="079E2DA6"/>
    <w:rsid w:val="07A07BF6"/>
    <w:rsid w:val="07A22EF8"/>
    <w:rsid w:val="07A56FBB"/>
    <w:rsid w:val="07AA637F"/>
    <w:rsid w:val="07B05960"/>
    <w:rsid w:val="07B471FE"/>
    <w:rsid w:val="07B54D24"/>
    <w:rsid w:val="07BB4C0F"/>
    <w:rsid w:val="07BC5B5B"/>
    <w:rsid w:val="07BC66C1"/>
    <w:rsid w:val="07C00A58"/>
    <w:rsid w:val="07CB4548"/>
    <w:rsid w:val="07CC1DB5"/>
    <w:rsid w:val="07CD0153"/>
    <w:rsid w:val="07D16002"/>
    <w:rsid w:val="07D2499F"/>
    <w:rsid w:val="07D56A4F"/>
    <w:rsid w:val="07D85598"/>
    <w:rsid w:val="07DB29DD"/>
    <w:rsid w:val="07DC0503"/>
    <w:rsid w:val="07DD6CE8"/>
    <w:rsid w:val="07E46E2F"/>
    <w:rsid w:val="07ED60B7"/>
    <w:rsid w:val="07EF1FDD"/>
    <w:rsid w:val="07F30F1F"/>
    <w:rsid w:val="07F341CA"/>
    <w:rsid w:val="07F95559"/>
    <w:rsid w:val="07FE491D"/>
    <w:rsid w:val="080041F1"/>
    <w:rsid w:val="08053EFD"/>
    <w:rsid w:val="080A32C2"/>
    <w:rsid w:val="080D0A46"/>
    <w:rsid w:val="08193505"/>
    <w:rsid w:val="081B727D"/>
    <w:rsid w:val="081C4DA3"/>
    <w:rsid w:val="08210BBC"/>
    <w:rsid w:val="082215A5"/>
    <w:rsid w:val="08227311"/>
    <w:rsid w:val="082612CD"/>
    <w:rsid w:val="082E1370"/>
    <w:rsid w:val="0832500B"/>
    <w:rsid w:val="08332819"/>
    <w:rsid w:val="0841303F"/>
    <w:rsid w:val="08442073"/>
    <w:rsid w:val="08452C11"/>
    <w:rsid w:val="08470072"/>
    <w:rsid w:val="08485B98"/>
    <w:rsid w:val="08493DEA"/>
    <w:rsid w:val="084F04B9"/>
    <w:rsid w:val="0854278F"/>
    <w:rsid w:val="0858227F"/>
    <w:rsid w:val="08585DDB"/>
    <w:rsid w:val="08591B53"/>
    <w:rsid w:val="085C5BED"/>
    <w:rsid w:val="085C7038"/>
    <w:rsid w:val="085F6B82"/>
    <w:rsid w:val="08617458"/>
    <w:rsid w:val="08634780"/>
    <w:rsid w:val="086A254A"/>
    <w:rsid w:val="086A5B0F"/>
    <w:rsid w:val="086C1887"/>
    <w:rsid w:val="08734A6E"/>
    <w:rsid w:val="087370B9"/>
    <w:rsid w:val="0878396F"/>
    <w:rsid w:val="08820841"/>
    <w:rsid w:val="088210AA"/>
    <w:rsid w:val="08867AB3"/>
    <w:rsid w:val="088E7A4F"/>
    <w:rsid w:val="08915791"/>
    <w:rsid w:val="08940DDD"/>
    <w:rsid w:val="08996E1E"/>
    <w:rsid w:val="089F7EAE"/>
    <w:rsid w:val="08A47272"/>
    <w:rsid w:val="08A70B11"/>
    <w:rsid w:val="08AC4379"/>
    <w:rsid w:val="08AE00F1"/>
    <w:rsid w:val="08B33B34"/>
    <w:rsid w:val="08B51480"/>
    <w:rsid w:val="08BD17C1"/>
    <w:rsid w:val="08BF04C9"/>
    <w:rsid w:val="08C27724"/>
    <w:rsid w:val="08C47BB7"/>
    <w:rsid w:val="08C72F61"/>
    <w:rsid w:val="08CB2A51"/>
    <w:rsid w:val="08CB5B89"/>
    <w:rsid w:val="08CE609D"/>
    <w:rsid w:val="08D538D0"/>
    <w:rsid w:val="08D86F1C"/>
    <w:rsid w:val="08D93C76"/>
    <w:rsid w:val="08DE4D57"/>
    <w:rsid w:val="08DF02AB"/>
    <w:rsid w:val="08E02D07"/>
    <w:rsid w:val="08E12275"/>
    <w:rsid w:val="08E7715F"/>
    <w:rsid w:val="08EE4992"/>
    <w:rsid w:val="08F024B8"/>
    <w:rsid w:val="08F43B6F"/>
    <w:rsid w:val="08F804B5"/>
    <w:rsid w:val="08F86C2F"/>
    <w:rsid w:val="08FA1588"/>
    <w:rsid w:val="09063A89"/>
    <w:rsid w:val="090B5543"/>
    <w:rsid w:val="090E0B90"/>
    <w:rsid w:val="091268D2"/>
    <w:rsid w:val="09137DF4"/>
    <w:rsid w:val="09197F25"/>
    <w:rsid w:val="091A6930"/>
    <w:rsid w:val="0922463B"/>
    <w:rsid w:val="092255F6"/>
    <w:rsid w:val="09280F57"/>
    <w:rsid w:val="092B5AC2"/>
    <w:rsid w:val="092C7268"/>
    <w:rsid w:val="09336431"/>
    <w:rsid w:val="093920B1"/>
    <w:rsid w:val="093B172A"/>
    <w:rsid w:val="09422CCD"/>
    <w:rsid w:val="09440A55"/>
    <w:rsid w:val="0944124C"/>
    <w:rsid w:val="09442803"/>
    <w:rsid w:val="094724D7"/>
    <w:rsid w:val="094D3CA2"/>
    <w:rsid w:val="094E71DE"/>
    <w:rsid w:val="095011A8"/>
    <w:rsid w:val="095742E5"/>
    <w:rsid w:val="095A3DD5"/>
    <w:rsid w:val="09606B8F"/>
    <w:rsid w:val="09615163"/>
    <w:rsid w:val="09622C8A"/>
    <w:rsid w:val="0967692B"/>
    <w:rsid w:val="09687CFF"/>
    <w:rsid w:val="0969226A"/>
    <w:rsid w:val="096F2545"/>
    <w:rsid w:val="09722ECD"/>
    <w:rsid w:val="09776735"/>
    <w:rsid w:val="09784B65"/>
    <w:rsid w:val="097E3776"/>
    <w:rsid w:val="098175B4"/>
    <w:rsid w:val="098933C5"/>
    <w:rsid w:val="0990452D"/>
    <w:rsid w:val="0992466E"/>
    <w:rsid w:val="09953DA4"/>
    <w:rsid w:val="09973A38"/>
    <w:rsid w:val="099948FD"/>
    <w:rsid w:val="099F7A3A"/>
    <w:rsid w:val="09A43977"/>
    <w:rsid w:val="09A80FE4"/>
    <w:rsid w:val="09A908B8"/>
    <w:rsid w:val="09AC454F"/>
    <w:rsid w:val="09B63701"/>
    <w:rsid w:val="09B72FD5"/>
    <w:rsid w:val="09B74D83"/>
    <w:rsid w:val="09B95534"/>
    <w:rsid w:val="09BB6AB2"/>
    <w:rsid w:val="09BC5884"/>
    <w:rsid w:val="09BF1E8A"/>
    <w:rsid w:val="09C120A6"/>
    <w:rsid w:val="09C33728"/>
    <w:rsid w:val="09CC2DF8"/>
    <w:rsid w:val="09CF47C3"/>
    <w:rsid w:val="09D019BF"/>
    <w:rsid w:val="09D04097"/>
    <w:rsid w:val="09D75426"/>
    <w:rsid w:val="09DE2882"/>
    <w:rsid w:val="09DF606D"/>
    <w:rsid w:val="09E210B9"/>
    <w:rsid w:val="09E87633"/>
    <w:rsid w:val="09E9548B"/>
    <w:rsid w:val="09EC23D5"/>
    <w:rsid w:val="09EC387C"/>
    <w:rsid w:val="09EC47D5"/>
    <w:rsid w:val="09F2225F"/>
    <w:rsid w:val="09F74B6A"/>
    <w:rsid w:val="09F84901"/>
    <w:rsid w:val="09F9539C"/>
    <w:rsid w:val="09FB7366"/>
    <w:rsid w:val="09FC30DE"/>
    <w:rsid w:val="0A0334A7"/>
    <w:rsid w:val="0A033827"/>
    <w:rsid w:val="0A083831"/>
    <w:rsid w:val="0A092BBD"/>
    <w:rsid w:val="0A1165D8"/>
    <w:rsid w:val="0A1C52DC"/>
    <w:rsid w:val="0A1D5E20"/>
    <w:rsid w:val="0A2543E3"/>
    <w:rsid w:val="0A306AE9"/>
    <w:rsid w:val="0A334D52"/>
    <w:rsid w:val="0A397E8E"/>
    <w:rsid w:val="0A3B3C06"/>
    <w:rsid w:val="0A3D797F"/>
    <w:rsid w:val="0A4030AF"/>
    <w:rsid w:val="0A4503EF"/>
    <w:rsid w:val="0A454A85"/>
    <w:rsid w:val="0A481E7F"/>
    <w:rsid w:val="0A4A05DD"/>
    <w:rsid w:val="0A4A3E4A"/>
    <w:rsid w:val="0A4C5E14"/>
    <w:rsid w:val="0A4F1460"/>
    <w:rsid w:val="0A4F76B2"/>
    <w:rsid w:val="0A516F86"/>
    <w:rsid w:val="0A522CFE"/>
    <w:rsid w:val="0A5C1B3B"/>
    <w:rsid w:val="0A680E2B"/>
    <w:rsid w:val="0A747118"/>
    <w:rsid w:val="0A781DD8"/>
    <w:rsid w:val="0A7E52D2"/>
    <w:rsid w:val="0A802FBD"/>
    <w:rsid w:val="0A805ABD"/>
    <w:rsid w:val="0A821835"/>
    <w:rsid w:val="0A825B11"/>
    <w:rsid w:val="0A8530D4"/>
    <w:rsid w:val="0A876E4C"/>
    <w:rsid w:val="0A881D93"/>
    <w:rsid w:val="0A911A78"/>
    <w:rsid w:val="0A99092D"/>
    <w:rsid w:val="0A9B46A5"/>
    <w:rsid w:val="0AA23C86"/>
    <w:rsid w:val="0AA572D2"/>
    <w:rsid w:val="0AA6066C"/>
    <w:rsid w:val="0AA7129C"/>
    <w:rsid w:val="0AA95014"/>
    <w:rsid w:val="0AAE6186"/>
    <w:rsid w:val="0AB26E31"/>
    <w:rsid w:val="0AB319EF"/>
    <w:rsid w:val="0AB539B9"/>
    <w:rsid w:val="0AB55CF1"/>
    <w:rsid w:val="0AB61B29"/>
    <w:rsid w:val="0ABA0FCF"/>
    <w:rsid w:val="0ABA2D7D"/>
    <w:rsid w:val="0ABE3A4A"/>
    <w:rsid w:val="0ABE3AB7"/>
    <w:rsid w:val="0ABF0394"/>
    <w:rsid w:val="0AC01D4C"/>
    <w:rsid w:val="0AC105A6"/>
    <w:rsid w:val="0AC3612D"/>
    <w:rsid w:val="0AC77248"/>
    <w:rsid w:val="0ACB31DC"/>
    <w:rsid w:val="0ACD5079"/>
    <w:rsid w:val="0AD57520"/>
    <w:rsid w:val="0AD57BB7"/>
    <w:rsid w:val="0AE348DE"/>
    <w:rsid w:val="0AE572A2"/>
    <w:rsid w:val="0AEB574B"/>
    <w:rsid w:val="0AEC35D6"/>
    <w:rsid w:val="0AEC6CAF"/>
    <w:rsid w:val="0AEC7471"/>
    <w:rsid w:val="0AF10F9B"/>
    <w:rsid w:val="0AF37EBE"/>
    <w:rsid w:val="0AF43363"/>
    <w:rsid w:val="0AFD1558"/>
    <w:rsid w:val="0AFF69E2"/>
    <w:rsid w:val="0B00275A"/>
    <w:rsid w:val="0B020D26"/>
    <w:rsid w:val="0B022976"/>
    <w:rsid w:val="0B0B6C50"/>
    <w:rsid w:val="0B106E41"/>
    <w:rsid w:val="0B187AA4"/>
    <w:rsid w:val="0B1A1A6E"/>
    <w:rsid w:val="0B1A2B73"/>
    <w:rsid w:val="0B21104E"/>
    <w:rsid w:val="0B212DFC"/>
    <w:rsid w:val="0B244921"/>
    <w:rsid w:val="0B262122"/>
    <w:rsid w:val="0B265A19"/>
    <w:rsid w:val="0B27191B"/>
    <w:rsid w:val="0B2935A3"/>
    <w:rsid w:val="0B293A5F"/>
    <w:rsid w:val="0B2D06FF"/>
    <w:rsid w:val="0B330D82"/>
    <w:rsid w:val="0B3310F4"/>
    <w:rsid w:val="0B3A7C30"/>
    <w:rsid w:val="0B3D1979"/>
    <w:rsid w:val="0B3F7726"/>
    <w:rsid w:val="0B4058EC"/>
    <w:rsid w:val="0B42713C"/>
    <w:rsid w:val="0B42737F"/>
    <w:rsid w:val="0B48482D"/>
    <w:rsid w:val="0B4E6BA8"/>
    <w:rsid w:val="0B500330"/>
    <w:rsid w:val="0B5036E2"/>
    <w:rsid w:val="0B5051F9"/>
    <w:rsid w:val="0B5150A4"/>
    <w:rsid w:val="0B52745A"/>
    <w:rsid w:val="0B5807E8"/>
    <w:rsid w:val="0B586F4F"/>
    <w:rsid w:val="0B5C2086"/>
    <w:rsid w:val="0B5D6CCC"/>
    <w:rsid w:val="0B650E97"/>
    <w:rsid w:val="0B664B34"/>
    <w:rsid w:val="0B6727D9"/>
    <w:rsid w:val="0B7352AC"/>
    <w:rsid w:val="0B753148"/>
    <w:rsid w:val="0B754657"/>
    <w:rsid w:val="0B770C6E"/>
    <w:rsid w:val="0B7E024F"/>
    <w:rsid w:val="0B7F2691"/>
    <w:rsid w:val="0B835865"/>
    <w:rsid w:val="0B884C29"/>
    <w:rsid w:val="0B924569"/>
    <w:rsid w:val="0BA024DC"/>
    <w:rsid w:val="0BA5640E"/>
    <w:rsid w:val="0BA852CC"/>
    <w:rsid w:val="0BAB39CB"/>
    <w:rsid w:val="0BB04180"/>
    <w:rsid w:val="0BB13952"/>
    <w:rsid w:val="0BB21CA6"/>
    <w:rsid w:val="0BB772BD"/>
    <w:rsid w:val="0BC419DA"/>
    <w:rsid w:val="0BC55E7E"/>
    <w:rsid w:val="0BC67500"/>
    <w:rsid w:val="0BD04822"/>
    <w:rsid w:val="0BD22464"/>
    <w:rsid w:val="0BD35593"/>
    <w:rsid w:val="0BD47955"/>
    <w:rsid w:val="0BD7170D"/>
    <w:rsid w:val="0BD95485"/>
    <w:rsid w:val="0BDC31C7"/>
    <w:rsid w:val="0BDE2A9B"/>
    <w:rsid w:val="0BE1433A"/>
    <w:rsid w:val="0BE300B2"/>
    <w:rsid w:val="0BE5207C"/>
    <w:rsid w:val="0BE61950"/>
    <w:rsid w:val="0BE81B6C"/>
    <w:rsid w:val="0BEA32BC"/>
    <w:rsid w:val="0BEF12AB"/>
    <w:rsid w:val="0BF52FA0"/>
    <w:rsid w:val="0BFA53FB"/>
    <w:rsid w:val="0BFF2A12"/>
    <w:rsid w:val="0C0A1F07"/>
    <w:rsid w:val="0C0B6611"/>
    <w:rsid w:val="0C0D4C81"/>
    <w:rsid w:val="0C0F534B"/>
    <w:rsid w:val="0C142622"/>
    <w:rsid w:val="0C18109A"/>
    <w:rsid w:val="0C2652BC"/>
    <w:rsid w:val="0C291DAC"/>
    <w:rsid w:val="0C2B52B4"/>
    <w:rsid w:val="0C2D7542"/>
    <w:rsid w:val="0C2F3B6D"/>
    <w:rsid w:val="0C3A03A5"/>
    <w:rsid w:val="0C4548C9"/>
    <w:rsid w:val="0C4F3999"/>
    <w:rsid w:val="0C50326D"/>
    <w:rsid w:val="0C507777"/>
    <w:rsid w:val="0C5745FC"/>
    <w:rsid w:val="0C580AA0"/>
    <w:rsid w:val="0C5B0590"/>
    <w:rsid w:val="0C6011A4"/>
    <w:rsid w:val="0C61547A"/>
    <w:rsid w:val="0C670CE3"/>
    <w:rsid w:val="0C697854"/>
    <w:rsid w:val="0C741652"/>
    <w:rsid w:val="0C8101F8"/>
    <w:rsid w:val="0C8430A8"/>
    <w:rsid w:val="0C860B1A"/>
    <w:rsid w:val="0C8A49D1"/>
    <w:rsid w:val="0C9B3262"/>
    <w:rsid w:val="0C9B6BDE"/>
    <w:rsid w:val="0CA21D12"/>
    <w:rsid w:val="0CA23AC9"/>
    <w:rsid w:val="0CA379C6"/>
    <w:rsid w:val="0CA710DF"/>
    <w:rsid w:val="0CA8655A"/>
    <w:rsid w:val="0CAC0566"/>
    <w:rsid w:val="0CAC0DEC"/>
    <w:rsid w:val="0CB11F5E"/>
    <w:rsid w:val="0CB3217A"/>
    <w:rsid w:val="0CB41A4E"/>
    <w:rsid w:val="0CB437FC"/>
    <w:rsid w:val="0CB67574"/>
    <w:rsid w:val="0CBA3508"/>
    <w:rsid w:val="0CBC1DD3"/>
    <w:rsid w:val="0CC06645"/>
    <w:rsid w:val="0CC10DE5"/>
    <w:rsid w:val="0CC47EE3"/>
    <w:rsid w:val="0CC57164"/>
    <w:rsid w:val="0CC6142D"/>
    <w:rsid w:val="0CC64A89"/>
    <w:rsid w:val="0CC954FA"/>
    <w:rsid w:val="0CCB5FCA"/>
    <w:rsid w:val="0CCC323C"/>
    <w:rsid w:val="0CD45C4C"/>
    <w:rsid w:val="0CD8271C"/>
    <w:rsid w:val="0CDA1A87"/>
    <w:rsid w:val="0CDB522D"/>
    <w:rsid w:val="0CDD71F7"/>
    <w:rsid w:val="0CDF2BBA"/>
    <w:rsid w:val="0CE045F1"/>
    <w:rsid w:val="0CE40585"/>
    <w:rsid w:val="0CE45DF6"/>
    <w:rsid w:val="0CE73BD2"/>
    <w:rsid w:val="0CE9794A"/>
    <w:rsid w:val="0CEA36C2"/>
    <w:rsid w:val="0CEA5470"/>
    <w:rsid w:val="0CEA6DC6"/>
    <w:rsid w:val="0CEC277E"/>
    <w:rsid w:val="0CEE4F60"/>
    <w:rsid w:val="0CEF2A86"/>
    <w:rsid w:val="0CF41309"/>
    <w:rsid w:val="0CF9285A"/>
    <w:rsid w:val="0CFB142B"/>
    <w:rsid w:val="0CFC47A4"/>
    <w:rsid w:val="0CFF53BF"/>
    <w:rsid w:val="0D0504FC"/>
    <w:rsid w:val="0D074274"/>
    <w:rsid w:val="0D07573C"/>
    <w:rsid w:val="0D0E73B0"/>
    <w:rsid w:val="0D10137A"/>
    <w:rsid w:val="0D1424ED"/>
    <w:rsid w:val="0D183D8B"/>
    <w:rsid w:val="0D1A5D55"/>
    <w:rsid w:val="0D1F15BD"/>
    <w:rsid w:val="0D205C25"/>
    <w:rsid w:val="0D221069"/>
    <w:rsid w:val="0D224C0A"/>
    <w:rsid w:val="0D2C3CDA"/>
    <w:rsid w:val="0D2C7836"/>
    <w:rsid w:val="0D2D0FA1"/>
    <w:rsid w:val="0D2F1005"/>
    <w:rsid w:val="0D350DE1"/>
    <w:rsid w:val="0D3861DB"/>
    <w:rsid w:val="0D3F57BC"/>
    <w:rsid w:val="0D425B31"/>
    <w:rsid w:val="0D4508F7"/>
    <w:rsid w:val="0D4C3218"/>
    <w:rsid w:val="0D4C612B"/>
    <w:rsid w:val="0D4D5959"/>
    <w:rsid w:val="0D4E3C51"/>
    <w:rsid w:val="0D51729D"/>
    <w:rsid w:val="0D545A59"/>
    <w:rsid w:val="0D554FDF"/>
    <w:rsid w:val="0D576BC0"/>
    <w:rsid w:val="0D5B011C"/>
    <w:rsid w:val="0D5C50AC"/>
    <w:rsid w:val="0D5F7C0C"/>
    <w:rsid w:val="0D70006B"/>
    <w:rsid w:val="0D705975"/>
    <w:rsid w:val="0D731909"/>
    <w:rsid w:val="0D7505C0"/>
    <w:rsid w:val="0D7731A8"/>
    <w:rsid w:val="0D8111A6"/>
    <w:rsid w:val="0D837D9E"/>
    <w:rsid w:val="0D86163D"/>
    <w:rsid w:val="0D8D29CB"/>
    <w:rsid w:val="0D906017"/>
    <w:rsid w:val="0D907DC5"/>
    <w:rsid w:val="0D931F5D"/>
    <w:rsid w:val="0D933D59"/>
    <w:rsid w:val="0D9755F8"/>
    <w:rsid w:val="0D9A50E8"/>
    <w:rsid w:val="0D9C2C0E"/>
    <w:rsid w:val="0D9D0734"/>
    <w:rsid w:val="0D9E1BA7"/>
    <w:rsid w:val="0D9E714C"/>
    <w:rsid w:val="0DA10224"/>
    <w:rsid w:val="0DA1474E"/>
    <w:rsid w:val="0DA336F3"/>
    <w:rsid w:val="0DAB4BFF"/>
    <w:rsid w:val="0DAD4E1B"/>
    <w:rsid w:val="0DAE2941"/>
    <w:rsid w:val="0DB17D41"/>
    <w:rsid w:val="0DB60E48"/>
    <w:rsid w:val="0DC56347"/>
    <w:rsid w:val="0DCD4E20"/>
    <w:rsid w:val="0DD04666"/>
    <w:rsid w:val="0DD269FA"/>
    <w:rsid w:val="0DD45914"/>
    <w:rsid w:val="0DDC125D"/>
    <w:rsid w:val="0DDD6A48"/>
    <w:rsid w:val="0DDD6D83"/>
    <w:rsid w:val="0DE174E9"/>
    <w:rsid w:val="0DE243F0"/>
    <w:rsid w:val="0DE443E8"/>
    <w:rsid w:val="0DED4FA7"/>
    <w:rsid w:val="0DF20642"/>
    <w:rsid w:val="0DF742E8"/>
    <w:rsid w:val="0DF74598"/>
    <w:rsid w:val="0DFF4F4B"/>
    <w:rsid w:val="0E0013EF"/>
    <w:rsid w:val="0E012A71"/>
    <w:rsid w:val="0E097B78"/>
    <w:rsid w:val="0E0A401C"/>
    <w:rsid w:val="0E0D58BA"/>
    <w:rsid w:val="0E0F1632"/>
    <w:rsid w:val="0E117E39"/>
    <w:rsid w:val="0E1409F6"/>
    <w:rsid w:val="0E146C48"/>
    <w:rsid w:val="0E14701C"/>
    <w:rsid w:val="0E19600D"/>
    <w:rsid w:val="0E1B1E7D"/>
    <w:rsid w:val="0E1B4581"/>
    <w:rsid w:val="0E1E6CEB"/>
    <w:rsid w:val="0E1E7AC7"/>
    <w:rsid w:val="0E26072A"/>
    <w:rsid w:val="0E2B0BF2"/>
    <w:rsid w:val="0E2D2114"/>
    <w:rsid w:val="0E303356"/>
    <w:rsid w:val="0E364E11"/>
    <w:rsid w:val="0E386ACC"/>
    <w:rsid w:val="0E387EAF"/>
    <w:rsid w:val="0E39220B"/>
    <w:rsid w:val="0E3B2427"/>
    <w:rsid w:val="0E3C35A3"/>
    <w:rsid w:val="0E3E1F17"/>
    <w:rsid w:val="0E4525FD"/>
    <w:rsid w:val="0E455118"/>
    <w:rsid w:val="0E462B7A"/>
    <w:rsid w:val="0E470192"/>
    <w:rsid w:val="0E4B1F3E"/>
    <w:rsid w:val="0E5139F9"/>
    <w:rsid w:val="0E5A03D3"/>
    <w:rsid w:val="0E5B4877"/>
    <w:rsid w:val="0E5C05EF"/>
    <w:rsid w:val="0E6179B4"/>
    <w:rsid w:val="0E623542"/>
    <w:rsid w:val="0E664FCA"/>
    <w:rsid w:val="0E67321C"/>
    <w:rsid w:val="0E680D42"/>
    <w:rsid w:val="0E6A2D0C"/>
    <w:rsid w:val="0E6A4ABA"/>
    <w:rsid w:val="0E6B25E0"/>
    <w:rsid w:val="0E6F20D1"/>
    <w:rsid w:val="0E70013B"/>
    <w:rsid w:val="0E727ADE"/>
    <w:rsid w:val="0E7407A5"/>
    <w:rsid w:val="0E7476E7"/>
    <w:rsid w:val="0E76345F"/>
    <w:rsid w:val="0E79244C"/>
    <w:rsid w:val="0E7C47EE"/>
    <w:rsid w:val="0E835B7C"/>
    <w:rsid w:val="0E883192"/>
    <w:rsid w:val="0E8A6F0A"/>
    <w:rsid w:val="0E8B64C8"/>
    <w:rsid w:val="0E8E3F75"/>
    <w:rsid w:val="0E8F4521"/>
    <w:rsid w:val="0E920D6F"/>
    <w:rsid w:val="0E924011"/>
    <w:rsid w:val="0E9B1118"/>
    <w:rsid w:val="0E9E4764"/>
    <w:rsid w:val="0EA77ADB"/>
    <w:rsid w:val="0EB06E60"/>
    <w:rsid w:val="0EB44162"/>
    <w:rsid w:val="0EB75826"/>
    <w:rsid w:val="0EB9334C"/>
    <w:rsid w:val="0EC00B7E"/>
    <w:rsid w:val="0EC20452"/>
    <w:rsid w:val="0EC339A2"/>
    <w:rsid w:val="0EC63E70"/>
    <w:rsid w:val="0ED70E7F"/>
    <w:rsid w:val="0EDB69DD"/>
    <w:rsid w:val="0EDC016E"/>
    <w:rsid w:val="0EE44A14"/>
    <w:rsid w:val="0EE7435D"/>
    <w:rsid w:val="0EE74804"/>
    <w:rsid w:val="0EED0A4E"/>
    <w:rsid w:val="0EFC7DD8"/>
    <w:rsid w:val="0F0117BD"/>
    <w:rsid w:val="0F0200FA"/>
    <w:rsid w:val="0F040A6B"/>
    <w:rsid w:val="0F096081"/>
    <w:rsid w:val="0F0C3DC3"/>
    <w:rsid w:val="0F113188"/>
    <w:rsid w:val="0F1266CF"/>
    <w:rsid w:val="0F1418F9"/>
    <w:rsid w:val="0F1467D4"/>
    <w:rsid w:val="0F19203C"/>
    <w:rsid w:val="0F1D38DB"/>
    <w:rsid w:val="0F223E6F"/>
    <w:rsid w:val="0F256C33"/>
    <w:rsid w:val="0F2E3D3A"/>
    <w:rsid w:val="0F3477A2"/>
    <w:rsid w:val="0F3C1C31"/>
    <w:rsid w:val="0F423341"/>
    <w:rsid w:val="0F4C2412"/>
    <w:rsid w:val="0F4F5A5E"/>
    <w:rsid w:val="0F514AE8"/>
    <w:rsid w:val="0F543075"/>
    <w:rsid w:val="0F5512C6"/>
    <w:rsid w:val="0F56503F"/>
    <w:rsid w:val="0F5660FF"/>
    <w:rsid w:val="0F576D99"/>
    <w:rsid w:val="0F5A4B2F"/>
    <w:rsid w:val="0F5C08A7"/>
    <w:rsid w:val="0F5D463D"/>
    <w:rsid w:val="0F5F5CA1"/>
    <w:rsid w:val="0F670FFA"/>
    <w:rsid w:val="0F6E4136"/>
    <w:rsid w:val="0F704352"/>
    <w:rsid w:val="0F735BF1"/>
    <w:rsid w:val="0F755C0E"/>
    <w:rsid w:val="0F777999"/>
    <w:rsid w:val="0F79249C"/>
    <w:rsid w:val="0F865924"/>
    <w:rsid w:val="0F916077"/>
    <w:rsid w:val="0F923341"/>
    <w:rsid w:val="0F955B67"/>
    <w:rsid w:val="0F9E175C"/>
    <w:rsid w:val="0FA45DAA"/>
    <w:rsid w:val="0FAB5527"/>
    <w:rsid w:val="0FAC6EFF"/>
    <w:rsid w:val="0FAE2CC6"/>
    <w:rsid w:val="0FB13268"/>
    <w:rsid w:val="0FB6788B"/>
    <w:rsid w:val="0FBD50BE"/>
    <w:rsid w:val="0FC1695C"/>
    <w:rsid w:val="0FC30926"/>
    <w:rsid w:val="0FC41FA8"/>
    <w:rsid w:val="0FD146C5"/>
    <w:rsid w:val="0FD35650"/>
    <w:rsid w:val="0FDD25A4"/>
    <w:rsid w:val="0FE05083"/>
    <w:rsid w:val="0FE10DAC"/>
    <w:rsid w:val="0FE1562C"/>
    <w:rsid w:val="0FE64614"/>
    <w:rsid w:val="0FE74C98"/>
    <w:rsid w:val="0FEB39D9"/>
    <w:rsid w:val="0FED7342"/>
    <w:rsid w:val="0FEE34C9"/>
    <w:rsid w:val="0FF6382B"/>
    <w:rsid w:val="0FF84BE0"/>
    <w:rsid w:val="0FFA00C0"/>
    <w:rsid w:val="0FFD14E3"/>
    <w:rsid w:val="0FFE370C"/>
    <w:rsid w:val="1008458B"/>
    <w:rsid w:val="100D7DF3"/>
    <w:rsid w:val="100F5919"/>
    <w:rsid w:val="10101691"/>
    <w:rsid w:val="10113F72"/>
    <w:rsid w:val="10194B5C"/>
    <w:rsid w:val="10207B26"/>
    <w:rsid w:val="102313C5"/>
    <w:rsid w:val="1029043F"/>
    <w:rsid w:val="102F21A4"/>
    <w:rsid w:val="10305890"/>
    <w:rsid w:val="103203AB"/>
    <w:rsid w:val="103709CC"/>
    <w:rsid w:val="103D6A1A"/>
    <w:rsid w:val="103E7FAD"/>
    <w:rsid w:val="103F5AD3"/>
    <w:rsid w:val="104135F9"/>
    <w:rsid w:val="104558EF"/>
    <w:rsid w:val="10463305"/>
    <w:rsid w:val="104D01F0"/>
    <w:rsid w:val="104E4A31"/>
    <w:rsid w:val="10525806"/>
    <w:rsid w:val="10564B8E"/>
    <w:rsid w:val="10583CFA"/>
    <w:rsid w:val="105A46BB"/>
    <w:rsid w:val="105C2769"/>
    <w:rsid w:val="105C6685"/>
    <w:rsid w:val="106A6FF4"/>
    <w:rsid w:val="106B68C8"/>
    <w:rsid w:val="10725EA8"/>
    <w:rsid w:val="1074793B"/>
    <w:rsid w:val="10817E99"/>
    <w:rsid w:val="108300B5"/>
    <w:rsid w:val="10834AAD"/>
    <w:rsid w:val="10853E2D"/>
    <w:rsid w:val="10882C5B"/>
    <w:rsid w:val="10914580"/>
    <w:rsid w:val="1091537A"/>
    <w:rsid w:val="10953945"/>
    <w:rsid w:val="10962E2B"/>
    <w:rsid w:val="10967DE9"/>
    <w:rsid w:val="109A0FBC"/>
    <w:rsid w:val="109D1177"/>
    <w:rsid w:val="10A11BCB"/>
    <w:rsid w:val="10A51DDA"/>
    <w:rsid w:val="10A96BCB"/>
    <w:rsid w:val="10AA73F0"/>
    <w:rsid w:val="10AB1F4F"/>
    <w:rsid w:val="10AE1499"/>
    <w:rsid w:val="10AF0EAA"/>
    <w:rsid w:val="10B03023"/>
    <w:rsid w:val="10B22749"/>
    <w:rsid w:val="10B842E3"/>
    <w:rsid w:val="10BB2786"/>
    <w:rsid w:val="10BC4481"/>
    <w:rsid w:val="10C00F00"/>
    <w:rsid w:val="10C36704"/>
    <w:rsid w:val="10C44237"/>
    <w:rsid w:val="10C514AF"/>
    <w:rsid w:val="10D95FDF"/>
    <w:rsid w:val="10DB7C53"/>
    <w:rsid w:val="10DF7242"/>
    <w:rsid w:val="10E2302E"/>
    <w:rsid w:val="10E420E0"/>
    <w:rsid w:val="10E82567"/>
    <w:rsid w:val="10EC17B7"/>
    <w:rsid w:val="10F35929"/>
    <w:rsid w:val="10FC461B"/>
    <w:rsid w:val="110B168F"/>
    <w:rsid w:val="111022AF"/>
    <w:rsid w:val="11131439"/>
    <w:rsid w:val="111F7DDE"/>
    <w:rsid w:val="112371A2"/>
    <w:rsid w:val="112626A0"/>
    <w:rsid w:val="11295CD8"/>
    <w:rsid w:val="112B0360"/>
    <w:rsid w:val="11333889"/>
    <w:rsid w:val="113B0990"/>
    <w:rsid w:val="113F222E"/>
    <w:rsid w:val="11405FA6"/>
    <w:rsid w:val="1141079D"/>
    <w:rsid w:val="114438AD"/>
    <w:rsid w:val="11443A95"/>
    <w:rsid w:val="11494E5B"/>
    <w:rsid w:val="114F0F63"/>
    <w:rsid w:val="1150402C"/>
    <w:rsid w:val="11551A52"/>
    <w:rsid w:val="11586E4C"/>
    <w:rsid w:val="11592BC4"/>
    <w:rsid w:val="116F111E"/>
    <w:rsid w:val="11716160"/>
    <w:rsid w:val="117479FE"/>
    <w:rsid w:val="11775364"/>
    <w:rsid w:val="117A3266"/>
    <w:rsid w:val="117F119A"/>
    <w:rsid w:val="117F262B"/>
    <w:rsid w:val="117F6ACF"/>
    <w:rsid w:val="11813EEC"/>
    <w:rsid w:val="11834AA5"/>
    <w:rsid w:val="11836B05"/>
    <w:rsid w:val="118714DF"/>
    <w:rsid w:val="118916FB"/>
    <w:rsid w:val="118934A9"/>
    <w:rsid w:val="118B7776"/>
    <w:rsid w:val="1191235E"/>
    <w:rsid w:val="1193257A"/>
    <w:rsid w:val="11963E18"/>
    <w:rsid w:val="119C142F"/>
    <w:rsid w:val="119F0F1F"/>
    <w:rsid w:val="11A06B88"/>
    <w:rsid w:val="11A934F2"/>
    <w:rsid w:val="11AB1672"/>
    <w:rsid w:val="11AB73D4"/>
    <w:rsid w:val="11AC53EA"/>
    <w:rsid w:val="11B36778"/>
    <w:rsid w:val="11B85B3D"/>
    <w:rsid w:val="11BB46AD"/>
    <w:rsid w:val="11BC387F"/>
    <w:rsid w:val="11BD75F7"/>
    <w:rsid w:val="11BE3EC7"/>
    <w:rsid w:val="11C051AC"/>
    <w:rsid w:val="11C42733"/>
    <w:rsid w:val="11C538CD"/>
    <w:rsid w:val="11CC783A"/>
    <w:rsid w:val="11CE35B2"/>
    <w:rsid w:val="11CE5360"/>
    <w:rsid w:val="11D16BFE"/>
    <w:rsid w:val="11D72467"/>
    <w:rsid w:val="11D7567C"/>
    <w:rsid w:val="11DB182B"/>
    <w:rsid w:val="11DB304C"/>
    <w:rsid w:val="11E06E41"/>
    <w:rsid w:val="11E2224A"/>
    <w:rsid w:val="11E25736"/>
    <w:rsid w:val="11F34DC7"/>
    <w:rsid w:val="11F86947"/>
    <w:rsid w:val="11F95249"/>
    <w:rsid w:val="11FD5C45"/>
    <w:rsid w:val="11FF2D53"/>
    <w:rsid w:val="12015736"/>
    <w:rsid w:val="1202500A"/>
    <w:rsid w:val="1202502D"/>
    <w:rsid w:val="12045226"/>
    <w:rsid w:val="12064AFA"/>
    <w:rsid w:val="12105979"/>
    <w:rsid w:val="12107727"/>
    <w:rsid w:val="121A4DC4"/>
    <w:rsid w:val="121C256F"/>
    <w:rsid w:val="121C60CC"/>
    <w:rsid w:val="122356AC"/>
    <w:rsid w:val="12241424"/>
    <w:rsid w:val="12270817"/>
    <w:rsid w:val="12287D7A"/>
    <w:rsid w:val="122C785E"/>
    <w:rsid w:val="123258EF"/>
    <w:rsid w:val="1232769D"/>
    <w:rsid w:val="12361768"/>
    <w:rsid w:val="123874D1"/>
    <w:rsid w:val="12394ECF"/>
    <w:rsid w:val="1239627B"/>
    <w:rsid w:val="123D6042"/>
    <w:rsid w:val="12403D16"/>
    <w:rsid w:val="124060E1"/>
    <w:rsid w:val="12435D4E"/>
    <w:rsid w:val="12443874"/>
    <w:rsid w:val="124B69B1"/>
    <w:rsid w:val="12502219"/>
    <w:rsid w:val="12543AB7"/>
    <w:rsid w:val="125B488D"/>
    <w:rsid w:val="125E1541"/>
    <w:rsid w:val="12636919"/>
    <w:rsid w:val="12681311"/>
    <w:rsid w:val="12687563"/>
    <w:rsid w:val="12695089"/>
    <w:rsid w:val="126A32DB"/>
    <w:rsid w:val="126A5AC3"/>
    <w:rsid w:val="126D2DCB"/>
    <w:rsid w:val="126D6927"/>
    <w:rsid w:val="126E2D03"/>
    <w:rsid w:val="12704669"/>
    <w:rsid w:val="12745F08"/>
    <w:rsid w:val="127A7296"/>
    <w:rsid w:val="127F686C"/>
    <w:rsid w:val="1283391C"/>
    <w:rsid w:val="12851EC3"/>
    <w:rsid w:val="128D0D77"/>
    <w:rsid w:val="1291752C"/>
    <w:rsid w:val="12931983"/>
    <w:rsid w:val="12960BEC"/>
    <w:rsid w:val="12964DED"/>
    <w:rsid w:val="129F7E81"/>
    <w:rsid w:val="12A04F4F"/>
    <w:rsid w:val="12A3059B"/>
    <w:rsid w:val="12A762DD"/>
    <w:rsid w:val="12AB744F"/>
    <w:rsid w:val="12AC38F3"/>
    <w:rsid w:val="12B02CB8"/>
    <w:rsid w:val="12B502CE"/>
    <w:rsid w:val="12B75D5C"/>
    <w:rsid w:val="12B91B6C"/>
    <w:rsid w:val="12B96010"/>
    <w:rsid w:val="12B97DBE"/>
    <w:rsid w:val="12C217E4"/>
    <w:rsid w:val="12C30C3D"/>
    <w:rsid w:val="12C354E8"/>
    <w:rsid w:val="12C46CC5"/>
    <w:rsid w:val="12C877BE"/>
    <w:rsid w:val="12C96BA5"/>
    <w:rsid w:val="12CC7AF2"/>
    <w:rsid w:val="12D22B3E"/>
    <w:rsid w:val="12D90460"/>
    <w:rsid w:val="12DA1A7B"/>
    <w:rsid w:val="12DA1AE3"/>
    <w:rsid w:val="12DE7825"/>
    <w:rsid w:val="12E00CB5"/>
    <w:rsid w:val="12E27315"/>
    <w:rsid w:val="12E50BB3"/>
    <w:rsid w:val="12E65261"/>
    <w:rsid w:val="12E71167"/>
    <w:rsid w:val="12F32A2B"/>
    <w:rsid w:val="12FB3F33"/>
    <w:rsid w:val="1300779B"/>
    <w:rsid w:val="1303728B"/>
    <w:rsid w:val="13076D7C"/>
    <w:rsid w:val="130D1EB8"/>
    <w:rsid w:val="13127B01"/>
    <w:rsid w:val="13144FF5"/>
    <w:rsid w:val="13174CF3"/>
    <w:rsid w:val="13197383"/>
    <w:rsid w:val="131D659F"/>
    <w:rsid w:val="131E5E73"/>
    <w:rsid w:val="13206A46"/>
    <w:rsid w:val="13217712"/>
    <w:rsid w:val="13235C52"/>
    <w:rsid w:val="13255454"/>
    <w:rsid w:val="133049E6"/>
    <w:rsid w:val="1331204B"/>
    <w:rsid w:val="133571E8"/>
    <w:rsid w:val="133833D9"/>
    <w:rsid w:val="133D09EF"/>
    <w:rsid w:val="133D317F"/>
    <w:rsid w:val="133D3D06"/>
    <w:rsid w:val="133E02C4"/>
    <w:rsid w:val="134976C3"/>
    <w:rsid w:val="134E5DC5"/>
    <w:rsid w:val="134F0723"/>
    <w:rsid w:val="13533D6F"/>
    <w:rsid w:val="1356385F"/>
    <w:rsid w:val="13596EAB"/>
    <w:rsid w:val="13622204"/>
    <w:rsid w:val="13637D2A"/>
    <w:rsid w:val="13645F7C"/>
    <w:rsid w:val="13661B1F"/>
    <w:rsid w:val="1367628A"/>
    <w:rsid w:val="136F5225"/>
    <w:rsid w:val="137361BF"/>
    <w:rsid w:val="13754F58"/>
    <w:rsid w:val="13765CAF"/>
    <w:rsid w:val="138403CC"/>
    <w:rsid w:val="1384217A"/>
    <w:rsid w:val="138E2FF9"/>
    <w:rsid w:val="139879D4"/>
    <w:rsid w:val="139C43BF"/>
    <w:rsid w:val="139D323C"/>
    <w:rsid w:val="139E0D62"/>
    <w:rsid w:val="13A02D2C"/>
    <w:rsid w:val="13A16E84"/>
    <w:rsid w:val="13A934B3"/>
    <w:rsid w:val="13B660AC"/>
    <w:rsid w:val="13B80076"/>
    <w:rsid w:val="13BB36C2"/>
    <w:rsid w:val="13BF7656"/>
    <w:rsid w:val="13C83419"/>
    <w:rsid w:val="13D6674E"/>
    <w:rsid w:val="13D749A0"/>
    <w:rsid w:val="13DF4DFC"/>
    <w:rsid w:val="13DF5603"/>
    <w:rsid w:val="13E07289"/>
    <w:rsid w:val="13E5172B"/>
    <w:rsid w:val="13E61179"/>
    <w:rsid w:val="13F05A62"/>
    <w:rsid w:val="13F60B9E"/>
    <w:rsid w:val="13F6294C"/>
    <w:rsid w:val="13F75067"/>
    <w:rsid w:val="13F75F72"/>
    <w:rsid w:val="14016EF3"/>
    <w:rsid w:val="140570A1"/>
    <w:rsid w:val="14076907"/>
    <w:rsid w:val="140C03A7"/>
    <w:rsid w:val="140C03C2"/>
    <w:rsid w:val="140D6614"/>
    <w:rsid w:val="14105E03"/>
    <w:rsid w:val="14124637"/>
    <w:rsid w:val="14156350"/>
    <w:rsid w:val="14180B15"/>
    <w:rsid w:val="141A2ADF"/>
    <w:rsid w:val="141A5AC4"/>
    <w:rsid w:val="141B23B3"/>
    <w:rsid w:val="142B0848"/>
    <w:rsid w:val="142B4CEC"/>
    <w:rsid w:val="142C10D4"/>
    <w:rsid w:val="142E20E6"/>
    <w:rsid w:val="142E2839"/>
    <w:rsid w:val="142F448D"/>
    <w:rsid w:val="14321BD6"/>
    <w:rsid w:val="1436127B"/>
    <w:rsid w:val="14383444"/>
    <w:rsid w:val="14424DC6"/>
    <w:rsid w:val="144501AE"/>
    <w:rsid w:val="144B0EEA"/>
    <w:rsid w:val="144B2C98"/>
    <w:rsid w:val="145F04F1"/>
    <w:rsid w:val="14603C33"/>
    <w:rsid w:val="146401FE"/>
    <w:rsid w:val="14662363"/>
    <w:rsid w:val="14691370"/>
    <w:rsid w:val="146975C2"/>
    <w:rsid w:val="146B1291"/>
    <w:rsid w:val="146B333A"/>
    <w:rsid w:val="146C3666"/>
    <w:rsid w:val="147026FF"/>
    <w:rsid w:val="14733869"/>
    <w:rsid w:val="14740441"/>
    <w:rsid w:val="1476752B"/>
    <w:rsid w:val="147D74EC"/>
    <w:rsid w:val="147E306D"/>
    <w:rsid w:val="14804972"/>
    <w:rsid w:val="14851632"/>
    <w:rsid w:val="14885C9A"/>
    <w:rsid w:val="148B49C6"/>
    <w:rsid w:val="148F2A89"/>
    <w:rsid w:val="14902DA1"/>
    <w:rsid w:val="14922675"/>
    <w:rsid w:val="149F2FE4"/>
    <w:rsid w:val="14A32AD4"/>
    <w:rsid w:val="14A423A8"/>
    <w:rsid w:val="14A72723"/>
    <w:rsid w:val="14A800EA"/>
    <w:rsid w:val="14A8633C"/>
    <w:rsid w:val="14AA605E"/>
    <w:rsid w:val="14AB3737"/>
    <w:rsid w:val="14AF76CB"/>
    <w:rsid w:val="14B06F9F"/>
    <w:rsid w:val="14B20F69"/>
    <w:rsid w:val="14BB6070"/>
    <w:rsid w:val="14BC76F2"/>
    <w:rsid w:val="14BE346A"/>
    <w:rsid w:val="14C60571"/>
    <w:rsid w:val="14CA0061"/>
    <w:rsid w:val="14D129B7"/>
    <w:rsid w:val="14D31D4A"/>
    <w:rsid w:val="14D41B46"/>
    <w:rsid w:val="14D77DE4"/>
    <w:rsid w:val="14D92328"/>
    <w:rsid w:val="14DC1B42"/>
    <w:rsid w:val="14DE1D5E"/>
    <w:rsid w:val="14EF1875"/>
    <w:rsid w:val="14F90946"/>
    <w:rsid w:val="14FD3553"/>
    <w:rsid w:val="15020C8C"/>
    <w:rsid w:val="150317C5"/>
    <w:rsid w:val="150F3CBC"/>
    <w:rsid w:val="15114352"/>
    <w:rsid w:val="151338AA"/>
    <w:rsid w:val="15135A41"/>
    <w:rsid w:val="151C5F0A"/>
    <w:rsid w:val="15202377"/>
    <w:rsid w:val="152579CF"/>
    <w:rsid w:val="152B36E3"/>
    <w:rsid w:val="152F25BA"/>
    <w:rsid w:val="15302565"/>
    <w:rsid w:val="15327640"/>
    <w:rsid w:val="15360A41"/>
    <w:rsid w:val="153876C0"/>
    <w:rsid w:val="153B4ABB"/>
    <w:rsid w:val="153D3FC7"/>
    <w:rsid w:val="153E27FD"/>
    <w:rsid w:val="153E45AB"/>
    <w:rsid w:val="15425706"/>
    <w:rsid w:val="15426441"/>
    <w:rsid w:val="15431BC1"/>
    <w:rsid w:val="15470831"/>
    <w:rsid w:val="154716B1"/>
    <w:rsid w:val="15485429"/>
    <w:rsid w:val="154C7553"/>
    <w:rsid w:val="154D0C92"/>
    <w:rsid w:val="154D3D0F"/>
    <w:rsid w:val="154F0566"/>
    <w:rsid w:val="15543DCE"/>
    <w:rsid w:val="15590675"/>
    <w:rsid w:val="15597637"/>
    <w:rsid w:val="155C054E"/>
    <w:rsid w:val="155C2286"/>
    <w:rsid w:val="155F49F6"/>
    <w:rsid w:val="156166A0"/>
    <w:rsid w:val="156264EB"/>
    <w:rsid w:val="15657D89"/>
    <w:rsid w:val="1568787A"/>
    <w:rsid w:val="156A35F2"/>
    <w:rsid w:val="156F6E5A"/>
    <w:rsid w:val="157B4D4F"/>
    <w:rsid w:val="157B75AD"/>
    <w:rsid w:val="158D108E"/>
    <w:rsid w:val="15932B49"/>
    <w:rsid w:val="159863B1"/>
    <w:rsid w:val="15995C85"/>
    <w:rsid w:val="159B37AB"/>
    <w:rsid w:val="159F4480"/>
    <w:rsid w:val="15A5287C"/>
    <w:rsid w:val="15AD5B8E"/>
    <w:rsid w:val="15B32AC0"/>
    <w:rsid w:val="15B42ABF"/>
    <w:rsid w:val="15B64A89"/>
    <w:rsid w:val="15B91E83"/>
    <w:rsid w:val="15BA473B"/>
    <w:rsid w:val="15BB209F"/>
    <w:rsid w:val="15BE4765"/>
    <w:rsid w:val="15C30721"/>
    <w:rsid w:val="15C34AB0"/>
    <w:rsid w:val="15CA22E2"/>
    <w:rsid w:val="15CE0CA0"/>
    <w:rsid w:val="15D23643"/>
    <w:rsid w:val="15D46CBD"/>
    <w:rsid w:val="15D53DDC"/>
    <w:rsid w:val="15D87EFC"/>
    <w:rsid w:val="15DD1E4A"/>
    <w:rsid w:val="15DD3DC4"/>
    <w:rsid w:val="15E03B4C"/>
    <w:rsid w:val="15E163F4"/>
    <w:rsid w:val="15E44D75"/>
    <w:rsid w:val="15E50ECA"/>
    <w:rsid w:val="15E53B3A"/>
    <w:rsid w:val="15E66956"/>
    <w:rsid w:val="15F0776C"/>
    <w:rsid w:val="15F07F9B"/>
    <w:rsid w:val="15F31839"/>
    <w:rsid w:val="15F464AA"/>
    <w:rsid w:val="15F90F30"/>
    <w:rsid w:val="15FA4976"/>
    <w:rsid w:val="15FA6724"/>
    <w:rsid w:val="15FD7FC2"/>
    <w:rsid w:val="160457F4"/>
    <w:rsid w:val="16094BB9"/>
    <w:rsid w:val="160B6B83"/>
    <w:rsid w:val="160F7CF5"/>
    <w:rsid w:val="16126F47"/>
    <w:rsid w:val="161377E5"/>
    <w:rsid w:val="161C2B3E"/>
    <w:rsid w:val="161F69DF"/>
    <w:rsid w:val="162B2D81"/>
    <w:rsid w:val="16377803"/>
    <w:rsid w:val="16377978"/>
    <w:rsid w:val="163836F0"/>
    <w:rsid w:val="163B35E8"/>
    <w:rsid w:val="163F4A7E"/>
    <w:rsid w:val="1651030E"/>
    <w:rsid w:val="16526560"/>
    <w:rsid w:val="16640041"/>
    <w:rsid w:val="166C5148"/>
    <w:rsid w:val="166D339A"/>
    <w:rsid w:val="16710118"/>
    <w:rsid w:val="1672416C"/>
    <w:rsid w:val="16781D3E"/>
    <w:rsid w:val="167A4E0A"/>
    <w:rsid w:val="167D7540"/>
    <w:rsid w:val="16804B0A"/>
    <w:rsid w:val="16865B0F"/>
    <w:rsid w:val="16873D30"/>
    <w:rsid w:val="168801D3"/>
    <w:rsid w:val="16884052"/>
    <w:rsid w:val="168A3B77"/>
    <w:rsid w:val="168C4260"/>
    <w:rsid w:val="16900084"/>
    <w:rsid w:val="1691701B"/>
    <w:rsid w:val="169326D4"/>
    <w:rsid w:val="169528F0"/>
    <w:rsid w:val="16957462"/>
    <w:rsid w:val="1696109A"/>
    <w:rsid w:val="169A7F07"/>
    <w:rsid w:val="169C47E2"/>
    <w:rsid w:val="169E79F7"/>
    <w:rsid w:val="169F1079"/>
    <w:rsid w:val="16A50D85"/>
    <w:rsid w:val="16A54EFC"/>
    <w:rsid w:val="16AA0C63"/>
    <w:rsid w:val="16B03369"/>
    <w:rsid w:val="16B20DAC"/>
    <w:rsid w:val="16BA4105"/>
    <w:rsid w:val="16C3745D"/>
    <w:rsid w:val="16CF18DB"/>
    <w:rsid w:val="16D451C7"/>
    <w:rsid w:val="16D76A65"/>
    <w:rsid w:val="16DB1DC3"/>
    <w:rsid w:val="16E340AB"/>
    <w:rsid w:val="16E64EFA"/>
    <w:rsid w:val="16E650F8"/>
    <w:rsid w:val="16E939A4"/>
    <w:rsid w:val="16EB2510"/>
    <w:rsid w:val="16F420CC"/>
    <w:rsid w:val="16F6136F"/>
    <w:rsid w:val="16FD297F"/>
    <w:rsid w:val="16FE0496"/>
    <w:rsid w:val="170A0BE8"/>
    <w:rsid w:val="170B180B"/>
    <w:rsid w:val="17162FEC"/>
    <w:rsid w:val="1720665E"/>
    <w:rsid w:val="17242CEB"/>
    <w:rsid w:val="1726591C"/>
    <w:rsid w:val="172B095B"/>
    <w:rsid w:val="172D2B29"/>
    <w:rsid w:val="17306175"/>
    <w:rsid w:val="17321EED"/>
    <w:rsid w:val="1733100A"/>
    <w:rsid w:val="1735086C"/>
    <w:rsid w:val="173739A8"/>
    <w:rsid w:val="17381DA6"/>
    <w:rsid w:val="173B5246"/>
    <w:rsid w:val="173C0FBE"/>
    <w:rsid w:val="17487A3D"/>
    <w:rsid w:val="174D4F1E"/>
    <w:rsid w:val="17532E27"/>
    <w:rsid w:val="17543620"/>
    <w:rsid w:val="175C05A5"/>
    <w:rsid w:val="175C3236"/>
    <w:rsid w:val="175E0F34"/>
    <w:rsid w:val="17606A5A"/>
    <w:rsid w:val="176A5B2B"/>
    <w:rsid w:val="176D1177"/>
    <w:rsid w:val="177C13BA"/>
    <w:rsid w:val="1780534F"/>
    <w:rsid w:val="17867036"/>
    <w:rsid w:val="17884203"/>
    <w:rsid w:val="17887D5F"/>
    <w:rsid w:val="178D5376"/>
    <w:rsid w:val="17947E66"/>
    <w:rsid w:val="179761F4"/>
    <w:rsid w:val="17987D59"/>
    <w:rsid w:val="179B5CE4"/>
    <w:rsid w:val="179C380B"/>
    <w:rsid w:val="179D1D3F"/>
    <w:rsid w:val="179E3A27"/>
    <w:rsid w:val="179E7583"/>
    <w:rsid w:val="17A000FE"/>
    <w:rsid w:val="17A0154D"/>
    <w:rsid w:val="17A264AE"/>
    <w:rsid w:val="17A345FB"/>
    <w:rsid w:val="17AA23CB"/>
    <w:rsid w:val="17AA5F28"/>
    <w:rsid w:val="17B46DA6"/>
    <w:rsid w:val="17B943BD"/>
    <w:rsid w:val="17BD0472"/>
    <w:rsid w:val="17BD20FF"/>
    <w:rsid w:val="17CF3BE0"/>
    <w:rsid w:val="17CF622C"/>
    <w:rsid w:val="17D42FA4"/>
    <w:rsid w:val="17D631C0"/>
    <w:rsid w:val="17D72C9A"/>
    <w:rsid w:val="17DD454F"/>
    <w:rsid w:val="17E22F49"/>
    <w:rsid w:val="17EF7C87"/>
    <w:rsid w:val="17F13B56"/>
    <w:rsid w:val="17F45182"/>
    <w:rsid w:val="17F453F5"/>
    <w:rsid w:val="17F72AE6"/>
    <w:rsid w:val="17F81389"/>
    <w:rsid w:val="17F83137"/>
    <w:rsid w:val="17FA6EAF"/>
    <w:rsid w:val="1800023D"/>
    <w:rsid w:val="18057602"/>
    <w:rsid w:val="18090EA0"/>
    <w:rsid w:val="180C6BE2"/>
    <w:rsid w:val="18104D99"/>
    <w:rsid w:val="1811244B"/>
    <w:rsid w:val="18155A97"/>
    <w:rsid w:val="18167A61"/>
    <w:rsid w:val="181A30AD"/>
    <w:rsid w:val="1824217E"/>
    <w:rsid w:val="18273A1C"/>
    <w:rsid w:val="182B0260"/>
    <w:rsid w:val="182E4DAB"/>
    <w:rsid w:val="182E6B59"/>
    <w:rsid w:val="182E6F6C"/>
    <w:rsid w:val="183022DF"/>
    <w:rsid w:val="18351C95"/>
    <w:rsid w:val="183562EF"/>
    <w:rsid w:val="18365A0D"/>
    <w:rsid w:val="183B6DB6"/>
    <w:rsid w:val="183F0AA8"/>
    <w:rsid w:val="183F2B14"/>
    <w:rsid w:val="184055E0"/>
    <w:rsid w:val="184243B2"/>
    <w:rsid w:val="18455C50"/>
    <w:rsid w:val="184B5220"/>
    <w:rsid w:val="184C2F83"/>
    <w:rsid w:val="184D5ADD"/>
    <w:rsid w:val="184E3051"/>
    <w:rsid w:val="18502F73"/>
    <w:rsid w:val="18506ACF"/>
    <w:rsid w:val="18616F2E"/>
    <w:rsid w:val="18621F5A"/>
    <w:rsid w:val="18702CCD"/>
    <w:rsid w:val="18725A57"/>
    <w:rsid w:val="18730A0F"/>
    <w:rsid w:val="187529D9"/>
    <w:rsid w:val="18756535"/>
    <w:rsid w:val="187A0DF7"/>
    <w:rsid w:val="187A3B4C"/>
    <w:rsid w:val="188563F7"/>
    <w:rsid w:val="188A384C"/>
    <w:rsid w:val="1890336F"/>
    <w:rsid w:val="189270E7"/>
    <w:rsid w:val="189310B2"/>
    <w:rsid w:val="18932E60"/>
    <w:rsid w:val="18964231"/>
    <w:rsid w:val="189C7F66"/>
    <w:rsid w:val="189D4520"/>
    <w:rsid w:val="18A13509"/>
    <w:rsid w:val="18A706B9"/>
    <w:rsid w:val="18AE37F5"/>
    <w:rsid w:val="18AE7C99"/>
    <w:rsid w:val="18B07A55"/>
    <w:rsid w:val="18B94247"/>
    <w:rsid w:val="18B96759"/>
    <w:rsid w:val="18BC23B6"/>
    <w:rsid w:val="18BC4164"/>
    <w:rsid w:val="18C24158"/>
    <w:rsid w:val="18C272A1"/>
    <w:rsid w:val="18C33745"/>
    <w:rsid w:val="18C41E54"/>
    <w:rsid w:val="18C919F4"/>
    <w:rsid w:val="18DA5871"/>
    <w:rsid w:val="18DA6CE0"/>
    <w:rsid w:val="18DA764F"/>
    <w:rsid w:val="18DD40DB"/>
    <w:rsid w:val="18E00148"/>
    <w:rsid w:val="18E216F1"/>
    <w:rsid w:val="18E86D07"/>
    <w:rsid w:val="18EB67F8"/>
    <w:rsid w:val="18ED6A14"/>
    <w:rsid w:val="18EF1D81"/>
    <w:rsid w:val="18F66E9C"/>
    <w:rsid w:val="18F733EE"/>
    <w:rsid w:val="18FC688C"/>
    <w:rsid w:val="18FF4051"/>
    <w:rsid w:val="1901601B"/>
    <w:rsid w:val="19020A55"/>
    <w:rsid w:val="19082366"/>
    <w:rsid w:val="190A1374"/>
    <w:rsid w:val="190E7118"/>
    <w:rsid w:val="19191807"/>
    <w:rsid w:val="191C4A9A"/>
    <w:rsid w:val="191E4E1F"/>
    <w:rsid w:val="1921046B"/>
    <w:rsid w:val="1922124B"/>
    <w:rsid w:val="192341E3"/>
    <w:rsid w:val="19252EB5"/>
    <w:rsid w:val="192B3098"/>
    <w:rsid w:val="192E347D"/>
    <w:rsid w:val="192E7B16"/>
    <w:rsid w:val="192F4936"/>
    <w:rsid w:val="193463F1"/>
    <w:rsid w:val="193B777F"/>
    <w:rsid w:val="194128BC"/>
    <w:rsid w:val="19445F08"/>
    <w:rsid w:val="19481E9C"/>
    <w:rsid w:val="194A0A34"/>
    <w:rsid w:val="19517987"/>
    <w:rsid w:val="195425EF"/>
    <w:rsid w:val="19570331"/>
    <w:rsid w:val="195769A2"/>
    <w:rsid w:val="195A1FED"/>
    <w:rsid w:val="19687E48"/>
    <w:rsid w:val="196B14AE"/>
    <w:rsid w:val="19722A75"/>
    <w:rsid w:val="19743C72"/>
    <w:rsid w:val="19762565"/>
    <w:rsid w:val="197749FF"/>
    <w:rsid w:val="19824B2B"/>
    <w:rsid w:val="198A4D73"/>
    <w:rsid w:val="198D78AF"/>
    <w:rsid w:val="19923117"/>
    <w:rsid w:val="19927560"/>
    <w:rsid w:val="199826D4"/>
    <w:rsid w:val="199926F8"/>
    <w:rsid w:val="199C02DC"/>
    <w:rsid w:val="199C7AF2"/>
    <w:rsid w:val="199E386A"/>
    <w:rsid w:val="19A05834"/>
    <w:rsid w:val="19A5191C"/>
    <w:rsid w:val="19A84076"/>
    <w:rsid w:val="19B27315"/>
    <w:rsid w:val="19B72B7E"/>
    <w:rsid w:val="19BD0194"/>
    <w:rsid w:val="19BD337C"/>
    <w:rsid w:val="19C808E7"/>
    <w:rsid w:val="19CC487B"/>
    <w:rsid w:val="19CE1487"/>
    <w:rsid w:val="19CF7EC7"/>
    <w:rsid w:val="19D1707E"/>
    <w:rsid w:val="19D62FAF"/>
    <w:rsid w:val="19D665BD"/>
    <w:rsid w:val="19D66968"/>
    <w:rsid w:val="19D719B2"/>
    <w:rsid w:val="19D857E8"/>
    <w:rsid w:val="19DB686C"/>
    <w:rsid w:val="19DE010A"/>
    <w:rsid w:val="19E020D4"/>
    <w:rsid w:val="19E03E83"/>
    <w:rsid w:val="19E17DEB"/>
    <w:rsid w:val="19EA2F53"/>
    <w:rsid w:val="19EC0249"/>
    <w:rsid w:val="19F01779"/>
    <w:rsid w:val="19F06801"/>
    <w:rsid w:val="19F45B80"/>
    <w:rsid w:val="19F53DD2"/>
    <w:rsid w:val="19FE618D"/>
    <w:rsid w:val="19FF69FF"/>
    <w:rsid w:val="1A037B71"/>
    <w:rsid w:val="1A073B05"/>
    <w:rsid w:val="1A0757C3"/>
    <w:rsid w:val="1A0F4768"/>
    <w:rsid w:val="1A123794"/>
    <w:rsid w:val="1A183B5C"/>
    <w:rsid w:val="1A1C3150"/>
    <w:rsid w:val="1A293A7B"/>
    <w:rsid w:val="1A295829"/>
    <w:rsid w:val="1A2C356C"/>
    <w:rsid w:val="1A2E2D21"/>
    <w:rsid w:val="1A2F6BB8"/>
    <w:rsid w:val="1A3441CE"/>
    <w:rsid w:val="1A344800"/>
    <w:rsid w:val="1A352420"/>
    <w:rsid w:val="1A361CF4"/>
    <w:rsid w:val="1A3D12D5"/>
    <w:rsid w:val="1A410E6D"/>
    <w:rsid w:val="1A427177"/>
    <w:rsid w:val="1A4C314F"/>
    <w:rsid w:val="1A4C32C6"/>
    <w:rsid w:val="1A4E34E2"/>
    <w:rsid w:val="1A4F434F"/>
    <w:rsid w:val="1A564145"/>
    <w:rsid w:val="1A5B79AD"/>
    <w:rsid w:val="1A606D71"/>
    <w:rsid w:val="1A626F8D"/>
    <w:rsid w:val="1A642D06"/>
    <w:rsid w:val="1A693E78"/>
    <w:rsid w:val="1A6C18CD"/>
    <w:rsid w:val="1A6C5716"/>
    <w:rsid w:val="1A6C5C1F"/>
    <w:rsid w:val="1A6E5CE9"/>
    <w:rsid w:val="1A725422"/>
    <w:rsid w:val="1A7623F9"/>
    <w:rsid w:val="1A7867B1"/>
    <w:rsid w:val="1A7B1DFD"/>
    <w:rsid w:val="1A7D5B75"/>
    <w:rsid w:val="1A7F369B"/>
    <w:rsid w:val="1A82318C"/>
    <w:rsid w:val="1A830D8A"/>
    <w:rsid w:val="1A864A2A"/>
    <w:rsid w:val="1A8D6F59"/>
    <w:rsid w:val="1A943043"/>
    <w:rsid w:val="1A9C424D"/>
    <w:rsid w:val="1A9D1D74"/>
    <w:rsid w:val="1AA47D03"/>
    <w:rsid w:val="1AA9346B"/>
    <w:rsid w:val="1AA94BBC"/>
    <w:rsid w:val="1AAC08DF"/>
    <w:rsid w:val="1AAD1678"/>
    <w:rsid w:val="1AB64BE3"/>
    <w:rsid w:val="1ABA0B77"/>
    <w:rsid w:val="1ABE0FFF"/>
    <w:rsid w:val="1AC437A4"/>
    <w:rsid w:val="1AC62989"/>
    <w:rsid w:val="1AC6778B"/>
    <w:rsid w:val="1AC9700C"/>
    <w:rsid w:val="1ACE017F"/>
    <w:rsid w:val="1AD5775F"/>
    <w:rsid w:val="1AD75285"/>
    <w:rsid w:val="1AE006FA"/>
    <w:rsid w:val="1AE267C1"/>
    <w:rsid w:val="1AE34E1B"/>
    <w:rsid w:val="1AE654C9"/>
    <w:rsid w:val="1AE856E5"/>
    <w:rsid w:val="1AEB6F83"/>
    <w:rsid w:val="1AED1ED8"/>
    <w:rsid w:val="1AF23E6D"/>
    <w:rsid w:val="1AF8095D"/>
    <w:rsid w:val="1AF8344E"/>
    <w:rsid w:val="1AFD220A"/>
    <w:rsid w:val="1AFF3DF9"/>
    <w:rsid w:val="1B0167A6"/>
    <w:rsid w:val="1B064B81"/>
    <w:rsid w:val="1B0B13D3"/>
    <w:rsid w:val="1B0D6EF9"/>
    <w:rsid w:val="1B1C0EEA"/>
    <w:rsid w:val="1B2053E6"/>
    <w:rsid w:val="1B216501"/>
    <w:rsid w:val="1B2A7AAB"/>
    <w:rsid w:val="1B2B3AF9"/>
    <w:rsid w:val="1B2F36F2"/>
    <w:rsid w:val="1B3918F5"/>
    <w:rsid w:val="1B3A3153"/>
    <w:rsid w:val="1B3B1CB8"/>
    <w:rsid w:val="1B3C333B"/>
    <w:rsid w:val="1B440441"/>
    <w:rsid w:val="1B481CDF"/>
    <w:rsid w:val="1B4D7F6B"/>
    <w:rsid w:val="1B5271C5"/>
    <w:rsid w:val="1B5543FC"/>
    <w:rsid w:val="1B5C15F5"/>
    <w:rsid w:val="1B5C578B"/>
    <w:rsid w:val="1B5E0712"/>
    <w:rsid w:val="1B617245"/>
    <w:rsid w:val="1B624E40"/>
    <w:rsid w:val="1B636B19"/>
    <w:rsid w:val="1B666609"/>
    <w:rsid w:val="1B6A60FA"/>
    <w:rsid w:val="1B6F54BE"/>
    <w:rsid w:val="1B740D26"/>
    <w:rsid w:val="1B79079C"/>
    <w:rsid w:val="1B7E5225"/>
    <w:rsid w:val="1B7E7DF7"/>
    <w:rsid w:val="1B827539"/>
    <w:rsid w:val="1B8A679C"/>
    <w:rsid w:val="1B91266E"/>
    <w:rsid w:val="1B94545D"/>
    <w:rsid w:val="1B9F38C9"/>
    <w:rsid w:val="1BA07D6D"/>
    <w:rsid w:val="1BA31302"/>
    <w:rsid w:val="1BAB7696"/>
    <w:rsid w:val="1BAF48D6"/>
    <w:rsid w:val="1BB10937"/>
    <w:rsid w:val="1BB47375"/>
    <w:rsid w:val="1BB94243"/>
    <w:rsid w:val="1BBB0703"/>
    <w:rsid w:val="1BBB6955"/>
    <w:rsid w:val="1BBF43CB"/>
    <w:rsid w:val="1BC00296"/>
    <w:rsid w:val="1BC06F9C"/>
    <w:rsid w:val="1BC27593"/>
    <w:rsid w:val="1BCA303C"/>
    <w:rsid w:val="1BCD0437"/>
    <w:rsid w:val="1BD25864"/>
    <w:rsid w:val="1BD80B2A"/>
    <w:rsid w:val="1BD82632"/>
    <w:rsid w:val="1BDA0176"/>
    <w:rsid w:val="1BDE2644"/>
    <w:rsid w:val="1BDE7872"/>
    <w:rsid w:val="1BE85270"/>
    <w:rsid w:val="1BEA548C"/>
    <w:rsid w:val="1BEA7366"/>
    <w:rsid w:val="1BEF2AA3"/>
    <w:rsid w:val="1BF260EF"/>
    <w:rsid w:val="1BF400B9"/>
    <w:rsid w:val="1BF445E1"/>
    <w:rsid w:val="1BFB5054"/>
    <w:rsid w:val="1C006A5E"/>
    <w:rsid w:val="1C0876C1"/>
    <w:rsid w:val="1C093B64"/>
    <w:rsid w:val="1C0F3A8B"/>
    <w:rsid w:val="1C13053F"/>
    <w:rsid w:val="1C16002F"/>
    <w:rsid w:val="1C19367C"/>
    <w:rsid w:val="1C213768"/>
    <w:rsid w:val="1C2269D4"/>
    <w:rsid w:val="1C24274C"/>
    <w:rsid w:val="1C2555F5"/>
    <w:rsid w:val="1C3109C5"/>
    <w:rsid w:val="1C34223F"/>
    <w:rsid w:val="1C387FA6"/>
    <w:rsid w:val="1C3A271C"/>
    <w:rsid w:val="1C3B7A96"/>
    <w:rsid w:val="1C40482B"/>
    <w:rsid w:val="1C4050AC"/>
    <w:rsid w:val="1C4A7CD9"/>
    <w:rsid w:val="1C4F52EF"/>
    <w:rsid w:val="1C512E16"/>
    <w:rsid w:val="1C5173E2"/>
    <w:rsid w:val="1C56667E"/>
    <w:rsid w:val="1C5F28FD"/>
    <w:rsid w:val="1C60574F"/>
    <w:rsid w:val="1C6074FD"/>
    <w:rsid w:val="1C625023"/>
    <w:rsid w:val="1C6568C1"/>
    <w:rsid w:val="1C665F76"/>
    <w:rsid w:val="1C6B037B"/>
    <w:rsid w:val="1C6C31DB"/>
    <w:rsid w:val="1C6E7E6B"/>
    <w:rsid w:val="1C7630C8"/>
    <w:rsid w:val="1C7D1E5D"/>
    <w:rsid w:val="1C7E15A1"/>
    <w:rsid w:val="1C8166F6"/>
    <w:rsid w:val="1C821221"/>
    <w:rsid w:val="1C8559F6"/>
    <w:rsid w:val="1C8C02F2"/>
    <w:rsid w:val="1C8D5047"/>
    <w:rsid w:val="1C8F393E"/>
    <w:rsid w:val="1C907DE2"/>
    <w:rsid w:val="1C9176B6"/>
    <w:rsid w:val="1C9525F4"/>
    <w:rsid w:val="1C961170"/>
    <w:rsid w:val="1C99656B"/>
    <w:rsid w:val="1C9B0367"/>
    <w:rsid w:val="1CA550CD"/>
    <w:rsid w:val="1CA67605"/>
    <w:rsid w:val="1CC7132A"/>
    <w:rsid w:val="1CCE4466"/>
    <w:rsid w:val="1CD13F56"/>
    <w:rsid w:val="1CD51C99"/>
    <w:rsid w:val="1CDA60E3"/>
    <w:rsid w:val="1CDC4DD5"/>
    <w:rsid w:val="1CE26164"/>
    <w:rsid w:val="1CE43C8A"/>
    <w:rsid w:val="1CE974F2"/>
    <w:rsid w:val="1CED6FE2"/>
    <w:rsid w:val="1CF33ECD"/>
    <w:rsid w:val="1D0172D3"/>
    <w:rsid w:val="1D021CA4"/>
    <w:rsid w:val="1D022362"/>
    <w:rsid w:val="1D077978"/>
    <w:rsid w:val="1D0B7468"/>
    <w:rsid w:val="1D0E23B4"/>
    <w:rsid w:val="1D102CD1"/>
    <w:rsid w:val="1D167BBB"/>
    <w:rsid w:val="1D1A3B4F"/>
    <w:rsid w:val="1D1B0639"/>
    <w:rsid w:val="1D1C78C7"/>
    <w:rsid w:val="1D1F1166"/>
    <w:rsid w:val="1D216C8C"/>
    <w:rsid w:val="1D235D75"/>
    <w:rsid w:val="1D24052A"/>
    <w:rsid w:val="1D24677C"/>
    <w:rsid w:val="1D254F04"/>
    <w:rsid w:val="1D2624F4"/>
    <w:rsid w:val="1D2D41A8"/>
    <w:rsid w:val="1D2F0DEA"/>
    <w:rsid w:val="1D2F0FD8"/>
    <w:rsid w:val="1D3826FA"/>
    <w:rsid w:val="1D3B29EA"/>
    <w:rsid w:val="1D3F35B6"/>
    <w:rsid w:val="1D4604A0"/>
    <w:rsid w:val="1D4B5AB7"/>
    <w:rsid w:val="1D4C10B3"/>
    <w:rsid w:val="1D5A3F4C"/>
    <w:rsid w:val="1D5F5A06"/>
    <w:rsid w:val="1D632E00"/>
    <w:rsid w:val="1D644DCB"/>
    <w:rsid w:val="1D752B34"/>
    <w:rsid w:val="1D7A639C"/>
    <w:rsid w:val="1D7F1C04"/>
    <w:rsid w:val="1D807E56"/>
    <w:rsid w:val="1D832E8F"/>
    <w:rsid w:val="1D890B16"/>
    <w:rsid w:val="1D8A4831"/>
    <w:rsid w:val="1D8D2EE1"/>
    <w:rsid w:val="1D8D60CF"/>
    <w:rsid w:val="1D9546B0"/>
    <w:rsid w:val="1D965933"/>
    <w:rsid w:val="1D9A259A"/>
    <w:rsid w:val="1D9C4564"/>
    <w:rsid w:val="1D9C772D"/>
    <w:rsid w:val="1D9E7E39"/>
    <w:rsid w:val="1D9F1CC3"/>
    <w:rsid w:val="1DA769B6"/>
    <w:rsid w:val="1DAB47A7"/>
    <w:rsid w:val="1DB01DBE"/>
    <w:rsid w:val="1DB55626"/>
    <w:rsid w:val="1DB7314C"/>
    <w:rsid w:val="1DBB12F9"/>
    <w:rsid w:val="1DBC69B5"/>
    <w:rsid w:val="1DC3220C"/>
    <w:rsid w:val="1DC72909"/>
    <w:rsid w:val="1DCB590E"/>
    <w:rsid w:val="1DCC255B"/>
    <w:rsid w:val="1DCD471E"/>
    <w:rsid w:val="1DCE7B5B"/>
    <w:rsid w:val="1DD33597"/>
    <w:rsid w:val="1DD434EC"/>
    <w:rsid w:val="1DD43CFE"/>
    <w:rsid w:val="1DD45AAC"/>
    <w:rsid w:val="1DD91315"/>
    <w:rsid w:val="1DD97567"/>
    <w:rsid w:val="1DE026A3"/>
    <w:rsid w:val="1DE0647C"/>
    <w:rsid w:val="1DE1641B"/>
    <w:rsid w:val="1DE16B7D"/>
    <w:rsid w:val="1DE2466D"/>
    <w:rsid w:val="1DE33F41"/>
    <w:rsid w:val="1DE877AA"/>
    <w:rsid w:val="1DEA7E9E"/>
    <w:rsid w:val="1DEC729A"/>
    <w:rsid w:val="1DF22DA5"/>
    <w:rsid w:val="1DF8771E"/>
    <w:rsid w:val="1DFC41D8"/>
    <w:rsid w:val="1E012619"/>
    <w:rsid w:val="1E0345E3"/>
    <w:rsid w:val="1E0A7A78"/>
    <w:rsid w:val="1E0F4D36"/>
    <w:rsid w:val="1E106D86"/>
    <w:rsid w:val="1E124827"/>
    <w:rsid w:val="1E163801"/>
    <w:rsid w:val="1E184A1B"/>
    <w:rsid w:val="1E2307E2"/>
    <w:rsid w:val="1E262080"/>
    <w:rsid w:val="1E29229C"/>
    <w:rsid w:val="1E2C3B3A"/>
    <w:rsid w:val="1E2D0C94"/>
    <w:rsid w:val="1E312EFF"/>
    <w:rsid w:val="1E390005"/>
    <w:rsid w:val="1E3F6135"/>
    <w:rsid w:val="1E4852D2"/>
    <w:rsid w:val="1E5130A7"/>
    <w:rsid w:val="1E5170FD"/>
    <w:rsid w:val="1E537319"/>
    <w:rsid w:val="1E551EE9"/>
    <w:rsid w:val="1E566D57"/>
    <w:rsid w:val="1E5866DD"/>
    <w:rsid w:val="1E592455"/>
    <w:rsid w:val="1E5B61CE"/>
    <w:rsid w:val="1E5C31FB"/>
    <w:rsid w:val="1E5D3CF4"/>
    <w:rsid w:val="1E672DC4"/>
    <w:rsid w:val="1E69506D"/>
    <w:rsid w:val="1E6C2189"/>
    <w:rsid w:val="1E6F1C79"/>
    <w:rsid w:val="1E74728F"/>
    <w:rsid w:val="1E756378"/>
    <w:rsid w:val="1E7764BE"/>
    <w:rsid w:val="1E78175B"/>
    <w:rsid w:val="1E7E3C6A"/>
    <w:rsid w:val="1E856845"/>
    <w:rsid w:val="1E867014"/>
    <w:rsid w:val="1E8E65A3"/>
    <w:rsid w:val="1E8F5E77"/>
    <w:rsid w:val="1E957012"/>
    <w:rsid w:val="1E9A6CF6"/>
    <w:rsid w:val="1E9B2A6E"/>
    <w:rsid w:val="1E9F255E"/>
    <w:rsid w:val="1EA244DA"/>
    <w:rsid w:val="1EA31703"/>
    <w:rsid w:val="1EA41923"/>
    <w:rsid w:val="1EA638ED"/>
    <w:rsid w:val="1EA76A89"/>
    <w:rsid w:val="1EB678A8"/>
    <w:rsid w:val="1EBA66B8"/>
    <w:rsid w:val="1EC475AC"/>
    <w:rsid w:val="1ECA0581"/>
    <w:rsid w:val="1ECA3911"/>
    <w:rsid w:val="1ECB5101"/>
    <w:rsid w:val="1ED02718"/>
    <w:rsid w:val="1ED33FB6"/>
    <w:rsid w:val="1ED44095"/>
    <w:rsid w:val="1ED55F80"/>
    <w:rsid w:val="1EDD3086"/>
    <w:rsid w:val="1EE2244B"/>
    <w:rsid w:val="1EE53CE9"/>
    <w:rsid w:val="1EE8703F"/>
    <w:rsid w:val="1EEB57A3"/>
    <w:rsid w:val="1EEE0C93"/>
    <w:rsid w:val="1EEE7042"/>
    <w:rsid w:val="1EF26B32"/>
    <w:rsid w:val="1EF36406"/>
    <w:rsid w:val="1EF53F2C"/>
    <w:rsid w:val="1EF83A1C"/>
    <w:rsid w:val="1EFA7794"/>
    <w:rsid w:val="1EFB2CE8"/>
    <w:rsid w:val="1EFB350D"/>
    <w:rsid w:val="1EFD40D1"/>
    <w:rsid w:val="1EFD7285"/>
    <w:rsid w:val="1F016D75"/>
    <w:rsid w:val="1F022AED"/>
    <w:rsid w:val="1F027BF4"/>
    <w:rsid w:val="1F0C571A"/>
    <w:rsid w:val="1F1801C3"/>
    <w:rsid w:val="1F1A3993"/>
    <w:rsid w:val="1F1E78E5"/>
    <w:rsid w:val="1F212F73"/>
    <w:rsid w:val="1F226CEB"/>
    <w:rsid w:val="1F260691"/>
    <w:rsid w:val="1F2760B0"/>
    <w:rsid w:val="1F291E28"/>
    <w:rsid w:val="1F2B2044"/>
    <w:rsid w:val="1F2B3A7D"/>
    <w:rsid w:val="1F2D3C79"/>
    <w:rsid w:val="1F3031B6"/>
    <w:rsid w:val="1F30529C"/>
    <w:rsid w:val="1F347A18"/>
    <w:rsid w:val="1F392673"/>
    <w:rsid w:val="1F3A5DE3"/>
    <w:rsid w:val="1F436F19"/>
    <w:rsid w:val="1F4550E0"/>
    <w:rsid w:val="1F486752"/>
    <w:rsid w:val="1F4B4494"/>
    <w:rsid w:val="1F536EA5"/>
    <w:rsid w:val="1F572E39"/>
    <w:rsid w:val="1F5A6485"/>
    <w:rsid w:val="1F5B5A4B"/>
    <w:rsid w:val="1F5E021B"/>
    <w:rsid w:val="1F606E36"/>
    <w:rsid w:val="1F654BCC"/>
    <w:rsid w:val="1F680BA2"/>
    <w:rsid w:val="1F6A7F47"/>
    <w:rsid w:val="1F733EDE"/>
    <w:rsid w:val="1F7532BF"/>
    <w:rsid w:val="1F75506D"/>
    <w:rsid w:val="1F7727E6"/>
    <w:rsid w:val="1F7D2063"/>
    <w:rsid w:val="1F7E4C1D"/>
    <w:rsid w:val="1F7F6E90"/>
    <w:rsid w:val="1F82454D"/>
    <w:rsid w:val="1F861028"/>
    <w:rsid w:val="1F8B2AE2"/>
    <w:rsid w:val="1F8F25D3"/>
    <w:rsid w:val="1F90380C"/>
    <w:rsid w:val="1F923E71"/>
    <w:rsid w:val="1F925C1F"/>
    <w:rsid w:val="1F971487"/>
    <w:rsid w:val="1F996A3F"/>
    <w:rsid w:val="1F9A0F77"/>
    <w:rsid w:val="1F9A2D26"/>
    <w:rsid w:val="1F9D444D"/>
    <w:rsid w:val="1F9E2816"/>
    <w:rsid w:val="1FA12306"/>
    <w:rsid w:val="1FA51AD3"/>
    <w:rsid w:val="1FA94D17"/>
    <w:rsid w:val="1FAD0CAB"/>
    <w:rsid w:val="1FB37FF3"/>
    <w:rsid w:val="1FB40B92"/>
    <w:rsid w:val="1FB738D7"/>
    <w:rsid w:val="1FBC0EEE"/>
    <w:rsid w:val="1FBC2C9C"/>
    <w:rsid w:val="1FBF3557"/>
    <w:rsid w:val="1FC251FC"/>
    <w:rsid w:val="1FC63B1B"/>
    <w:rsid w:val="1FC73A85"/>
    <w:rsid w:val="1FC81641"/>
    <w:rsid w:val="1FCD30FB"/>
    <w:rsid w:val="1FCF190A"/>
    <w:rsid w:val="1FCF497C"/>
    <w:rsid w:val="1FD12BC3"/>
    <w:rsid w:val="1FD4737A"/>
    <w:rsid w:val="1FD52A57"/>
    <w:rsid w:val="1FD547C7"/>
    <w:rsid w:val="1FD84F3A"/>
    <w:rsid w:val="1FD955FC"/>
    <w:rsid w:val="1FE04BDC"/>
    <w:rsid w:val="1FE228FE"/>
    <w:rsid w:val="1FE521F3"/>
    <w:rsid w:val="1FE866C5"/>
    <w:rsid w:val="1FEC17D3"/>
    <w:rsid w:val="1FEE62D2"/>
    <w:rsid w:val="1FEF3783"/>
    <w:rsid w:val="1FEF5962"/>
    <w:rsid w:val="1FF41705"/>
    <w:rsid w:val="1FF65BDA"/>
    <w:rsid w:val="1FF7020C"/>
    <w:rsid w:val="2003718D"/>
    <w:rsid w:val="2007660D"/>
    <w:rsid w:val="200A72AF"/>
    <w:rsid w:val="200A7EAB"/>
    <w:rsid w:val="200B6B56"/>
    <w:rsid w:val="200C59D1"/>
    <w:rsid w:val="200F2F92"/>
    <w:rsid w:val="200F562E"/>
    <w:rsid w:val="200F7202"/>
    <w:rsid w:val="200F7274"/>
    <w:rsid w:val="20104D96"/>
    <w:rsid w:val="20110680"/>
    <w:rsid w:val="20142AD8"/>
    <w:rsid w:val="201E0A36"/>
    <w:rsid w:val="20210D51"/>
    <w:rsid w:val="202317C3"/>
    <w:rsid w:val="20261BF6"/>
    <w:rsid w:val="202F51DE"/>
    <w:rsid w:val="20317172"/>
    <w:rsid w:val="20346CD6"/>
    <w:rsid w:val="20353A05"/>
    <w:rsid w:val="20362A4E"/>
    <w:rsid w:val="20370574"/>
    <w:rsid w:val="2039253E"/>
    <w:rsid w:val="203B492A"/>
    <w:rsid w:val="204131A1"/>
    <w:rsid w:val="20511636"/>
    <w:rsid w:val="20517888"/>
    <w:rsid w:val="205302A6"/>
    <w:rsid w:val="20580C17"/>
    <w:rsid w:val="20592BE1"/>
    <w:rsid w:val="2059673D"/>
    <w:rsid w:val="205C7FDB"/>
    <w:rsid w:val="20653CE6"/>
    <w:rsid w:val="20665C82"/>
    <w:rsid w:val="20684BD2"/>
    <w:rsid w:val="206F37E4"/>
    <w:rsid w:val="20754650"/>
    <w:rsid w:val="20790B8D"/>
    <w:rsid w:val="207A50EC"/>
    <w:rsid w:val="20801F1B"/>
    <w:rsid w:val="20855784"/>
    <w:rsid w:val="20991497"/>
    <w:rsid w:val="209A648E"/>
    <w:rsid w:val="20A35FDE"/>
    <w:rsid w:val="20A51982"/>
    <w:rsid w:val="20A53730"/>
    <w:rsid w:val="20A83220"/>
    <w:rsid w:val="20B102F4"/>
    <w:rsid w:val="20B3409F"/>
    <w:rsid w:val="20B87907"/>
    <w:rsid w:val="20BC7AC5"/>
    <w:rsid w:val="20BD3E04"/>
    <w:rsid w:val="20BF2A08"/>
    <w:rsid w:val="20C91B14"/>
    <w:rsid w:val="20CE0ED9"/>
    <w:rsid w:val="20D109C9"/>
    <w:rsid w:val="20DB53A4"/>
    <w:rsid w:val="20DC70AF"/>
    <w:rsid w:val="20DD55C0"/>
    <w:rsid w:val="20DF54C2"/>
    <w:rsid w:val="20E93F65"/>
    <w:rsid w:val="20F91DC3"/>
    <w:rsid w:val="21052421"/>
    <w:rsid w:val="210668C5"/>
    <w:rsid w:val="210743EB"/>
    <w:rsid w:val="210B3EDB"/>
    <w:rsid w:val="210E39CB"/>
    <w:rsid w:val="210E5779"/>
    <w:rsid w:val="21162880"/>
    <w:rsid w:val="211803A6"/>
    <w:rsid w:val="211A411E"/>
    <w:rsid w:val="211C21CA"/>
    <w:rsid w:val="211C7E96"/>
    <w:rsid w:val="211F7986"/>
    <w:rsid w:val="21295BFA"/>
    <w:rsid w:val="212E7BC9"/>
    <w:rsid w:val="212F3245"/>
    <w:rsid w:val="2133762E"/>
    <w:rsid w:val="213831F5"/>
    <w:rsid w:val="213F5933"/>
    <w:rsid w:val="214178FD"/>
    <w:rsid w:val="21423675"/>
    <w:rsid w:val="214271D1"/>
    <w:rsid w:val="21442F49"/>
    <w:rsid w:val="214747E7"/>
    <w:rsid w:val="214C5241"/>
    <w:rsid w:val="214E16B8"/>
    <w:rsid w:val="21507B40"/>
    <w:rsid w:val="21562C7C"/>
    <w:rsid w:val="21577120"/>
    <w:rsid w:val="215869F4"/>
    <w:rsid w:val="215B0293"/>
    <w:rsid w:val="215E1126"/>
    <w:rsid w:val="215E4D33"/>
    <w:rsid w:val="215F4227"/>
    <w:rsid w:val="21673237"/>
    <w:rsid w:val="21692406"/>
    <w:rsid w:val="21710889"/>
    <w:rsid w:val="21754C42"/>
    <w:rsid w:val="217557F8"/>
    <w:rsid w:val="217750CC"/>
    <w:rsid w:val="21780E44"/>
    <w:rsid w:val="217915F9"/>
    <w:rsid w:val="21887344"/>
    <w:rsid w:val="2189634D"/>
    <w:rsid w:val="218C669E"/>
    <w:rsid w:val="218C66E3"/>
    <w:rsid w:val="21930481"/>
    <w:rsid w:val="21935C7E"/>
    <w:rsid w:val="219A700D"/>
    <w:rsid w:val="21A90E71"/>
    <w:rsid w:val="21A954A2"/>
    <w:rsid w:val="21AB2FC8"/>
    <w:rsid w:val="21AE554C"/>
    <w:rsid w:val="21B1144E"/>
    <w:rsid w:val="21B75E11"/>
    <w:rsid w:val="21BB2D5A"/>
    <w:rsid w:val="21C30312"/>
    <w:rsid w:val="21C83B7A"/>
    <w:rsid w:val="21C85928"/>
    <w:rsid w:val="21CA5B44"/>
    <w:rsid w:val="21D02A2F"/>
    <w:rsid w:val="21D35201"/>
    <w:rsid w:val="21DC5877"/>
    <w:rsid w:val="21E11013"/>
    <w:rsid w:val="21E14C3C"/>
    <w:rsid w:val="21E169EA"/>
    <w:rsid w:val="21E450A0"/>
    <w:rsid w:val="21EE4E29"/>
    <w:rsid w:val="21F26E49"/>
    <w:rsid w:val="21F40B49"/>
    <w:rsid w:val="22041767"/>
    <w:rsid w:val="22097CEF"/>
    <w:rsid w:val="220C49F3"/>
    <w:rsid w:val="2210107D"/>
    <w:rsid w:val="221037A4"/>
    <w:rsid w:val="221072CF"/>
    <w:rsid w:val="22121B5E"/>
    <w:rsid w:val="22145921"/>
    <w:rsid w:val="221D6DEE"/>
    <w:rsid w:val="222254AB"/>
    <w:rsid w:val="222B72CC"/>
    <w:rsid w:val="22327245"/>
    <w:rsid w:val="223613C5"/>
    <w:rsid w:val="22396826"/>
    <w:rsid w:val="22405E06"/>
    <w:rsid w:val="22462048"/>
    <w:rsid w:val="22473A2E"/>
    <w:rsid w:val="224845D2"/>
    <w:rsid w:val="224A1457"/>
    <w:rsid w:val="22511D3B"/>
    <w:rsid w:val="2252640A"/>
    <w:rsid w:val="22544B91"/>
    <w:rsid w:val="22573150"/>
    <w:rsid w:val="225C42C2"/>
    <w:rsid w:val="225E628C"/>
    <w:rsid w:val="22665141"/>
    <w:rsid w:val="22723D8B"/>
    <w:rsid w:val="227317B0"/>
    <w:rsid w:val="22757FF3"/>
    <w:rsid w:val="227801E0"/>
    <w:rsid w:val="227B0BEC"/>
    <w:rsid w:val="228201CD"/>
    <w:rsid w:val="22883309"/>
    <w:rsid w:val="228C3A98"/>
    <w:rsid w:val="228F4698"/>
    <w:rsid w:val="229178D7"/>
    <w:rsid w:val="22925F36"/>
    <w:rsid w:val="22963C78"/>
    <w:rsid w:val="229E0D7F"/>
    <w:rsid w:val="22A5210D"/>
    <w:rsid w:val="22A857CA"/>
    <w:rsid w:val="22AF6AE8"/>
    <w:rsid w:val="22B10AB2"/>
    <w:rsid w:val="22B1222C"/>
    <w:rsid w:val="22B25572"/>
    <w:rsid w:val="22B42350"/>
    <w:rsid w:val="22B45EAC"/>
    <w:rsid w:val="22B65113"/>
    <w:rsid w:val="22B97967"/>
    <w:rsid w:val="22BA41D0"/>
    <w:rsid w:val="22BB36DF"/>
    <w:rsid w:val="22BB425D"/>
    <w:rsid w:val="22BD4D30"/>
    <w:rsid w:val="22C81958"/>
    <w:rsid w:val="22C854F0"/>
    <w:rsid w:val="22C91DE3"/>
    <w:rsid w:val="22D05D90"/>
    <w:rsid w:val="22D327D6"/>
    <w:rsid w:val="22D41DE1"/>
    <w:rsid w:val="22DB5B2F"/>
    <w:rsid w:val="22DD3655"/>
    <w:rsid w:val="22DF561F"/>
    <w:rsid w:val="22DF56C1"/>
    <w:rsid w:val="22EB74B2"/>
    <w:rsid w:val="22F32E79"/>
    <w:rsid w:val="22F866E1"/>
    <w:rsid w:val="22FB1D2D"/>
    <w:rsid w:val="22FD06EC"/>
    <w:rsid w:val="23005595"/>
    <w:rsid w:val="2303103F"/>
    <w:rsid w:val="23040BE2"/>
    <w:rsid w:val="230C3F3A"/>
    <w:rsid w:val="230C7A96"/>
    <w:rsid w:val="23111551"/>
    <w:rsid w:val="231134BB"/>
    <w:rsid w:val="23113D53"/>
    <w:rsid w:val="23144B9D"/>
    <w:rsid w:val="231B23CF"/>
    <w:rsid w:val="231E77CA"/>
    <w:rsid w:val="2322550C"/>
    <w:rsid w:val="23232E47"/>
    <w:rsid w:val="23256DAA"/>
    <w:rsid w:val="23290648"/>
    <w:rsid w:val="232E5C5F"/>
    <w:rsid w:val="232F19D7"/>
    <w:rsid w:val="2331054A"/>
    <w:rsid w:val="23387465"/>
    <w:rsid w:val="23402CE3"/>
    <w:rsid w:val="23406B76"/>
    <w:rsid w:val="23417525"/>
    <w:rsid w:val="23451CD1"/>
    <w:rsid w:val="23456A7B"/>
    <w:rsid w:val="234C4337"/>
    <w:rsid w:val="235862E6"/>
    <w:rsid w:val="235908AF"/>
    <w:rsid w:val="235D002B"/>
    <w:rsid w:val="235D02F2"/>
    <w:rsid w:val="235F406A"/>
    <w:rsid w:val="23627FFE"/>
    <w:rsid w:val="237141D1"/>
    <w:rsid w:val="237815D0"/>
    <w:rsid w:val="2378337E"/>
    <w:rsid w:val="237A5348"/>
    <w:rsid w:val="237A70F6"/>
    <w:rsid w:val="237A7F73"/>
    <w:rsid w:val="23834F7D"/>
    <w:rsid w:val="23847F75"/>
    <w:rsid w:val="238910E7"/>
    <w:rsid w:val="23896AFA"/>
    <w:rsid w:val="239038F0"/>
    <w:rsid w:val="23906919"/>
    <w:rsid w:val="2392443F"/>
    <w:rsid w:val="23933738"/>
    <w:rsid w:val="23952182"/>
    <w:rsid w:val="2398757C"/>
    <w:rsid w:val="239A32F4"/>
    <w:rsid w:val="239C0D87"/>
    <w:rsid w:val="23A33C46"/>
    <w:rsid w:val="23A45F21"/>
    <w:rsid w:val="23A647BE"/>
    <w:rsid w:val="23A74A43"/>
    <w:rsid w:val="23A777BF"/>
    <w:rsid w:val="23A77C76"/>
    <w:rsid w:val="23A979DB"/>
    <w:rsid w:val="23AD1279"/>
    <w:rsid w:val="23AE4D82"/>
    <w:rsid w:val="23AE6894"/>
    <w:rsid w:val="23B51EDC"/>
    <w:rsid w:val="23B95E70"/>
    <w:rsid w:val="23BC6C09"/>
    <w:rsid w:val="23C95C85"/>
    <w:rsid w:val="23CB16FF"/>
    <w:rsid w:val="23CB77BA"/>
    <w:rsid w:val="23CD05AF"/>
    <w:rsid w:val="23D031BA"/>
    <w:rsid w:val="23D43324"/>
    <w:rsid w:val="23DC1B5F"/>
    <w:rsid w:val="23DC390D"/>
    <w:rsid w:val="23DF33FD"/>
    <w:rsid w:val="23E24D94"/>
    <w:rsid w:val="23F23130"/>
    <w:rsid w:val="23F76998"/>
    <w:rsid w:val="23F944BF"/>
    <w:rsid w:val="23FA0237"/>
    <w:rsid w:val="23FB72FC"/>
    <w:rsid w:val="23FE1AD5"/>
    <w:rsid w:val="24003A9F"/>
    <w:rsid w:val="24030E99"/>
    <w:rsid w:val="240D1D18"/>
    <w:rsid w:val="240D4052"/>
    <w:rsid w:val="24163F6F"/>
    <w:rsid w:val="24174945"/>
    <w:rsid w:val="241906BD"/>
    <w:rsid w:val="241C63FF"/>
    <w:rsid w:val="241E19E3"/>
    <w:rsid w:val="24222B77"/>
    <w:rsid w:val="242332EA"/>
    <w:rsid w:val="24264B88"/>
    <w:rsid w:val="242756D1"/>
    <w:rsid w:val="24286B52"/>
    <w:rsid w:val="242931C5"/>
    <w:rsid w:val="242B219E"/>
    <w:rsid w:val="24347044"/>
    <w:rsid w:val="243C084F"/>
    <w:rsid w:val="24443260"/>
    <w:rsid w:val="244A6AC8"/>
    <w:rsid w:val="244B45EE"/>
    <w:rsid w:val="244C65AD"/>
    <w:rsid w:val="244E5C3A"/>
    <w:rsid w:val="245513DF"/>
    <w:rsid w:val="2455546D"/>
    <w:rsid w:val="245A2A83"/>
    <w:rsid w:val="246758CC"/>
    <w:rsid w:val="246833F2"/>
    <w:rsid w:val="246B6A3F"/>
    <w:rsid w:val="246F5327"/>
    <w:rsid w:val="24701527"/>
    <w:rsid w:val="24843928"/>
    <w:rsid w:val="24877D1C"/>
    <w:rsid w:val="24881DF5"/>
    <w:rsid w:val="248A3369"/>
    <w:rsid w:val="248F4E23"/>
    <w:rsid w:val="24913B6E"/>
    <w:rsid w:val="24975A86"/>
    <w:rsid w:val="249B0CBF"/>
    <w:rsid w:val="24BD373E"/>
    <w:rsid w:val="24C33A6F"/>
    <w:rsid w:val="24C41836"/>
    <w:rsid w:val="24C64779"/>
    <w:rsid w:val="24C70119"/>
    <w:rsid w:val="24C90335"/>
    <w:rsid w:val="24CC572F"/>
    <w:rsid w:val="24D053E2"/>
    <w:rsid w:val="24D11A91"/>
    <w:rsid w:val="24D32F62"/>
    <w:rsid w:val="24D6035C"/>
    <w:rsid w:val="24DB1E16"/>
    <w:rsid w:val="24DD5B8E"/>
    <w:rsid w:val="24DD6103"/>
    <w:rsid w:val="24DD793C"/>
    <w:rsid w:val="24EA2059"/>
    <w:rsid w:val="24F45DA8"/>
    <w:rsid w:val="24F609FE"/>
    <w:rsid w:val="24FB4266"/>
    <w:rsid w:val="24FC3F2A"/>
    <w:rsid w:val="25000527"/>
    <w:rsid w:val="250273A3"/>
    <w:rsid w:val="250C3D86"/>
    <w:rsid w:val="250D37DB"/>
    <w:rsid w:val="250F1AC0"/>
    <w:rsid w:val="250F7D12"/>
    <w:rsid w:val="25140E84"/>
    <w:rsid w:val="25196DF7"/>
    <w:rsid w:val="251B3B67"/>
    <w:rsid w:val="251D2D51"/>
    <w:rsid w:val="251F61A7"/>
    <w:rsid w:val="252217F3"/>
    <w:rsid w:val="252779D7"/>
    <w:rsid w:val="25325570"/>
    <w:rsid w:val="2538354A"/>
    <w:rsid w:val="253B28B5"/>
    <w:rsid w:val="253F4153"/>
    <w:rsid w:val="25407ECB"/>
    <w:rsid w:val="254479BB"/>
    <w:rsid w:val="254B0444"/>
    <w:rsid w:val="254D1C1D"/>
    <w:rsid w:val="254D53C2"/>
    <w:rsid w:val="255231DD"/>
    <w:rsid w:val="25583467"/>
    <w:rsid w:val="25585215"/>
    <w:rsid w:val="25587DE6"/>
    <w:rsid w:val="255C003A"/>
    <w:rsid w:val="255C0ABF"/>
    <w:rsid w:val="255E0351"/>
    <w:rsid w:val="255E2557"/>
    <w:rsid w:val="25697422"/>
    <w:rsid w:val="256C0CC0"/>
    <w:rsid w:val="256E1A35"/>
    <w:rsid w:val="25732B41"/>
    <w:rsid w:val="25753D66"/>
    <w:rsid w:val="25757B75"/>
    <w:rsid w:val="257638ED"/>
    <w:rsid w:val="25786DC5"/>
    <w:rsid w:val="25787665"/>
    <w:rsid w:val="257A518B"/>
    <w:rsid w:val="258C2AA2"/>
    <w:rsid w:val="258E50DA"/>
    <w:rsid w:val="259024C0"/>
    <w:rsid w:val="25923F34"/>
    <w:rsid w:val="259700AA"/>
    <w:rsid w:val="259A07FA"/>
    <w:rsid w:val="259F3F21"/>
    <w:rsid w:val="259F4BF2"/>
    <w:rsid w:val="25A27BFE"/>
    <w:rsid w:val="25A450EF"/>
    <w:rsid w:val="25AB4F81"/>
    <w:rsid w:val="25AC730F"/>
    <w:rsid w:val="25B06DFF"/>
    <w:rsid w:val="25B12B77"/>
    <w:rsid w:val="25B34B41"/>
    <w:rsid w:val="25B54415"/>
    <w:rsid w:val="25B863BF"/>
    <w:rsid w:val="25C05DCC"/>
    <w:rsid w:val="25C5767A"/>
    <w:rsid w:val="25C64874"/>
    <w:rsid w:val="25CE3729"/>
    <w:rsid w:val="25D67C3F"/>
    <w:rsid w:val="25D86356"/>
    <w:rsid w:val="25DA088A"/>
    <w:rsid w:val="25DA3E7C"/>
    <w:rsid w:val="25DA7E4E"/>
    <w:rsid w:val="25DE7E50"/>
    <w:rsid w:val="25E1520A"/>
    <w:rsid w:val="25E82A3D"/>
    <w:rsid w:val="25E93F44"/>
    <w:rsid w:val="25EF0637"/>
    <w:rsid w:val="25F16701"/>
    <w:rsid w:val="25F3318F"/>
    <w:rsid w:val="25F356B5"/>
    <w:rsid w:val="25F42D5C"/>
    <w:rsid w:val="25F5515A"/>
    <w:rsid w:val="25F74A2E"/>
    <w:rsid w:val="25F767DC"/>
    <w:rsid w:val="25FA2770"/>
    <w:rsid w:val="25FD567F"/>
    <w:rsid w:val="26003339"/>
    <w:rsid w:val="26013AFE"/>
    <w:rsid w:val="2604148F"/>
    <w:rsid w:val="2604539D"/>
    <w:rsid w:val="26046186"/>
    <w:rsid w:val="2604714B"/>
    <w:rsid w:val="26064C71"/>
    <w:rsid w:val="2607705C"/>
    <w:rsid w:val="26086C3B"/>
    <w:rsid w:val="260B672B"/>
    <w:rsid w:val="260D24A3"/>
    <w:rsid w:val="2610789E"/>
    <w:rsid w:val="26163881"/>
    <w:rsid w:val="261C145B"/>
    <w:rsid w:val="261E020C"/>
    <w:rsid w:val="2624159B"/>
    <w:rsid w:val="26265313"/>
    <w:rsid w:val="262E41C8"/>
    <w:rsid w:val="26340554"/>
    <w:rsid w:val="2636060C"/>
    <w:rsid w:val="263712CE"/>
    <w:rsid w:val="263E7FDC"/>
    <w:rsid w:val="26415CA9"/>
    <w:rsid w:val="26431A21"/>
    <w:rsid w:val="26435EC5"/>
    <w:rsid w:val="264B2324"/>
    <w:rsid w:val="26514CEE"/>
    <w:rsid w:val="2655083B"/>
    <w:rsid w:val="26591245"/>
    <w:rsid w:val="265956E8"/>
    <w:rsid w:val="265A4A35"/>
    <w:rsid w:val="265E0957"/>
    <w:rsid w:val="26606A77"/>
    <w:rsid w:val="26657D14"/>
    <w:rsid w:val="2666570F"/>
    <w:rsid w:val="2669002C"/>
    <w:rsid w:val="266B541C"/>
    <w:rsid w:val="266C09A6"/>
    <w:rsid w:val="26715CFB"/>
    <w:rsid w:val="26775B6F"/>
    <w:rsid w:val="26795443"/>
    <w:rsid w:val="267F0879"/>
    <w:rsid w:val="267F67D1"/>
    <w:rsid w:val="26834513"/>
    <w:rsid w:val="26881B2A"/>
    <w:rsid w:val="26883E34"/>
    <w:rsid w:val="26897349"/>
    <w:rsid w:val="268A58A2"/>
    <w:rsid w:val="269009DE"/>
    <w:rsid w:val="269819F3"/>
    <w:rsid w:val="269B185D"/>
    <w:rsid w:val="269D0E09"/>
    <w:rsid w:val="26A06E73"/>
    <w:rsid w:val="26A139B9"/>
    <w:rsid w:val="26A30712"/>
    <w:rsid w:val="26A83F7A"/>
    <w:rsid w:val="26AC0F8F"/>
    <w:rsid w:val="26AF2076"/>
    <w:rsid w:val="26AF355A"/>
    <w:rsid w:val="26B96187"/>
    <w:rsid w:val="26BB1EFF"/>
    <w:rsid w:val="26BB64BE"/>
    <w:rsid w:val="26BE5300"/>
    <w:rsid w:val="26CF59AB"/>
    <w:rsid w:val="26D052F6"/>
    <w:rsid w:val="26D057A2"/>
    <w:rsid w:val="26D1507E"/>
    <w:rsid w:val="26D7660D"/>
    <w:rsid w:val="26D92385"/>
    <w:rsid w:val="26DB60FD"/>
    <w:rsid w:val="26E054C2"/>
    <w:rsid w:val="26E256DE"/>
    <w:rsid w:val="26E31456"/>
    <w:rsid w:val="26E93473"/>
    <w:rsid w:val="26EC030B"/>
    <w:rsid w:val="26F03D62"/>
    <w:rsid w:val="26F40F6D"/>
    <w:rsid w:val="26F70DD8"/>
    <w:rsid w:val="26FA1A06"/>
    <w:rsid w:val="26FD3074"/>
    <w:rsid w:val="26FD374B"/>
    <w:rsid w:val="26FD7B99"/>
    <w:rsid w:val="26FE3B9A"/>
    <w:rsid w:val="27083E74"/>
    <w:rsid w:val="270E6088"/>
    <w:rsid w:val="27111B1F"/>
    <w:rsid w:val="27120687"/>
    <w:rsid w:val="27136111"/>
    <w:rsid w:val="2719163E"/>
    <w:rsid w:val="27206206"/>
    <w:rsid w:val="2723651D"/>
    <w:rsid w:val="272B1CA0"/>
    <w:rsid w:val="272D447F"/>
    <w:rsid w:val="272E0923"/>
    <w:rsid w:val="273121C1"/>
    <w:rsid w:val="27337CE7"/>
    <w:rsid w:val="2734580E"/>
    <w:rsid w:val="273A3A1F"/>
    <w:rsid w:val="27400656"/>
    <w:rsid w:val="27470D4C"/>
    <w:rsid w:val="274B1D19"/>
    <w:rsid w:val="2751016E"/>
    <w:rsid w:val="275163C0"/>
    <w:rsid w:val="27582366"/>
    <w:rsid w:val="2759240E"/>
    <w:rsid w:val="275E2684"/>
    <w:rsid w:val="27625A02"/>
    <w:rsid w:val="27653C19"/>
    <w:rsid w:val="27673DAD"/>
    <w:rsid w:val="276A7481"/>
    <w:rsid w:val="276E51C4"/>
    <w:rsid w:val="27764078"/>
    <w:rsid w:val="2778394C"/>
    <w:rsid w:val="277A3B68"/>
    <w:rsid w:val="27817354"/>
    <w:rsid w:val="278247CB"/>
    <w:rsid w:val="27854A50"/>
    <w:rsid w:val="27870033"/>
    <w:rsid w:val="27893DAB"/>
    <w:rsid w:val="278A57FB"/>
    <w:rsid w:val="278B6531"/>
    <w:rsid w:val="278F4AC6"/>
    <w:rsid w:val="27912C60"/>
    <w:rsid w:val="279339BA"/>
    <w:rsid w:val="279A1B15"/>
    <w:rsid w:val="279A7D67"/>
    <w:rsid w:val="279B3ADF"/>
    <w:rsid w:val="279D33B3"/>
    <w:rsid w:val="27A7388B"/>
    <w:rsid w:val="27A74232"/>
    <w:rsid w:val="27A8208F"/>
    <w:rsid w:val="27AC35F6"/>
    <w:rsid w:val="27AE44D5"/>
    <w:rsid w:val="27B018C3"/>
    <w:rsid w:val="27B70919"/>
    <w:rsid w:val="27BF3329"/>
    <w:rsid w:val="27C600B1"/>
    <w:rsid w:val="27CA48FB"/>
    <w:rsid w:val="27CC1EEA"/>
    <w:rsid w:val="27CE7A10"/>
    <w:rsid w:val="27D165A2"/>
    <w:rsid w:val="27D50D9F"/>
    <w:rsid w:val="27DD40F7"/>
    <w:rsid w:val="27DF39CB"/>
    <w:rsid w:val="27E1330A"/>
    <w:rsid w:val="27E172F9"/>
    <w:rsid w:val="27E62FAC"/>
    <w:rsid w:val="27E7113F"/>
    <w:rsid w:val="27EB2370"/>
    <w:rsid w:val="27EE00B2"/>
    <w:rsid w:val="27FA758B"/>
    <w:rsid w:val="27FC2B3B"/>
    <w:rsid w:val="2802590C"/>
    <w:rsid w:val="280451E0"/>
    <w:rsid w:val="28090A48"/>
    <w:rsid w:val="28140F26"/>
    <w:rsid w:val="2816018E"/>
    <w:rsid w:val="281713B7"/>
    <w:rsid w:val="281C1498"/>
    <w:rsid w:val="281C1710"/>
    <w:rsid w:val="281C69CE"/>
    <w:rsid w:val="281F5561"/>
    <w:rsid w:val="28214BB3"/>
    <w:rsid w:val="28243AD4"/>
    <w:rsid w:val="282633A8"/>
    <w:rsid w:val="2828317B"/>
    <w:rsid w:val="282835C4"/>
    <w:rsid w:val="282A2D36"/>
    <w:rsid w:val="282E6701"/>
    <w:rsid w:val="28330D34"/>
    <w:rsid w:val="28333D17"/>
    <w:rsid w:val="283C54D1"/>
    <w:rsid w:val="283C71C1"/>
    <w:rsid w:val="283F1744"/>
    <w:rsid w:val="28412C50"/>
    <w:rsid w:val="28445F24"/>
    <w:rsid w:val="284877C3"/>
    <w:rsid w:val="284D4983"/>
    <w:rsid w:val="285A6AB8"/>
    <w:rsid w:val="285F4B0C"/>
    <w:rsid w:val="28616AD6"/>
    <w:rsid w:val="2863605A"/>
    <w:rsid w:val="287676BA"/>
    <w:rsid w:val="288307FB"/>
    <w:rsid w:val="28836A4D"/>
    <w:rsid w:val="28862099"/>
    <w:rsid w:val="28871103"/>
    <w:rsid w:val="28885E11"/>
    <w:rsid w:val="288B76AF"/>
    <w:rsid w:val="28946C79"/>
    <w:rsid w:val="289522DC"/>
    <w:rsid w:val="28A349F9"/>
    <w:rsid w:val="28A864B3"/>
    <w:rsid w:val="28AD1D1C"/>
    <w:rsid w:val="28AD2B4A"/>
    <w:rsid w:val="28AE52DB"/>
    <w:rsid w:val="28B06C30"/>
    <w:rsid w:val="28B22E8E"/>
    <w:rsid w:val="28B533BF"/>
    <w:rsid w:val="28B5472C"/>
    <w:rsid w:val="28B704A4"/>
    <w:rsid w:val="28B74948"/>
    <w:rsid w:val="28B9421C"/>
    <w:rsid w:val="28BB6657"/>
    <w:rsid w:val="28BD05D2"/>
    <w:rsid w:val="28BE5CD7"/>
    <w:rsid w:val="28BF0D13"/>
    <w:rsid w:val="28CC03F4"/>
    <w:rsid w:val="28D252DE"/>
    <w:rsid w:val="28D63020"/>
    <w:rsid w:val="28D90A55"/>
    <w:rsid w:val="28D948BF"/>
    <w:rsid w:val="28DB0AFE"/>
    <w:rsid w:val="28EA6ACC"/>
    <w:rsid w:val="28ED3C47"/>
    <w:rsid w:val="28F11C08"/>
    <w:rsid w:val="28F20B9A"/>
    <w:rsid w:val="28F23E3E"/>
    <w:rsid w:val="28FB39B3"/>
    <w:rsid w:val="28FE60D3"/>
    <w:rsid w:val="290C48C0"/>
    <w:rsid w:val="29104399"/>
    <w:rsid w:val="291273C3"/>
    <w:rsid w:val="291328FE"/>
    <w:rsid w:val="29142721"/>
    <w:rsid w:val="2916341D"/>
    <w:rsid w:val="291B5BBD"/>
    <w:rsid w:val="291C48B7"/>
    <w:rsid w:val="2920604A"/>
    <w:rsid w:val="292536E3"/>
    <w:rsid w:val="29294031"/>
    <w:rsid w:val="292A7E7B"/>
    <w:rsid w:val="292D0766"/>
    <w:rsid w:val="292D69B8"/>
    <w:rsid w:val="293121D2"/>
    <w:rsid w:val="293146FB"/>
    <w:rsid w:val="29361D11"/>
    <w:rsid w:val="2939535D"/>
    <w:rsid w:val="293B7327"/>
    <w:rsid w:val="2943590A"/>
    <w:rsid w:val="29437F8A"/>
    <w:rsid w:val="294A1318"/>
    <w:rsid w:val="29513ACF"/>
    <w:rsid w:val="29573EF4"/>
    <w:rsid w:val="295D54F0"/>
    <w:rsid w:val="295E6B72"/>
    <w:rsid w:val="29622B06"/>
    <w:rsid w:val="29635957"/>
    <w:rsid w:val="29671ECA"/>
    <w:rsid w:val="29673C78"/>
    <w:rsid w:val="296A3A86"/>
    <w:rsid w:val="29747D6C"/>
    <w:rsid w:val="29763B53"/>
    <w:rsid w:val="29780525"/>
    <w:rsid w:val="2978584B"/>
    <w:rsid w:val="297A3094"/>
    <w:rsid w:val="29820AB2"/>
    <w:rsid w:val="29852351"/>
    <w:rsid w:val="298A3E0B"/>
    <w:rsid w:val="298A4584"/>
    <w:rsid w:val="298F1421"/>
    <w:rsid w:val="29914097"/>
    <w:rsid w:val="29915199"/>
    <w:rsid w:val="29965565"/>
    <w:rsid w:val="299912AB"/>
    <w:rsid w:val="299936EA"/>
    <w:rsid w:val="29996130"/>
    <w:rsid w:val="299B7ECB"/>
    <w:rsid w:val="299D3B3E"/>
    <w:rsid w:val="29A46C7B"/>
    <w:rsid w:val="29A529F3"/>
    <w:rsid w:val="29A70519"/>
    <w:rsid w:val="29AF73CD"/>
    <w:rsid w:val="29B64D58"/>
    <w:rsid w:val="29BC0605"/>
    <w:rsid w:val="29BD40F5"/>
    <w:rsid w:val="29C27722"/>
    <w:rsid w:val="29C2785E"/>
    <w:rsid w:val="29C42E79"/>
    <w:rsid w:val="29C65A93"/>
    <w:rsid w:val="29C67941"/>
    <w:rsid w:val="29CE019B"/>
    <w:rsid w:val="29CE3CF8"/>
    <w:rsid w:val="29D137E8"/>
    <w:rsid w:val="29D55086"/>
    <w:rsid w:val="29D65FCB"/>
    <w:rsid w:val="29DD03DE"/>
    <w:rsid w:val="29DF5F05"/>
    <w:rsid w:val="29E452C9"/>
    <w:rsid w:val="29E76B67"/>
    <w:rsid w:val="29E96D83"/>
    <w:rsid w:val="29EB5602"/>
    <w:rsid w:val="29EC23D0"/>
    <w:rsid w:val="29EE439A"/>
    <w:rsid w:val="29EF0FA5"/>
    <w:rsid w:val="29F319B0"/>
    <w:rsid w:val="29F85218"/>
    <w:rsid w:val="29FD14D5"/>
    <w:rsid w:val="29FD638B"/>
    <w:rsid w:val="2A0239A1"/>
    <w:rsid w:val="2A0D0CC4"/>
    <w:rsid w:val="2A0E2346"/>
    <w:rsid w:val="2A1262DA"/>
    <w:rsid w:val="2A1357B8"/>
    <w:rsid w:val="2A1F40EF"/>
    <w:rsid w:val="2A204BFF"/>
    <w:rsid w:val="2A2475DE"/>
    <w:rsid w:val="2A2B114A"/>
    <w:rsid w:val="2A2C0A1E"/>
    <w:rsid w:val="2A315C58"/>
    <w:rsid w:val="2A377AEF"/>
    <w:rsid w:val="2A383867"/>
    <w:rsid w:val="2A395272"/>
    <w:rsid w:val="2A455ED8"/>
    <w:rsid w:val="2A461AE0"/>
    <w:rsid w:val="2A4915D0"/>
    <w:rsid w:val="2A4B17EC"/>
    <w:rsid w:val="2A4B4C9B"/>
    <w:rsid w:val="2A4E308A"/>
    <w:rsid w:val="2A5306A1"/>
    <w:rsid w:val="2A5341FD"/>
    <w:rsid w:val="2A5561C7"/>
    <w:rsid w:val="2A59251D"/>
    <w:rsid w:val="2A5A37DD"/>
    <w:rsid w:val="2A5F01D5"/>
    <w:rsid w:val="2A6401B8"/>
    <w:rsid w:val="2A683D9F"/>
    <w:rsid w:val="2A701253"/>
    <w:rsid w:val="2A704DAF"/>
    <w:rsid w:val="2A745286"/>
    <w:rsid w:val="2A77438F"/>
    <w:rsid w:val="2A7A3593"/>
    <w:rsid w:val="2A7A5C2D"/>
    <w:rsid w:val="2A7A79DB"/>
    <w:rsid w:val="2A7C0B78"/>
    <w:rsid w:val="2A81520E"/>
    <w:rsid w:val="2A8D72E7"/>
    <w:rsid w:val="2A917A18"/>
    <w:rsid w:val="2A930A9D"/>
    <w:rsid w:val="2A9860B3"/>
    <w:rsid w:val="2A991308"/>
    <w:rsid w:val="2AA35184"/>
    <w:rsid w:val="2AA66A22"/>
    <w:rsid w:val="2AAC37A1"/>
    <w:rsid w:val="2AAD35BF"/>
    <w:rsid w:val="2AAD7F42"/>
    <w:rsid w:val="2AB16842"/>
    <w:rsid w:val="2AB27175"/>
    <w:rsid w:val="2AB7793B"/>
    <w:rsid w:val="2ABE3D6C"/>
    <w:rsid w:val="2ABF7AE4"/>
    <w:rsid w:val="2AC450FA"/>
    <w:rsid w:val="2ACE1AD5"/>
    <w:rsid w:val="2AD54DA8"/>
    <w:rsid w:val="2ADC2444"/>
    <w:rsid w:val="2ADC66A8"/>
    <w:rsid w:val="2AE65071"/>
    <w:rsid w:val="2AE65F68"/>
    <w:rsid w:val="2AEB08D9"/>
    <w:rsid w:val="2AEF03C9"/>
    <w:rsid w:val="2AF14141"/>
    <w:rsid w:val="2AFC5E0A"/>
    <w:rsid w:val="2AFE685E"/>
    <w:rsid w:val="2AFF1E1F"/>
    <w:rsid w:val="2B010F3D"/>
    <w:rsid w:val="2B073182"/>
    <w:rsid w:val="2B0A5203"/>
    <w:rsid w:val="2B0D0850"/>
    <w:rsid w:val="2B0D4CF3"/>
    <w:rsid w:val="2B0E3C33"/>
    <w:rsid w:val="2B0F45C8"/>
    <w:rsid w:val="2B125E66"/>
    <w:rsid w:val="2B1B7EB7"/>
    <w:rsid w:val="2B22254D"/>
    <w:rsid w:val="2B225335"/>
    <w:rsid w:val="2B230073"/>
    <w:rsid w:val="2B285264"/>
    <w:rsid w:val="2B2A318B"/>
    <w:rsid w:val="2B2F07C6"/>
    <w:rsid w:val="2B30453E"/>
    <w:rsid w:val="2B345DDC"/>
    <w:rsid w:val="2B367DA6"/>
    <w:rsid w:val="2B40510E"/>
    <w:rsid w:val="2B406E77"/>
    <w:rsid w:val="2B430715"/>
    <w:rsid w:val="2B45448D"/>
    <w:rsid w:val="2B4A055A"/>
    <w:rsid w:val="2B4A1AA4"/>
    <w:rsid w:val="2B502557"/>
    <w:rsid w:val="2B512E32"/>
    <w:rsid w:val="2B577E97"/>
    <w:rsid w:val="2B5E72FD"/>
    <w:rsid w:val="2B612AE9"/>
    <w:rsid w:val="2B632B65"/>
    <w:rsid w:val="2B6834CF"/>
    <w:rsid w:val="2B6F150A"/>
    <w:rsid w:val="2B720BD8"/>
    <w:rsid w:val="2B764647"/>
    <w:rsid w:val="2B7D7783"/>
    <w:rsid w:val="2B7E2BE1"/>
    <w:rsid w:val="2B801021"/>
    <w:rsid w:val="2B822FEC"/>
    <w:rsid w:val="2B836D64"/>
    <w:rsid w:val="2B8653D7"/>
    <w:rsid w:val="2B886128"/>
    <w:rsid w:val="2B8A1EA0"/>
    <w:rsid w:val="2B906E53"/>
    <w:rsid w:val="2B9D1BD3"/>
    <w:rsid w:val="2BA2368E"/>
    <w:rsid w:val="2BA32F62"/>
    <w:rsid w:val="2BA80578"/>
    <w:rsid w:val="2BAA0C9F"/>
    <w:rsid w:val="2BAA2542"/>
    <w:rsid w:val="2BAD0DF3"/>
    <w:rsid w:val="2BBF5FEE"/>
    <w:rsid w:val="2BC2601E"/>
    <w:rsid w:val="2BC37160"/>
    <w:rsid w:val="2BC92C30"/>
    <w:rsid w:val="2BCE7FDF"/>
    <w:rsid w:val="2BD005AD"/>
    <w:rsid w:val="2BD17539"/>
    <w:rsid w:val="2BD31A99"/>
    <w:rsid w:val="2BD4136D"/>
    <w:rsid w:val="2BD80E5D"/>
    <w:rsid w:val="2BDC7F44"/>
    <w:rsid w:val="2BDD6C7B"/>
    <w:rsid w:val="2BDF21EC"/>
    <w:rsid w:val="2BE02A7F"/>
    <w:rsid w:val="2BE27F2E"/>
    <w:rsid w:val="2BE55328"/>
    <w:rsid w:val="2BEB6DE3"/>
    <w:rsid w:val="2BEC4A3D"/>
    <w:rsid w:val="2BEE486F"/>
    <w:rsid w:val="2BF51A0F"/>
    <w:rsid w:val="2BF95512"/>
    <w:rsid w:val="2BFD6B16"/>
    <w:rsid w:val="2C02339F"/>
    <w:rsid w:val="2C044EE6"/>
    <w:rsid w:val="2C060962"/>
    <w:rsid w:val="2C061117"/>
    <w:rsid w:val="2C091017"/>
    <w:rsid w:val="2C0E0D23"/>
    <w:rsid w:val="2C0E2AD1"/>
    <w:rsid w:val="2C0E487F"/>
    <w:rsid w:val="2C1003DB"/>
    <w:rsid w:val="2C1125C1"/>
    <w:rsid w:val="2C1974A8"/>
    <w:rsid w:val="2C1A1476"/>
    <w:rsid w:val="2C1C1895"/>
    <w:rsid w:val="2C1C51EE"/>
    <w:rsid w:val="2C201250"/>
    <w:rsid w:val="2C245E51"/>
    <w:rsid w:val="2C286E71"/>
    <w:rsid w:val="2C297706"/>
    <w:rsid w:val="2C3167C0"/>
    <w:rsid w:val="2C3B46EC"/>
    <w:rsid w:val="2C412EA7"/>
    <w:rsid w:val="2C42277B"/>
    <w:rsid w:val="2C4C53A8"/>
    <w:rsid w:val="2C4D184B"/>
    <w:rsid w:val="2C4E6D35"/>
    <w:rsid w:val="2C4F6F88"/>
    <w:rsid w:val="2C5030EA"/>
    <w:rsid w:val="2C5209F6"/>
    <w:rsid w:val="2C526E62"/>
    <w:rsid w:val="2C550700"/>
    <w:rsid w:val="2C586430"/>
    <w:rsid w:val="2C5B070C"/>
    <w:rsid w:val="2C5B55EB"/>
    <w:rsid w:val="2C5F157F"/>
    <w:rsid w:val="2C624BCB"/>
    <w:rsid w:val="2C626979"/>
    <w:rsid w:val="2C6426F1"/>
    <w:rsid w:val="2C646B95"/>
    <w:rsid w:val="2C687FA0"/>
    <w:rsid w:val="2C6B7F24"/>
    <w:rsid w:val="2C6D3C9C"/>
    <w:rsid w:val="2C6F0A0B"/>
    <w:rsid w:val="2C7548FE"/>
    <w:rsid w:val="2C7D1A05"/>
    <w:rsid w:val="2C806591"/>
    <w:rsid w:val="2C862667"/>
    <w:rsid w:val="2C972AC7"/>
    <w:rsid w:val="2C98683F"/>
    <w:rsid w:val="2C9876B9"/>
    <w:rsid w:val="2C991D16"/>
    <w:rsid w:val="2C994A91"/>
    <w:rsid w:val="2C9D121A"/>
    <w:rsid w:val="2C9E3E55"/>
    <w:rsid w:val="2CA43385"/>
    <w:rsid w:val="2CA64AB8"/>
    <w:rsid w:val="2CAD5E46"/>
    <w:rsid w:val="2CB05936"/>
    <w:rsid w:val="2CBA4A07"/>
    <w:rsid w:val="2CBF5B79"/>
    <w:rsid w:val="2CC118F2"/>
    <w:rsid w:val="2CC15D95"/>
    <w:rsid w:val="2CCA2E9C"/>
    <w:rsid w:val="2CCD6B2B"/>
    <w:rsid w:val="2CCE2260"/>
    <w:rsid w:val="2CD03B9E"/>
    <w:rsid w:val="2CD71115"/>
    <w:rsid w:val="2CDC672B"/>
    <w:rsid w:val="2CDF7FCA"/>
    <w:rsid w:val="2CE169FC"/>
    <w:rsid w:val="2CE23E3F"/>
    <w:rsid w:val="2CE43832"/>
    <w:rsid w:val="2CE4621E"/>
    <w:rsid w:val="2CE675AA"/>
    <w:rsid w:val="2CE850D0"/>
    <w:rsid w:val="2CE90E48"/>
    <w:rsid w:val="2CF00429"/>
    <w:rsid w:val="2CF577ED"/>
    <w:rsid w:val="2CF77A09"/>
    <w:rsid w:val="2CFD27F1"/>
    <w:rsid w:val="2CFF241A"/>
    <w:rsid w:val="2D0068BE"/>
    <w:rsid w:val="2D0277D4"/>
    <w:rsid w:val="2D03015C"/>
    <w:rsid w:val="2D0B2FC0"/>
    <w:rsid w:val="2D0B4249"/>
    <w:rsid w:val="2D0D34F2"/>
    <w:rsid w:val="2D164455"/>
    <w:rsid w:val="2D165B7B"/>
    <w:rsid w:val="2D1C121E"/>
    <w:rsid w:val="2D2105E2"/>
    <w:rsid w:val="2D21310A"/>
    <w:rsid w:val="2D256324"/>
    <w:rsid w:val="2D285E15"/>
    <w:rsid w:val="2D2A43DC"/>
    <w:rsid w:val="2D2D7E99"/>
    <w:rsid w:val="2D304962"/>
    <w:rsid w:val="2D360531"/>
    <w:rsid w:val="2D362920"/>
    <w:rsid w:val="2D377E06"/>
    <w:rsid w:val="2D393B7E"/>
    <w:rsid w:val="2D426ED6"/>
    <w:rsid w:val="2D4A109A"/>
    <w:rsid w:val="2D4F15F3"/>
    <w:rsid w:val="2D4F33A1"/>
    <w:rsid w:val="2D517119"/>
    <w:rsid w:val="2D5C161A"/>
    <w:rsid w:val="2D5E5392"/>
    <w:rsid w:val="2D662499"/>
    <w:rsid w:val="2D662A0E"/>
    <w:rsid w:val="2D6A1F89"/>
    <w:rsid w:val="2D6A3D37"/>
    <w:rsid w:val="2D6C5D01"/>
    <w:rsid w:val="2D6D2812"/>
    <w:rsid w:val="2D6E649F"/>
    <w:rsid w:val="2D71156A"/>
    <w:rsid w:val="2D7339BD"/>
    <w:rsid w:val="2D764C51"/>
    <w:rsid w:val="2D766B80"/>
    <w:rsid w:val="2D7C1CBC"/>
    <w:rsid w:val="2D80355B"/>
    <w:rsid w:val="2D816366"/>
    <w:rsid w:val="2D8C0151"/>
    <w:rsid w:val="2D8E211C"/>
    <w:rsid w:val="2D915768"/>
    <w:rsid w:val="2D946DE9"/>
    <w:rsid w:val="2D990784"/>
    <w:rsid w:val="2D99286E"/>
    <w:rsid w:val="2D99461C"/>
    <w:rsid w:val="2D9C5080"/>
    <w:rsid w:val="2D9D6608"/>
    <w:rsid w:val="2DA8403A"/>
    <w:rsid w:val="2DAA4A7C"/>
    <w:rsid w:val="2DAE6AB5"/>
    <w:rsid w:val="2DB41456"/>
    <w:rsid w:val="2DB901C1"/>
    <w:rsid w:val="2DB9081B"/>
    <w:rsid w:val="2DBB0EDB"/>
    <w:rsid w:val="2DBE22D5"/>
    <w:rsid w:val="2DC45B3D"/>
    <w:rsid w:val="2DC72F38"/>
    <w:rsid w:val="2DCA5468"/>
    <w:rsid w:val="2DCD42C6"/>
    <w:rsid w:val="2DD90EBD"/>
    <w:rsid w:val="2DDD6BFF"/>
    <w:rsid w:val="2DDF26E4"/>
    <w:rsid w:val="2DE24215"/>
    <w:rsid w:val="2DE41D3C"/>
    <w:rsid w:val="2DE6129A"/>
    <w:rsid w:val="2DE81100"/>
    <w:rsid w:val="2DEC125E"/>
    <w:rsid w:val="2DED6716"/>
    <w:rsid w:val="2DEE2BBA"/>
    <w:rsid w:val="2DF45CF7"/>
    <w:rsid w:val="2DF67CC1"/>
    <w:rsid w:val="2DF77058"/>
    <w:rsid w:val="2DF87595"/>
    <w:rsid w:val="2DF950BB"/>
    <w:rsid w:val="2DFB7085"/>
    <w:rsid w:val="2E0E6DB8"/>
    <w:rsid w:val="2E1168A9"/>
    <w:rsid w:val="2E15545F"/>
    <w:rsid w:val="2E165C6D"/>
    <w:rsid w:val="2E1D466B"/>
    <w:rsid w:val="2E1E6491"/>
    <w:rsid w:val="2E1F2D74"/>
    <w:rsid w:val="2E200CD9"/>
    <w:rsid w:val="2E222864"/>
    <w:rsid w:val="2E232138"/>
    <w:rsid w:val="2E241400"/>
    <w:rsid w:val="2E2760CC"/>
    <w:rsid w:val="2E2959A0"/>
    <w:rsid w:val="2E2A7C6F"/>
    <w:rsid w:val="2E3507E9"/>
    <w:rsid w:val="2E3D31FA"/>
    <w:rsid w:val="2E44516B"/>
    <w:rsid w:val="2E4B3B69"/>
    <w:rsid w:val="2E4E5407"/>
    <w:rsid w:val="2E56075F"/>
    <w:rsid w:val="2E61338C"/>
    <w:rsid w:val="2E6609A2"/>
    <w:rsid w:val="2E666BF4"/>
    <w:rsid w:val="2E673CED"/>
    <w:rsid w:val="2E725565"/>
    <w:rsid w:val="2E7330BF"/>
    <w:rsid w:val="2E8157DC"/>
    <w:rsid w:val="2E853DE4"/>
    <w:rsid w:val="2E876B6B"/>
    <w:rsid w:val="2E8B665B"/>
    <w:rsid w:val="2E953036"/>
    <w:rsid w:val="2E97041E"/>
    <w:rsid w:val="2E980D78"/>
    <w:rsid w:val="2E9C7D6B"/>
    <w:rsid w:val="2E9F05F7"/>
    <w:rsid w:val="2EA62316"/>
    <w:rsid w:val="2EA65243"/>
    <w:rsid w:val="2EAB2859"/>
    <w:rsid w:val="2EAC037F"/>
    <w:rsid w:val="2EB608F4"/>
    <w:rsid w:val="2EB743C1"/>
    <w:rsid w:val="2EBA0CEE"/>
    <w:rsid w:val="2EBD258D"/>
    <w:rsid w:val="2EC03CA1"/>
    <w:rsid w:val="2EC90F31"/>
    <w:rsid w:val="2ECD0A22"/>
    <w:rsid w:val="2ECD27D0"/>
    <w:rsid w:val="2ED0406E"/>
    <w:rsid w:val="2ED37AE8"/>
    <w:rsid w:val="2EDB6672"/>
    <w:rsid w:val="2EDC0C65"/>
    <w:rsid w:val="2EE23DA1"/>
    <w:rsid w:val="2EE44AA2"/>
    <w:rsid w:val="2EE713B8"/>
    <w:rsid w:val="2EF66279"/>
    <w:rsid w:val="2EFD3CFB"/>
    <w:rsid w:val="2F0106CB"/>
    <w:rsid w:val="2F01691D"/>
    <w:rsid w:val="2F0857B3"/>
    <w:rsid w:val="2F0D52C2"/>
    <w:rsid w:val="2F0F2DE8"/>
    <w:rsid w:val="2F124686"/>
    <w:rsid w:val="2F195A15"/>
    <w:rsid w:val="2F226F15"/>
    <w:rsid w:val="2F25260C"/>
    <w:rsid w:val="2F260132"/>
    <w:rsid w:val="2F2D14C0"/>
    <w:rsid w:val="2F302D5E"/>
    <w:rsid w:val="2F34284F"/>
    <w:rsid w:val="2F3A599D"/>
    <w:rsid w:val="2F476681"/>
    <w:rsid w:val="2F4F58DB"/>
    <w:rsid w:val="2F4F7689"/>
    <w:rsid w:val="2F503401"/>
    <w:rsid w:val="2F546C51"/>
    <w:rsid w:val="2F560A17"/>
    <w:rsid w:val="2F5B1004"/>
    <w:rsid w:val="2F5C7FF7"/>
    <w:rsid w:val="2F6125CE"/>
    <w:rsid w:val="2F61560E"/>
    <w:rsid w:val="2F631386"/>
    <w:rsid w:val="2F634EE2"/>
    <w:rsid w:val="2F6B1FE9"/>
    <w:rsid w:val="2F6C2ED0"/>
    <w:rsid w:val="2F6D5D61"/>
    <w:rsid w:val="2F713AA3"/>
    <w:rsid w:val="2F735D1B"/>
    <w:rsid w:val="2F73601B"/>
    <w:rsid w:val="2F75430C"/>
    <w:rsid w:val="2F762FFF"/>
    <w:rsid w:val="2F7B047E"/>
    <w:rsid w:val="2F7C41F6"/>
    <w:rsid w:val="2F7C5558"/>
    <w:rsid w:val="2F7C651B"/>
    <w:rsid w:val="2F8112ED"/>
    <w:rsid w:val="2F835584"/>
    <w:rsid w:val="2F8A7F80"/>
    <w:rsid w:val="2F8B61E7"/>
    <w:rsid w:val="2F8E1F35"/>
    <w:rsid w:val="2F8F217B"/>
    <w:rsid w:val="2F923A19"/>
    <w:rsid w:val="2F9B0B20"/>
    <w:rsid w:val="2F9B28CE"/>
    <w:rsid w:val="2F9C21A2"/>
    <w:rsid w:val="2FA03AA3"/>
    <w:rsid w:val="2FA95737"/>
    <w:rsid w:val="2FAA2B11"/>
    <w:rsid w:val="2FAF45CB"/>
    <w:rsid w:val="2FB0507F"/>
    <w:rsid w:val="2FB208EB"/>
    <w:rsid w:val="2FB83480"/>
    <w:rsid w:val="2FBA7171"/>
    <w:rsid w:val="2FBB6ACC"/>
    <w:rsid w:val="2FBD06F2"/>
    <w:rsid w:val="2FC11C09"/>
    <w:rsid w:val="2FC82F97"/>
    <w:rsid w:val="2FC949E6"/>
    <w:rsid w:val="2FCA1D7D"/>
    <w:rsid w:val="2FD951A4"/>
    <w:rsid w:val="2FD96A3A"/>
    <w:rsid w:val="2FDA56AD"/>
    <w:rsid w:val="2FE12753"/>
    <w:rsid w:val="2FE222AB"/>
    <w:rsid w:val="2FE26E60"/>
    <w:rsid w:val="2FE34275"/>
    <w:rsid w:val="2FE37DD1"/>
    <w:rsid w:val="2FE95EC5"/>
    <w:rsid w:val="2FF35CF7"/>
    <w:rsid w:val="2FF975F4"/>
    <w:rsid w:val="2FFE2E5D"/>
    <w:rsid w:val="3001665C"/>
    <w:rsid w:val="30030473"/>
    <w:rsid w:val="300961FB"/>
    <w:rsid w:val="300E7AC8"/>
    <w:rsid w:val="301E4E37"/>
    <w:rsid w:val="301E705B"/>
    <w:rsid w:val="3025663B"/>
    <w:rsid w:val="30261F05"/>
    <w:rsid w:val="302723B3"/>
    <w:rsid w:val="30274161"/>
    <w:rsid w:val="30275F10"/>
    <w:rsid w:val="30295C45"/>
    <w:rsid w:val="30305420"/>
    <w:rsid w:val="30316D8E"/>
    <w:rsid w:val="303456F4"/>
    <w:rsid w:val="30371B9B"/>
    <w:rsid w:val="30392C11"/>
    <w:rsid w:val="30395C43"/>
    <w:rsid w:val="303D3985"/>
    <w:rsid w:val="30406FD1"/>
    <w:rsid w:val="30441214"/>
    <w:rsid w:val="304545E8"/>
    <w:rsid w:val="30474804"/>
    <w:rsid w:val="304A60A2"/>
    <w:rsid w:val="304C5976"/>
    <w:rsid w:val="304E37C4"/>
    <w:rsid w:val="304E5B92"/>
    <w:rsid w:val="304F6A7A"/>
    <w:rsid w:val="305111DE"/>
    <w:rsid w:val="30562C99"/>
    <w:rsid w:val="305D1037"/>
    <w:rsid w:val="305E4463"/>
    <w:rsid w:val="305E4818"/>
    <w:rsid w:val="306B04F2"/>
    <w:rsid w:val="306C426A"/>
    <w:rsid w:val="306C6018"/>
    <w:rsid w:val="306F43AD"/>
    <w:rsid w:val="30714FCB"/>
    <w:rsid w:val="30760C45"/>
    <w:rsid w:val="307750E9"/>
    <w:rsid w:val="307A6987"/>
    <w:rsid w:val="308717B0"/>
    <w:rsid w:val="308778F9"/>
    <w:rsid w:val="308B5380"/>
    <w:rsid w:val="30901D07"/>
    <w:rsid w:val="309061AB"/>
    <w:rsid w:val="309A4E14"/>
    <w:rsid w:val="309D2676"/>
    <w:rsid w:val="309D40A4"/>
    <w:rsid w:val="30A13F14"/>
    <w:rsid w:val="30A7106D"/>
    <w:rsid w:val="30AC28B9"/>
    <w:rsid w:val="30AD0B0B"/>
    <w:rsid w:val="30B04157"/>
    <w:rsid w:val="30C23E8A"/>
    <w:rsid w:val="30C47C02"/>
    <w:rsid w:val="30CE282F"/>
    <w:rsid w:val="30D16C82"/>
    <w:rsid w:val="30D37E45"/>
    <w:rsid w:val="30D605CE"/>
    <w:rsid w:val="30DF4A3C"/>
    <w:rsid w:val="30E16D03"/>
    <w:rsid w:val="30ED5608"/>
    <w:rsid w:val="30F027A5"/>
    <w:rsid w:val="30F2476F"/>
    <w:rsid w:val="30F524B2"/>
    <w:rsid w:val="30F966B7"/>
    <w:rsid w:val="30FD4EC2"/>
    <w:rsid w:val="30FF7C59"/>
    <w:rsid w:val="310B502C"/>
    <w:rsid w:val="310D1CDC"/>
    <w:rsid w:val="31132938"/>
    <w:rsid w:val="31172428"/>
    <w:rsid w:val="311961A0"/>
    <w:rsid w:val="311A2EC8"/>
    <w:rsid w:val="311A7E62"/>
    <w:rsid w:val="311C7A3E"/>
    <w:rsid w:val="312611C0"/>
    <w:rsid w:val="31277A6D"/>
    <w:rsid w:val="313237D7"/>
    <w:rsid w:val="3138414C"/>
    <w:rsid w:val="313F54DB"/>
    <w:rsid w:val="31456F95"/>
    <w:rsid w:val="314B0324"/>
    <w:rsid w:val="314E0D97"/>
    <w:rsid w:val="314E66EE"/>
    <w:rsid w:val="314F1BC2"/>
    <w:rsid w:val="315076E8"/>
    <w:rsid w:val="31511FB4"/>
    <w:rsid w:val="31535609"/>
    <w:rsid w:val="31546A99"/>
    <w:rsid w:val="315C0F5C"/>
    <w:rsid w:val="315C7E3B"/>
    <w:rsid w:val="316513E5"/>
    <w:rsid w:val="31662A68"/>
    <w:rsid w:val="316867E0"/>
    <w:rsid w:val="316A69FC"/>
    <w:rsid w:val="31713AE0"/>
    <w:rsid w:val="31720214"/>
    <w:rsid w:val="31723B02"/>
    <w:rsid w:val="31725BAE"/>
    <w:rsid w:val="31771119"/>
    <w:rsid w:val="31783564"/>
    <w:rsid w:val="31794E91"/>
    <w:rsid w:val="317B0BE0"/>
    <w:rsid w:val="317C228B"/>
    <w:rsid w:val="317F0A1B"/>
    <w:rsid w:val="317F1D7B"/>
    <w:rsid w:val="31810686"/>
    <w:rsid w:val="31813D90"/>
    <w:rsid w:val="318178A1"/>
    <w:rsid w:val="318A0E4C"/>
    <w:rsid w:val="31973569"/>
    <w:rsid w:val="319770C5"/>
    <w:rsid w:val="3199108F"/>
    <w:rsid w:val="319E0453"/>
    <w:rsid w:val="319F42CD"/>
    <w:rsid w:val="31A124C4"/>
    <w:rsid w:val="31A21519"/>
    <w:rsid w:val="31A2620F"/>
    <w:rsid w:val="31A737AC"/>
    <w:rsid w:val="31A81060"/>
    <w:rsid w:val="31A8366A"/>
    <w:rsid w:val="31AD0696"/>
    <w:rsid w:val="31B449A5"/>
    <w:rsid w:val="31B5579D"/>
    <w:rsid w:val="31B732C3"/>
    <w:rsid w:val="31B9703B"/>
    <w:rsid w:val="31C205E6"/>
    <w:rsid w:val="31D200FD"/>
    <w:rsid w:val="31D73965"/>
    <w:rsid w:val="31DD71CE"/>
    <w:rsid w:val="31E06CBE"/>
    <w:rsid w:val="31E708A5"/>
    <w:rsid w:val="31E866CA"/>
    <w:rsid w:val="31EB11BF"/>
    <w:rsid w:val="31ED4F37"/>
    <w:rsid w:val="31F81FF4"/>
    <w:rsid w:val="31F84007"/>
    <w:rsid w:val="31FB7654"/>
    <w:rsid w:val="31FD1BA8"/>
    <w:rsid w:val="320712DC"/>
    <w:rsid w:val="320F1351"/>
    <w:rsid w:val="321271B3"/>
    <w:rsid w:val="32174C61"/>
    <w:rsid w:val="321B5F48"/>
    <w:rsid w:val="321D3A6E"/>
    <w:rsid w:val="3220355E"/>
    <w:rsid w:val="32250B75"/>
    <w:rsid w:val="322748ED"/>
    <w:rsid w:val="322841C1"/>
    <w:rsid w:val="322D61E8"/>
    <w:rsid w:val="322F37A1"/>
    <w:rsid w:val="32345CFA"/>
    <w:rsid w:val="323D5EBE"/>
    <w:rsid w:val="3240150B"/>
    <w:rsid w:val="324B59FF"/>
    <w:rsid w:val="324C7EAF"/>
    <w:rsid w:val="3255667A"/>
    <w:rsid w:val="32562ADC"/>
    <w:rsid w:val="32586854"/>
    <w:rsid w:val="3259713D"/>
    <w:rsid w:val="325D3E6B"/>
    <w:rsid w:val="325F76B1"/>
    <w:rsid w:val="32602287"/>
    <w:rsid w:val="3264169D"/>
    <w:rsid w:val="32655415"/>
    <w:rsid w:val="326A2A2B"/>
    <w:rsid w:val="326B0462"/>
    <w:rsid w:val="326B77B8"/>
    <w:rsid w:val="326F1DF0"/>
    <w:rsid w:val="327411B4"/>
    <w:rsid w:val="327826D2"/>
    <w:rsid w:val="327A5910"/>
    <w:rsid w:val="327F2033"/>
    <w:rsid w:val="32827D75"/>
    <w:rsid w:val="32872E89"/>
    <w:rsid w:val="32911D66"/>
    <w:rsid w:val="3293788C"/>
    <w:rsid w:val="329B2BE5"/>
    <w:rsid w:val="329D394F"/>
    <w:rsid w:val="32A23F73"/>
    <w:rsid w:val="32A25347"/>
    <w:rsid w:val="32A34FBE"/>
    <w:rsid w:val="32A53F7C"/>
    <w:rsid w:val="32A635EA"/>
    <w:rsid w:val="32A80FD5"/>
    <w:rsid w:val="32A970B0"/>
    <w:rsid w:val="32AE0B6A"/>
    <w:rsid w:val="32B36180"/>
    <w:rsid w:val="32B617CD"/>
    <w:rsid w:val="32BD060B"/>
    <w:rsid w:val="32BF3601"/>
    <w:rsid w:val="32C03140"/>
    <w:rsid w:val="32C739DA"/>
    <w:rsid w:val="32C973BB"/>
    <w:rsid w:val="32CB5278"/>
    <w:rsid w:val="32D3784A"/>
    <w:rsid w:val="32D560F7"/>
    <w:rsid w:val="32D61E6F"/>
    <w:rsid w:val="32D63C1D"/>
    <w:rsid w:val="32DA54BB"/>
    <w:rsid w:val="32DF526C"/>
    <w:rsid w:val="32E0069C"/>
    <w:rsid w:val="32E12CEE"/>
    <w:rsid w:val="32E14A9C"/>
    <w:rsid w:val="32E225C2"/>
    <w:rsid w:val="32E26A66"/>
    <w:rsid w:val="32E427DE"/>
    <w:rsid w:val="32E52350"/>
    <w:rsid w:val="32E75E2A"/>
    <w:rsid w:val="32EA627F"/>
    <w:rsid w:val="32EB3B6C"/>
    <w:rsid w:val="32EE540A"/>
    <w:rsid w:val="32F12805"/>
    <w:rsid w:val="32F83B93"/>
    <w:rsid w:val="32FB3683"/>
    <w:rsid w:val="330216E8"/>
    <w:rsid w:val="3303061B"/>
    <w:rsid w:val="330662B0"/>
    <w:rsid w:val="330773F6"/>
    <w:rsid w:val="33077D57"/>
    <w:rsid w:val="330C6C5E"/>
    <w:rsid w:val="331309CD"/>
    <w:rsid w:val="33134E71"/>
    <w:rsid w:val="33136C1F"/>
    <w:rsid w:val="331704BD"/>
    <w:rsid w:val="331A61FF"/>
    <w:rsid w:val="331B7C07"/>
    <w:rsid w:val="331D1F7D"/>
    <w:rsid w:val="331D76E7"/>
    <w:rsid w:val="33213920"/>
    <w:rsid w:val="33244988"/>
    <w:rsid w:val="33274478"/>
    <w:rsid w:val="332B3F69"/>
    <w:rsid w:val="332C49F3"/>
    <w:rsid w:val="332D5204"/>
    <w:rsid w:val="33321433"/>
    <w:rsid w:val="33356B95"/>
    <w:rsid w:val="33372CE7"/>
    <w:rsid w:val="333B2D54"/>
    <w:rsid w:val="333D4138"/>
    <w:rsid w:val="333E1EEE"/>
    <w:rsid w:val="33435332"/>
    <w:rsid w:val="334B36BA"/>
    <w:rsid w:val="33596D28"/>
    <w:rsid w:val="335C6818"/>
    <w:rsid w:val="33615BDC"/>
    <w:rsid w:val="33635E53"/>
    <w:rsid w:val="33641229"/>
    <w:rsid w:val="336C0228"/>
    <w:rsid w:val="336C0306"/>
    <w:rsid w:val="336D632F"/>
    <w:rsid w:val="336E3E55"/>
    <w:rsid w:val="33723946"/>
    <w:rsid w:val="33746DD8"/>
    <w:rsid w:val="337F6063"/>
    <w:rsid w:val="3381002D"/>
    <w:rsid w:val="3381627F"/>
    <w:rsid w:val="33835B53"/>
    <w:rsid w:val="338673F1"/>
    <w:rsid w:val="33894B67"/>
    <w:rsid w:val="33896EE1"/>
    <w:rsid w:val="338A588C"/>
    <w:rsid w:val="338E10C5"/>
    <w:rsid w:val="339E0BDF"/>
    <w:rsid w:val="339F04B3"/>
    <w:rsid w:val="33A02AB1"/>
    <w:rsid w:val="33A157EB"/>
    <w:rsid w:val="33A20FAF"/>
    <w:rsid w:val="33A21AE7"/>
    <w:rsid w:val="33A37FA3"/>
    <w:rsid w:val="33B026C0"/>
    <w:rsid w:val="33B2468A"/>
    <w:rsid w:val="33B45D0C"/>
    <w:rsid w:val="33B91964"/>
    <w:rsid w:val="33BA709B"/>
    <w:rsid w:val="33BB353F"/>
    <w:rsid w:val="33BC1065"/>
    <w:rsid w:val="33BF1997"/>
    <w:rsid w:val="33C1667B"/>
    <w:rsid w:val="33CC574C"/>
    <w:rsid w:val="33D360B3"/>
    <w:rsid w:val="33D837CD"/>
    <w:rsid w:val="33D97E69"/>
    <w:rsid w:val="33DC3A13"/>
    <w:rsid w:val="33E33099"/>
    <w:rsid w:val="33E538D7"/>
    <w:rsid w:val="33E64529"/>
    <w:rsid w:val="33E800AC"/>
    <w:rsid w:val="33EA5730"/>
    <w:rsid w:val="33EF4F96"/>
    <w:rsid w:val="33F21776"/>
    <w:rsid w:val="33FE415F"/>
    <w:rsid w:val="34015F0C"/>
    <w:rsid w:val="34035192"/>
    <w:rsid w:val="340842AA"/>
    <w:rsid w:val="340A4CC4"/>
    <w:rsid w:val="3410342A"/>
    <w:rsid w:val="3411315F"/>
    <w:rsid w:val="34126ED7"/>
    <w:rsid w:val="341449FD"/>
    <w:rsid w:val="3414536B"/>
    <w:rsid w:val="3416284F"/>
    <w:rsid w:val="341A2E85"/>
    <w:rsid w:val="341B222F"/>
    <w:rsid w:val="341E263A"/>
    <w:rsid w:val="342310E4"/>
    <w:rsid w:val="342A7BA0"/>
    <w:rsid w:val="342B1F7F"/>
    <w:rsid w:val="34313801"/>
    <w:rsid w:val="34362BC5"/>
    <w:rsid w:val="343706EB"/>
    <w:rsid w:val="3437693D"/>
    <w:rsid w:val="343A7E80"/>
    <w:rsid w:val="3442156A"/>
    <w:rsid w:val="34425A0E"/>
    <w:rsid w:val="344415E9"/>
    <w:rsid w:val="34452E08"/>
    <w:rsid w:val="344A2B14"/>
    <w:rsid w:val="34525525"/>
    <w:rsid w:val="345D45F6"/>
    <w:rsid w:val="346314E0"/>
    <w:rsid w:val="347831DE"/>
    <w:rsid w:val="34784F8C"/>
    <w:rsid w:val="34806536"/>
    <w:rsid w:val="34863584"/>
    <w:rsid w:val="34880F47"/>
    <w:rsid w:val="349339E0"/>
    <w:rsid w:val="34963664"/>
    <w:rsid w:val="349A2E4B"/>
    <w:rsid w:val="349B4995"/>
    <w:rsid w:val="349E572A"/>
    <w:rsid w:val="34A06275"/>
    <w:rsid w:val="34A113E3"/>
    <w:rsid w:val="34A261ED"/>
    <w:rsid w:val="34A3524A"/>
    <w:rsid w:val="34A9783B"/>
    <w:rsid w:val="34AB35B3"/>
    <w:rsid w:val="34AC2E87"/>
    <w:rsid w:val="34AF6AD4"/>
    <w:rsid w:val="34B00BC9"/>
    <w:rsid w:val="34B47F8E"/>
    <w:rsid w:val="34B561E0"/>
    <w:rsid w:val="34B6432C"/>
    <w:rsid w:val="34BA33E3"/>
    <w:rsid w:val="34BB131C"/>
    <w:rsid w:val="34BD542E"/>
    <w:rsid w:val="34C53F49"/>
    <w:rsid w:val="34C93A39"/>
    <w:rsid w:val="34CB38D8"/>
    <w:rsid w:val="34CC177B"/>
    <w:rsid w:val="34CC4E8D"/>
    <w:rsid w:val="34D23A05"/>
    <w:rsid w:val="34D50630"/>
    <w:rsid w:val="34DA5C46"/>
    <w:rsid w:val="34DD521D"/>
    <w:rsid w:val="34E6283D"/>
    <w:rsid w:val="34F07218"/>
    <w:rsid w:val="34F14D3E"/>
    <w:rsid w:val="34F4594F"/>
    <w:rsid w:val="34F860CC"/>
    <w:rsid w:val="34FB796B"/>
    <w:rsid w:val="34FD6E59"/>
    <w:rsid w:val="35013F9B"/>
    <w:rsid w:val="35020CF9"/>
    <w:rsid w:val="35086AD0"/>
    <w:rsid w:val="35096AEF"/>
    <w:rsid w:val="350E769E"/>
    <w:rsid w:val="35111E45"/>
    <w:rsid w:val="35150757"/>
    <w:rsid w:val="351647A5"/>
    <w:rsid w:val="351A6043"/>
    <w:rsid w:val="351F1307"/>
    <w:rsid w:val="351F3659"/>
    <w:rsid w:val="352275ED"/>
    <w:rsid w:val="352407BE"/>
    <w:rsid w:val="35284C04"/>
    <w:rsid w:val="352C5D76"/>
    <w:rsid w:val="352E5F92"/>
    <w:rsid w:val="35305866"/>
    <w:rsid w:val="35327830"/>
    <w:rsid w:val="35394A23"/>
    <w:rsid w:val="353C2EE2"/>
    <w:rsid w:val="353E1AAF"/>
    <w:rsid w:val="35411821"/>
    <w:rsid w:val="3544640B"/>
    <w:rsid w:val="35472BB0"/>
    <w:rsid w:val="35490860"/>
    <w:rsid w:val="35492DCC"/>
    <w:rsid w:val="354966BB"/>
    <w:rsid w:val="354A3F1B"/>
    <w:rsid w:val="354B444E"/>
    <w:rsid w:val="354D6802"/>
    <w:rsid w:val="354E1590"/>
    <w:rsid w:val="354E2190"/>
    <w:rsid w:val="3555201A"/>
    <w:rsid w:val="355C044A"/>
    <w:rsid w:val="355D413D"/>
    <w:rsid w:val="355F614C"/>
    <w:rsid w:val="356056BC"/>
    <w:rsid w:val="35634B00"/>
    <w:rsid w:val="35635C3C"/>
    <w:rsid w:val="35661D71"/>
    <w:rsid w:val="3569521C"/>
    <w:rsid w:val="356C2617"/>
    <w:rsid w:val="356D0868"/>
    <w:rsid w:val="35734BA7"/>
    <w:rsid w:val="3574165D"/>
    <w:rsid w:val="3576787D"/>
    <w:rsid w:val="3579534B"/>
    <w:rsid w:val="357D60C9"/>
    <w:rsid w:val="357E2A76"/>
    <w:rsid w:val="357F059C"/>
    <w:rsid w:val="35887450"/>
    <w:rsid w:val="358A5522"/>
    <w:rsid w:val="358B6F41"/>
    <w:rsid w:val="35926521"/>
    <w:rsid w:val="35963FC2"/>
    <w:rsid w:val="35973B37"/>
    <w:rsid w:val="3598340C"/>
    <w:rsid w:val="359C2EFC"/>
    <w:rsid w:val="35A64708"/>
    <w:rsid w:val="35A66D8A"/>
    <w:rsid w:val="35A95619"/>
    <w:rsid w:val="35AE50EE"/>
    <w:rsid w:val="35AF70D3"/>
    <w:rsid w:val="35B2271F"/>
    <w:rsid w:val="35B378A6"/>
    <w:rsid w:val="35B77D36"/>
    <w:rsid w:val="35BB5A78"/>
    <w:rsid w:val="35BC359E"/>
    <w:rsid w:val="35BC6030"/>
    <w:rsid w:val="35C67F79"/>
    <w:rsid w:val="35C8594A"/>
    <w:rsid w:val="35C91817"/>
    <w:rsid w:val="35CD1307"/>
    <w:rsid w:val="35CD24E6"/>
    <w:rsid w:val="35D51A8E"/>
    <w:rsid w:val="35D64995"/>
    <w:rsid w:val="35DA3A24"/>
    <w:rsid w:val="35DC5F62"/>
    <w:rsid w:val="35E11256"/>
    <w:rsid w:val="35E11274"/>
    <w:rsid w:val="35E328D9"/>
    <w:rsid w:val="35E80157"/>
    <w:rsid w:val="35EA010B"/>
    <w:rsid w:val="35EF29CF"/>
    <w:rsid w:val="35F165B8"/>
    <w:rsid w:val="35F20D6E"/>
    <w:rsid w:val="35F44AE6"/>
    <w:rsid w:val="35F5085E"/>
    <w:rsid w:val="35FA390E"/>
    <w:rsid w:val="3600792F"/>
    <w:rsid w:val="36010B9D"/>
    <w:rsid w:val="360A4E38"/>
    <w:rsid w:val="360E0557"/>
    <w:rsid w:val="360E3BF4"/>
    <w:rsid w:val="36144752"/>
    <w:rsid w:val="36176A26"/>
    <w:rsid w:val="361B426C"/>
    <w:rsid w:val="361E16DA"/>
    <w:rsid w:val="362300CC"/>
    <w:rsid w:val="36237179"/>
    <w:rsid w:val="36252EF1"/>
    <w:rsid w:val="36257395"/>
    <w:rsid w:val="36280C33"/>
    <w:rsid w:val="36287EA7"/>
    <w:rsid w:val="36296473"/>
    <w:rsid w:val="362A3A8B"/>
    <w:rsid w:val="362A49AB"/>
    <w:rsid w:val="363268B0"/>
    <w:rsid w:val="36341386"/>
    <w:rsid w:val="363870C8"/>
    <w:rsid w:val="363976F7"/>
    <w:rsid w:val="3643781B"/>
    <w:rsid w:val="364517E5"/>
    <w:rsid w:val="3652180C"/>
    <w:rsid w:val="365377F4"/>
    <w:rsid w:val="36552BBE"/>
    <w:rsid w:val="365B6913"/>
    <w:rsid w:val="365D08DD"/>
    <w:rsid w:val="365E28A7"/>
    <w:rsid w:val="365F08A3"/>
    <w:rsid w:val="36625EF3"/>
    <w:rsid w:val="366D3A16"/>
    <w:rsid w:val="366E1C99"/>
    <w:rsid w:val="366E2708"/>
    <w:rsid w:val="36767BF1"/>
    <w:rsid w:val="367D7A8F"/>
    <w:rsid w:val="367D7B75"/>
    <w:rsid w:val="3684230E"/>
    <w:rsid w:val="36851BE2"/>
    <w:rsid w:val="36853990"/>
    <w:rsid w:val="368C19C0"/>
    <w:rsid w:val="36901C4B"/>
    <w:rsid w:val="36932551"/>
    <w:rsid w:val="36965B4C"/>
    <w:rsid w:val="36965B9D"/>
    <w:rsid w:val="3699743B"/>
    <w:rsid w:val="369B7657"/>
    <w:rsid w:val="36A209E6"/>
    <w:rsid w:val="36A4475E"/>
    <w:rsid w:val="36A91D74"/>
    <w:rsid w:val="36AA789A"/>
    <w:rsid w:val="36AD3788"/>
    <w:rsid w:val="36AF6C5F"/>
    <w:rsid w:val="36B10C29"/>
    <w:rsid w:val="36B83D65"/>
    <w:rsid w:val="36BA6F2A"/>
    <w:rsid w:val="36BC5048"/>
    <w:rsid w:val="36C50230"/>
    <w:rsid w:val="36C56482"/>
    <w:rsid w:val="36C97D20"/>
    <w:rsid w:val="36D22260"/>
    <w:rsid w:val="36D36DF1"/>
    <w:rsid w:val="36D554E4"/>
    <w:rsid w:val="36D61F49"/>
    <w:rsid w:val="36D8249B"/>
    <w:rsid w:val="36D84407"/>
    <w:rsid w:val="36DA0180"/>
    <w:rsid w:val="36DD37CC"/>
    <w:rsid w:val="36E25286"/>
    <w:rsid w:val="36E763F9"/>
    <w:rsid w:val="36E83F1F"/>
    <w:rsid w:val="36E96615"/>
    <w:rsid w:val="36EE25F7"/>
    <w:rsid w:val="36EE3C2B"/>
    <w:rsid w:val="36EE59D9"/>
    <w:rsid w:val="36EE68F2"/>
    <w:rsid w:val="36EF64F8"/>
    <w:rsid w:val="36F154C9"/>
    <w:rsid w:val="36F25F0A"/>
    <w:rsid w:val="36F6488E"/>
    <w:rsid w:val="36F761D4"/>
    <w:rsid w:val="36F823B4"/>
    <w:rsid w:val="36FA25D0"/>
    <w:rsid w:val="36FC32F9"/>
    <w:rsid w:val="36FF3742"/>
    <w:rsid w:val="37052D23"/>
    <w:rsid w:val="370E607B"/>
    <w:rsid w:val="371B2546"/>
    <w:rsid w:val="371C142E"/>
    <w:rsid w:val="37206516"/>
    <w:rsid w:val="3724764D"/>
    <w:rsid w:val="37250C2A"/>
    <w:rsid w:val="372A42BA"/>
    <w:rsid w:val="37405B09"/>
    <w:rsid w:val="37425D25"/>
    <w:rsid w:val="37497117"/>
    <w:rsid w:val="374B2E2B"/>
    <w:rsid w:val="375515B4"/>
    <w:rsid w:val="375872F6"/>
    <w:rsid w:val="37623CD1"/>
    <w:rsid w:val="37643EED"/>
    <w:rsid w:val="37645303"/>
    <w:rsid w:val="376A0136"/>
    <w:rsid w:val="376B43EE"/>
    <w:rsid w:val="376C483A"/>
    <w:rsid w:val="37700019"/>
    <w:rsid w:val="377040EF"/>
    <w:rsid w:val="37781747"/>
    <w:rsid w:val="377B5CA9"/>
    <w:rsid w:val="37864ACB"/>
    <w:rsid w:val="378B76CC"/>
    <w:rsid w:val="379876F3"/>
    <w:rsid w:val="37991DE9"/>
    <w:rsid w:val="379C71E3"/>
    <w:rsid w:val="37A60062"/>
    <w:rsid w:val="37A733C3"/>
    <w:rsid w:val="37A75B88"/>
    <w:rsid w:val="37AB3C68"/>
    <w:rsid w:val="37AE5A9A"/>
    <w:rsid w:val="37AE5E43"/>
    <w:rsid w:val="37C329C2"/>
    <w:rsid w:val="37C404E8"/>
    <w:rsid w:val="37CB5D1A"/>
    <w:rsid w:val="37CF580A"/>
    <w:rsid w:val="37DC7F27"/>
    <w:rsid w:val="37E24D57"/>
    <w:rsid w:val="37E50AE3"/>
    <w:rsid w:val="37EB265B"/>
    <w:rsid w:val="37EC6D92"/>
    <w:rsid w:val="37EE37B7"/>
    <w:rsid w:val="37EF7C5B"/>
    <w:rsid w:val="37F4701F"/>
    <w:rsid w:val="37F64DA1"/>
    <w:rsid w:val="37F708BD"/>
    <w:rsid w:val="37F914CC"/>
    <w:rsid w:val="37F963E3"/>
    <w:rsid w:val="37FC2378"/>
    <w:rsid w:val="38033706"/>
    <w:rsid w:val="380B4369"/>
    <w:rsid w:val="380B6117"/>
    <w:rsid w:val="381274A5"/>
    <w:rsid w:val="381476C1"/>
    <w:rsid w:val="381551E7"/>
    <w:rsid w:val="381761BF"/>
    <w:rsid w:val="38196874"/>
    <w:rsid w:val="381C196C"/>
    <w:rsid w:val="381D460F"/>
    <w:rsid w:val="3821761E"/>
    <w:rsid w:val="382275F5"/>
    <w:rsid w:val="382471D8"/>
    <w:rsid w:val="382611A3"/>
    <w:rsid w:val="382673F4"/>
    <w:rsid w:val="38305B7D"/>
    <w:rsid w:val="38341A0A"/>
    <w:rsid w:val="38376F0C"/>
    <w:rsid w:val="383B2EA0"/>
    <w:rsid w:val="38412A0D"/>
    <w:rsid w:val="3846678E"/>
    <w:rsid w:val="38470D39"/>
    <w:rsid w:val="384F054C"/>
    <w:rsid w:val="385201EA"/>
    <w:rsid w:val="385B0E4C"/>
    <w:rsid w:val="38613F89"/>
    <w:rsid w:val="38683569"/>
    <w:rsid w:val="386A108F"/>
    <w:rsid w:val="386D5023"/>
    <w:rsid w:val="3873136E"/>
    <w:rsid w:val="38741F0E"/>
    <w:rsid w:val="387939C8"/>
    <w:rsid w:val="38797524"/>
    <w:rsid w:val="387B329C"/>
    <w:rsid w:val="387C422D"/>
    <w:rsid w:val="387F260F"/>
    <w:rsid w:val="38853712"/>
    <w:rsid w:val="388F6D48"/>
    <w:rsid w:val="38910D12"/>
    <w:rsid w:val="38925A62"/>
    <w:rsid w:val="3893537C"/>
    <w:rsid w:val="389B56ED"/>
    <w:rsid w:val="389E2F30"/>
    <w:rsid w:val="38A30A45"/>
    <w:rsid w:val="38A345A1"/>
    <w:rsid w:val="38A45557"/>
    <w:rsid w:val="38A856BD"/>
    <w:rsid w:val="38AF1304"/>
    <w:rsid w:val="38B30C88"/>
    <w:rsid w:val="38B60DFD"/>
    <w:rsid w:val="38B642D4"/>
    <w:rsid w:val="38B90269"/>
    <w:rsid w:val="38C033A5"/>
    <w:rsid w:val="38C064F5"/>
    <w:rsid w:val="38C23065"/>
    <w:rsid w:val="38C23DE9"/>
    <w:rsid w:val="38C8070F"/>
    <w:rsid w:val="38D155B2"/>
    <w:rsid w:val="38D5008E"/>
    <w:rsid w:val="38D62BC9"/>
    <w:rsid w:val="38DF7CCF"/>
    <w:rsid w:val="38E45B52"/>
    <w:rsid w:val="38EA6674"/>
    <w:rsid w:val="38EA70EE"/>
    <w:rsid w:val="38EC5F48"/>
    <w:rsid w:val="38ED0809"/>
    <w:rsid w:val="38EE0F44"/>
    <w:rsid w:val="38EE2E57"/>
    <w:rsid w:val="38F02E41"/>
    <w:rsid w:val="38F26BA3"/>
    <w:rsid w:val="38F60B75"/>
    <w:rsid w:val="38F7345D"/>
    <w:rsid w:val="38FE7A29"/>
    <w:rsid w:val="39026490"/>
    <w:rsid w:val="39047736"/>
    <w:rsid w:val="3905525C"/>
    <w:rsid w:val="391B4A8D"/>
    <w:rsid w:val="392505F0"/>
    <w:rsid w:val="3925145A"/>
    <w:rsid w:val="392A5822"/>
    <w:rsid w:val="392C27E9"/>
    <w:rsid w:val="392C624A"/>
    <w:rsid w:val="393459D4"/>
    <w:rsid w:val="39396CB4"/>
    <w:rsid w:val="393D0552"/>
    <w:rsid w:val="393E3FC7"/>
    <w:rsid w:val="394144E6"/>
    <w:rsid w:val="39445D84"/>
    <w:rsid w:val="39447B32"/>
    <w:rsid w:val="39461AFC"/>
    <w:rsid w:val="394C4C39"/>
    <w:rsid w:val="394E275F"/>
    <w:rsid w:val="39554B96"/>
    <w:rsid w:val="39581830"/>
    <w:rsid w:val="395C28CE"/>
    <w:rsid w:val="396226AE"/>
    <w:rsid w:val="39797740"/>
    <w:rsid w:val="397C3770"/>
    <w:rsid w:val="397F11FB"/>
    <w:rsid w:val="398443D3"/>
    <w:rsid w:val="3986014B"/>
    <w:rsid w:val="39882115"/>
    <w:rsid w:val="398F0CF0"/>
    <w:rsid w:val="399061A6"/>
    <w:rsid w:val="39932868"/>
    <w:rsid w:val="399A1E48"/>
    <w:rsid w:val="399D36E6"/>
    <w:rsid w:val="39A14F85"/>
    <w:rsid w:val="39AC65F0"/>
    <w:rsid w:val="39AE22E3"/>
    <w:rsid w:val="39AE31FE"/>
    <w:rsid w:val="39B20F40"/>
    <w:rsid w:val="39BB687D"/>
    <w:rsid w:val="39C26CA9"/>
    <w:rsid w:val="39C42A21"/>
    <w:rsid w:val="39CE1AF2"/>
    <w:rsid w:val="39CE38A0"/>
    <w:rsid w:val="39CE564E"/>
    <w:rsid w:val="39D92970"/>
    <w:rsid w:val="39DF785B"/>
    <w:rsid w:val="39E135D3"/>
    <w:rsid w:val="39E16F9D"/>
    <w:rsid w:val="39E37CBB"/>
    <w:rsid w:val="39E7154B"/>
    <w:rsid w:val="39E91FA4"/>
    <w:rsid w:val="39EB371B"/>
    <w:rsid w:val="39ED4E59"/>
    <w:rsid w:val="39F01A68"/>
    <w:rsid w:val="39F23A32"/>
    <w:rsid w:val="39F41558"/>
    <w:rsid w:val="39F813A9"/>
    <w:rsid w:val="3A00614F"/>
    <w:rsid w:val="3A083907"/>
    <w:rsid w:val="3A0A0C34"/>
    <w:rsid w:val="3A0B4AF4"/>
    <w:rsid w:val="3A0C6165"/>
    <w:rsid w:val="3A0D75B5"/>
    <w:rsid w:val="3A116850"/>
    <w:rsid w:val="3A121F97"/>
    <w:rsid w:val="3A12378C"/>
    <w:rsid w:val="3A125D09"/>
    <w:rsid w:val="3A1A6AE5"/>
    <w:rsid w:val="3A2046B4"/>
    <w:rsid w:val="3A2E5B86"/>
    <w:rsid w:val="3A313827"/>
    <w:rsid w:val="3A31501D"/>
    <w:rsid w:val="3A36595B"/>
    <w:rsid w:val="3A40479E"/>
    <w:rsid w:val="3A451DB4"/>
    <w:rsid w:val="3A4A6127"/>
    <w:rsid w:val="3A4C5391"/>
    <w:rsid w:val="3A4D0C68"/>
    <w:rsid w:val="3A4D68B5"/>
    <w:rsid w:val="3A5244D1"/>
    <w:rsid w:val="3A541BA5"/>
    <w:rsid w:val="3A555D6F"/>
    <w:rsid w:val="3A5A5133"/>
    <w:rsid w:val="3A5A6CF0"/>
    <w:rsid w:val="3A5B4645"/>
    <w:rsid w:val="3A5F274A"/>
    <w:rsid w:val="3A6164C2"/>
    <w:rsid w:val="3A622985"/>
    <w:rsid w:val="3A6A6623"/>
    <w:rsid w:val="3A707DE1"/>
    <w:rsid w:val="3A746053"/>
    <w:rsid w:val="3A777CB4"/>
    <w:rsid w:val="3A7E7074"/>
    <w:rsid w:val="3A840299"/>
    <w:rsid w:val="3A851BA7"/>
    <w:rsid w:val="3A8829E6"/>
    <w:rsid w:val="3A886145"/>
    <w:rsid w:val="3A8D375B"/>
    <w:rsid w:val="3A8D5509"/>
    <w:rsid w:val="3A9177EB"/>
    <w:rsid w:val="3A9248CD"/>
    <w:rsid w:val="3A95616C"/>
    <w:rsid w:val="3A9B6609"/>
    <w:rsid w:val="3A9E14C4"/>
    <w:rsid w:val="3AA06FEA"/>
    <w:rsid w:val="3AA27206"/>
    <w:rsid w:val="3AA34D2C"/>
    <w:rsid w:val="3AA60379"/>
    <w:rsid w:val="3AAA1667"/>
    <w:rsid w:val="3AAA7E69"/>
    <w:rsid w:val="3AAD5BAB"/>
    <w:rsid w:val="3AAE1DC9"/>
    <w:rsid w:val="3AB111F7"/>
    <w:rsid w:val="3AB25844"/>
    <w:rsid w:val="3AB26F67"/>
    <w:rsid w:val="3AB74BE6"/>
    <w:rsid w:val="3ABC180E"/>
    <w:rsid w:val="3ABE3914"/>
    <w:rsid w:val="3ABF38D9"/>
    <w:rsid w:val="3ABF5D0E"/>
    <w:rsid w:val="3AC058DE"/>
    <w:rsid w:val="3AC32CD9"/>
    <w:rsid w:val="3AC70A1B"/>
    <w:rsid w:val="3ACE259D"/>
    <w:rsid w:val="3AD1189A"/>
    <w:rsid w:val="3AD51F71"/>
    <w:rsid w:val="3AD5233C"/>
    <w:rsid w:val="3AD7704B"/>
    <w:rsid w:val="3AE129F5"/>
    <w:rsid w:val="3AE25855"/>
    <w:rsid w:val="3AE2668F"/>
    <w:rsid w:val="3AE46947"/>
    <w:rsid w:val="3AE76232"/>
    <w:rsid w:val="3AE815F1"/>
    <w:rsid w:val="3AEC5559"/>
    <w:rsid w:val="3AED7D56"/>
    <w:rsid w:val="3AEF3EFE"/>
    <w:rsid w:val="3AFE1F63"/>
    <w:rsid w:val="3B031466"/>
    <w:rsid w:val="3B052ACD"/>
    <w:rsid w:val="3B0532F1"/>
    <w:rsid w:val="3B084E04"/>
    <w:rsid w:val="3B0A7DDE"/>
    <w:rsid w:val="3B143534"/>
    <w:rsid w:val="3B193AD7"/>
    <w:rsid w:val="3B1E43B3"/>
    <w:rsid w:val="3B283760"/>
    <w:rsid w:val="3B293484"/>
    <w:rsid w:val="3B2C087E"/>
    <w:rsid w:val="3B304812"/>
    <w:rsid w:val="3B334302"/>
    <w:rsid w:val="3B377CBC"/>
    <w:rsid w:val="3B3815CE"/>
    <w:rsid w:val="3B385475"/>
    <w:rsid w:val="3B3C2DB9"/>
    <w:rsid w:val="3B3E7727"/>
    <w:rsid w:val="3B462B12"/>
    <w:rsid w:val="3B4915A1"/>
    <w:rsid w:val="3B4921F4"/>
    <w:rsid w:val="3B4A6B62"/>
    <w:rsid w:val="3B4A7D63"/>
    <w:rsid w:val="3B4C2CCE"/>
    <w:rsid w:val="3B4E2EEA"/>
    <w:rsid w:val="3B507A1F"/>
    <w:rsid w:val="3B547DD5"/>
    <w:rsid w:val="3B5B73B5"/>
    <w:rsid w:val="3B5D4473"/>
    <w:rsid w:val="3B5E2A01"/>
    <w:rsid w:val="3B5F0B13"/>
    <w:rsid w:val="3B6049CB"/>
    <w:rsid w:val="3B621188"/>
    <w:rsid w:val="3B6466A4"/>
    <w:rsid w:val="3B651FE2"/>
    <w:rsid w:val="3B742225"/>
    <w:rsid w:val="3B750477"/>
    <w:rsid w:val="3B7566C9"/>
    <w:rsid w:val="3B762441"/>
    <w:rsid w:val="3B785001"/>
    <w:rsid w:val="3B7D732B"/>
    <w:rsid w:val="3B855FEA"/>
    <w:rsid w:val="3B8763FC"/>
    <w:rsid w:val="3B8F0F40"/>
    <w:rsid w:val="3B9005FC"/>
    <w:rsid w:val="3B902ED6"/>
    <w:rsid w:val="3B934DA1"/>
    <w:rsid w:val="3B950B19"/>
    <w:rsid w:val="3BA13299"/>
    <w:rsid w:val="3BA66882"/>
    <w:rsid w:val="3BA743A8"/>
    <w:rsid w:val="3BAF3513"/>
    <w:rsid w:val="3BB0325D"/>
    <w:rsid w:val="3BB24A56"/>
    <w:rsid w:val="3BB708EE"/>
    <w:rsid w:val="3BB80364"/>
    <w:rsid w:val="3BBC7873"/>
    <w:rsid w:val="3BBD73DD"/>
    <w:rsid w:val="3BBF7944"/>
    <w:rsid w:val="3BC66F24"/>
    <w:rsid w:val="3BC82C9D"/>
    <w:rsid w:val="3BC90EB9"/>
    <w:rsid w:val="3BC9431F"/>
    <w:rsid w:val="3BCC150F"/>
    <w:rsid w:val="3BD03EE9"/>
    <w:rsid w:val="3BD72EE0"/>
    <w:rsid w:val="3BDC04F6"/>
    <w:rsid w:val="3BDD03AD"/>
    <w:rsid w:val="3BDF7FE6"/>
    <w:rsid w:val="3BE93D62"/>
    <w:rsid w:val="3BEB2DB1"/>
    <w:rsid w:val="3BEB698B"/>
    <w:rsid w:val="3BEE1FD7"/>
    <w:rsid w:val="3BF35840"/>
    <w:rsid w:val="3BF400B5"/>
    <w:rsid w:val="3BF515B8"/>
    <w:rsid w:val="3BF70E8C"/>
    <w:rsid w:val="3BF82E56"/>
    <w:rsid w:val="3BFE0B8D"/>
    <w:rsid w:val="3C03136A"/>
    <w:rsid w:val="3C067321"/>
    <w:rsid w:val="3C081B11"/>
    <w:rsid w:val="3C0D4B53"/>
    <w:rsid w:val="3C1001A0"/>
    <w:rsid w:val="3C10408D"/>
    <w:rsid w:val="3C1063F2"/>
    <w:rsid w:val="3C12185C"/>
    <w:rsid w:val="3C213B76"/>
    <w:rsid w:val="3C2546BE"/>
    <w:rsid w:val="3C265C15"/>
    <w:rsid w:val="3C2725F2"/>
    <w:rsid w:val="3C387F9D"/>
    <w:rsid w:val="3C3A6FCB"/>
    <w:rsid w:val="3C3C072D"/>
    <w:rsid w:val="3C430575"/>
    <w:rsid w:val="3C44609B"/>
    <w:rsid w:val="3C45635F"/>
    <w:rsid w:val="3C474D16"/>
    <w:rsid w:val="3C49299E"/>
    <w:rsid w:val="3C495460"/>
    <w:rsid w:val="3C4B24C9"/>
    <w:rsid w:val="3C4C37DF"/>
    <w:rsid w:val="3C4D6CFE"/>
    <w:rsid w:val="3C4E0CC8"/>
    <w:rsid w:val="3C5067EE"/>
    <w:rsid w:val="3C574020"/>
    <w:rsid w:val="3C5A5481"/>
    <w:rsid w:val="3C5E3E3A"/>
    <w:rsid w:val="3C5F6A31"/>
    <w:rsid w:val="3C623D29"/>
    <w:rsid w:val="3C65673D"/>
    <w:rsid w:val="3C6A1BC9"/>
    <w:rsid w:val="3C6B187A"/>
    <w:rsid w:val="3C6D2465"/>
    <w:rsid w:val="3C6E13B6"/>
    <w:rsid w:val="3C6F136A"/>
    <w:rsid w:val="3C7050E2"/>
    <w:rsid w:val="3C753428"/>
    <w:rsid w:val="3C771FCD"/>
    <w:rsid w:val="3C7A1A6C"/>
    <w:rsid w:val="3C7C5835"/>
    <w:rsid w:val="3C7F5AE1"/>
    <w:rsid w:val="3C832FCA"/>
    <w:rsid w:val="3C8478FF"/>
    <w:rsid w:val="3C85293C"/>
    <w:rsid w:val="3C8570F8"/>
    <w:rsid w:val="3C89198F"/>
    <w:rsid w:val="3C8A7F52"/>
    <w:rsid w:val="3C8B5A78"/>
    <w:rsid w:val="3C90308E"/>
    <w:rsid w:val="3C9568F7"/>
    <w:rsid w:val="3C9708C1"/>
    <w:rsid w:val="3C9A5E59"/>
    <w:rsid w:val="3C9C593A"/>
    <w:rsid w:val="3C9D1312"/>
    <w:rsid w:val="3CA60B04"/>
    <w:rsid w:val="3CAA05F4"/>
    <w:rsid w:val="3CAD1E92"/>
    <w:rsid w:val="3CAE2A0D"/>
    <w:rsid w:val="3CAF36AA"/>
    <w:rsid w:val="3CB06D8D"/>
    <w:rsid w:val="3CB7397C"/>
    <w:rsid w:val="3CB76BD4"/>
    <w:rsid w:val="3CB90837"/>
    <w:rsid w:val="3CBD6593"/>
    <w:rsid w:val="3CC35212"/>
    <w:rsid w:val="3CC80A7A"/>
    <w:rsid w:val="3CCA034E"/>
    <w:rsid w:val="3CCA52AC"/>
    <w:rsid w:val="3CCA65A0"/>
    <w:rsid w:val="3CCF59FC"/>
    <w:rsid w:val="3CD1792F"/>
    <w:rsid w:val="3CD45671"/>
    <w:rsid w:val="3CDE204C"/>
    <w:rsid w:val="3CDF0448"/>
    <w:rsid w:val="3CE02894"/>
    <w:rsid w:val="3CE50B18"/>
    <w:rsid w:val="3CE533DA"/>
    <w:rsid w:val="3CEE2AEC"/>
    <w:rsid w:val="3CF36D97"/>
    <w:rsid w:val="3CF4361D"/>
    <w:rsid w:val="3CF735D4"/>
    <w:rsid w:val="3CF8238F"/>
    <w:rsid w:val="3CF90C34"/>
    <w:rsid w:val="3CF96E86"/>
    <w:rsid w:val="3CFD6976"/>
    <w:rsid w:val="3CFE624A"/>
    <w:rsid w:val="3D023F8C"/>
    <w:rsid w:val="3D0D2931"/>
    <w:rsid w:val="3D1617E6"/>
    <w:rsid w:val="3D1B2745"/>
    <w:rsid w:val="3D203944"/>
    <w:rsid w:val="3D204412"/>
    <w:rsid w:val="3D22462E"/>
    <w:rsid w:val="3D24777C"/>
    <w:rsid w:val="3D2757A1"/>
    <w:rsid w:val="3D2D6A37"/>
    <w:rsid w:val="3D2E4D81"/>
    <w:rsid w:val="3D3463AE"/>
    <w:rsid w:val="3D347629"/>
    <w:rsid w:val="3D3D3216"/>
    <w:rsid w:val="3D3D4FC4"/>
    <w:rsid w:val="3D3F2FC4"/>
    <w:rsid w:val="3D3F6F8E"/>
    <w:rsid w:val="3D425FA0"/>
    <w:rsid w:val="3D4C3459"/>
    <w:rsid w:val="3D4F2F4A"/>
    <w:rsid w:val="3D556D86"/>
    <w:rsid w:val="3D566086"/>
    <w:rsid w:val="3D580050"/>
    <w:rsid w:val="3D584EA1"/>
    <w:rsid w:val="3D5F318D"/>
    <w:rsid w:val="3D5F57B1"/>
    <w:rsid w:val="3D6407A3"/>
    <w:rsid w:val="3D6562C9"/>
    <w:rsid w:val="3D6A0A80"/>
    <w:rsid w:val="3D6A1B31"/>
    <w:rsid w:val="3D70539A"/>
    <w:rsid w:val="3D714C6E"/>
    <w:rsid w:val="3D7E017B"/>
    <w:rsid w:val="3D845004"/>
    <w:rsid w:val="3D856F7C"/>
    <w:rsid w:val="3D8632D9"/>
    <w:rsid w:val="3D87623F"/>
    <w:rsid w:val="3D956BAE"/>
    <w:rsid w:val="3D9B7F3D"/>
    <w:rsid w:val="3D9F17DB"/>
    <w:rsid w:val="3DA27428"/>
    <w:rsid w:val="3DAE1445"/>
    <w:rsid w:val="3DB01C3A"/>
    <w:rsid w:val="3DB64D77"/>
    <w:rsid w:val="3DB64D8C"/>
    <w:rsid w:val="3DB66B25"/>
    <w:rsid w:val="3DB83E0F"/>
    <w:rsid w:val="3DBB16EB"/>
    <w:rsid w:val="3DBB238D"/>
    <w:rsid w:val="3DBD4357"/>
    <w:rsid w:val="3DC546AF"/>
    <w:rsid w:val="3DC92CFC"/>
    <w:rsid w:val="3DCB10B9"/>
    <w:rsid w:val="3DCC00F6"/>
    <w:rsid w:val="3DD84001"/>
    <w:rsid w:val="3DDC17F2"/>
    <w:rsid w:val="3DE11DF4"/>
    <w:rsid w:val="3DE43692"/>
    <w:rsid w:val="3DEB4A20"/>
    <w:rsid w:val="3DEE62BF"/>
    <w:rsid w:val="3DEF111E"/>
    <w:rsid w:val="3DF02EBD"/>
    <w:rsid w:val="3DF24001"/>
    <w:rsid w:val="3DF53EC5"/>
    <w:rsid w:val="3DF5589F"/>
    <w:rsid w:val="3DF633C5"/>
    <w:rsid w:val="3DFE7853"/>
    <w:rsid w:val="3E026BF0"/>
    <w:rsid w:val="3E127363"/>
    <w:rsid w:val="3E177744"/>
    <w:rsid w:val="3E1877DF"/>
    <w:rsid w:val="3E27527B"/>
    <w:rsid w:val="3E29730F"/>
    <w:rsid w:val="3E2B2017"/>
    <w:rsid w:val="3E2C6DE7"/>
    <w:rsid w:val="3E2D1566"/>
    <w:rsid w:val="3E2D328B"/>
    <w:rsid w:val="3E2E0BF1"/>
    <w:rsid w:val="3E302DB7"/>
    <w:rsid w:val="3E323356"/>
    <w:rsid w:val="3E342BCE"/>
    <w:rsid w:val="3E351847"/>
    <w:rsid w:val="3E364DC3"/>
    <w:rsid w:val="3E3A7756"/>
    <w:rsid w:val="3E3F6225"/>
    <w:rsid w:val="3E3F6B1A"/>
    <w:rsid w:val="3E410AE4"/>
    <w:rsid w:val="3E412892"/>
    <w:rsid w:val="3E442382"/>
    <w:rsid w:val="3E46434D"/>
    <w:rsid w:val="3E5D51F2"/>
    <w:rsid w:val="3E6812C5"/>
    <w:rsid w:val="3E6C7A46"/>
    <w:rsid w:val="3E733501"/>
    <w:rsid w:val="3E7C1B1C"/>
    <w:rsid w:val="3E8A248B"/>
    <w:rsid w:val="3E8D1F7B"/>
    <w:rsid w:val="3E8F1850"/>
    <w:rsid w:val="3E9230EE"/>
    <w:rsid w:val="3E9275F9"/>
    <w:rsid w:val="3E94330A"/>
    <w:rsid w:val="3E9450B8"/>
    <w:rsid w:val="3E9572FA"/>
    <w:rsid w:val="3E9A1ED7"/>
    <w:rsid w:val="3EA13331"/>
    <w:rsid w:val="3EA23AC2"/>
    <w:rsid w:val="3EA3328C"/>
    <w:rsid w:val="3EA80B63"/>
    <w:rsid w:val="3EAB0654"/>
    <w:rsid w:val="3EAC15CA"/>
    <w:rsid w:val="3EAD5DA8"/>
    <w:rsid w:val="3EB150A5"/>
    <w:rsid w:val="3EB219E2"/>
    <w:rsid w:val="3EB968CD"/>
    <w:rsid w:val="3EC15D4E"/>
    <w:rsid w:val="3EC86B10"/>
    <w:rsid w:val="3ECA6D2C"/>
    <w:rsid w:val="3ECF60F0"/>
    <w:rsid w:val="3ED420B9"/>
    <w:rsid w:val="3EDA654A"/>
    <w:rsid w:val="3EDE747D"/>
    <w:rsid w:val="3EE576C2"/>
    <w:rsid w:val="3EE9488B"/>
    <w:rsid w:val="3EEA4CD8"/>
    <w:rsid w:val="3EF43DA9"/>
    <w:rsid w:val="3EF5712F"/>
    <w:rsid w:val="3EFA44B1"/>
    <w:rsid w:val="3F0044FB"/>
    <w:rsid w:val="3F073ADC"/>
    <w:rsid w:val="3F0A35CC"/>
    <w:rsid w:val="3F0C10F2"/>
    <w:rsid w:val="3F0D1621"/>
    <w:rsid w:val="3F0F2990"/>
    <w:rsid w:val="3F141D55"/>
    <w:rsid w:val="3F145B5D"/>
    <w:rsid w:val="3F177A97"/>
    <w:rsid w:val="3F1B4619"/>
    <w:rsid w:val="3F245D0B"/>
    <w:rsid w:val="3F2521B4"/>
    <w:rsid w:val="3F2A77CA"/>
    <w:rsid w:val="3F3146B5"/>
    <w:rsid w:val="3F3643C1"/>
    <w:rsid w:val="3F366666"/>
    <w:rsid w:val="3F452308"/>
    <w:rsid w:val="3F4563B2"/>
    <w:rsid w:val="3F4B503E"/>
    <w:rsid w:val="3F4D34B9"/>
    <w:rsid w:val="3F52287D"/>
    <w:rsid w:val="3F542A99"/>
    <w:rsid w:val="3F56236D"/>
    <w:rsid w:val="3F5F2807"/>
    <w:rsid w:val="3F602422"/>
    <w:rsid w:val="3F632CDC"/>
    <w:rsid w:val="3F632E87"/>
    <w:rsid w:val="3F636838"/>
    <w:rsid w:val="3F663E5C"/>
    <w:rsid w:val="3F6902F3"/>
    <w:rsid w:val="3F7668E9"/>
    <w:rsid w:val="3F7950FC"/>
    <w:rsid w:val="3F7A387C"/>
    <w:rsid w:val="3F850EA5"/>
    <w:rsid w:val="3F8A64BB"/>
    <w:rsid w:val="3F941E72"/>
    <w:rsid w:val="3F950FCD"/>
    <w:rsid w:val="3F964E60"/>
    <w:rsid w:val="3F9B2476"/>
    <w:rsid w:val="3F9D1D4A"/>
    <w:rsid w:val="3FA07A8C"/>
    <w:rsid w:val="3FA4132B"/>
    <w:rsid w:val="3FA53964"/>
    <w:rsid w:val="3FA56E51"/>
    <w:rsid w:val="3FAA4D9C"/>
    <w:rsid w:val="3FAF1C5C"/>
    <w:rsid w:val="3FB928FC"/>
    <w:rsid w:val="3FBE7100"/>
    <w:rsid w:val="3FC76DC7"/>
    <w:rsid w:val="3FCC262F"/>
    <w:rsid w:val="3FE67B95"/>
    <w:rsid w:val="3FE72BA4"/>
    <w:rsid w:val="3FE86DCF"/>
    <w:rsid w:val="3FED589E"/>
    <w:rsid w:val="3FF1653A"/>
    <w:rsid w:val="3FF35E0E"/>
    <w:rsid w:val="3FF468EF"/>
    <w:rsid w:val="3FFB4CC3"/>
    <w:rsid w:val="3FFD4545"/>
    <w:rsid w:val="3FFE2572"/>
    <w:rsid w:val="4001677D"/>
    <w:rsid w:val="4004626D"/>
    <w:rsid w:val="40047B03"/>
    <w:rsid w:val="400845AA"/>
    <w:rsid w:val="400A3C0B"/>
    <w:rsid w:val="400B26AD"/>
    <w:rsid w:val="400C04C9"/>
    <w:rsid w:val="400E49F6"/>
    <w:rsid w:val="4010564F"/>
    <w:rsid w:val="40111873"/>
    <w:rsid w:val="40153FD6"/>
    <w:rsid w:val="401C5365"/>
    <w:rsid w:val="401D5FC7"/>
    <w:rsid w:val="401E74F7"/>
    <w:rsid w:val="401F09B1"/>
    <w:rsid w:val="401F6C03"/>
    <w:rsid w:val="402204A1"/>
    <w:rsid w:val="402E32EA"/>
    <w:rsid w:val="40330D48"/>
    <w:rsid w:val="4033445D"/>
    <w:rsid w:val="40347A58"/>
    <w:rsid w:val="40354679"/>
    <w:rsid w:val="403A1C8F"/>
    <w:rsid w:val="403D7546"/>
    <w:rsid w:val="403F2E01"/>
    <w:rsid w:val="403F72A5"/>
    <w:rsid w:val="40443FD0"/>
    <w:rsid w:val="404843AC"/>
    <w:rsid w:val="404B17A6"/>
    <w:rsid w:val="404B3E9C"/>
    <w:rsid w:val="404B47FE"/>
    <w:rsid w:val="404D19C2"/>
    <w:rsid w:val="404E573A"/>
    <w:rsid w:val="40556AC9"/>
    <w:rsid w:val="405C6D2C"/>
    <w:rsid w:val="405F5EB3"/>
    <w:rsid w:val="40610FCA"/>
    <w:rsid w:val="406665E0"/>
    <w:rsid w:val="406960D0"/>
    <w:rsid w:val="40705AA7"/>
    <w:rsid w:val="407231D7"/>
    <w:rsid w:val="40732D89"/>
    <w:rsid w:val="40784565"/>
    <w:rsid w:val="408353E4"/>
    <w:rsid w:val="408847A8"/>
    <w:rsid w:val="408A1793"/>
    <w:rsid w:val="408D1DBF"/>
    <w:rsid w:val="408E1CA8"/>
    <w:rsid w:val="408F1FDB"/>
    <w:rsid w:val="40936A4E"/>
    <w:rsid w:val="40953369"/>
    <w:rsid w:val="40956EC5"/>
    <w:rsid w:val="409A3C2B"/>
    <w:rsid w:val="40A435AC"/>
    <w:rsid w:val="40A86BF9"/>
    <w:rsid w:val="40AF442B"/>
    <w:rsid w:val="40B41A41"/>
    <w:rsid w:val="40BA192C"/>
    <w:rsid w:val="40BA6BEE"/>
    <w:rsid w:val="40BB2DD0"/>
    <w:rsid w:val="40CE6837"/>
    <w:rsid w:val="40D43E92"/>
    <w:rsid w:val="40D55514"/>
    <w:rsid w:val="40D573F0"/>
    <w:rsid w:val="40D66E70"/>
    <w:rsid w:val="40DB74F8"/>
    <w:rsid w:val="40E1210B"/>
    <w:rsid w:val="40E165AE"/>
    <w:rsid w:val="40EA4C18"/>
    <w:rsid w:val="40EB3BDA"/>
    <w:rsid w:val="40FD6565"/>
    <w:rsid w:val="40FF07E3"/>
    <w:rsid w:val="41001A84"/>
    <w:rsid w:val="41004C87"/>
    <w:rsid w:val="41012C6F"/>
    <w:rsid w:val="4105229D"/>
    <w:rsid w:val="4105404B"/>
    <w:rsid w:val="410C362B"/>
    <w:rsid w:val="41124074"/>
    <w:rsid w:val="4115599F"/>
    <w:rsid w:val="41205624"/>
    <w:rsid w:val="412F2E76"/>
    <w:rsid w:val="4134048C"/>
    <w:rsid w:val="41364A0D"/>
    <w:rsid w:val="413D4DB1"/>
    <w:rsid w:val="413E2100"/>
    <w:rsid w:val="41452208"/>
    <w:rsid w:val="41452699"/>
    <w:rsid w:val="414C3A28"/>
    <w:rsid w:val="414F4CC6"/>
    <w:rsid w:val="414F52C6"/>
    <w:rsid w:val="41532E15"/>
    <w:rsid w:val="41597559"/>
    <w:rsid w:val="415B010F"/>
    <w:rsid w:val="415C79E3"/>
    <w:rsid w:val="415D5C35"/>
    <w:rsid w:val="415F1EBC"/>
    <w:rsid w:val="416045C6"/>
    <w:rsid w:val="4162149D"/>
    <w:rsid w:val="416219AA"/>
    <w:rsid w:val="4170331F"/>
    <w:rsid w:val="41732A9B"/>
    <w:rsid w:val="417608CD"/>
    <w:rsid w:val="41760AA5"/>
    <w:rsid w:val="417E3DFD"/>
    <w:rsid w:val="41853590"/>
    <w:rsid w:val="41874618"/>
    <w:rsid w:val="41894C7C"/>
    <w:rsid w:val="41931657"/>
    <w:rsid w:val="419A4180"/>
    <w:rsid w:val="419D27EA"/>
    <w:rsid w:val="419E624E"/>
    <w:rsid w:val="41A52AC7"/>
    <w:rsid w:val="41A73354"/>
    <w:rsid w:val="41AA69A0"/>
    <w:rsid w:val="41B35D08"/>
    <w:rsid w:val="41B9720D"/>
    <w:rsid w:val="41BB6E00"/>
    <w:rsid w:val="41C32EC2"/>
    <w:rsid w:val="41C55588"/>
    <w:rsid w:val="41C757A4"/>
    <w:rsid w:val="41CD18C8"/>
    <w:rsid w:val="41D54C83"/>
    <w:rsid w:val="41D57EC1"/>
    <w:rsid w:val="41DA5F10"/>
    <w:rsid w:val="41DB4DAC"/>
    <w:rsid w:val="41DD0320"/>
    <w:rsid w:val="41E06866"/>
    <w:rsid w:val="41E63CA0"/>
    <w:rsid w:val="41EC520B"/>
    <w:rsid w:val="41F63994"/>
    <w:rsid w:val="41FB1123"/>
    <w:rsid w:val="420036A0"/>
    <w:rsid w:val="420C7BAA"/>
    <w:rsid w:val="420D017C"/>
    <w:rsid w:val="420D3906"/>
    <w:rsid w:val="420E5181"/>
    <w:rsid w:val="420F4A55"/>
    <w:rsid w:val="420F6057"/>
    <w:rsid w:val="42114C71"/>
    <w:rsid w:val="421337CD"/>
    <w:rsid w:val="421A1D78"/>
    <w:rsid w:val="42245402"/>
    <w:rsid w:val="42277FF1"/>
    <w:rsid w:val="422C1AAB"/>
    <w:rsid w:val="422E5D60"/>
    <w:rsid w:val="423038C6"/>
    <w:rsid w:val="423544BC"/>
    <w:rsid w:val="42380FD0"/>
    <w:rsid w:val="42415557"/>
    <w:rsid w:val="42417305"/>
    <w:rsid w:val="4242646B"/>
    <w:rsid w:val="4245327A"/>
    <w:rsid w:val="42464DBD"/>
    <w:rsid w:val="42472441"/>
    <w:rsid w:val="425012F6"/>
    <w:rsid w:val="4251506E"/>
    <w:rsid w:val="42530184"/>
    <w:rsid w:val="42554B5E"/>
    <w:rsid w:val="42557FE6"/>
    <w:rsid w:val="42562684"/>
    <w:rsid w:val="4258404F"/>
    <w:rsid w:val="425D3A13"/>
    <w:rsid w:val="425F59DD"/>
    <w:rsid w:val="426577F0"/>
    <w:rsid w:val="42666D6B"/>
    <w:rsid w:val="426D1B9F"/>
    <w:rsid w:val="4280707D"/>
    <w:rsid w:val="42820D86"/>
    <w:rsid w:val="4283791D"/>
    <w:rsid w:val="42840F0D"/>
    <w:rsid w:val="42844669"/>
    <w:rsid w:val="42846E8E"/>
    <w:rsid w:val="42892A5A"/>
    <w:rsid w:val="42894808"/>
    <w:rsid w:val="42932922"/>
    <w:rsid w:val="42937435"/>
    <w:rsid w:val="429F227D"/>
    <w:rsid w:val="42A87384"/>
    <w:rsid w:val="42B235DE"/>
    <w:rsid w:val="42B71375"/>
    <w:rsid w:val="42B75819"/>
    <w:rsid w:val="42BE0955"/>
    <w:rsid w:val="42C73F08"/>
    <w:rsid w:val="42CB6BCE"/>
    <w:rsid w:val="42CE66BF"/>
    <w:rsid w:val="42D42037"/>
    <w:rsid w:val="42D91F1E"/>
    <w:rsid w:val="42DB7B18"/>
    <w:rsid w:val="42DD0401"/>
    <w:rsid w:val="42E3660E"/>
    <w:rsid w:val="42E45295"/>
    <w:rsid w:val="42E6653D"/>
    <w:rsid w:val="42E72443"/>
    <w:rsid w:val="42EB54C2"/>
    <w:rsid w:val="42EC00C3"/>
    <w:rsid w:val="42ED123B"/>
    <w:rsid w:val="42EE327C"/>
    <w:rsid w:val="42F44DB5"/>
    <w:rsid w:val="42F51E9D"/>
    <w:rsid w:val="42FB3958"/>
    <w:rsid w:val="42FB6FC1"/>
    <w:rsid w:val="42FB75B2"/>
    <w:rsid w:val="42FE0D10"/>
    <w:rsid w:val="42FE51F6"/>
    <w:rsid w:val="43000F6E"/>
    <w:rsid w:val="4303280C"/>
    <w:rsid w:val="43036368"/>
    <w:rsid w:val="431419BD"/>
    <w:rsid w:val="43147B68"/>
    <w:rsid w:val="431515CC"/>
    <w:rsid w:val="431762B8"/>
    <w:rsid w:val="43195E8D"/>
    <w:rsid w:val="431A7B56"/>
    <w:rsid w:val="432033BE"/>
    <w:rsid w:val="43212C92"/>
    <w:rsid w:val="432602A9"/>
    <w:rsid w:val="432F1EEE"/>
    <w:rsid w:val="432F3601"/>
    <w:rsid w:val="432F53AF"/>
    <w:rsid w:val="43362122"/>
    <w:rsid w:val="4337061D"/>
    <w:rsid w:val="43374264"/>
    <w:rsid w:val="43391907"/>
    <w:rsid w:val="433A1882"/>
    <w:rsid w:val="433B7B5B"/>
    <w:rsid w:val="433E55F2"/>
    <w:rsid w:val="43405568"/>
    <w:rsid w:val="43443B75"/>
    <w:rsid w:val="434626F9"/>
    <w:rsid w:val="434703D0"/>
    <w:rsid w:val="43495384"/>
    <w:rsid w:val="434B7D0F"/>
    <w:rsid w:val="434C6119"/>
    <w:rsid w:val="434F54F4"/>
    <w:rsid w:val="435749D6"/>
    <w:rsid w:val="435E3EE6"/>
    <w:rsid w:val="436332AB"/>
    <w:rsid w:val="43672D9B"/>
    <w:rsid w:val="436D237B"/>
    <w:rsid w:val="436F39FE"/>
    <w:rsid w:val="43754D8C"/>
    <w:rsid w:val="43770394"/>
    <w:rsid w:val="43772EC8"/>
    <w:rsid w:val="437C5721"/>
    <w:rsid w:val="437F4515"/>
    <w:rsid w:val="438751EB"/>
    <w:rsid w:val="43923040"/>
    <w:rsid w:val="43A276DC"/>
    <w:rsid w:val="43A318F9"/>
    <w:rsid w:val="43A35D9D"/>
    <w:rsid w:val="43A85162"/>
    <w:rsid w:val="43AA0802"/>
    <w:rsid w:val="43AE4585"/>
    <w:rsid w:val="43B14016"/>
    <w:rsid w:val="43B34631"/>
    <w:rsid w:val="43B81849"/>
    <w:rsid w:val="43BF2E79"/>
    <w:rsid w:val="43C24475"/>
    <w:rsid w:val="43C27FD1"/>
    <w:rsid w:val="43CD6976"/>
    <w:rsid w:val="43CF6B92"/>
    <w:rsid w:val="43DD12AF"/>
    <w:rsid w:val="43E20674"/>
    <w:rsid w:val="43EA338A"/>
    <w:rsid w:val="43EF4B3E"/>
    <w:rsid w:val="43F32881"/>
    <w:rsid w:val="43F52422"/>
    <w:rsid w:val="43F839F3"/>
    <w:rsid w:val="44055BE3"/>
    <w:rsid w:val="4407668B"/>
    <w:rsid w:val="440E3217"/>
    <w:rsid w:val="440F6F8F"/>
    <w:rsid w:val="441167B0"/>
    <w:rsid w:val="4414531D"/>
    <w:rsid w:val="44173BEE"/>
    <w:rsid w:val="44236B3B"/>
    <w:rsid w:val="44246EDE"/>
    <w:rsid w:val="44316F05"/>
    <w:rsid w:val="443A04B0"/>
    <w:rsid w:val="443A1503"/>
    <w:rsid w:val="443A3EFD"/>
    <w:rsid w:val="443C4228"/>
    <w:rsid w:val="443F1622"/>
    <w:rsid w:val="443F7480"/>
    <w:rsid w:val="44444E8A"/>
    <w:rsid w:val="444B0A02"/>
    <w:rsid w:val="444B4E82"/>
    <w:rsid w:val="44507CD3"/>
    <w:rsid w:val="445175A7"/>
    <w:rsid w:val="44524D55"/>
    <w:rsid w:val="445F644C"/>
    <w:rsid w:val="44621C79"/>
    <w:rsid w:val="44640DFA"/>
    <w:rsid w:val="446E489D"/>
    <w:rsid w:val="447C0AC8"/>
    <w:rsid w:val="44801C3A"/>
    <w:rsid w:val="44827761"/>
    <w:rsid w:val="4484172B"/>
    <w:rsid w:val="4484797D"/>
    <w:rsid w:val="44856E85"/>
    <w:rsid w:val="44911354"/>
    <w:rsid w:val="4492209A"/>
    <w:rsid w:val="44930AA7"/>
    <w:rsid w:val="449556E6"/>
    <w:rsid w:val="449E3E03"/>
    <w:rsid w:val="449F0313"/>
    <w:rsid w:val="44A616A1"/>
    <w:rsid w:val="44A771C7"/>
    <w:rsid w:val="44B10046"/>
    <w:rsid w:val="44B45AC8"/>
    <w:rsid w:val="44B55D88"/>
    <w:rsid w:val="44B71B00"/>
    <w:rsid w:val="44C47537"/>
    <w:rsid w:val="44C47D79"/>
    <w:rsid w:val="44C63AF1"/>
    <w:rsid w:val="44C7428D"/>
    <w:rsid w:val="44CE6E4A"/>
    <w:rsid w:val="44D2693A"/>
    <w:rsid w:val="44D34460"/>
    <w:rsid w:val="44D53D34"/>
    <w:rsid w:val="44D97CC8"/>
    <w:rsid w:val="44DC1567"/>
    <w:rsid w:val="44DE708D"/>
    <w:rsid w:val="44DF02C8"/>
    <w:rsid w:val="44DF2E05"/>
    <w:rsid w:val="44E22A77"/>
    <w:rsid w:val="44E439DB"/>
    <w:rsid w:val="44E4666D"/>
    <w:rsid w:val="44E923D0"/>
    <w:rsid w:val="44EB79FC"/>
    <w:rsid w:val="44F03D28"/>
    <w:rsid w:val="44F3240C"/>
    <w:rsid w:val="44F543D6"/>
    <w:rsid w:val="44F77B81"/>
    <w:rsid w:val="44FF0DB1"/>
    <w:rsid w:val="45074150"/>
    <w:rsid w:val="4508235C"/>
    <w:rsid w:val="450B40D6"/>
    <w:rsid w:val="450E7246"/>
    <w:rsid w:val="45167820"/>
    <w:rsid w:val="45181E73"/>
    <w:rsid w:val="451B715E"/>
    <w:rsid w:val="451F76A5"/>
    <w:rsid w:val="45217ADF"/>
    <w:rsid w:val="452658CE"/>
    <w:rsid w:val="452668B1"/>
    <w:rsid w:val="452721DD"/>
    <w:rsid w:val="452847AC"/>
    <w:rsid w:val="452A22D2"/>
    <w:rsid w:val="452B1BA6"/>
    <w:rsid w:val="452B604A"/>
    <w:rsid w:val="453635DD"/>
    <w:rsid w:val="453957A2"/>
    <w:rsid w:val="453B44DF"/>
    <w:rsid w:val="453B5FB7"/>
    <w:rsid w:val="453C24C7"/>
    <w:rsid w:val="453C3DB3"/>
    <w:rsid w:val="453E793F"/>
    <w:rsid w:val="454113CA"/>
    <w:rsid w:val="454378FD"/>
    <w:rsid w:val="454B3FF6"/>
    <w:rsid w:val="454C62B0"/>
    <w:rsid w:val="454C711D"/>
    <w:rsid w:val="45564F7E"/>
    <w:rsid w:val="455932AF"/>
    <w:rsid w:val="455C26A8"/>
    <w:rsid w:val="455C6204"/>
    <w:rsid w:val="45605CF4"/>
    <w:rsid w:val="45633A36"/>
    <w:rsid w:val="45660E30"/>
    <w:rsid w:val="4568104C"/>
    <w:rsid w:val="456D21BF"/>
    <w:rsid w:val="45717F01"/>
    <w:rsid w:val="457A6819"/>
    <w:rsid w:val="457F1EF2"/>
    <w:rsid w:val="45842AB5"/>
    <w:rsid w:val="45865C90"/>
    <w:rsid w:val="458661B6"/>
    <w:rsid w:val="458B273A"/>
    <w:rsid w:val="4590717F"/>
    <w:rsid w:val="459723DF"/>
    <w:rsid w:val="45997458"/>
    <w:rsid w:val="459E3044"/>
    <w:rsid w:val="45A007E6"/>
    <w:rsid w:val="45A43F88"/>
    <w:rsid w:val="45A55DFD"/>
    <w:rsid w:val="45A64ACA"/>
    <w:rsid w:val="45A858ED"/>
    <w:rsid w:val="45B222C8"/>
    <w:rsid w:val="45B80B62"/>
    <w:rsid w:val="45B82804"/>
    <w:rsid w:val="45B8657D"/>
    <w:rsid w:val="45BC4EF4"/>
    <w:rsid w:val="45BE0C6C"/>
    <w:rsid w:val="45C30031"/>
    <w:rsid w:val="45C40B15"/>
    <w:rsid w:val="45C43A17"/>
    <w:rsid w:val="45C67B21"/>
    <w:rsid w:val="45C81AEB"/>
    <w:rsid w:val="45CA13BF"/>
    <w:rsid w:val="45D109A0"/>
    <w:rsid w:val="45D264C6"/>
    <w:rsid w:val="45D43FEC"/>
    <w:rsid w:val="45D57E8E"/>
    <w:rsid w:val="45E048A4"/>
    <w:rsid w:val="45E71F71"/>
    <w:rsid w:val="45E87A97"/>
    <w:rsid w:val="45F04FBB"/>
    <w:rsid w:val="45F11042"/>
    <w:rsid w:val="45F440B0"/>
    <w:rsid w:val="45F53740"/>
    <w:rsid w:val="45F66658"/>
    <w:rsid w:val="45F9548D"/>
    <w:rsid w:val="45FB2391"/>
    <w:rsid w:val="45FF20EC"/>
    <w:rsid w:val="46004DE1"/>
    <w:rsid w:val="46020B59"/>
    <w:rsid w:val="4609638B"/>
    <w:rsid w:val="460D10DC"/>
    <w:rsid w:val="46113104"/>
    <w:rsid w:val="46162856"/>
    <w:rsid w:val="46164604"/>
    <w:rsid w:val="46182CA2"/>
    <w:rsid w:val="46182FF9"/>
    <w:rsid w:val="461D5993"/>
    <w:rsid w:val="461E170B"/>
    <w:rsid w:val="462036D5"/>
    <w:rsid w:val="46222FA9"/>
    <w:rsid w:val="4622484A"/>
    <w:rsid w:val="46236D21"/>
    <w:rsid w:val="4624673F"/>
    <w:rsid w:val="46250CEB"/>
    <w:rsid w:val="462D0E63"/>
    <w:rsid w:val="462E7BA0"/>
    <w:rsid w:val="462F56C6"/>
    <w:rsid w:val="46340F2E"/>
    <w:rsid w:val="463D4287"/>
    <w:rsid w:val="464253F9"/>
    <w:rsid w:val="46472A10"/>
    <w:rsid w:val="46477507"/>
    <w:rsid w:val="46497422"/>
    <w:rsid w:val="464F1A25"/>
    <w:rsid w:val="46534F71"/>
    <w:rsid w:val="46535859"/>
    <w:rsid w:val="46537607"/>
    <w:rsid w:val="46565349"/>
    <w:rsid w:val="46590ACE"/>
    <w:rsid w:val="465B470D"/>
    <w:rsid w:val="465D2233"/>
    <w:rsid w:val="466358B8"/>
    <w:rsid w:val="4665558C"/>
    <w:rsid w:val="4665733A"/>
    <w:rsid w:val="4669507C"/>
    <w:rsid w:val="466C2476"/>
    <w:rsid w:val="46712740"/>
    <w:rsid w:val="467C6146"/>
    <w:rsid w:val="467F21AA"/>
    <w:rsid w:val="46841EB6"/>
    <w:rsid w:val="46911EDD"/>
    <w:rsid w:val="4693720F"/>
    <w:rsid w:val="469814BD"/>
    <w:rsid w:val="469A5235"/>
    <w:rsid w:val="469D2F78"/>
    <w:rsid w:val="469F284C"/>
    <w:rsid w:val="46A2058E"/>
    <w:rsid w:val="46A41C10"/>
    <w:rsid w:val="46AC20E2"/>
    <w:rsid w:val="46B60540"/>
    <w:rsid w:val="46C135E3"/>
    <w:rsid w:val="46C87FF5"/>
    <w:rsid w:val="46C93E83"/>
    <w:rsid w:val="46CB3641"/>
    <w:rsid w:val="46CD058C"/>
    <w:rsid w:val="46CE09C1"/>
    <w:rsid w:val="46D701E0"/>
    <w:rsid w:val="46DA76D2"/>
    <w:rsid w:val="46DC75FC"/>
    <w:rsid w:val="46DF6973"/>
    <w:rsid w:val="46E04F92"/>
    <w:rsid w:val="46E37F7B"/>
    <w:rsid w:val="46E45894"/>
    <w:rsid w:val="46E62229"/>
    <w:rsid w:val="46F04E55"/>
    <w:rsid w:val="46F31C44"/>
    <w:rsid w:val="46F34946"/>
    <w:rsid w:val="46FA2178"/>
    <w:rsid w:val="46FF216D"/>
    <w:rsid w:val="4702579C"/>
    <w:rsid w:val="4703102D"/>
    <w:rsid w:val="47064679"/>
    <w:rsid w:val="47094169"/>
    <w:rsid w:val="470B7EE1"/>
    <w:rsid w:val="470E1780"/>
    <w:rsid w:val="470E79D1"/>
    <w:rsid w:val="47125D93"/>
    <w:rsid w:val="4714323A"/>
    <w:rsid w:val="47170634"/>
    <w:rsid w:val="471A45C8"/>
    <w:rsid w:val="471F1BDF"/>
    <w:rsid w:val="471F573B"/>
    <w:rsid w:val="47237C0D"/>
    <w:rsid w:val="47362A58"/>
    <w:rsid w:val="47392CA0"/>
    <w:rsid w:val="47407557"/>
    <w:rsid w:val="47501D98"/>
    <w:rsid w:val="47543636"/>
    <w:rsid w:val="47571378"/>
    <w:rsid w:val="47577F36"/>
    <w:rsid w:val="475B6989"/>
    <w:rsid w:val="475F3D89"/>
    <w:rsid w:val="47621D4A"/>
    <w:rsid w:val="47633879"/>
    <w:rsid w:val="47634395"/>
    <w:rsid w:val="47685334"/>
    <w:rsid w:val="476870E2"/>
    <w:rsid w:val="476A399D"/>
    <w:rsid w:val="476A63AC"/>
    <w:rsid w:val="476E00E4"/>
    <w:rsid w:val="476F42E3"/>
    <w:rsid w:val="47702A0F"/>
    <w:rsid w:val="47721D0E"/>
    <w:rsid w:val="47754AD3"/>
    <w:rsid w:val="47775577"/>
    <w:rsid w:val="477E06B3"/>
    <w:rsid w:val="477E5902"/>
    <w:rsid w:val="477F60A4"/>
    <w:rsid w:val="47833F1C"/>
    <w:rsid w:val="47867568"/>
    <w:rsid w:val="478B1022"/>
    <w:rsid w:val="478C491C"/>
    <w:rsid w:val="478D08F6"/>
    <w:rsid w:val="478F0B12"/>
    <w:rsid w:val="4790103A"/>
    <w:rsid w:val="479223B1"/>
    <w:rsid w:val="4799729B"/>
    <w:rsid w:val="479C79DF"/>
    <w:rsid w:val="47A001D4"/>
    <w:rsid w:val="47A04ACD"/>
    <w:rsid w:val="47A23BEF"/>
    <w:rsid w:val="47A74DF3"/>
    <w:rsid w:val="47A9576A"/>
    <w:rsid w:val="47AA3B48"/>
    <w:rsid w:val="47AD0D2F"/>
    <w:rsid w:val="47AD2D46"/>
    <w:rsid w:val="47AF5F2C"/>
    <w:rsid w:val="47BC4A61"/>
    <w:rsid w:val="47C36A0E"/>
    <w:rsid w:val="47C40E5D"/>
    <w:rsid w:val="47C774BF"/>
    <w:rsid w:val="47C84B88"/>
    <w:rsid w:val="47D12ED9"/>
    <w:rsid w:val="47D7542C"/>
    <w:rsid w:val="47DB5B06"/>
    <w:rsid w:val="47DC529C"/>
    <w:rsid w:val="47E0311C"/>
    <w:rsid w:val="47E11690"/>
    <w:rsid w:val="47E250E6"/>
    <w:rsid w:val="47E530F7"/>
    <w:rsid w:val="47E648A4"/>
    <w:rsid w:val="47E726FC"/>
    <w:rsid w:val="47E82B23"/>
    <w:rsid w:val="47ED75E7"/>
    <w:rsid w:val="47F40975"/>
    <w:rsid w:val="47F646ED"/>
    <w:rsid w:val="47F95F8C"/>
    <w:rsid w:val="480402AD"/>
    <w:rsid w:val="480768FB"/>
    <w:rsid w:val="48084421"/>
    <w:rsid w:val="480F2CDB"/>
    <w:rsid w:val="48117779"/>
    <w:rsid w:val="4812704D"/>
    <w:rsid w:val="48164D90"/>
    <w:rsid w:val="481829E1"/>
    <w:rsid w:val="481903DC"/>
    <w:rsid w:val="48194880"/>
    <w:rsid w:val="481B05F8"/>
    <w:rsid w:val="481C529E"/>
    <w:rsid w:val="482079BC"/>
    <w:rsid w:val="48277F71"/>
    <w:rsid w:val="482A083B"/>
    <w:rsid w:val="4835453B"/>
    <w:rsid w:val="48367E54"/>
    <w:rsid w:val="48382C99"/>
    <w:rsid w:val="48382F58"/>
    <w:rsid w:val="48396CD0"/>
    <w:rsid w:val="483D18E3"/>
    <w:rsid w:val="483D6CA0"/>
    <w:rsid w:val="48401E0D"/>
    <w:rsid w:val="48424A64"/>
    <w:rsid w:val="484511D1"/>
    <w:rsid w:val="484566F6"/>
    <w:rsid w:val="48462287"/>
    <w:rsid w:val="4846683E"/>
    <w:rsid w:val="48480CC1"/>
    <w:rsid w:val="484F02A2"/>
    <w:rsid w:val="48515DC8"/>
    <w:rsid w:val="485A1120"/>
    <w:rsid w:val="486A3837"/>
    <w:rsid w:val="486A50DB"/>
    <w:rsid w:val="486E0728"/>
    <w:rsid w:val="48735D3E"/>
    <w:rsid w:val="48821C05"/>
    <w:rsid w:val="48861F15"/>
    <w:rsid w:val="489B7043"/>
    <w:rsid w:val="48A44C18"/>
    <w:rsid w:val="48A64365"/>
    <w:rsid w:val="48A735C1"/>
    <w:rsid w:val="48B07EC5"/>
    <w:rsid w:val="48B12D0A"/>
    <w:rsid w:val="48B3438D"/>
    <w:rsid w:val="48C82209"/>
    <w:rsid w:val="48CA7928"/>
    <w:rsid w:val="48CB3DCC"/>
    <w:rsid w:val="48CE4EF9"/>
    <w:rsid w:val="48D30CCC"/>
    <w:rsid w:val="48D35608"/>
    <w:rsid w:val="48D55147"/>
    <w:rsid w:val="48D569F9"/>
    <w:rsid w:val="48D93292"/>
    <w:rsid w:val="48DE2CEC"/>
    <w:rsid w:val="48E1539E"/>
    <w:rsid w:val="48E24C72"/>
    <w:rsid w:val="48E7655B"/>
    <w:rsid w:val="48EB73AD"/>
    <w:rsid w:val="48F62E90"/>
    <w:rsid w:val="48FC3F85"/>
    <w:rsid w:val="48FD2A6B"/>
    <w:rsid w:val="49033566"/>
    <w:rsid w:val="49080B7C"/>
    <w:rsid w:val="490C24B2"/>
    <w:rsid w:val="490C758F"/>
    <w:rsid w:val="490E0AFB"/>
    <w:rsid w:val="490E1F0B"/>
    <w:rsid w:val="4910053F"/>
    <w:rsid w:val="49156DF5"/>
    <w:rsid w:val="49172B6D"/>
    <w:rsid w:val="491868E5"/>
    <w:rsid w:val="491B37EB"/>
    <w:rsid w:val="491D1F0B"/>
    <w:rsid w:val="491F1A22"/>
    <w:rsid w:val="49284D7B"/>
    <w:rsid w:val="492D05E3"/>
    <w:rsid w:val="492E6109"/>
    <w:rsid w:val="492F1BC7"/>
    <w:rsid w:val="49311755"/>
    <w:rsid w:val="493443AD"/>
    <w:rsid w:val="49375FAE"/>
    <w:rsid w:val="49382AE4"/>
    <w:rsid w:val="493E459E"/>
    <w:rsid w:val="49404145"/>
    <w:rsid w:val="49407797"/>
    <w:rsid w:val="49423962"/>
    <w:rsid w:val="494B6CBB"/>
    <w:rsid w:val="494F67AB"/>
    <w:rsid w:val="495F52B3"/>
    <w:rsid w:val="495F62C2"/>
    <w:rsid w:val="496263A2"/>
    <w:rsid w:val="49641B2B"/>
    <w:rsid w:val="496E0CF2"/>
    <w:rsid w:val="496F0BFB"/>
    <w:rsid w:val="49724248"/>
    <w:rsid w:val="497403A7"/>
    <w:rsid w:val="49746212"/>
    <w:rsid w:val="49787384"/>
    <w:rsid w:val="49822868"/>
    <w:rsid w:val="498339EA"/>
    <w:rsid w:val="49865F45"/>
    <w:rsid w:val="498865B0"/>
    <w:rsid w:val="498A7063"/>
    <w:rsid w:val="498D0502"/>
    <w:rsid w:val="499F0DB5"/>
    <w:rsid w:val="49A168DB"/>
    <w:rsid w:val="49A2403D"/>
    <w:rsid w:val="49A750D8"/>
    <w:rsid w:val="49A95790"/>
    <w:rsid w:val="49B13E38"/>
    <w:rsid w:val="49B44860"/>
    <w:rsid w:val="49BC3715"/>
    <w:rsid w:val="49C36851"/>
    <w:rsid w:val="49C64593"/>
    <w:rsid w:val="49C77850"/>
    <w:rsid w:val="49C820BA"/>
    <w:rsid w:val="49CA7BE0"/>
    <w:rsid w:val="49CB3958"/>
    <w:rsid w:val="49CF51F6"/>
    <w:rsid w:val="49D00F6E"/>
    <w:rsid w:val="49D039EE"/>
    <w:rsid w:val="49D56585"/>
    <w:rsid w:val="49D65D98"/>
    <w:rsid w:val="49DE7B2F"/>
    <w:rsid w:val="49E11377"/>
    <w:rsid w:val="49E859DE"/>
    <w:rsid w:val="49EC3DB2"/>
    <w:rsid w:val="49F44C5D"/>
    <w:rsid w:val="49F64E79"/>
    <w:rsid w:val="49F904C5"/>
    <w:rsid w:val="4A064EEE"/>
    <w:rsid w:val="4A070E34"/>
    <w:rsid w:val="4A073626"/>
    <w:rsid w:val="4A0F1148"/>
    <w:rsid w:val="4A0F1A96"/>
    <w:rsid w:val="4A11120B"/>
    <w:rsid w:val="4A1B043B"/>
    <w:rsid w:val="4A2319E6"/>
    <w:rsid w:val="4A273284"/>
    <w:rsid w:val="4A282B58"/>
    <w:rsid w:val="4A286FFC"/>
    <w:rsid w:val="4A290272"/>
    <w:rsid w:val="4A2A41D1"/>
    <w:rsid w:val="4A34774F"/>
    <w:rsid w:val="4A3818BA"/>
    <w:rsid w:val="4A3E412A"/>
    <w:rsid w:val="4A423CB1"/>
    <w:rsid w:val="4A443E36"/>
    <w:rsid w:val="4A4B639C"/>
    <w:rsid w:val="4A4F27DB"/>
    <w:rsid w:val="4A4F4589"/>
    <w:rsid w:val="4A525E27"/>
    <w:rsid w:val="4A5514F1"/>
    <w:rsid w:val="4A5620A7"/>
    <w:rsid w:val="4A584308"/>
    <w:rsid w:val="4A593999"/>
    <w:rsid w:val="4A5C2802"/>
    <w:rsid w:val="4A603121"/>
    <w:rsid w:val="4A651C06"/>
    <w:rsid w:val="4A6873F9"/>
    <w:rsid w:val="4A6A3688"/>
    <w:rsid w:val="4A6A4F1F"/>
    <w:rsid w:val="4A7646BA"/>
    <w:rsid w:val="4A791C54"/>
    <w:rsid w:val="4A7D5330"/>
    <w:rsid w:val="4A7E09CA"/>
    <w:rsid w:val="4A7F051D"/>
    <w:rsid w:val="4A802994"/>
    <w:rsid w:val="4A8561FD"/>
    <w:rsid w:val="4A8602B5"/>
    <w:rsid w:val="4A871F75"/>
    <w:rsid w:val="4A8A7D2D"/>
    <w:rsid w:val="4A8E3303"/>
    <w:rsid w:val="4A8E6E5F"/>
    <w:rsid w:val="4A932779"/>
    <w:rsid w:val="4A9401EE"/>
    <w:rsid w:val="4A954692"/>
    <w:rsid w:val="4A9E1EBD"/>
    <w:rsid w:val="4AA04DE4"/>
    <w:rsid w:val="4AA541A9"/>
    <w:rsid w:val="4AAD266D"/>
    <w:rsid w:val="4AB2387D"/>
    <w:rsid w:val="4AB83EDC"/>
    <w:rsid w:val="4ABC522A"/>
    <w:rsid w:val="4ABD14F2"/>
    <w:rsid w:val="4AC24D5B"/>
    <w:rsid w:val="4AC7411F"/>
    <w:rsid w:val="4AC960E9"/>
    <w:rsid w:val="4ACB00B3"/>
    <w:rsid w:val="4ACC5BD9"/>
    <w:rsid w:val="4AD056CA"/>
    <w:rsid w:val="4AD11442"/>
    <w:rsid w:val="4AD44F71"/>
    <w:rsid w:val="4AD77890"/>
    <w:rsid w:val="4AD976E0"/>
    <w:rsid w:val="4ADC5128"/>
    <w:rsid w:val="4ADD1B95"/>
    <w:rsid w:val="4AE0041E"/>
    <w:rsid w:val="4AE271AB"/>
    <w:rsid w:val="4AEB42B2"/>
    <w:rsid w:val="4AEC002A"/>
    <w:rsid w:val="4AEE3DA2"/>
    <w:rsid w:val="4AEF3676"/>
    <w:rsid w:val="4AFC65A0"/>
    <w:rsid w:val="4AFF7D5D"/>
    <w:rsid w:val="4B0435C5"/>
    <w:rsid w:val="4B074E64"/>
    <w:rsid w:val="4B09762A"/>
    <w:rsid w:val="4B0E5499"/>
    <w:rsid w:val="4B117A90"/>
    <w:rsid w:val="4B1732F9"/>
    <w:rsid w:val="4B187071"/>
    <w:rsid w:val="4B1A73B2"/>
    <w:rsid w:val="4B1C15A9"/>
    <w:rsid w:val="4B223A4B"/>
    <w:rsid w:val="4B22716D"/>
    <w:rsid w:val="4B22761A"/>
    <w:rsid w:val="4B2652EA"/>
    <w:rsid w:val="4B271062"/>
    <w:rsid w:val="4B276648"/>
    <w:rsid w:val="4B2962CB"/>
    <w:rsid w:val="4B2C0426"/>
    <w:rsid w:val="4B3D2633"/>
    <w:rsid w:val="4B3F0159"/>
    <w:rsid w:val="4B3F45FD"/>
    <w:rsid w:val="4B450CC8"/>
    <w:rsid w:val="4B4B11F4"/>
    <w:rsid w:val="4B5160DF"/>
    <w:rsid w:val="4B562658"/>
    <w:rsid w:val="4B5644F0"/>
    <w:rsid w:val="4B583122"/>
    <w:rsid w:val="4B58746D"/>
    <w:rsid w:val="4B5A1437"/>
    <w:rsid w:val="4B5C6F5D"/>
    <w:rsid w:val="4B5F07FC"/>
    <w:rsid w:val="4B61488F"/>
    <w:rsid w:val="4B6148D3"/>
    <w:rsid w:val="4B644064"/>
    <w:rsid w:val="4B692739"/>
    <w:rsid w:val="4B6E4EE3"/>
    <w:rsid w:val="4B6E6C91"/>
    <w:rsid w:val="4B751DCD"/>
    <w:rsid w:val="4B757A0F"/>
    <w:rsid w:val="4B78366B"/>
    <w:rsid w:val="4B796708"/>
    <w:rsid w:val="4B7C315C"/>
    <w:rsid w:val="4B7C7600"/>
    <w:rsid w:val="4B8464B4"/>
    <w:rsid w:val="4B871B00"/>
    <w:rsid w:val="4B893ACB"/>
    <w:rsid w:val="4B8E4932"/>
    <w:rsid w:val="4B920BD1"/>
    <w:rsid w:val="4B92495D"/>
    <w:rsid w:val="4B9E1324"/>
    <w:rsid w:val="4B9E7576"/>
    <w:rsid w:val="4BA5239F"/>
    <w:rsid w:val="4BAB3E5A"/>
    <w:rsid w:val="4BAC3727"/>
    <w:rsid w:val="4BAD1567"/>
    <w:rsid w:val="4BAF3531"/>
    <w:rsid w:val="4BAF63DD"/>
    <w:rsid w:val="4BB46D99"/>
    <w:rsid w:val="4BB72EFE"/>
    <w:rsid w:val="4BBA0128"/>
    <w:rsid w:val="4BBB5305"/>
    <w:rsid w:val="4BBC5C4E"/>
    <w:rsid w:val="4BBD5522"/>
    <w:rsid w:val="4BBE1169"/>
    <w:rsid w:val="4BBE6D9B"/>
    <w:rsid w:val="4BC44B03"/>
    <w:rsid w:val="4BCC13B2"/>
    <w:rsid w:val="4BCE14DD"/>
    <w:rsid w:val="4BCE41B0"/>
    <w:rsid w:val="4BD411EA"/>
    <w:rsid w:val="4BD5286C"/>
    <w:rsid w:val="4BD905AE"/>
    <w:rsid w:val="4BDA3300"/>
    <w:rsid w:val="4BDB01D0"/>
    <w:rsid w:val="4BDC009E"/>
    <w:rsid w:val="4BDE5BC4"/>
    <w:rsid w:val="4BE0566A"/>
    <w:rsid w:val="4BE156B5"/>
    <w:rsid w:val="4BE33DD6"/>
    <w:rsid w:val="4BE37E92"/>
    <w:rsid w:val="4BE40D01"/>
    <w:rsid w:val="4BE50D4C"/>
    <w:rsid w:val="4BEB6533"/>
    <w:rsid w:val="4BF073F9"/>
    <w:rsid w:val="4BF278C2"/>
    <w:rsid w:val="4BF47196"/>
    <w:rsid w:val="4BF94D80"/>
    <w:rsid w:val="4BFB49C8"/>
    <w:rsid w:val="4BFD2D7B"/>
    <w:rsid w:val="4C003D8D"/>
    <w:rsid w:val="4C0B2731"/>
    <w:rsid w:val="4C0C0983"/>
    <w:rsid w:val="4C0C38C2"/>
    <w:rsid w:val="4C0E78E6"/>
    <w:rsid w:val="4C0F3FD0"/>
    <w:rsid w:val="4C1B5935"/>
    <w:rsid w:val="4C1C049B"/>
    <w:rsid w:val="4C1C2FF6"/>
    <w:rsid w:val="4C1F6388"/>
    <w:rsid w:val="4C25046E"/>
    <w:rsid w:val="4C2757BD"/>
    <w:rsid w:val="4C290E43"/>
    <w:rsid w:val="4C3103EA"/>
    <w:rsid w:val="4C33502F"/>
    <w:rsid w:val="4C373527"/>
    <w:rsid w:val="4C3752D5"/>
    <w:rsid w:val="4C4246AA"/>
    <w:rsid w:val="4C4579F1"/>
    <w:rsid w:val="4C47762A"/>
    <w:rsid w:val="4C507FF5"/>
    <w:rsid w:val="4C523EBC"/>
    <w:rsid w:val="4C575977"/>
    <w:rsid w:val="4C5C2F8D"/>
    <w:rsid w:val="4C5F2177"/>
    <w:rsid w:val="4C651E42"/>
    <w:rsid w:val="4C661AD1"/>
    <w:rsid w:val="4C6836E0"/>
    <w:rsid w:val="4C693695"/>
    <w:rsid w:val="4C6A0222"/>
    <w:rsid w:val="4C6D0CF6"/>
    <w:rsid w:val="4C6F23D7"/>
    <w:rsid w:val="4C72630D"/>
    <w:rsid w:val="4C730499"/>
    <w:rsid w:val="4C746529"/>
    <w:rsid w:val="4C786019"/>
    <w:rsid w:val="4C7C718B"/>
    <w:rsid w:val="4C8C73CE"/>
    <w:rsid w:val="4C9444D5"/>
    <w:rsid w:val="4C952CDF"/>
    <w:rsid w:val="4C96639C"/>
    <w:rsid w:val="4C975D73"/>
    <w:rsid w:val="4CA13AEC"/>
    <w:rsid w:val="4CA23096"/>
    <w:rsid w:val="4CA3103B"/>
    <w:rsid w:val="4CA42F63"/>
    <w:rsid w:val="4CAA4C60"/>
    <w:rsid w:val="4CAC5CC3"/>
    <w:rsid w:val="4CB34C20"/>
    <w:rsid w:val="4CB55588"/>
    <w:rsid w:val="4CB867D2"/>
    <w:rsid w:val="4CB9218D"/>
    <w:rsid w:val="4CBB5FEB"/>
    <w:rsid w:val="4CBB7CB4"/>
    <w:rsid w:val="4CBE77A4"/>
    <w:rsid w:val="4CC0351C"/>
    <w:rsid w:val="4CC133B8"/>
    <w:rsid w:val="4CC21042"/>
    <w:rsid w:val="4CC4348E"/>
    <w:rsid w:val="4CC44379"/>
    <w:rsid w:val="4CCC7780"/>
    <w:rsid w:val="4CCD7D96"/>
    <w:rsid w:val="4CCE0B6D"/>
    <w:rsid w:val="4CD15729"/>
    <w:rsid w:val="4CD34FFD"/>
    <w:rsid w:val="4CD46FC7"/>
    <w:rsid w:val="4CD62D3F"/>
    <w:rsid w:val="4CD82614"/>
    <w:rsid w:val="4CD945DE"/>
    <w:rsid w:val="4CDB0356"/>
    <w:rsid w:val="4CE03BBE"/>
    <w:rsid w:val="4CE23492"/>
    <w:rsid w:val="4CE37539"/>
    <w:rsid w:val="4CE94821"/>
    <w:rsid w:val="4CEA0599"/>
    <w:rsid w:val="4CEC3C20"/>
    <w:rsid w:val="4CED49FB"/>
    <w:rsid w:val="4CED534E"/>
    <w:rsid w:val="4CEE4C3B"/>
    <w:rsid w:val="4CF11D13"/>
    <w:rsid w:val="4CFB4554"/>
    <w:rsid w:val="4D04165B"/>
    <w:rsid w:val="4D05599E"/>
    <w:rsid w:val="4D072EF9"/>
    <w:rsid w:val="4D0734F8"/>
    <w:rsid w:val="4D090A1F"/>
    <w:rsid w:val="4D0A4797"/>
    <w:rsid w:val="4D0F1DAD"/>
    <w:rsid w:val="4D171F89"/>
    <w:rsid w:val="4D206C65"/>
    <w:rsid w:val="4D2254A5"/>
    <w:rsid w:val="4D260FE9"/>
    <w:rsid w:val="4D2754A2"/>
    <w:rsid w:val="4D2E2B7B"/>
    <w:rsid w:val="4D44414D"/>
    <w:rsid w:val="4D481227"/>
    <w:rsid w:val="4D486396"/>
    <w:rsid w:val="4D4F2B56"/>
    <w:rsid w:val="4D5A3970"/>
    <w:rsid w:val="4D635182"/>
    <w:rsid w:val="4D700A9E"/>
    <w:rsid w:val="4D723C69"/>
    <w:rsid w:val="4D73058E"/>
    <w:rsid w:val="4D754306"/>
    <w:rsid w:val="4D761E2D"/>
    <w:rsid w:val="4D853448"/>
    <w:rsid w:val="4D8E1031"/>
    <w:rsid w:val="4D8E7176"/>
    <w:rsid w:val="4D907392"/>
    <w:rsid w:val="4D923C20"/>
    <w:rsid w:val="4D9A1FBF"/>
    <w:rsid w:val="4D9E016A"/>
    <w:rsid w:val="4DA45F3B"/>
    <w:rsid w:val="4DAA766D"/>
    <w:rsid w:val="4DAC584E"/>
    <w:rsid w:val="4DAE15C6"/>
    <w:rsid w:val="4DB0533F"/>
    <w:rsid w:val="4DB20295"/>
    <w:rsid w:val="4DB46F0F"/>
    <w:rsid w:val="4DB7491F"/>
    <w:rsid w:val="4DBF5582"/>
    <w:rsid w:val="4DC21A1F"/>
    <w:rsid w:val="4DC24D69"/>
    <w:rsid w:val="4DC617B7"/>
    <w:rsid w:val="4DCA1188"/>
    <w:rsid w:val="4DCE3A17"/>
    <w:rsid w:val="4DD23507"/>
    <w:rsid w:val="4DD3102D"/>
    <w:rsid w:val="4DD83BCC"/>
    <w:rsid w:val="4DDF5C24"/>
    <w:rsid w:val="4DE1199C"/>
    <w:rsid w:val="4DE23ECB"/>
    <w:rsid w:val="4DE358D8"/>
    <w:rsid w:val="4DE36B78"/>
    <w:rsid w:val="4DE80F7C"/>
    <w:rsid w:val="4DE84AD8"/>
    <w:rsid w:val="4DED0341"/>
    <w:rsid w:val="4DF25957"/>
    <w:rsid w:val="4DF41442"/>
    <w:rsid w:val="4DF46BED"/>
    <w:rsid w:val="4DF94F37"/>
    <w:rsid w:val="4E042EA5"/>
    <w:rsid w:val="4E094A4F"/>
    <w:rsid w:val="4E0D2384"/>
    <w:rsid w:val="4E0D3D1B"/>
    <w:rsid w:val="4E0F686C"/>
    <w:rsid w:val="4E125FF9"/>
    <w:rsid w:val="4E127DA7"/>
    <w:rsid w:val="4E1A4EAE"/>
    <w:rsid w:val="4E1F24C4"/>
    <w:rsid w:val="4E345F70"/>
    <w:rsid w:val="4E355844"/>
    <w:rsid w:val="4E3C4E24"/>
    <w:rsid w:val="4E3E4A7F"/>
    <w:rsid w:val="4E416F4D"/>
    <w:rsid w:val="4E484388"/>
    <w:rsid w:val="4E4A5793"/>
    <w:rsid w:val="4E4B32B9"/>
    <w:rsid w:val="4E4C150B"/>
    <w:rsid w:val="4E4F0F85"/>
    <w:rsid w:val="4E4F4B57"/>
    <w:rsid w:val="4E5008D0"/>
    <w:rsid w:val="4E5263F6"/>
    <w:rsid w:val="4E54216E"/>
    <w:rsid w:val="4E546612"/>
    <w:rsid w:val="4E6C395B"/>
    <w:rsid w:val="4E6C5709"/>
    <w:rsid w:val="4E720C8D"/>
    <w:rsid w:val="4E722C3D"/>
    <w:rsid w:val="4E76360F"/>
    <w:rsid w:val="4E7B3B9E"/>
    <w:rsid w:val="4E7C3473"/>
    <w:rsid w:val="4E807407"/>
    <w:rsid w:val="4E8862BB"/>
    <w:rsid w:val="4E8F31A6"/>
    <w:rsid w:val="4E920EE8"/>
    <w:rsid w:val="4E93713A"/>
    <w:rsid w:val="4E9E5ADF"/>
    <w:rsid w:val="4EA07161"/>
    <w:rsid w:val="4EA330F5"/>
    <w:rsid w:val="4EA604F0"/>
    <w:rsid w:val="4EA6124F"/>
    <w:rsid w:val="4EA647B1"/>
    <w:rsid w:val="4EA8070C"/>
    <w:rsid w:val="4EAF1A9A"/>
    <w:rsid w:val="4EB3158A"/>
    <w:rsid w:val="4EB715F5"/>
    <w:rsid w:val="4EBB043F"/>
    <w:rsid w:val="4EBD41B7"/>
    <w:rsid w:val="4EC217CD"/>
    <w:rsid w:val="4EC72940"/>
    <w:rsid w:val="4EC76DE4"/>
    <w:rsid w:val="4EC9446C"/>
    <w:rsid w:val="4ECC7F56"/>
    <w:rsid w:val="4ECE0495"/>
    <w:rsid w:val="4ED32195"/>
    <w:rsid w:val="4ED60DD5"/>
    <w:rsid w:val="4ED908C5"/>
    <w:rsid w:val="4EE23C1E"/>
    <w:rsid w:val="4EE51018"/>
    <w:rsid w:val="4EE6156C"/>
    <w:rsid w:val="4EE71234"/>
    <w:rsid w:val="4EEC7F74"/>
    <w:rsid w:val="4EEE6D71"/>
    <w:rsid w:val="4EF35A1F"/>
    <w:rsid w:val="4EF86F9D"/>
    <w:rsid w:val="4EFE20DA"/>
    <w:rsid w:val="4F014A92"/>
    <w:rsid w:val="4F0973FC"/>
    <w:rsid w:val="4F0A6CD0"/>
    <w:rsid w:val="4F0B3174"/>
    <w:rsid w:val="4F0C0C9A"/>
    <w:rsid w:val="4F150978"/>
    <w:rsid w:val="4F167659"/>
    <w:rsid w:val="4F1801C5"/>
    <w:rsid w:val="4F185A19"/>
    <w:rsid w:val="4F231B40"/>
    <w:rsid w:val="4F287AAC"/>
    <w:rsid w:val="4F29479B"/>
    <w:rsid w:val="4F342C01"/>
    <w:rsid w:val="4F3A01B4"/>
    <w:rsid w:val="4F3B1580"/>
    <w:rsid w:val="4F3B460A"/>
    <w:rsid w:val="4F3F7CEB"/>
    <w:rsid w:val="4F42646A"/>
    <w:rsid w:val="4F4915A7"/>
    <w:rsid w:val="4F4C553B"/>
    <w:rsid w:val="4F4F0B87"/>
    <w:rsid w:val="4F4F3584"/>
    <w:rsid w:val="4F512B51"/>
    <w:rsid w:val="4F5166AD"/>
    <w:rsid w:val="4F532425"/>
    <w:rsid w:val="4F543987"/>
    <w:rsid w:val="4F5904BD"/>
    <w:rsid w:val="4F642884"/>
    <w:rsid w:val="4F6C3FA5"/>
    <w:rsid w:val="4F730D1A"/>
    <w:rsid w:val="4F7420D6"/>
    <w:rsid w:val="4F754A92"/>
    <w:rsid w:val="4F7A2731"/>
    <w:rsid w:val="4F7A3E56"/>
    <w:rsid w:val="4F7B0BA3"/>
    <w:rsid w:val="4F7D56F4"/>
    <w:rsid w:val="4F7F76BE"/>
    <w:rsid w:val="4F8151E4"/>
    <w:rsid w:val="4F822D0B"/>
    <w:rsid w:val="4F895E47"/>
    <w:rsid w:val="4F896A38"/>
    <w:rsid w:val="4F8D1DDB"/>
    <w:rsid w:val="4F8E345D"/>
    <w:rsid w:val="4F905428"/>
    <w:rsid w:val="4F9579D0"/>
    <w:rsid w:val="4F9C3DCC"/>
    <w:rsid w:val="4FA113E3"/>
    <w:rsid w:val="4FA25BD4"/>
    <w:rsid w:val="4FAB5F2A"/>
    <w:rsid w:val="4FB05ACA"/>
    <w:rsid w:val="4FB355BA"/>
    <w:rsid w:val="4FB37368"/>
    <w:rsid w:val="4FBA0B14"/>
    <w:rsid w:val="4FBF2269"/>
    <w:rsid w:val="4FBF3F5F"/>
    <w:rsid w:val="4FC30FBB"/>
    <w:rsid w:val="4FC41575"/>
    <w:rsid w:val="4FC652ED"/>
    <w:rsid w:val="4FC7433D"/>
    <w:rsid w:val="4FC96B8B"/>
    <w:rsid w:val="4FCC644D"/>
    <w:rsid w:val="4FCD57BB"/>
    <w:rsid w:val="4FCE41A2"/>
    <w:rsid w:val="4FD743CF"/>
    <w:rsid w:val="4FDC68BF"/>
    <w:rsid w:val="4FEE03A0"/>
    <w:rsid w:val="4FEE65F2"/>
    <w:rsid w:val="4FF20A93"/>
    <w:rsid w:val="4FF260E2"/>
    <w:rsid w:val="4FF27E90"/>
    <w:rsid w:val="4FF43C08"/>
    <w:rsid w:val="4FF9682B"/>
    <w:rsid w:val="4FFA0FDF"/>
    <w:rsid w:val="4FFC0D0F"/>
    <w:rsid w:val="50023926"/>
    <w:rsid w:val="50025BF9"/>
    <w:rsid w:val="500325F7"/>
    <w:rsid w:val="50033E4B"/>
    <w:rsid w:val="50067698"/>
    <w:rsid w:val="50083210"/>
    <w:rsid w:val="500A342C"/>
    <w:rsid w:val="500D49E0"/>
    <w:rsid w:val="500F69BB"/>
    <w:rsid w:val="50100316"/>
    <w:rsid w:val="50131BB5"/>
    <w:rsid w:val="50195AE4"/>
    <w:rsid w:val="501C4F0D"/>
    <w:rsid w:val="501C6CBB"/>
    <w:rsid w:val="50227B47"/>
    <w:rsid w:val="502344EE"/>
    <w:rsid w:val="50242014"/>
    <w:rsid w:val="50265D8C"/>
    <w:rsid w:val="50274AAC"/>
    <w:rsid w:val="50306FB5"/>
    <w:rsid w:val="50352BF0"/>
    <w:rsid w:val="50354221"/>
    <w:rsid w:val="503B5C81"/>
    <w:rsid w:val="503C735D"/>
    <w:rsid w:val="50414974"/>
    <w:rsid w:val="50416722"/>
    <w:rsid w:val="504604FF"/>
    <w:rsid w:val="504A4B3C"/>
    <w:rsid w:val="504B57F2"/>
    <w:rsid w:val="504B75A0"/>
    <w:rsid w:val="50502E09"/>
    <w:rsid w:val="50531CFF"/>
    <w:rsid w:val="50547CBA"/>
    <w:rsid w:val="505A5A36"/>
    <w:rsid w:val="50620338"/>
    <w:rsid w:val="50620A61"/>
    <w:rsid w:val="50630D8E"/>
    <w:rsid w:val="50650662"/>
    <w:rsid w:val="50652DAE"/>
    <w:rsid w:val="506B7C43"/>
    <w:rsid w:val="506C644E"/>
    <w:rsid w:val="506D50D8"/>
    <w:rsid w:val="506F403E"/>
    <w:rsid w:val="50722D7F"/>
    <w:rsid w:val="50724B2D"/>
    <w:rsid w:val="507C1E50"/>
    <w:rsid w:val="508312EF"/>
    <w:rsid w:val="508906D9"/>
    <w:rsid w:val="508B5BEF"/>
    <w:rsid w:val="508C1F80"/>
    <w:rsid w:val="508E41A9"/>
    <w:rsid w:val="50920245"/>
    <w:rsid w:val="50926F7D"/>
    <w:rsid w:val="50966A6E"/>
    <w:rsid w:val="50984C85"/>
    <w:rsid w:val="5099655E"/>
    <w:rsid w:val="509B0528"/>
    <w:rsid w:val="509E3B74"/>
    <w:rsid w:val="50A53155"/>
    <w:rsid w:val="50AE0C53"/>
    <w:rsid w:val="50B43398"/>
    <w:rsid w:val="50B47E97"/>
    <w:rsid w:val="50B6307F"/>
    <w:rsid w:val="50BC224C"/>
    <w:rsid w:val="50C17863"/>
    <w:rsid w:val="50C23D07"/>
    <w:rsid w:val="50C913D1"/>
    <w:rsid w:val="50CC15C2"/>
    <w:rsid w:val="50CD4459"/>
    <w:rsid w:val="50D43A3A"/>
    <w:rsid w:val="50D92DFE"/>
    <w:rsid w:val="50D948B8"/>
    <w:rsid w:val="50DB0924"/>
    <w:rsid w:val="50DE0415"/>
    <w:rsid w:val="50E13A61"/>
    <w:rsid w:val="50E61077"/>
    <w:rsid w:val="50E66E8D"/>
    <w:rsid w:val="50E67DC1"/>
    <w:rsid w:val="50E7551B"/>
    <w:rsid w:val="50EC48E0"/>
    <w:rsid w:val="50F74AAC"/>
    <w:rsid w:val="50F814D6"/>
    <w:rsid w:val="50FB4F07"/>
    <w:rsid w:val="50FE4613"/>
    <w:rsid w:val="50FF1FB9"/>
    <w:rsid w:val="510850A0"/>
    <w:rsid w:val="510D2AA8"/>
    <w:rsid w:val="510F4A72"/>
    <w:rsid w:val="510F74FB"/>
    <w:rsid w:val="51110678"/>
    <w:rsid w:val="51127945"/>
    <w:rsid w:val="5113734F"/>
    <w:rsid w:val="5115563D"/>
    <w:rsid w:val="511B144B"/>
    <w:rsid w:val="512027DB"/>
    <w:rsid w:val="51221DF1"/>
    <w:rsid w:val="512247A5"/>
    <w:rsid w:val="512F2A1E"/>
    <w:rsid w:val="5139389D"/>
    <w:rsid w:val="513C10BA"/>
    <w:rsid w:val="51491D32"/>
    <w:rsid w:val="514C2A24"/>
    <w:rsid w:val="514C537E"/>
    <w:rsid w:val="514F30C0"/>
    <w:rsid w:val="5151508A"/>
    <w:rsid w:val="515C7681"/>
    <w:rsid w:val="515D57DD"/>
    <w:rsid w:val="51623F0F"/>
    <w:rsid w:val="51644DBE"/>
    <w:rsid w:val="51662C85"/>
    <w:rsid w:val="516C3C72"/>
    <w:rsid w:val="51705EAF"/>
    <w:rsid w:val="51710FD0"/>
    <w:rsid w:val="51713037"/>
    <w:rsid w:val="51736DAF"/>
    <w:rsid w:val="51782617"/>
    <w:rsid w:val="5180327A"/>
    <w:rsid w:val="5188108E"/>
    <w:rsid w:val="518C687F"/>
    <w:rsid w:val="518D3625"/>
    <w:rsid w:val="519136D9"/>
    <w:rsid w:val="51A21442"/>
    <w:rsid w:val="51A258E6"/>
    <w:rsid w:val="51A46F68"/>
    <w:rsid w:val="51A71F6E"/>
    <w:rsid w:val="51AD233A"/>
    <w:rsid w:val="51B3364F"/>
    <w:rsid w:val="51B5656C"/>
    <w:rsid w:val="51B86AD1"/>
    <w:rsid w:val="51BD627C"/>
    <w:rsid w:val="51BF1FF4"/>
    <w:rsid w:val="51BF3DA2"/>
    <w:rsid w:val="51C40308"/>
    <w:rsid w:val="51D05FAF"/>
    <w:rsid w:val="51D81308"/>
    <w:rsid w:val="51D84E64"/>
    <w:rsid w:val="51DA2102"/>
    <w:rsid w:val="51DC1E91"/>
    <w:rsid w:val="51DC2BA6"/>
    <w:rsid w:val="51DD247A"/>
    <w:rsid w:val="51E43A2E"/>
    <w:rsid w:val="51E90E1F"/>
    <w:rsid w:val="51EF71C2"/>
    <w:rsid w:val="51F758FB"/>
    <w:rsid w:val="51F872B4"/>
    <w:rsid w:val="51FA74D0"/>
    <w:rsid w:val="51FC159A"/>
    <w:rsid w:val="52002ACB"/>
    <w:rsid w:val="52020133"/>
    <w:rsid w:val="52027454"/>
    <w:rsid w:val="5203382D"/>
    <w:rsid w:val="520745A2"/>
    <w:rsid w:val="520774F7"/>
    <w:rsid w:val="52081B54"/>
    <w:rsid w:val="52097713"/>
    <w:rsid w:val="520B348B"/>
    <w:rsid w:val="520F7023"/>
    <w:rsid w:val="52114508"/>
    <w:rsid w:val="52194FF5"/>
    <w:rsid w:val="52196B35"/>
    <w:rsid w:val="521A1920"/>
    <w:rsid w:val="52214A5D"/>
    <w:rsid w:val="52293911"/>
    <w:rsid w:val="522A03DB"/>
    <w:rsid w:val="522B1438"/>
    <w:rsid w:val="522D3402"/>
    <w:rsid w:val="52391DA6"/>
    <w:rsid w:val="52397FF8"/>
    <w:rsid w:val="523A167B"/>
    <w:rsid w:val="523B56F1"/>
    <w:rsid w:val="523D116B"/>
    <w:rsid w:val="523F7D4F"/>
    <w:rsid w:val="52413940"/>
    <w:rsid w:val="52432C25"/>
    <w:rsid w:val="524349D3"/>
    <w:rsid w:val="5245699D"/>
    <w:rsid w:val="52456B38"/>
    <w:rsid w:val="52466271"/>
    <w:rsid w:val="524A3079"/>
    <w:rsid w:val="524D0733"/>
    <w:rsid w:val="524E5126"/>
    <w:rsid w:val="525548D5"/>
    <w:rsid w:val="525A3ACB"/>
    <w:rsid w:val="52630BD1"/>
    <w:rsid w:val="526F57C8"/>
    <w:rsid w:val="52727066"/>
    <w:rsid w:val="52764D40"/>
    <w:rsid w:val="52770B21"/>
    <w:rsid w:val="527C71FB"/>
    <w:rsid w:val="528E479F"/>
    <w:rsid w:val="528F4984"/>
    <w:rsid w:val="52913715"/>
    <w:rsid w:val="529450AB"/>
    <w:rsid w:val="52991641"/>
    <w:rsid w:val="529A69D5"/>
    <w:rsid w:val="529D74C2"/>
    <w:rsid w:val="529E7E5B"/>
    <w:rsid w:val="52A3146B"/>
    <w:rsid w:val="52A450A9"/>
    <w:rsid w:val="52A47596"/>
    <w:rsid w:val="52AB2578"/>
    <w:rsid w:val="52B83E41"/>
    <w:rsid w:val="52B9272F"/>
    <w:rsid w:val="52B96A43"/>
    <w:rsid w:val="52BC6534"/>
    <w:rsid w:val="52C33D66"/>
    <w:rsid w:val="52C45EE8"/>
    <w:rsid w:val="52C57577"/>
    <w:rsid w:val="52C75604"/>
    <w:rsid w:val="52C8137C"/>
    <w:rsid w:val="52C955A4"/>
    <w:rsid w:val="52C96A13"/>
    <w:rsid w:val="52CD17A5"/>
    <w:rsid w:val="52CE71D5"/>
    <w:rsid w:val="52D25D57"/>
    <w:rsid w:val="52D65847"/>
    <w:rsid w:val="52D72187"/>
    <w:rsid w:val="52DB10B0"/>
    <w:rsid w:val="52DC0984"/>
    <w:rsid w:val="52DC6BD6"/>
    <w:rsid w:val="52DE294E"/>
    <w:rsid w:val="52DE46FC"/>
    <w:rsid w:val="52DE64AA"/>
    <w:rsid w:val="52E04FF4"/>
    <w:rsid w:val="52E141EC"/>
    <w:rsid w:val="52E361B6"/>
    <w:rsid w:val="52E635B0"/>
    <w:rsid w:val="52EB0BC7"/>
    <w:rsid w:val="52F83996"/>
    <w:rsid w:val="52F91536"/>
    <w:rsid w:val="53002E0A"/>
    <w:rsid w:val="53034162"/>
    <w:rsid w:val="530D1E6F"/>
    <w:rsid w:val="530D4FE1"/>
    <w:rsid w:val="531D5224"/>
    <w:rsid w:val="531E71EE"/>
    <w:rsid w:val="53232554"/>
    <w:rsid w:val="5325057D"/>
    <w:rsid w:val="5328717E"/>
    <w:rsid w:val="53316F22"/>
    <w:rsid w:val="53346A12"/>
    <w:rsid w:val="53383097"/>
    <w:rsid w:val="53394028"/>
    <w:rsid w:val="534211D6"/>
    <w:rsid w:val="53445F89"/>
    <w:rsid w:val="534A4C2E"/>
    <w:rsid w:val="534C5B09"/>
    <w:rsid w:val="534E5504"/>
    <w:rsid w:val="534F73A8"/>
    <w:rsid w:val="53513120"/>
    <w:rsid w:val="53525A69"/>
    <w:rsid w:val="53542C10"/>
    <w:rsid w:val="53591FD4"/>
    <w:rsid w:val="535D45AB"/>
    <w:rsid w:val="535D7607"/>
    <w:rsid w:val="53603363"/>
    <w:rsid w:val="536A41E2"/>
    <w:rsid w:val="536B317E"/>
    <w:rsid w:val="536C1ECE"/>
    <w:rsid w:val="536D7242"/>
    <w:rsid w:val="536E5A80"/>
    <w:rsid w:val="53715570"/>
    <w:rsid w:val="53733096"/>
    <w:rsid w:val="53784B50"/>
    <w:rsid w:val="537D5CC3"/>
    <w:rsid w:val="53807561"/>
    <w:rsid w:val="5382152B"/>
    <w:rsid w:val="5387761B"/>
    <w:rsid w:val="538873A9"/>
    <w:rsid w:val="538E3C2A"/>
    <w:rsid w:val="539A4AC7"/>
    <w:rsid w:val="539E0303"/>
    <w:rsid w:val="53A21BCD"/>
    <w:rsid w:val="53A23354"/>
    <w:rsid w:val="53A475B9"/>
    <w:rsid w:val="53A96AB8"/>
    <w:rsid w:val="53AA2830"/>
    <w:rsid w:val="53AF7E46"/>
    <w:rsid w:val="53B03E00"/>
    <w:rsid w:val="53B23DEC"/>
    <w:rsid w:val="53B316E5"/>
    <w:rsid w:val="53B813F1"/>
    <w:rsid w:val="53C51418"/>
    <w:rsid w:val="53CB2ED2"/>
    <w:rsid w:val="53D665BC"/>
    <w:rsid w:val="53DD0E57"/>
    <w:rsid w:val="53DE2691"/>
    <w:rsid w:val="53E347BC"/>
    <w:rsid w:val="53E53868"/>
    <w:rsid w:val="53E53921"/>
    <w:rsid w:val="53F35F85"/>
    <w:rsid w:val="53FE22C0"/>
    <w:rsid w:val="53FE7F50"/>
    <w:rsid w:val="54003237"/>
    <w:rsid w:val="5406215C"/>
    <w:rsid w:val="54063F0A"/>
    <w:rsid w:val="540B32CF"/>
    <w:rsid w:val="540B40CB"/>
    <w:rsid w:val="541008E5"/>
    <w:rsid w:val="541066A1"/>
    <w:rsid w:val="5415239F"/>
    <w:rsid w:val="54161C73"/>
    <w:rsid w:val="54181E8F"/>
    <w:rsid w:val="54185932"/>
    <w:rsid w:val="541C372E"/>
    <w:rsid w:val="541F4FCC"/>
    <w:rsid w:val="54240834"/>
    <w:rsid w:val="542645AC"/>
    <w:rsid w:val="54294D20"/>
    <w:rsid w:val="542E16B3"/>
    <w:rsid w:val="542F5D51"/>
    <w:rsid w:val="54330A77"/>
    <w:rsid w:val="54332825"/>
    <w:rsid w:val="54352A41"/>
    <w:rsid w:val="54370568"/>
    <w:rsid w:val="543B6CEF"/>
    <w:rsid w:val="543E18F6"/>
    <w:rsid w:val="543F2D91"/>
    <w:rsid w:val="543F741C"/>
    <w:rsid w:val="544607AB"/>
    <w:rsid w:val="544721B3"/>
    <w:rsid w:val="54497256"/>
    <w:rsid w:val="5458228C"/>
    <w:rsid w:val="545962AA"/>
    <w:rsid w:val="545C6CEF"/>
    <w:rsid w:val="5463310B"/>
    <w:rsid w:val="54656DB3"/>
    <w:rsid w:val="546B0211"/>
    <w:rsid w:val="54703A7A"/>
    <w:rsid w:val="54705699"/>
    <w:rsid w:val="547B1119"/>
    <w:rsid w:val="54870746"/>
    <w:rsid w:val="548811A0"/>
    <w:rsid w:val="548B2661"/>
    <w:rsid w:val="548F182A"/>
    <w:rsid w:val="54905ECA"/>
    <w:rsid w:val="549140ED"/>
    <w:rsid w:val="5499209E"/>
    <w:rsid w:val="54992FD0"/>
    <w:rsid w:val="549B1E04"/>
    <w:rsid w:val="549E05E7"/>
    <w:rsid w:val="54A31759"/>
    <w:rsid w:val="54A656ED"/>
    <w:rsid w:val="54A86851"/>
    <w:rsid w:val="54AA0D3A"/>
    <w:rsid w:val="54AB6112"/>
    <w:rsid w:val="54AC4C48"/>
    <w:rsid w:val="54B25E40"/>
    <w:rsid w:val="54B95421"/>
    <w:rsid w:val="54C53DC5"/>
    <w:rsid w:val="54C55D83"/>
    <w:rsid w:val="54C719D2"/>
    <w:rsid w:val="54C73809"/>
    <w:rsid w:val="54C811C0"/>
    <w:rsid w:val="54CF254E"/>
    <w:rsid w:val="54D1791F"/>
    <w:rsid w:val="54D220CA"/>
    <w:rsid w:val="54D9517B"/>
    <w:rsid w:val="54DA0EF3"/>
    <w:rsid w:val="54DE23CC"/>
    <w:rsid w:val="54DE6C35"/>
    <w:rsid w:val="54E12281"/>
    <w:rsid w:val="54E3249D"/>
    <w:rsid w:val="54E504AC"/>
    <w:rsid w:val="54E802CB"/>
    <w:rsid w:val="54F75F49"/>
    <w:rsid w:val="54FC530D"/>
    <w:rsid w:val="54FE1085"/>
    <w:rsid w:val="54FE4BE1"/>
    <w:rsid w:val="54FE7551"/>
    <w:rsid w:val="550146D2"/>
    <w:rsid w:val="55050666"/>
    <w:rsid w:val="55056BE5"/>
    <w:rsid w:val="55083CB2"/>
    <w:rsid w:val="55087B46"/>
    <w:rsid w:val="550A286C"/>
    <w:rsid w:val="550B5550"/>
    <w:rsid w:val="55106A28"/>
    <w:rsid w:val="55142733"/>
    <w:rsid w:val="551F0051"/>
    <w:rsid w:val="55225AFC"/>
    <w:rsid w:val="55254864"/>
    <w:rsid w:val="55264138"/>
    <w:rsid w:val="552B7D13"/>
    <w:rsid w:val="5531145B"/>
    <w:rsid w:val="55366A71"/>
    <w:rsid w:val="553C395C"/>
    <w:rsid w:val="553D68AF"/>
    <w:rsid w:val="553E1482"/>
    <w:rsid w:val="553F585C"/>
    <w:rsid w:val="55525033"/>
    <w:rsid w:val="55551AEE"/>
    <w:rsid w:val="555B25BA"/>
    <w:rsid w:val="555D4F50"/>
    <w:rsid w:val="55684751"/>
    <w:rsid w:val="556E7FB9"/>
    <w:rsid w:val="55741347"/>
    <w:rsid w:val="55764EA2"/>
    <w:rsid w:val="557814C5"/>
    <w:rsid w:val="557919B7"/>
    <w:rsid w:val="5579695E"/>
    <w:rsid w:val="557E3F74"/>
    <w:rsid w:val="557E5D22"/>
    <w:rsid w:val="55807CEC"/>
    <w:rsid w:val="558110E9"/>
    <w:rsid w:val="558477DD"/>
    <w:rsid w:val="558C3D0B"/>
    <w:rsid w:val="55985036"/>
    <w:rsid w:val="55992B5C"/>
    <w:rsid w:val="559D264C"/>
    <w:rsid w:val="55A04666"/>
    <w:rsid w:val="55A41C2D"/>
    <w:rsid w:val="55A75279"/>
    <w:rsid w:val="55AE2AAB"/>
    <w:rsid w:val="55AF2380"/>
    <w:rsid w:val="55B1434A"/>
    <w:rsid w:val="55BA31FE"/>
    <w:rsid w:val="55BD4A9D"/>
    <w:rsid w:val="55C67DF5"/>
    <w:rsid w:val="55CA0F67"/>
    <w:rsid w:val="55CA71B9"/>
    <w:rsid w:val="55CC4CE0"/>
    <w:rsid w:val="55D3478A"/>
    <w:rsid w:val="55D87746"/>
    <w:rsid w:val="55D930C2"/>
    <w:rsid w:val="55DB3424"/>
    <w:rsid w:val="55E464CD"/>
    <w:rsid w:val="55E60FF0"/>
    <w:rsid w:val="55EB785C"/>
    <w:rsid w:val="55F14746"/>
    <w:rsid w:val="55F52488"/>
    <w:rsid w:val="55F61D5C"/>
    <w:rsid w:val="55F6559B"/>
    <w:rsid w:val="55FA184D"/>
    <w:rsid w:val="55FF1C14"/>
    <w:rsid w:val="55FF6E63"/>
    <w:rsid w:val="561D19DF"/>
    <w:rsid w:val="5621502B"/>
    <w:rsid w:val="56242C6E"/>
    <w:rsid w:val="5627460C"/>
    <w:rsid w:val="562B40FC"/>
    <w:rsid w:val="562B5EAA"/>
    <w:rsid w:val="562B7C58"/>
    <w:rsid w:val="562C577E"/>
    <w:rsid w:val="562D5E85"/>
    <w:rsid w:val="56350AD7"/>
    <w:rsid w:val="56403643"/>
    <w:rsid w:val="56486F7F"/>
    <w:rsid w:val="564E7DEA"/>
    <w:rsid w:val="56516DFE"/>
    <w:rsid w:val="56532B2E"/>
    <w:rsid w:val="566B274A"/>
    <w:rsid w:val="566B3D03"/>
    <w:rsid w:val="566E223B"/>
    <w:rsid w:val="56717635"/>
    <w:rsid w:val="567535C9"/>
    <w:rsid w:val="567F61F6"/>
    <w:rsid w:val="56815ACA"/>
    <w:rsid w:val="56867584"/>
    <w:rsid w:val="568B2D64"/>
    <w:rsid w:val="568F468B"/>
    <w:rsid w:val="568F7482"/>
    <w:rsid w:val="56927CD7"/>
    <w:rsid w:val="569635F2"/>
    <w:rsid w:val="56982E14"/>
    <w:rsid w:val="569E48CE"/>
    <w:rsid w:val="56A33C92"/>
    <w:rsid w:val="56A705AA"/>
    <w:rsid w:val="56A91F9F"/>
    <w:rsid w:val="56AD09F7"/>
    <w:rsid w:val="56AE1142"/>
    <w:rsid w:val="56B0716F"/>
    <w:rsid w:val="56B37C4E"/>
    <w:rsid w:val="56B6200C"/>
    <w:rsid w:val="56B71D61"/>
    <w:rsid w:val="56B92464"/>
    <w:rsid w:val="56BA0FDC"/>
    <w:rsid w:val="56C0608C"/>
    <w:rsid w:val="56C76C21"/>
    <w:rsid w:val="56C836F9"/>
    <w:rsid w:val="56CE6835"/>
    <w:rsid w:val="56CF61E9"/>
    <w:rsid w:val="56D000E4"/>
    <w:rsid w:val="56D007FF"/>
    <w:rsid w:val="56D24578"/>
    <w:rsid w:val="56D26633"/>
    <w:rsid w:val="56D44381"/>
    <w:rsid w:val="56D50751"/>
    <w:rsid w:val="56D56A26"/>
    <w:rsid w:val="56D85C73"/>
    <w:rsid w:val="56DA730F"/>
    <w:rsid w:val="56DC7584"/>
    <w:rsid w:val="56E322E1"/>
    <w:rsid w:val="56ED7603"/>
    <w:rsid w:val="56F02C50"/>
    <w:rsid w:val="56F24C1A"/>
    <w:rsid w:val="56FC3E1D"/>
    <w:rsid w:val="56FE7E37"/>
    <w:rsid w:val="570020A8"/>
    <w:rsid w:val="57006B1A"/>
    <w:rsid w:val="570723CE"/>
    <w:rsid w:val="57087CE0"/>
    <w:rsid w:val="570E5691"/>
    <w:rsid w:val="57113271"/>
    <w:rsid w:val="57122BC6"/>
    <w:rsid w:val="57177B0E"/>
    <w:rsid w:val="571921A6"/>
    <w:rsid w:val="571B2E6E"/>
    <w:rsid w:val="57232B50"/>
    <w:rsid w:val="57241CD8"/>
    <w:rsid w:val="57262AED"/>
    <w:rsid w:val="5728292E"/>
    <w:rsid w:val="572A032B"/>
    <w:rsid w:val="572A6162"/>
    <w:rsid w:val="572B1EDA"/>
    <w:rsid w:val="572B3C88"/>
    <w:rsid w:val="57362A2C"/>
    <w:rsid w:val="57376AD1"/>
    <w:rsid w:val="574014E1"/>
    <w:rsid w:val="574A090D"/>
    <w:rsid w:val="574C257C"/>
    <w:rsid w:val="574D00A2"/>
    <w:rsid w:val="574D7986"/>
    <w:rsid w:val="575651A9"/>
    <w:rsid w:val="57572B76"/>
    <w:rsid w:val="57580F21"/>
    <w:rsid w:val="575C2093"/>
    <w:rsid w:val="575C6C3E"/>
    <w:rsid w:val="57622086"/>
    <w:rsid w:val="576653CE"/>
    <w:rsid w:val="57684EDC"/>
    <w:rsid w:val="576B22D6"/>
    <w:rsid w:val="576D604E"/>
    <w:rsid w:val="576F1DC6"/>
    <w:rsid w:val="57743D85"/>
    <w:rsid w:val="57770C7B"/>
    <w:rsid w:val="577B4C0F"/>
    <w:rsid w:val="57827D4C"/>
    <w:rsid w:val="57882E88"/>
    <w:rsid w:val="5789732C"/>
    <w:rsid w:val="57935094"/>
    <w:rsid w:val="57967CD6"/>
    <w:rsid w:val="5797131D"/>
    <w:rsid w:val="57A34A8C"/>
    <w:rsid w:val="57A451D9"/>
    <w:rsid w:val="57A51C8C"/>
    <w:rsid w:val="57AA1051"/>
    <w:rsid w:val="57AA23C4"/>
    <w:rsid w:val="57AA2DFF"/>
    <w:rsid w:val="57B63E99"/>
    <w:rsid w:val="57B65C47"/>
    <w:rsid w:val="57BD7A8C"/>
    <w:rsid w:val="57C137D5"/>
    <w:rsid w:val="57C33EC0"/>
    <w:rsid w:val="57CC546B"/>
    <w:rsid w:val="57D20DB6"/>
    <w:rsid w:val="57D4431F"/>
    <w:rsid w:val="57D55747"/>
    <w:rsid w:val="57D55B95"/>
    <w:rsid w:val="57D63BF4"/>
    <w:rsid w:val="57D936E4"/>
    <w:rsid w:val="57DD1426"/>
    <w:rsid w:val="57E0124E"/>
    <w:rsid w:val="57E22015"/>
    <w:rsid w:val="57E26A3C"/>
    <w:rsid w:val="57E46E1C"/>
    <w:rsid w:val="57E825BE"/>
    <w:rsid w:val="57EA3B43"/>
    <w:rsid w:val="57EC3417"/>
    <w:rsid w:val="57EC7D0C"/>
    <w:rsid w:val="57FB3836"/>
    <w:rsid w:val="57FE6189"/>
    <w:rsid w:val="58005114"/>
    <w:rsid w:val="58006EC2"/>
    <w:rsid w:val="580469B3"/>
    <w:rsid w:val="58070251"/>
    <w:rsid w:val="58095D77"/>
    <w:rsid w:val="580B0103"/>
    <w:rsid w:val="580C5892"/>
    <w:rsid w:val="581472DE"/>
    <w:rsid w:val="58150C6D"/>
    <w:rsid w:val="581806B0"/>
    <w:rsid w:val="581F1A3E"/>
    <w:rsid w:val="5822508B"/>
    <w:rsid w:val="58256929"/>
    <w:rsid w:val="5833468C"/>
    <w:rsid w:val="58353010"/>
    <w:rsid w:val="58371ABC"/>
    <w:rsid w:val="5837760D"/>
    <w:rsid w:val="58476D1B"/>
    <w:rsid w:val="58515970"/>
    <w:rsid w:val="58523BC2"/>
    <w:rsid w:val="585A65D3"/>
    <w:rsid w:val="585B234B"/>
    <w:rsid w:val="585C5C92"/>
    <w:rsid w:val="585D2567"/>
    <w:rsid w:val="585D60C3"/>
    <w:rsid w:val="58604C6D"/>
    <w:rsid w:val="58616610"/>
    <w:rsid w:val="586526C3"/>
    <w:rsid w:val="5866141B"/>
    <w:rsid w:val="586D09FC"/>
    <w:rsid w:val="587271B1"/>
    <w:rsid w:val="58733B38"/>
    <w:rsid w:val="58734BCE"/>
    <w:rsid w:val="587753D7"/>
    <w:rsid w:val="587A4EC7"/>
    <w:rsid w:val="587C29ED"/>
    <w:rsid w:val="587D6765"/>
    <w:rsid w:val="587F24DD"/>
    <w:rsid w:val="58890AE1"/>
    <w:rsid w:val="588E0972"/>
    <w:rsid w:val="58937D37"/>
    <w:rsid w:val="589502CA"/>
    <w:rsid w:val="589939CD"/>
    <w:rsid w:val="589A10C5"/>
    <w:rsid w:val="589A20D8"/>
    <w:rsid w:val="589C07F4"/>
    <w:rsid w:val="58A363C3"/>
    <w:rsid w:val="58A61818"/>
    <w:rsid w:val="58A65306"/>
    <w:rsid w:val="58A65D9C"/>
    <w:rsid w:val="58A9755A"/>
    <w:rsid w:val="58AC5FE5"/>
    <w:rsid w:val="58AC7FBB"/>
    <w:rsid w:val="58B2640F"/>
    <w:rsid w:val="58B32187"/>
    <w:rsid w:val="58B747DD"/>
    <w:rsid w:val="58B817C4"/>
    <w:rsid w:val="58B92F82"/>
    <w:rsid w:val="58BC103B"/>
    <w:rsid w:val="58C47EF0"/>
    <w:rsid w:val="58C61EBA"/>
    <w:rsid w:val="58CC4DB4"/>
    <w:rsid w:val="58D2085F"/>
    <w:rsid w:val="58D27F6E"/>
    <w:rsid w:val="58D36385"/>
    <w:rsid w:val="58D8731C"/>
    <w:rsid w:val="58E4675B"/>
    <w:rsid w:val="58ED7AB4"/>
    <w:rsid w:val="58EF73A8"/>
    <w:rsid w:val="58F033DB"/>
    <w:rsid w:val="58F241FB"/>
    <w:rsid w:val="58F46A27"/>
    <w:rsid w:val="59011144"/>
    <w:rsid w:val="59012EF2"/>
    <w:rsid w:val="59067264"/>
    <w:rsid w:val="59080D07"/>
    <w:rsid w:val="590E3FC1"/>
    <w:rsid w:val="590F4B83"/>
    <w:rsid w:val="59133644"/>
    <w:rsid w:val="59165065"/>
    <w:rsid w:val="59170968"/>
    <w:rsid w:val="5919648E"/>
    <w:rsid w:val="591968B2"/>
    <w:rsid w:val="591B0C87"/>
    <w:rsid w:val="591B10C7"/>
    <w:rsid w:val="591B6C3E"/>
    <w:rsid w:val="591E1CF6"/>
    <w:rsid w:val="59222D11"/>
    <w:rsid w:val="59232E69"/>
    <w:rsid w:val="592B368C"/>
    <w:rsid w:val="592E180D"/>
    <w:rsid w:val="593037D7"/>
    <w:rsid w:val="59376914"/>
    <w:rsid w:val="593A3F51"/>
    <w:rsid w:val="59403712"/>
    <w:rsid w:val="59434C15"/>
    <w:rsid w:val="594A55D4"/>
    <w:rsid w:val="59505C28"/>
    <w:rsid w:val="59506F18"/>
    <w:rsid w:val="59513E7A"/>
    <w:rsid w:val="5955323E"/>
    <w:rsid w:val="5957705E"/>
    <w:rsid w:val="595D4622"/>
    <w:rsid w:val="59604BBC"/>
    <w:rsid w:val="59613991"/>
    <w:rsid w:val="596A6CE9"/>
    <w:rsid w:val="596C783D"/>
    <w:rsid w:val="596D2336"/>
    <w:rsid w:val="597C052E"/>
    <w:rsid w:val="597E4543"/>
    <w:rsid w:val="5980475F"/>
    <w:rsid w:val="5987789B"/>
    <w:rsid w:val="59886A06"/>
    <w:rsid w:val="5988716F"/>
    <w:rsid w:val="59934492"/>
    <w:rsid w:val="599F05E5"/>
    <w:rsid w:val="59A06998"/>
    <w:rsid w:val="59A10231"/>
    <w:rsid w:val="59AC2E13"/>
    <w:rsid w:val="59B41EE8"/>
    <w:rsid w:val="59B44408"/>
    <w:rsid w:val="59B9557B"/>
    <w:rsid w:val="59BA53BE"/>
    <w:rsid w:val="59BD32BD"/>
    <w:rsid w:val="59BF753B"/>
    <w:rsid w:val="59C105A2"/>
    <w:rsid w:val="59C63F80"/>
    <w:rsid w:val="59C81C62"/>
    <w:rsid w:val="59D5500D"/>
    <w:rsid w:val="59D6612D"/>
    <w:rsid w:val="59D67C33"/>
    <w:rsid w:val="59D93E6F"/>
    <w:rsid w:val="59DC376F"/>
    <w:rsid w:val="59DE352D"/>
    <w:rsid w:val="59E074F3"/>
    <w:rsid w:val="59EF3692"/>
    <w:rsid w:val="59F36CDF"/>
    <w:rsid w:val="59FB6D28"/>
    <w:rsid w:val="5A001125"/>
    <w:rsid w:val="5A0376D2"/>
    <w:rsid w:val="5A04713E"/>
    <w:rsid w:val="5A115C65"/>
    <w:rsid w:val="5A1924BD"/>
    <w:rsid w:val="5A1A6469"/>
    <w:rsid w:val="5A1D1FAE"/>
    <w:rsid w:val="5A1D5B0A"/>
    <w:rsid w:val="5A1E0981"/>
    <w:rsid w:val="5A2275C4"/>
    <w:rsid w:val="5A232215"/>
    <w:rsid w:val="5A2E1A3D"/>
    <w:rsid w:val="5A2F3A8F"/>
    <w:rsid w:val="5A3410A5"/>
    <w:rsid w:val="5A3572F7"/>
    <w:rsid w:val="5A366BCB"/>
    <w:rsid w:val="5A3671BD"/>
    <w:rsid w:val="5A3D7F5A"/>
    <w:rsid w:val="5A4968FF"/>
    <w:rsid w:val="5A587B2F"/>
    <w:rsid w:val="5A5A0B0C"/>
    <w:rsid w:val="5A5A7395"/>
    <w:rsid w:val="5A5C4555"/>
    <w:rsid w:val="5A5D23AA"/>
    <w:rsid w:val="5A5D2E14"/>
    <w:rsid w:val="5A5F20FC"/>
    <w:rsid w:val="5A6037E3"/>
    <w:rsid w:val="5A640B0E"/>
    <w:rsid w:val="5A64198B"/>
    <w:rsid w:val="5A6F486C"/>
    <w:rsid w:val="5A715E56"/>
    <w:rsid w:val="5A7A2F5C"/>
    <w:rsid w:val="5A7A7D83"/>
    <w:rsid w:val="5A7E53FE"/>
    <w:rsid w:val="5A820063"/>
    <w:rsid w:val="5A851901"/>
    <w:rsid w:val="5A865DA5"/>
    <w:rsid w:val="5A892511"/>
    <w:rsid w:val="5A8C2C8F"/>
    <w:rsid w:val="5A8F00DD"/>
    <w:rsid w:val="5A9009D2"/>
    <w:rsid w:val="5A903397"/>
    <w:rsid w:val="5A92474A"/>
    <w:rsid w:val="5A954D35"/>
    <w:rsid w:val="5A981634"/>
    <w:rsid w:val="5A982221"/>
    <w:rsid w:val="5A9D30EE"/>
    <w:rsid w:val="5AA52B72"/>
    <w:rsid w:val="5AA91A93"/>
    <w:rsid w:val="5AAD63E9"/>
    <w:rsid w:val="5AAD67D2"/>
    <w:rsid w:val="5AB83A84"/>
    <w:rsid w:val="5ABA5A4E"/>
    <w:rsid w:val="5AC02939"/>
    <w:rsid w:val="5AC468CD"/>
    <w:rsid w:val="5AC70F4B"/>
    <w:rsid w:val="5AC95C92"/>
    <w:rsid w:val="5ACA2870"/>
    <w:rsid w:val="5ACB7C5C"/>
    <w:rsid w:val="5ACD442C"/>
    <w:rsid w:val="5ACE0C44"/>
    <w:rsid w:val="5AD133E8"/>
    <w:rsid w:val="5AD45D7D"/>
    <w:rsid w:val="5ADA1C4D"/>
    <w:rsid w:val="5ADC405F"/>
    <w:rsid w:val="5AE2535B"/>
    <w:rsid w:val="5AE42ACB"/>
    <w:rsid w:val="5AE62E9B"/>
    <w:rsid w:val="5AE64944"/>
    <w:rsid w:val="5AE8436A"/>
    <w:rsid w:val="5AEA5F7A"/>
    <w:rsid w:val="5AEB77D7"/>
    <w:rsid w:val="5AF07B9A"/>
    <w:rsid w:val="5AF2343A"/>
    <w:rsid w:val="5AF30F60"/>
    <w:rsid w:val="5B0647F0"/>
    <w:rsid w:val="5B0B62AA"/>
    <w:rsid w:val="5B0D5B7E"/>
    <w:rsid w:val="5B1A473F"/>
    <w:rsid w:val="5B1D473C"/>
    <w:rsid w:val="5B1F3B03"/>
    <w:rsid w:val="5B2027D8"/>
    <w:rsid w:val="5B24736C"/>
    <w:rsid w:val="5B2630E4"/>
    <w:rsid w:val="5B286E5C"/>
    <w:rsid w:val="5B2A2BD4"/>
    <w:rsid w:val="5B2B0AD7"/>
    <w:rsid w:val="5B2B24A8"/>
    <w:rsid w:val="5B2D7FCE"/>
    <w:rsid w:val="5B37709F"/>
    <w:rsid w:val="5B3E21DC"/>
    <w:rsid w:val="5B422E2E"/>
    <w:rsid w:val="5B4B48F9"/>
    <w:rsid w:val="5B4E3295"/>
    <w:rsid w:val="5B503CBD"/>
    <w:rsid w:val="5B5419FF"/>
    <w:rsid w:val="5B566DE3"/>
    <w:rsid w:val="5B57504B"/>
    <w:rsid w:val="5B5A20B7"/>
    <w:rsid w:val="5B647768"/>
    <w:rsid w:val="5B653C0C"/>
    <w:rsid w:val="5B661732"/>
    <w:rsid w:val="5B6800B4"/>
    <w:rsid w:val="5B6836FC"/>
    <w:rsid w:val="5B6A7475"/>
    <w:rsid w:val="5B6A7CA6"/>
    <w:rsid w:val="5B6B4F9B"/>
    <w:rsid w:val="5B6B6D49"/>
    <w:rsid w:val="5B6E2334"/>
    <w:rsid w:val="5B6E25C5"/>
    <w:rsid w:val="5B773940"/>
    <w:rsid w:val="5B776A16"/>
    <w:rsid w:val="5B77749C"/>
    <w:rsid w:val="5B7913D3"/>
    <w:rsid w:val="5B7B3430"/>
    <w:rsid w:val="5B7C4AB2"/>
    <w:rsid w:val="5B7C71A8"/>
    <w:rsid w:val="5B7C7CA2"/>
    <w:rsid w:val="5B7E6A7C"/>
    <w:rsid w:val="5B7F45A2"/>
    <w:rsid w:val="5B8147BE"/>
    <w:rsid w:val="5B8C73EB"/>
    <w:rsid w:val="5B8D4F11"/>
    <w:rsid w:val="5B922527"/>
    <w:rsid w:val="5B9415FA"/>
    <w:rsid w:val="5B9462A0"/>
    <w:rsid w:val="5B955B74"/>
    <w:rsid w:val="5B981FEC"/>
    <w:rsid w:val="5B98279E"/>
    <w:rsid w:val="5B987921"/>
    <w:rsid w:val="5B9938B6"/>
    <w:rsid w:val="5B9C643C"/>
    <w:rsid w:val="5BA83AF9"/>
    <w:rsid w:val="5BAF6C35"/>
    <w:rsid w:val="5BB24978"/>
    <w:rsid w:val="5BB42718"/>
    <w:rsid w:val="5BB64468"/>
    <w:rsid w:val="5BB71F8E"/>
    <w:rsid w:val="5BB7663D"/>
    <w:rsid w:val="5BB8505D"/>
    <w:rsid w:val="5BB93F58"/>
    <w:rsid w:val="5BBA30EF"/>
    <w:rsid w:val="5BBB382C"/>
    <w:rsid w:val="5BC00E43"/>
    <w:rsid w:val="5BC36B85"/>
    <w:rsid w:val="5BC528FD"/>
    <w:rsid w:val="5BC8419B"/>
    <w:rsid w:val="5BCC3C8B"/>
    <w:rsid w:val="5BCE7BDA"/>
    <w:rsid w:val="5BCF552A"/>
    <w:rsid w:val="5BD14DFE"/>
    <w:rsid w:val="5BD60666"/>
    <w:rsid w:val="5BD631CB"/>
    <w:rsid w:val="5BD668B8"/>
    <w:rsid w:val="5BDC19F5"/>
    <w:rsid w:val="5BDC37A3"/>
    <w:rsid w:val="5BEB64B4"/>
    <w:rsid w:val="5BF16B47"/>
    <w:rsid w:val="5BF1724E"/>
    <w:rsid w:val="5BF359E5"/>
    <w:rsid w:val="5BF40AEC"/>
    <w:rsid w:val="5BF84DEE"/>
    <w:rsid w:val="5BFB00CD"/>
    <w:rsid w:val="5BFB631F"/>
    <w:rsid w:val="5C013209"/>
    <w:rsid w:val="5C02145B"/>
    <w:rsid w:val="5C0276AD"/>
    <w:rsid w:val="5C0351D3"/>
    <w:rsid w:val="5C035BC3"/>
    <w:rsid w:val="5C0D3255"/>
    <w:rsid w:val="5C104B08"/>
    <w:rsid w:val="5C1271C4"/>
    <w:rsid w:val="5C1843D5"/>
    <w:rsid w:val="5C2B4F16"/>
    <w:rsid w:val="5C2C64D8"/>
    <w:rsid w:val="5C3420BD"/>
    <w:rsid w:val="5C3435B6"/>
    <w:rsid w:val="5C3435DF"/>
    <w:rsid w:val="5C3664BE"/>
    <w:rsid w:val="5C3D51D4"/>
    <w:rsid w:val="5C3F5AE6"/>
    <w:rsid w:val="5C447CC6"/>
    <w:rsid w:val="5C4826EA"/>
    <w:rsid w:val="5C4C26D6"/>
    <w:rsid w:val="5C4C6F93"/>
    <w:rsid w:val="5C4D0241"/>
    <w:rsid w:val="5C4D0EB4"/>
    <w:rsid w:val="5C514191"/>
    <w:rsid w:val="5C515F3F"/>
    <w:rsid w:val="5C5366D4"/>
    <w:rsid w:val="5C54268D"/>
    <w:rsid w:val="5C5644C1"/>
    <w:rsid w:val="5C564FBA"/>
    <w:rsid w:val="5C58107B"/>
    <w:rsid w:val="5C583771"/>
    <w:rsid w:val="5C594DF3"/>
    <w:rsid w:val="5C643EC4"/>
    <w:rsid w:val="5C670DF8"/>
    <w:rsid w:val="5C693288"/>
    <w:rsid w:val="5C7560D1"/>
    <w:rsid w:val="5C790656"/>
    <w:rsid w:val="5C7A61AD"/>
    <w:rsid w:val="5C7B745F"/>
    <w:rsid w:val="5C7C57DB"/>
    <w:rsid w:val="5C7D6D34"/>
    <w:rsid w:val="5C886978"/>
    <w:rsid w:val="5C8E7193"/>
    <w:rsid w:val="5C93062A"/>
    <w:rsid w:val="5C936557"/>
    <w:rsid w:val="5C9D2F32"/>
    <w:rsid w:val="5CA60DBC"/>
    <w:rsid w:val="5CA97B29"/>
    <w:rsid w:val="5CAF25EE"/>
    <w:rsid w:val="5CBA7F88"/>
    <w:rsid w:val="5CBF559E"/>
    <w:rsid w:val="5CC04E72"/>
    <w:rsid w:val="5CC07190"/>
    <w:rsid w:val="5CC826A5"/>
    <w:rsid w:val="5CCB3F43"/>
    <w:rsid w:val="5CCE758F"/>
    <w:rsid w:val="5CD32DF8"/>
    <w:rsid w:val="5CD526CC"/>
    <w:rsid w:val="5CD52B5A"/>
    <w:rsid w:val="5CDC2047"/>
    <w:rsid w:val="5CDD3C76"/>
    <w:rsid w:val="5CDD77D2"/>
    <w:rsid w:val="5CE648D9"/>
    <w:rsid w:val="5CEE5E83"/>
    <w:rsid w:val="5CF54B1C"/>
    <w:rsid w:val="5CF80AB0"/>
    <w:rsid w:val="5CFE60C6"/>
    <w:rsid w:val="5CFF3BED"/>
    <w:rsid w:val="5D042B4A"/>
    <w:rsid w:val="5D045109"/>
    <w:rsid w:val="5D047455"/>
    <w:rsid w:val="5D0631CD"/>
    <w:rsid w:val="5D096819"/>
    <w:rsid w:val="5D0B07E3"/>
    <w:rsid w:val="5D0F7423"/>
    <w:rsid w:val="5D150E9F"/>
    <w:rsid w:val="5D1950A9"/>
    <w:rsid w:val="5D1A0A26"/>
    <w:rsid w:val="5D1D48BE"/>
    <w:rsid w:val="5D276C9F"/>
    <w:rsid w:val="5D293AFC"/>
    <w:rsid w:val="5D395350"/>
    <w:rsid w:val="5D3E4715"/>
    <w:rsid w:val="5D432A63"/>
    <w:rsid w:val="5D4D6706"/>
    <w:rsid w:val="5D50269A"/>
    <w:rsid w:val="5D5117B1"/>
    <w:rsid w:val="5D535CE6"/>
    <w:rsid w:val="5D573A29"/>
    <w:rsid w:val="5D584F8B"/>
    <w:rsid w:val="5D5932FD"/>
    <w:rsid w:val="5D5F6439"/>
    <w:rsid w:val="5D6565C4"/>
    <w:rsid w:val="5D69137C"/>
    <w:rsid w:val="5D6972B8"/>
    <w:rsid w:val="5D6D6DA8"/>
    <w:rsid w:val="5D6E17E2"/>
    <w:rsid w:val="5D6E43C8"/>
    <w:rsid w:val="5D6E48CE"/>
    <w:rsid w:val="5D706898"/>
    <w:rsid w:val="5D7E7207"/>
    <w:rsid w:val="5D7F6ADB"/>
    <w:rsid w:val="5D8451DF"/>
    <w:rsid w:val="5D861A18"/>
    <w:rsid w:val="5D881E34"/>
    <w:rsid w:val="5D881F62"/>
    <w:rsid w:val="5D8D11F8"/>
    <w:rsid w:val="5D9302F4"/>
    <w:rsid w:val="5D973E25"/>
    <w:rsid w:val="5D99194B"/>
    <w:rsid w:val="5D9A3915"/>
    <w:rsid w:val="5D9E51B4"/>
    <w:rsid w:val="5D9F2BCB"/>
    <w:rsid w:val="5DA46B6D"/>
    <w:rsid w:val="5DAF51F7"/>
    <w:rsid w:val="5DB1138B"/>
    <w:rsid w:val="5DB1622D"/>
    <w:rsid w:val="5DB37B76"/>
    <w:rsid w:val="5DB659CA"/>
    <w:rsid w:val="5DBC7D30"/>
    <w:rsid w:val="5DBE13B2"/>
    <w:rsid w:val="5DC00F91"/>
    <w:rsid w:val="5DC15346"/>
    <w:rsid w:val="5DC310BE"/>
    <w:rsid w:val="5DCB1D21"/>
    <w:rsid w:val="5DCE3659"/>
    <w:rsid w:val="5DD45FE3"/>
    <w:rsid w:val="5DDA1827"/>
    <w:rsid w:val="5DDC7A8A"/>
    <w:rsid w:val="5DDE1A54"/>
    <w:rsid w:val="5DE45F41"/>
    <w:rsid w:val="5DE66B5A"/>
    <w:rsid w:val="5DEB4545"/>
    <w:rsid w:val="5DEC610D"/>
    <w:rsid w:val="5DED7EE9"/>
    <w:rsid w:val="5DF30DCA"/>
    <w:rsid w:val="5DF43025"/>
    <w:rsid w:val="5DFB250E"/>
    <w:rsid w:val="5DFE5C52"/>
    <w:rsid w:val="5E0019CA"/>
    <w:rsid w:val="5E0314BA"/>
    <w:rsid w:val="5E0558A5"/>
    <w:rsid w:val="5E0A5B42"/>
    <w:rsid w:val="5E0B0BC2"/>
    <w:rsid w:val="5E0C65C1"/>
    <w:rsid w:val="5E100D3B"/>
    <w:rsid w:val="5E115985"/>
    <w:rsid w:val="5E14191A"/>
    <w:rsid w:val="5E1B0CAA"/>
    <w:rsid w:val="5E2356B9"/>
    <w:rsid w:val="5E243A9D"/>
    <w:rsid w:val="5E275256"/>
    <w:rsid w:val="5E2D1009"/>
    <w:rsid w:val="5E2E10CA"/>
    <w:rsid w:val="5E2F6140"/>
    <w:rsid w:val="5E3506BF"/>
    <w:rsid w:val="5E394EDC"/>
    <w:rsid w:val="5E3B178F"/>
    <w:rsid w:val="5E3F5456"/>
    <w:rsid w:val="5E4D2736"/>
    <w:rsid w:val="5E4F4700"/>
    <w:rsid w:val="5E544C03"/>
    <w:rsid w:val="5E5E2B95"/>
    <w:rsid w:val="5E613959"/>
    <w:rsid w:val="5E6141BD"/>
    <w:rsid w:val="5E61439A"/>
    <w:rsid w:val="5E615DD9"/>
    <w:rsid w:val="5E616B11"/>
    <w:rsid w:val="5E635B19"/>
    <w:rsid w:val="5E683B45"/>
    <w:rsid w:val="5E6C6DF5"/>
    <w:rsid w:val="5E6C7060"/>
    <w:rsid w:val="5E6F724E"/>
    <w:rsid w:val="5E7128C8"/>
    <w:rsid w:val="5E745F14"/>
    <w:rsid w:val="5E767EDE"/>
    <w:rsid w:val="5E7C3B11"/>
    <w:rsid w:val="5E824AD5"/>
    <w:rsid w:val="5E8C14B0"/>
    <w:rsid w:val="5E8C30D1"/>
    <w:rsid w:val="5E8C5954"/>
    <w:rsid w:val="5E8F2D4E"/>
    <w:rsid w:val="5E913DE3"/>
    <w:rsid w:val="5E916AC6"/>
    <w:rsid w:val="5E987E55"/>
    <w:rsid w:val="5E9D5BE1"/>
    <w:rsid w:val="5E9F11E3"/>
    <w:rsid w:val="5EA06D09"/>
    <w:rsid w:val="5EA42C9D"/>
    <w:rsid w:val="5EA5649C"/>
    <w:rsid w:val="5EA70098"/>
    <w:rsid w:val="5EAA7669"/>
    <w:rsid w:val="5EB10F16"/>
    <w:rsid w:val="5EB34C8F"/>
    <w:rsid w:val="5EB6477F"/>
    <w:rsid w:val="5EBA601D"/>
    <w:rsid w:val="5EBB3B43"/>
    <w:rsid w:val="5EC062BD"/>
    <w:rsid w:val="5EC155FD"/>
    <w:rsid w:val="5EC450EE"/>
    <w:rsid w:val="5ECF75EF"/>
    <w:rsid w:val="5ED30C53"/>
    <w:rsid w:val="5ED52E57"/>
    <w:rsid w:val="5ED75746"/>
    <w:rsid w:val="5EDA54B9"/>
    <w:rsid w:val="5EDF3CD6"/>
    <w:rsid w:val="5EE237C6"/>
    <w:rsid w:val="5EF05EE3"/>
    <w:rsid w:val="5EF332DD"/>
    <w:rsid w:val="5EF37781"/>
    <w:rsid w:val="5EF62DCD"/>
    <w:rsid w:val="5EF7101F"/>
    <w:rsid w:val="5EF82F8A"/>
    <w:rsid w:val="5EF86B45"/>
    <w:rsid w:val="5EFF7ED4"/>
    <w:rsid w:val="5F0109D7"/>
    <w:rsid w:val="5F021772"/>
    <w:rsid w:val="5F061262"/>
    <w:rsid w:val="5F0A5975"/>
    <w:rsid w:val="5F0B0627"/>
    <w:rsid w:val="5F0D570A"/>
    <w:rsid w:val="5F130581"/>
    <w:rsid w:val="5F16521D"/>
    <w:rsid w:val="5F18074E"/>
    <w:rsid w:val="5F1C3CE6"/>
    <w:rsid w:val="5F2142EE"/>
    <w:rsid w:val="5F285182"/>
    <w:rsid w:val="5F2C371F"/>
    <w:rsid w:val="5F3045AF"/>
    <w:rsid w:val="5F310398"/>
    <w:rsid w:val="5F332FE6"/>
    <w:rsid w:val="5F335DCF"/>
    <w:rsid w:val="5F3D09FC"/>
    <w:rsid w:val="5F482FB2"/>
    <w:rsid w:val="5F49279D"/>
    <w:rsid w:val="5F5B17EB"/>
    <w:rsid w:val="5F630463"/>
    <w:rsid w:val="5F64491B"/>
    <w:rsid w:val="5F661EA2"/>
    <w:rsid w:val="5F6C1D5F"/>
    <w:rsid w:val="5F700DD2"/>
    <w:rsid w:val="5F702B80"/>
    <w:rsid w:val="5F756664"/>
    <w:rsid w:val="5F7E34EF"/>
    <w:rsid w:val="5F8640D2"/>
    <w:rsid w:val="5F8B79B9"/>
    <w:rsid w:val="5F8F7736"/>
    <w:rsid w:val="5F903222"/>
    <w:rsid w:val="5F981E3E"/>
    <w:rsid w:val="5F9A0CFC"/>
    <w:rsid w:val="5F9E149B"/>
    <w:rsid w:val="5FA10F8B"/>
    <w:rsid w:val="5FA32F55"/>
    <w:rsid w:val="5FAA42E4"/>
    <w:rsid w:val="5FAB1E0A"/>
    <w:rsid w:val="5FB05672"/>
    <w:rsid w:val="5FB46F10"/>
    <w:rsid w:val="5FBF7663"/>
    <w:rsid w:val="5FC609F2"/>
    <w:rsid w:val="5FC829BC"/>
    <w:rsid w:val="5FCA7817"/>
    <w:rsid w:val="5FCD1D80"/>
    <w:rsid w:val="5FCF7F47"/>
    <w:rsid w:val="5FD2450B"/>
    <w:rsid w:val="5FDB0EA0"/>
    <w:rsid w:val="5FDF3861"/>
    <w:rsid w:val="5FE06EEA"/>
    <w:rsid w:val="5FE5356E"/>
    <w:rsid w:val="5FE62E42"/>
    <w:rsid w:val="5FEA0B84"/>
    <w:rsid w:val="5FEB2206"/>
    <w:rsid w:val="5FEF590D"/>
    <w:rsid w:val="5FF52E9E"/>
    <w:rsid w:val="5FF90DC7"/>
    <w:rsid w:val="5FFB4B3F"/>
    <w:rsid w:val="5FFB68ED"/>
    <w:rsid w:val="5FFE616A"/>
    <w:rsid w:val="600734E4"/>
    <w:rsid w:val="6008100A"/>
    <w:rsid w:val="60084968"/>
    <w:rsid w:val="600902DE"/>
    <w:rsid w:val="60123C37"/>
    <w:rsid w:val="6014175D"/>
    <w:rsid w:val="60163727"/>
    <w:rsid w:val="60170067"/>
    <w:rsid w:val="6017749F"/>
    <w:rsid w:val="601F72DB"/>
    <w:rsid w:val="60206354"/>
    <w:rsid w:val="602168B1"/>
    <w:rsid w:val="602A2D2E"/>
    <w:rsid w:val="602A5424"/>
    <w:rsid w:val="602B4808"/>
    <w:rsid w:val="602F6597"/>
    <w:rsid w:val="603007A0"/>
    <w:rsid w:val="60395C8F"/>
    <w:rsid w:val="603B318E"/>
    <w:rsid w:val="60424F05"/>
    <w:rsid w:val="604722F6"/>
    <w:rsid w:val="60472673"/>
    <w:rsid w:val="604B7CD1"/>
    <w:rsid w:val="604E2B96"/>
    <w:rsid w:val="604F52CE"/>
    <w:rsid w:val="605E0114"/>
    <w:rsid w:val="605E0C2A"/>
    <w:rsid w:val="605F7E99"/>
    <w:rsid w:val="606335C9"/>
    <w:rsid w:val="60675D31"/>
    <w:rsid w:val="60691767"/>
    <w:rsid w:val="606A5821"/>
    <w:rsid w:val="606A75CF"/>
    <w:rsid w:val="606F4BE5"/>
    <w:rsid w:val="60730601"/>
    <w:rsid w:val="60730B79"/>
    <w:rsid w:val="60762418"/>
    <w:rsid w:val="60765F74"/>
    <w:rsid w:val="607B17DC"/>
    <w:rsid w:val="608605A7"/>
    <w:rsid w:val="608A1A1F"/>
    <w:rsid w:val="608A3F50"/>
    <w:rsid w:val="608C39E9"/>
    <w:rsid w:val="608F34D9"/>
    <w:rsid w:val="608F5287"/>
    <w:rsid w:val="6091780F"/>
    <w:rsid w:val="60932FCA"/>
    <w:rsid w:val="60933B18"/>
    <w:rsid w:val="60934D78"/>
    <w:rsid w:val="6097009E"/>
    <w:rsid w:val="609946E1"/>
    <w:rsid w:val="60996106"/>
    <w:rsid w:val="609E54CA"/>
    <w:rsid w:val="60A358E5"/>
    <w:rsid w:val="60A52CFD"/>
    <w:rsid w:val="60A54AAB"/>
    <w:rsid w:val="60AC5E39"/>
    <w:rsid w:val="60B01171"/>
    <w:rsid w:val="60B050DA"/>
    <w:rsid w:val="60B63B0B"/>
    <w:rsid w:val="60B768B1"/>
    <w:rsid w:val="60B8658C"/>
    <w:rsid w:val="60B92304"/>
    <w:rsid w:val="60BB7E2A"/>
    <w:rsid w:val="60C211B9"/>
    <w:rsid w:val="60CE7CAA"/>
    <w:rsid w:val="60CF2120"/>
    <w:rsid w:val="60D83AA0"/>
    <w:rsid w:val="60D94755"/>
    <w:rsid w:val="60DA174A"/>
    <w:rsid w:val="60DA44E4"/>
    <w:rsid w:val="60DD718A"/>
    <w:rsid w:val="60DE4198"/>
    <w:rsid w:val="60DE4622"/>
    <w:rsid w:val="60E43825"/>
    <w:rsid w:val="60E530F9"/>
    <w:rsid w:val="60E75BD3"/>
    <w:rsid w:val="60ED1D84"/>
    <w:rsid w:val="60EE2068"/>
    <w:rsid w:val="60F13388"/>
    <w:rsid w:val="60F15F42"/>
    <w:rsid w:val="60F668A1"/>
    <w:rsid w:val="60F872D1"/>
    <w:rsid w:val="60FA59D4"/>
    <w:rsid w:val="60FA6BA5"/>
    <w:rsid w:val="61007F33"/>
    <w:rsid w:val="610E3CEE"/>
    <w:rsid w:val="611D6D37"/>
    <w:rsid w:val="611F485D"/>
    <w:rsid w:val="612956DC"/>
    <w:rsid w:val="61314591"/>
    <w:rsid w:val="6138147B"/>
    <w:rsid w:val="61383921"/>
    <w:rsid w:val="613D4CE3"/>
    <w:rsid w:val="61412A26"/>
    <w:rsid w:val="61446072"/>
    <w:rsid w:val="61461DEA"/>
    <w:rsid w:val="6151253D"/>
    <w:rsid w:val="61534507"/>
    <w:rsid w:val="61555592"/>
    <w:rsid w:val="61595BB5"/>
    <w:rsid w:val="615A5895"/>
    <w:rsid w:val="615D17EC"/>
    <w:rsid w:val="61605860"/>
    <w:rsid w:val="6162299C"/>
    <w:rsid w:val="616808E3"/>
    <w:rsid w:val="61686204"/>
    <w:rsid w:val="61691F7C"/>
    <w:rsid w:val="616B35FF"/>
    <w:rsid w:val="616B7E1C"/>
    <w:rsid w:val="6175447D"/>
    <w:rsid w:val="61761FA3"/>
    <w:rsid w:val="61783F6D"/>
    <w:rsid w:val="617B0255"/>
    <w:rsid w:val="617C1CB0"/>
    <w:rsid w:val="617E77D6"/>
    <w:rsid w:val="618648DC"/>
    <w:rsid w:val="618712EE"/>
    <w:rsid w:val="618D5C6B"/>
    <w:rsid w:val="61907509"/>
    <w:rsid w:val="61952D71"/>
    <w:rsid w:val="619743F4"/>
    <w:rsid w:val="619863BE"/>
    <w:rsid w:val="61994D80"/>
    <w:rsid w:val="619A5CF5"/>
    <w:rsid w:val="619C5EAE"/>
    <w:rsid w:val="61A52B04"/>
    <w:rsid w:val="61A650CC"/>
    <w:rsid w:val="61A94127"/>
    <w:rsid w:val="61AE30F8"/>
    <w:rsid w:val="61B256D1"/>
    <w:rsid w:val="61B82347"/>
    <w:rsid w:val="61BB6DE5"/>
    <w:rsid w:val="61BC20AC"/>
    <w:rsid w:val="61BF394A"/>
    <w:rsid w:val="61C251E9"/>
    <w:rsid w:val="61C86CA3"/>
    <w:rsid w:val="61CD6067"/>
    <w:rsid w:val="61D373F6"/>
    <w:rsid w:val="61D43A01"/>
    <w:rsid w:val="61D75138"/>
    <w:rsid w:val="61D94C85"/>
    <w:rsid w:val="61DB4C28"/>
    <w:rsid w:val="61DC62AA"/>
    <w:rsid w:val="61DE0274"/>
    <w:rsid w:val="61E67129"/>
    <w:rsid w:val="61E72810"/>
    <w:rsid w:val="61EB473F"/>
    <w:rsid w:val="61ED048F"/>
    <w:rsid w:val="61ED495B"/>
    <w:rsid w:val="61F25ACE"/>
    <w:rsid w:val="61F555BE"/>
    <w:rsid w:val="61F56EE9"/>
    <w:rsid w:val="61F96E5C"/>
    <w:rsid w:val="61FB0E26"/>
    <w:rsid w:val="62017CB5"/>
    <w:rsid w:val="620677CB"/>
    <w:rsid w:val="62090D84"/>
    <w:rsid w:val="620B084C"/>
    <w:rsid w:val="620D0B5A"/>
    <w:rsid w:val="62127C59"/>
    <w:rsid w:val="62127F1E"/>
    <w:rsid w:val="62195750"/>
    <w:rsid w:val="621A5D1E"/>
    <w:rsid w:val="62233F15"/>
    <w:rsid w:val="622D2FAA"/>
    <w:rsid w:val="622D678C"/>
    <w:rsid w:val="622D6B06"/>
    <w:rsid w:val="622F6D22"/>
    <w:rsid w:val="623065F6"/>
    <w:rsid w:val="62361E5F"/>
    <w:rsid w:val="623D6CC3"/>
    <w:rsid w:val="625E3163"/>
    <w:rsid w:val="625E7607"/>
    <w:rsid w:val="62606CFF"/>
    <w:rsid w:val="62734B78"/>
    <w:rsid w:val="62740F21"/>
    <w:rsid w:val="62744735"/>
    <w:rsid w:val="62764951"/>
    <w:rsid w:val="627C4CDF"/>
    <w:rsid w:val="62853336"/>
    <w:rsid w:val="62856942"/>
    <w:rsid w:val="62861D78"/>
    <w:rsid w:val="629923ED"/>
    <w:rsid w:val="62A0377C"/>
    <w:rsid w:val="62A33CEE"/>
    <w:rsid w:val="62A36DC8"/>
    <w:rsid w:val="62A414BE"/>
    <w:rsid w:val="62A72D5C"/>
    <w:rsid w:val="62A80882"/>
    <w:rsid w:val="62AF1C11"/>
    <w:rsid w:val="62B07A33"/>
    <w:rsid w:val="62B114E5"/>
    <w:rsid w:val="62B57844"/>
    <w:rsid w:val="62B9483E"/>
    <w:rsid w:val="62BB0225"/>
    <w:rsid w:val="62BC2735"/>
    <w:rsid w:val="62BD2580"/>
    <w:rsid w:val="62BF00A6"/>
    <w:rsid w:val="62C16ED9"/>
    <w:rsid w:val="62C70D09"/>
    <w:rsid w:val="62D058DC"/>
    <w:rsid w:val="62D17D13"/>
    <w:rsid w:val="62D36604"/>
    <w:rsid w:val="62DD052C"/>
    <w:rsid w:val="62DD22DA"/>
    <w:rsid w:val="62DE3973"/>
    <w:rsid w:val="62DF24F6"/>
    <w:rsid w:val="62ED2A39"/>
    <w:rsid w:val="62EF003C"/>
    <w:rsid w:val="62F45876"/>
    <w:rsid w:val="62F80EEF"/>
    <w:rsid w:val="62FB30A8"/>
    <w:rsid w:val="62FD0BCE"/>
    <w:rsid w:val="62FD297C"/>
    <w:rsid w:val="62FD48F9"/>
    <w:rsid w:val="62FF575B"/>
    <w:rsid w:val="63001DEA"/>
    <w:rsid w:val="63044510"/>
    <w:rsid w:val="63142353"/>
    <w:rsid w:val="63181564"/>
    <w:rsid w:val="631F750A"/>
    <w:rsid w:val="632717A7"/>
    <w:rsid w:val="632B573B"/>
    <w:rsid w:val="632C0287"/>
    <w:rsid w:val="63302D52"/>
    <w:rsid w:val="63316ACA"/>
    <w:rsid w:val="633A4412"/>
    <w:rsid w:val="633F2F95"/>
    <w:rsid w:val="634560D1"/>
    <w:rsid w:val="63463C10"/>
    <w:rsid w:val="634C56B2"/>
    <w:rsid w:val="63506F50"/>
    <w:rsid w:val="63536A40"/>
    <w:rsid w:val="63542B21"/>
    <w:rsid w:val="635822A8"/>
    <w:rsid w:val="635A3395"/>
    <w:rsid w:val="636E6B6A"/>
    <w:rsid w:val="63716EC6"/>
    <w:rsid w:val="63724157"/>
    <w:rsid w:val="63727E69"/>
    <w:rsid w:val="637349EC"/>
    <w:rsid w:val="6379289B"/>
    <w:rsid w:val="637A221F"/>
    <w:rsid w:val="637B1AF3"/>
    <w:rsid w:val="637C15CE"/>
    <w:rsid w:val="637C5F97"/>
    <w:rsid w:val="63811411"/>
    <w:rsid w:val="63816D87"/>
    <w:rsid w:val="63822E81"/>
    <w:rsid w:val="6384309D"/>
    <w:rsid w:val="638E51F8"/>
    <w:rsid w:val="638F2C8D"/>
    <w:rsid w:val="639037F0"/>
    <w:rsid w:val="639613D5"/>
    <w:rsid w:val="63972DD1"/>
    <w:rsid w:val="63984453"/>
    <w:rsid w:val="639A19C1"/>
    <w:rsid w:val="639D68F3"/>
    <w:rsid w:val="639F465E"/>
    <w:rsid w:val="63A43095"/>
    <w:rsid w:val="63A44B67"/>
    <w:rsid w:val="63A66B70"/>
    <w:rsid w:val="63A67818"/>
    <w:rsid w:val="63AA2F5C"/>
    <w:rsid w:val="63AB062A"/>
    <w:rsid w:val="63AB4186"/>
    <w:rsid w:val="63B21F07"/>
    <w:rsid w:val="63C86BF3"/>
    <w:rsid w:val="63C93511"/>
    <w:rsid w:val="63CB4828"/>
    <w:rsid w:val="63D25BB7"/>
    <w:rsid w:val="63D47B81"/>
    <w:rsid w:val="63D61AC1"/>
    <w:rsid w:val="63D6234D"/>
    <w:rsid w:val="63DD6415"/>
    <w:rsid w:val="63E53BC8"/>
    <w:rsid w:val="63E73C31"/>
    <w:rsid w:val="63E76AAE"/>
    <w:rsid w:val="63EE0517"/>
    <w:rsid w:val="63F4655B"/>
    <w:rsid w:val="63F6672E"/>
    <w:rsid w:val="63F773CC"/>
    <w:rsid w:val="63FF2DFF"/>
    <w:rsid w:val="64005A77"/>
    <w:rsid w:val="64020EED"/>
    <w:rsid w:val="64137F7D"/>
    <w:rsid w:val="641553BE"/>
    <w:rsid w:val="64177A6E"/>
    <w:rsid w:val="6422134A"/>
    <w:rsid w:val="642301C1"/>
    <w:rsid w:val="64287ECD"/>
    <w:rsid w:val="642B372C"/>
    <w:rsid w:val="642F3009"/>
    <w:rsid w:val="6432106C"/>
    <w:rsid w:val="64342FEB"/>
    <w:rsid w:val="64365658"/>
    <w:rsid w:val="64391431"/>
    <w:rsid w:val="64393E88"/>
    <w:rsid w:val="643C1282"/>
    <w:rsid w:val="64406FC4"/>
    <w:rsid w:val="644545DB"/>
    <w:rsid w:val="64476995"/>
    <w:rsid w:val="644840CB"/>
    <w:rsid w:val="644A1BF1"/>
    <w:rsid w:val="644C3E99"/>
    <w:rsid w:val="644D7933"/>
    <w:rsid w:val="644D7DDF"/>
    <w:rsid w:val="645035A7"/>
    <w:rsid w:val="64526CF8"/>
    <w:rsid w:val="64571B5F"/>
    <w:rsid w:val="645816A8"/>
    <w:rsid w:val="64590086"/>
    <w:rsid w:val="645942E2"/>
    <w:rsid w:val="64624C91"/>
    <w:rsid w:val="646507D9"/>
    <w:rsid w:val="64656A2B"/>
    <w:rsid w:val="64660D4E"/>
    <w:rsid w:val="646D34E5"/>
    <w:rsid w:val="6470717E"/>
    <w:rsid w:val="6472739A"/>
    <w:rsid w:val="64754794"/>
    <w:rsid w:val="64760C38"/>
    <w:rsid w:val="6477675E"/>
    <w:rsid w:val="64794284"/>
    <w:rsid w:val="647A2737"/>
    <w:rsid w:val="647A3D9A"/>
    <w:rsid w:val="647B0A21"/>
    <w:rsid w:val="647C661F"/>
    <w:rsid w:val="647E6DE2"/>
    <w:rsid w:val="64803865"/>
    <w:rsid w:val="64833FCA"/>
    <w:rsid w:val="648659EF"/>
    <w:rsid w:val="6488096B"/>
    <w:rsid w:val="648844C8"/>
    <w:rsid w:val="64897E3C"/>
    <w:rsid w:val="64942E6C"/>
    <w:rsid w:val="64967909"/>
    <w:rsid w:val="649B069F"/>
    <w:rsid w:val="649E018F"/>
    <w:rsid w:val="649E3CEB"/>
    <w:rsid w:val="64A47615"/>
    <w:rsid w:val="64A5054A"/>
    <w:rsid w:val="64AE05A2"/>
    <w:rsid w:val="64BD0615"/>
    <w:rsid w:val="64C179D9"/>
    <w:rsid w:val="64C74ED6"/>
    <w:rsid w:val="64D140C0"/>
    <w:rsid w:val="64D67929"/>
    <w:rsid w:val="64DB6CED"/>
    <w:rsid w:val="64DE766F"/>
    <w:rsid w:val="64E060B2"/>
    <w:rsid w:val="64E21243"/>
    <w:rsid w:val="64E214BB"/>
    <w:rsid w:val="64E35BA2"/>
    <w:rsid w:val="64EC2CA8"/>
    <w:rsid w:val="64ED1CCE"/>
    <w:rsid w:val="64FB6CCD"/>
    <w:rsid w:val="64FF12A9"/>
    <w:rsid w:val="65006754"/>
    <w:rsid w:val="65071890"/>
    <w:rsid w:val="650A312E"/>
    <w:rsid w:val="65117397"/>
    <w:rsid w:val="651371E6"/>
    <w:rsid w:val="65181CEF"/>
    <w:rsid w:val="65222B6E"/>
    <w:rsid w:val="6522491C"/>
    <w:rsid w:val="652341F0"/>
    <w:rsid w:val="6525147F"/>
    <w:rsid w:val="6525440C"/>
    <w:rsid w:val="65280E39"/>
    <w:rsid w:val="652E506F"/>
    <w:rsid w:val="652F2EC5"/>
    <w:rsid w:val="65313F45"/>
    <w:rsid w:val="6532099C"/>
    <w:rsid w:val="653416A2"/>
    <w:rsid w:val="653603C7"/>
    <w:rsid w:val="65392EE8"/>
    <w:rsid w:val="65457634"/>
    <w:rsid w:val="654943D9"/>
    <w:rsid w:val="654F4FE5"/>
    <w:rsid w:val="65501489"/>
    <w:rsid w:val="65505779"/>
    <w:rsid w:val="65515201"/>
    <w:rsid w:val="65516FAF"/>
    <w:rsid w:val="65587972"/>
    <w:rsid w:val="655B5B7B"/>
    <w:rsid w:val="655E2E5B"/>
    <w:rsid w:val="65605444"/>
    <w:rsid w:val="6561620F"/>
    <w:rsid w:val="65634201"/>
    <w:rsid w:val="65674A25"/>
    <w:rsid w:val="656C5B97"/>
    <w:rsid w:val="6570441C"/>
    <w:rsid w:val="65705687"/>
    <w:rsid w:val="65711400"/>
    <w:rsid w:val="6571289C"/>
    <w:rsid w:val="657A4758"/>
    <w:rsid w:val="657A67FB"/>
    <w:rsid w:val="658630FD"/>
    <w:rsid w:val="658E3D60"/>
    <w:rsid w:val="65917BFE"/>
    <w:rsid w:val="65924467"/>
    <w:rsid w:val="65947E9E"/>
    <w:rsid w:val="65A128A4"/>
    <w:rsid w:val="65A370BE"/>
    <w:rsid w:val="65A569EB"/>
    <w:rsid w:val="65B34EF4"/>
    <w:rsid w:val="65B5753E"/>
    <w:rsid w:val="65B65064"/>
    <w:rsid w:val="65B8461B"/>
    <w:rsid w:val="65B85280"/>
    <w:rsid w:val="65B94A12"/>
    <w:rsid w:val="65BD63F3"/>
    <w:rsid w:val="65C018F8"/>
    <w:rsid w:val="65C9123C"/>
    <w:rsid w:val="65CA33EE"/>
    <w:rsid w:val="65CB4640"/>
    <w:rsid w:val="65D35C16"/>
    <w:rsid w:val="65D54352"/>
    <w:rsid w:val="65E03249"/>
    <w:rsid w:val="65E04199"/>
    <w:rsid w:val="65E676F8"/>
    <w:rsid w:val="65E9368C"/>
    <w:rsid w:val="65E971E8"/>
    <w:rsid w:val="65EB11B2"/>
    <w:rsid w:val="65EF603E"/>
    <w:rsid w:val="660C59AD"/>
    <w:rsid w:val="6611613F"/>
    <w:rsid w:val="66137318"/>
    <w:rsid w:val="661A1A97"/>
    <w:rsid w:val="661C580F"/>
    <w:rsid w:val="662326FA"/>
    <w:rsid w:val="66256220"/>
    <w:rsid w:val="6626043C"/>
    <w:rsid w:val="66285F62"/>
    <w:rsid w:val="662B5A52"/>
    <w:rsid w:val="66304E17"/>
    <w:rsid w:val="66336550"/>
    <w:rsid w:val="66391968"/>
    <w:rsid w:val="663F1B4F"/>
    <w:rsid w:val="6646288C"/>
    <w:rsid w:val="664663E8"/>
    <w:rsid w:val="66482160"/>
    <w:rsid w:val="664B7EA3"/>
    <w:rsid w:val="664D3C1B"/>
    <w:rsid w:val="664F359C"/>
    <w:rsid w:val="66577A0E"/>
    <w:rsid w:val="665A00E6"/>
    <w:rsid w:val="665E7BD6"/>
    <w:rsid w:val="665F74AA"/>
    <w:rsid w:val="66644AC0"/>
    <w:rsid w:val="66683E2E"/>
    <w:rsid w:val="666A0329"/>
    <w:rsid w:val="666C2F5C"/>
    <w:rsid w:val="666F593F"/>
    <w:rsid w:val="66753763"/>
    <w:rsid w:val="66767F45"/>
    <w:rsid w:val="667C520A"/>
    <w:rsid w:val="667D6598"/>
    <w:rsid w:val="66811B16"/>
    <w:rsid w:val="6688598D"/>
    <w:rsid w:val="668E5741"/>
    <w:rsid w:val="6695111E"/>
    <w:rsid w:val="66976C44"/>
    <w:rsid w:val="669C78E0"/>
    <w:rsid w:val="66A001EE"/>
    <w:rsid w:val="66A12E8D"/>
    <w:rsid w:val="66A6332B"/>
    <w:rsid w:val="66A852F5"/>
    <w:rsid w:val="66B141AA"/>
    <w:rsid w:val="66B15295"/>
    <w:rsid w:val="66B617C0"/>
    <w:rsid w:val="66B625AE"/>
    <w:rsid w:val="66B71336"/>
    <w:rsid w:val="66BB5028"/>
    <w:rsid w:val="66CA526B"/>
    <w:rsid w:val="66D165FA"/>
    <w:rsid w:val="66D333BF"/>
    <w:rsid w:val="66D920D5"/>
    <w:rsid w:val="66DB3486"/>
    <w:rsid w:val="66DE338F"/>
    <w:rsid w:val="66E005EB"/>
    <w:rsid w:val="66E04A8F"/>
    <w:rsid w:val="66E22C70"/>
    <w:rsid w:val="66E55C01"/>
    <w:rsid w:val="66E77BCB"/>
    <w:rsid w:val="66EA28ED"/>
    <w:rsid w:val="66EB7E49"/>
    <w:rsid w:val="66EC6F90"/>
    <w:rsid w:val="66F127F8"/>
    <w:rsid w:val="66F150F1"/>
    <w:rsid w:val="66F45E44"/>
    <w:rsid w:val="66F8413C"/>
    <w:rsid w:val="66FA116F"/>
    <w:rsid w:val="6703252B"/>
    <w:rsid w:val="670818F0"/>
    <w:rsid w:val="67087B42"/>
    <w:rsid w:val="670D5158"/>
    <w:rsid w:val="67114C48"/>
    <w:rsid w:val="671169F6"/>
    <w:rsid w:val="671D35ED"/>
    <w:rsid w:val="67281F92"/>
    <w:rsid w:val="672C55DE"/>
    <w:rsid w:val="672F24BD"/>
    <w:rsid w:val="673821D5"/>
    <w:rsid w:val="67430B7A"/>
    <w:rsid w:val="67444C1A"/>
    <w:rsid w:val="67446DCC"/>
    <w:rsid w:val="67452B44"/>
    <w:rsid w:val="67492634"/>
    <w:rsid w:val="674D32DB"/>
    <w:rsid w:val="67550FD9"/>
    <w:rsid w:val="675633A1"/>
    <w:rsid w:val="675863D3"/>
    <w:rsid w:val="675B4115"/>
    <w:rsid w:val="675E59B4"/>
    <w:rsid w:val="67666275"/>
    <w:rsid w:val="676E3E49"/>
    <w:rsid w:val="67713939"/>
    <w:rsid w:val="67717495"/>
    <w:rsid w:val="6773145F"/>
    <w:rsid w:val="67750B86"/>
    <w:rsid w:val="6779459B"/>
    <w:rsid w:val="677B0314"/>
    <w:rsid w:val="677D63AA"/>
    <w:rsid w:val="6784366C"/>
    <w:rsid w:val="67863520"/>
    <w:rsid w:val="67865849"/>
    <w:rsid w:val="678E0047"/>
    <w:rsid w:val="678F78FF"/>
    <w:rsid w:val="67915D89"/>
    <w:rsid w:val="679247E6"/>
    <w:rsid w:val="67951162"/>
    <w:rsid w:val="6796339F"/>
    <w:rsid w:val="67976F43"/>
    <w:rsid w:val="67995641"/>
    <w:rsid w:val="679A46D5"/>
    <w:rsid w:val="679B2764"/>
    <w:rsid w:val="679B5E96"/>
    <w:rsid w:val="679F4002"/>
    <w:rsid w:val="67A4786A"/>
    <w:rsid w:val="67A930D3"/>
    <w:rsid w:val="67AB0BF9"/>
    <w:rsid w:val="67B37AAD"/>
    <w:rsid w:val="67B6134C"/>
    <w:rsid w:val="67BF6442"/>
    <w:rsid w:val="67C65A33"/>
    <w:rsid w:val="67D0065F"/>
    <w:rsid w:val="67D12268"/>
    <w:rsid w:val="67DD0F44"/>
    <w:rsid w:val="67DF4D46"/>
    <w:rsid w:val="67E10ABE"/>
    <w:rsid w:val="67ED7463"/>
    <w:rsid w:val="67F061BA"/>
    <w:rsid w:val="67F105D6"/>
    <w:rsid w:val="67F26828"/>
    <w:rsid w:val="67F51E74"/>
    <w:rsid w:val="67FD6F7B"/>
    <w:rsid w:val="67FF2CF3"/>
    <w:rsid w:val="6802302F"/>
    <w:rsid w:val="680577D0"/>
    <w:rsid w:val="680B78E9"/>
    <w:rsid w:val="680D207D"/>
    <w:rsid w:val="68163C32"/>
    <w:rsid w:val="6817628E"/>
    <w:rsid w:val="681A7B2C"/>
    <w:rsid w:val="68262975"/>
    <w:rsid w:val="68273FF7"/>
    <w:rsid w:val="68283019"/>
    <w:rsid w:val="682D7860"/>
    <w:rsid w:val="683A01CF"/>
    <w:rsid w:val="683A3FF8"/>
    <w:rsid w:val="683D5975"/>
    <w:rsid w:val="6844104D"/>
    <w:rsid w:val="684B7755"/>
    <w:rsid w:val="6853303E"/>
    <w:rsid w:val="685748DD"/>
    <w:rsid w:val="6858777C"/>
    <w:rsid w:val="685C18DD"/>
    <w:rsid w:val="685E5C6B"/>
    <w:rsid w:val="68606F0F"/>
    <w:rsid w:val="68617509"/>
    <w:rsid w:val="686252AC"/>
    <w:rsid w:val="68647BCC"/>
    <w:rsid w:val="68680898"/>
    <w:rsid w:val="68694610"/>
    <w:rsid w:val="686A0AB4"/>
    <w:rsid w:val="686F6420"/>
    <w:rsid w:val="687B34B7"/>
    <w:rsid w:val="687E630D"/>
    <w:rsid w:val="687F7690"/>
    <w:rsid w:val="6884144A"/>
    <w:rsid w:val="688558EE"/>
    <w:rsid w:val="6886412C"/>
    <w:rsid w:val="6888718C"/>
    <w:rsid w:val="688B0A2A"/>
    <w:rsid w:val="688D47A2"/>
    <w:rsid w:val="688F4DE6"/>
    <w:rsid w:val="68914669"/>
    <w:rsid w:val="68993147"/>
    <w:rsid w:val="68996117"/>
    <w:rsid w:val="689A52B4"/>
    <w:rsid w:val="689C4889"/>
    <w:rsid w:val="689C6793"/>
    <w:rsid w:val="689D6BF6"/>
    <w:rsid w:val="689E250C"/>
    <w:rsid w:val="689E787C"/>
    <w:rsid w:val="68A12A5C"/>
    <w:rsid w:val="68A13DAA"/>
    <w:rsid w:val="68A35D74"/>
    <w:rsid w:val="68A5389A"/>
    <w:rsid w:val="68A61457"/>
    <w:rsid w:val="68A85138"/>
    <w:rsid w:val="68AA4595"/>
    <w:rsid w:val="68B06877"/>
    <w:rsid w:val="68B27D65"/>
    <w:rsid w:val="68B30AF3"/>
    <w:rsid w:val="68B7129A"/>
    <w:rsid w:val="68B735CD"/>
    <w:rsid w:val="68B76601"/>
    <w:rsid w:val="68C325D8"/>
    <w:rsid w:val="68C77CB4"/>
    <w:rsid w:val="68CA1553"/>
    <w:rsid w:val="68CC52CB"/>
    <w:rsid w:val="68CE0052"/>
    <w:rsid w:val="68D02111"/>
    <w:rsid w:val="68D172F6"/>
    <w:rsid w:val="68D20407"/>
    <w:rsid w:val="68D417A8"/>
    <w:rsid w:val="68D66149"/>
    <w:rsid w:val="68D67EF7"/>
    <w:rsid w:val="68DE4FFE"/>
    <w:rsid w:val="68E41A1C"/>
    <w:rsid w:val="68E51EE8"/>
    <w:rsid w:val="68E54CA7"/>
    <w:rsid w:val="68E85E7D"/>
    <w:rsid w:val="68EF0D46"/>
    <w:rsid w:val="68EF720B"/>
    <w:rsid w:val="68F16ADF"/>
    <w:rsid w:val="68F51D1C"/>
    <w:rsid w:val="68FC5484"/>
    <w:rsid w:val="690007A9"/>
    <w:rsid w:val="6902337E"/>
    <w:rsid w:val="6903748B"/>
    <w:rsid w:val="69054339"/>
    <w:rsid w:val="69076303"/>
    <w:rsid w:val="690C2ABD"/>
    <w:rsid w:val="69121950"/>
    <w:rsid w:val="691B3B5C"/>
    <w:rsid w:val="691C5C42"/>
    <w:rsid w:val="691C78D4"/>
    <w:rsid w:val="691D1966"/>
    <w:rsid w:val="691F5712"/>
    <w:rsid w:val="691F7191"/>
    <w:rsid w:val="692769A5"/>
    <w:rsid w:val="692A3D9F"/>
    <w:rsid w:val="692C4920"/>
    <w:rsid w:val="692C7EA4"/>
    <w:rsid w:val="69313380"/>
    <w:rsid w:val="69344C1E"/>
    <w:rsid w:val="693764BC"/>
    <w:rsid w:val="693A71DC"/>
    <w:rsid w:val="693D1D24"/>
    <w:rsid w:val="69401815"/>
    <w:rsid w:val="694330B3"/>
    <w:rsid w:val="694716C8"/>
    <w:rsid w:val="694C3DAD"/>
    <w:rsid w:val="694F1A58"/>
    <w:rsid w:val="69502D4F"/>
    <w:rsid w:val="69513A22"/>
    <w:rsid w:val="695329B9"/>
    <w:rsid w:val="695663AF"/>
    <w:rsid w:val="69584DB0"/>
    <w:rsid w:val="6960172D"/>
    <w:rsid w:val="69661785"/>
    <w:rsid w:val="696848C8"/>
    <w:rsid w:val="69692B1A"/>
    <w:rsid w:val="696F3EA8"/>
    <w:rsid w:val="69703A94"/>
    <w:rsid w:val="697119CE"/>
    <w:rsid w:val="6974326C"/>
    <w:rsid w:val="697C0856"/>
    <w:rsid w:val="697F058F"/>
    <w:rsid w:val="69806B53"/>
    <w:rsid w:val="698735C3"/>
    <w:rsid w:val="698E5A3B"/>
    <w:rsid w:val="69915C80"/>
    <w:rsid w:val="6991664A"/>
    <w:rsid w:val="699451E5"/>
    <w:rsid w:val="69983F80"/>
    <w:rsid w:val="699851AD"/>
    <w:rsid w:val="699D0A15"/>
    <w:rsid w:val="699D27C3"/>
    <w:rsid w:val="69A04061"/>
    <w:rsid w:val="69A55B1C"/>
    <w:rsid w:val="69A753F0"/>
    <w:rsid w:val="69A86CC8"/>
    <w:rsid w:val="69AA4EE0"/>
    <w:rsid w:val="69AA5856"/>
    <w:rsid w:val="69AD5E71"/>
    <w:rsid w:val="69AE49D0"/>
    <w:rsid w:val="69B12712"/>
    <w:rsid w:val="69B53FB1"/>
    <w:rsid w:val="69B95123"/>
    <w:rsid w:val="69BF098B"/>
    <w:rsid w:val="69C3307B"/>
    <w:rsid w:val="69C45FA2"/>
    <w:rsid w:val="69C67F6C"/>
    <w:rsid w:val="69D361E5"/>
    <w:rsid w:val="69D56401"/>
    <w:rsid w:val="69DA3A17"/>
    <w:rsid w:val="69DC2515"/>
    <w:rsid w:val="69DD52B6"/>
    <w:rsid w:val="69DD764A"/>
    <w:rsid w:val="69E421A0"/>
    <w:rsid w:val="69E563C8"/>
    <w:rsid w:val="69E76134"/>
    <w:rsid w:val="69E93C5A"/>
    <w:rsid w:val="69EB79D2"/>
    <w:rsid w:val="69EC374B"/>
    <w:rsid w:val="69F46E1A"/>
    <w:rsid w:val="69F70BB6"/>
    <w:rsid w:val="69FC398E"/>
    <w:rsid w:val="69FD282D"/>
    <w:rsid w:val="6A022F6E"/>
    <w:rsid w:val="6A035D92"/>
    <w:rsid w:val="6A093E50"/>
    <w:rsid w:val="6A0942FC"/>
    <w:rsid w:val="6A0E0F71"/>
    <w:rsid w:val="6A114F5F"/>
    <w:rsid w:val="6A1231B1"/>
    <w:rsid w:val="6A1D1B56"/>
    <w:rsid w:val="6A211646"/>
    <w:rsid w:val="6A2151A2"/>
    <w:rsid w:val="6A24096A"/>
    <w:rsid w:val="6A2A6BB5"/>
    <w:rsid w:val="6A2A744A"/>
    <w:rsid w:val="6A2C1D99"/>
    <w:rsid w:val="6A2C70D6"/>
    <w:rsid w:val="6A3273AF"/>
    <w:rsid w:val="6A3550F2"/>
    <w:rsid w:val="6A3749C6"/>
    <w:rsid w:val="6A3D7B02"/>
    <w:rsid w:val="6A3F1ACC"/>
    <w:rsid w:val="6A41460E"/>
    <w:rsid w:val="6A4175F2"/>
    <w:rsid w:val="6A455DFD"/>
    <w:rsid w:val="6A4946F9"/>
    <w:rsid w:val="6A4E7F61"/>
    <w:rsid w:val="6A520AF6"/>
    <w:rsid w:val="6A522B35"/>
    <w:rsid w:val="6A527A52"/>
    <w:rsid w:val="6A535578"/>
    <w:rsid w:val="6A537326"/>
    <w:rsid w:val="6A58493C"/>
    <w:rsid w:val="6A5F510D"/>
    <w:rsid w:val="6A6301CF"/>
    <w:rsid w:val="6A6D488B"/>
    <w:rsid w:val="6A77474D"/>
    <w:rsid w:val="6A7817DB"/>
    <w:rsid w:val="6A82730F"/>
    <w:rsid w:val="6A837C0B"/>
    <w:rsid w:val="6A883473"/>
    <w:rsid w:val="6A8B2F63"/>
    <w:rsid w:val="6A8D6CDC"/>
    <w:rsid w:val="6A8F4802"/>
    <w:rsid w:val="6A9516EC"/>
    <w:rsid w:val="6AA06A0F"/>
    <w:rsid w:val="6AA23195"/>
    <w:rsid w:val="6AA33E09"/>
    <w:rsid w:val="6AAE4C7E"/>
    <w:rsid w:val="6AAF0A00"/>
    <w:rsid w:val="6AAF57D6"/>
    <w:rsid w:val="6AB10740"/>
    <w:rsid w:val="6AB204F0"/>
    <w:rsid w:val="6AB26D37"/>
    <w:rsid w:val="6AB53B3C"/>
    <w:rsid w:val="6ABA0C36"/>
    <w:rsid w:val="6ABA73A5"/>
    <w:rsid w:val="6AC00E5F"/>
    <w:rsid w:val="6AC01F87"/>
    <w:rsid w:val="6AC14B5B"/>
    <w:rsid w:val="6AC205A5"/>
    <w:rsid w:val="6AC50223"/>
    <w:rsid w:val="6AC7223E"/>
    <w:rsid w:val="6AD93CCF"/>
    <w:rsid w:val="6ADA35A3"/>
    <w:rsid w:val="6ADC37BF"/>
    <w:rsid w:val="6ADE0DD0"/>
    <w:rsid w:val="6AE306AA"/>
    <w:rsid w:val="6AE452FC"/>
    <w:rsid w:val="6AE80371"/>
    <w:rsid w:val="6AEF455A"/>
    <w:rsid w:val="6AF0332D"/>
    <w:rsid w:val="6AF328F6"/>
    <w:rsid w:val="6AF64881"/>
    <w:rsid w:val="6AF840FD"/>
    <w:rsid w:val="6AF91C7B"/>
    <w:rsid w:val="6AFB1E97"/>
    <w:rsid w:val="6AFE54E3"/>
    <w:rsid w:val="6B00519F"/>
    <w:rsid w:val="6B012A20"/>
    <w:rsid w:val="6B016D82"/>
    <w:rsid w:val="6B051CFD"/>
    <w:rsid w:val="6B0B7C00"/>
    <w:rsid w:val="6B0F5943"/>
    <w:rsid w:val="6B106FC5"/>
    <w:rsid w:val="6B1100E5"/>
    <w:rsid w:val="6B1116BB"/>
    <w:rsid w:val="6B1271E1"/>
    <w:rsid w:val="6B160A7F"/>
    <w:rsid w:val="6B170353"/>
    <w:rsid w:val="6B180670"/>
    <w:rsid w:val="6B1B4A3D"/>
    <w:rsid w:val="6B1C6609"/>
    <w:rsid w:val="6B1D005F"/>
    <w:rsid w:val="6B1E16E2"/>
    <w:rsid w:val="6B234B19"/>
    <w:rsid w:val="6B234F4A"/>
    <w:rsid w:val="6B256F14"/>
    <w:rsid w:val="6B287D4C"/>
    <w:rsid w:val="6B2B3DFF"/>
    <w:rsid w:val="6B2D401B"/>
    <w:rsid w:val="6B2F38EF"/>
    <w:rsid w:val="6B3C7DBA"/>
    <w:rsid w:val="6B3E776E"/>
    <w:rsid w:val="6B4262EE"/>
    <w:rsid w:val="6B453112"/>
    <w:rsid w:val="6B4644DF"/>
    <w:rsid w:val="6B484DC8"/>
    <w:rsid w:val="6B4C3885"/>
    <w:rsid w:val="6B543355"/>
    <w:rsid w:val="6B5477F9"/>
    <w:rsid w:val="6B5641C9"/>
    <w:rsid w:val="6B564C0B"/>
    <w:rsid w:val="6B574014"/>
    <w:rsid w:val="6B592781"/>
    <w:rsid w:val="6B5E2426"/>
    <w:rsid w:val="6B6537B4"/>
    <w:rsid w:val="6B655563"/>
    <w:rsid w:val="6B6A4927"/>
    <w:rsid w:val="6B6C3959"/>
    <w:rsid w:val="6B713F07"/>
    <w:rsid w:val="6B725286"/>
    <w:rsid w:val="6B7B2FD8"/>
    <w:rsid w:val="6B7E6624"/>
    <w:rsid w:val="6B8005EE"/>
    <w:rsid w:val="6B85058F"/>
    <w:rsid w:val="6B8609FC"/>
    <w:rsid w:val="6B87500A"/>
    <w:rsid w:val="6B8F0831"/>
    <w:rsid w:val="6B9145AA"/>
    <w:rsid w:val="6B922CC0"/>
    <w:rsid w:val="6B964575"/>
    <w:rsid w:val="6B96631E"/>
    <w:rsid w:val="6B9B2D32"/>
    <w:rsid w:val="6B9D6AAA"/>
    <w:rsid w:val="6BA73DCD"/>
    <w:rsid w:val="6BA90FD6"/>
    <w:rsid w:val="6BAC75D4"/>
    <w:rsid w:val="6BB43DF4"/>
    <w:rsid w:val="6BB66E93"/>
    <w:rsid w:val="6BB81B36"/>
    <w:rsid w:val="6BBA58AE"/>
    <w:rsid w:val="6BBB5FAB"/>
    <w:rsid w:val="6BBD60AA"/>
    <w:rsid w:val="6BC229B5"/>
    <w:rsid w:val="6BC67A8C"/>
    <w:rsid w:val="6BC71D79"/>
    <w:rsid w:val="6BCA2E4F"/>
    <w:rsid w:val="6BCC3834"/>
    <w:rsid w:val="6BCC7390"/>
    <w:rsid w:val="6BD44496"/>
    <w:rsid w:val="6BD46A58"/>
    <w:rsid w:val="6BD526E8"/>
    <w:rsid w:val="6BD9385B"/>
    <w:rsid w:val="6BDD77EF"/>
    <w:rsid w:val="6BDF70C3"/>
    <w:rsid w:val="6BE0108D"/>
    <w:rsid w:val="6BE67566"/>
    <w:rsid w:val="6BE923C6"/>
    <w:rsid w:val="6BEE1118"/>
    <w:rsid w:val="6BEE4B6A"/>
    <w:rsid w:val="6BEE5558"/>
    <w:rsid w:val="6BF12D98"/>
    <w:rsid w:val="6BF23772"/>
    <w:rsid w:val="6BF55889"/>
    <w:rsid w:val="6BF5774A"/>
    <w:rsid w:val="6BFF59B7"/>
    <w:rsid w:val="6C021003"/>
    <w:rsid w:val="6C0905E4"/>
    <w:rsid w:val="6C0B610A"/>
    <w:rsid w:val="6C0D77F1"/>
    <w:rsid w:val="6C0F54CE"/>
    <w:rsid w:val="6C184383"/>
    <w:rsid w:val="6C2526A5"/>
    <w:rsid w:val="6C264CF2"/>
    <w:rsid w:val="6C292A34"/>
    <w:rsid w:val="6C2B2308"/>
    <w:rsid w:val="6C2C0154"/>
    <w:rsid w:val="6C30791F"/>
    <w:rsid w:val="6C346B2E"/>
    <w:rsid w:val="6C3A0913"/>
    <w:rsid w:val="6C3D38D3"/>
    <w:rsid w:val="6C450EF0"/>
    <w:rsid w:val="6C4909E0"/>
    <w:rsid w:val="6C497664"/>
    <w:rsid w:val="6C4C04D0"/>
    <w:rsid w:val="6C4C227F"/>
    <w:rsid w:val="6C4E4249"/>
    <w:rsid w:val="6C5630FD"/>
    <w:rsid w:val="6C5A2BED"/>
    <w:rsid w:val="6C5C0714"/>
    <w:rsid w:val="6C5F402C"/>
    <w:rsid w:val="6C621AA2"/>
    <w:rsid w:val="6C634982"/>
    <w:rsid w:val="6C6A0C0A"/>
    <w:rsid w:val="6C7208E9"/>
    <w:rsid w:val="6C735A5D"/>
    <w:rsid w:val="6C7B7DBF"/>
    <w:rsid w:val="6C817F78"/>
    <w:rsid w:val="6C866672"/>
    <w:rsid w:val="6C8735E5"/>
    <w:rsid w:val="6C8C6B1F"/>
    <w:rsid w:val="6C953C26"/>
    <w:rsid w:val="6C9738D7"/>
    <w:rsid w:val="6C974B35"/>
    <w:rsid w:val="6C975BF0"/>
    <w:rsid w:val="6C976054"/>
    <w:rsid w:val="6C994CC9"/>
    <w:rsid w:val="6C9A56E0"/>
    <w:rsid w:val="6C9D0D2C"/>
    <w:rsid w:val="6C9D2ADA"/>
    <w:rsid w:val="6CA44149"/>
    <w:rsid w:val="6CA519F7"/>
    <w:rsid w:val="6CA728F8"/>
    <w:rsid w:val="6CAC6DF2"/>
    <w:rsid w:val="6CB24026"/>
    <w:rsid w:val="6CB61189"/>
    <w:rsid w:val="6CBB6EBA"/>
    <w:rsid w:val="6CBD6E8C"/>
    <w:rsid w:val="6CC12C6C"/>
    <w:rsid w:val="6CC60283"/>
    <w:rsid w:val="6CC664D5"/>
    <w:rsid w:val="6CDD277C"/>
    <w:rsid w:val="6CDE55CC"/>
    <w:rsid w:val="6CE52C63"/>
    <w:rsid w:val="6CE626D3"/>
    <w:rsid w:val="6CF021E2"/>
    <w:rsid w:val="6CF070AE"/>
    <w:rsid w:val="6CF20365"/>
    <w:rsid w:val="6CF21078"/>
    <w:rsid w:val="6CFA1CDB"/>
    <w:rsid w:val="6CFC6341"/>
    <w:rsid w:val="6D0019E7"/>
    <w:rsid w:val="6D0A4613"/>
    <w:rsid w:val="6D1151F0"/>
    <w:rsid w:val="6D1159A2"/>
    <w:rsid w:val="6D142D9C"/>
    <w:rsid w:val="6D147240"/>
    <w:rsid w:val="6D194FC0"/>
    <w:rsid w:val="6D1B44BF"/>
    <w:rsid w:val="6D202E2C"/>
    <w:rsid w:val="6D2C1207"/>
    <w:rsid w:val="6D2D1405"/>
    <w:rsid w:val="6D2D20B0"/>
    <w:rsid w:val="6D31787A"/>
    <w:rsid w:val="6D32265A"/>
    <w:rsid w:val="6D364E14"/>
    <w:rsid w:val="6D3E2003"/>
    <w:rsid w:val="6D41621A"/>
    <w:rsid w:val="6D416EDE"/>
    <w:rsid w:val="6D435152"/>
    <w:rsid w:val="6D464F20"/>
    <w:rsid w:val="6D486AFE"/>
    <w:rsid w:val="6D4E4ADE"/>
    <w:rsid w:val="6D4F64CA"/>
    <w:rsid w:val="6D51529D"/>
    <w:rsid w:val="6D54588F"/>
    <w:rsid w:val="6D5533B5"/>
    <w:rsid w:val="6D657A9C"/>
    <w:rsid w:val="6D673814"/>
    <w:rsid w:val="6D6C7290"/>
    <w:rsid w:val="6D6F4508"/>
    <w:rsid w:val="6D727E47"/>
    <w:rsid w:val="6D765805"/>
    <w:rsid w:val="6D793547"/>
    <w:rsid w:val="6D7D3037"/>
    <w:rsid w:val="6D7F47C0"/>
    <w:rsid w:val="6D855A48"/>
    <w:rsid w:val="6D88155A"/>
    <w:rsid w:val="6D8F2D6B"/>
    <w:rsid w:val="6D915FF2"/>
    <w:rsid w:val="6D937262"/>
    <w:rsid w:val="6D942212"/>
    <w:rsid w:val="6D943EDD"/>
    <w:rsid w:val="6D986680"/>
    <w:rsid w:val="6D9C0FE4"/>
    <w:rsid w:val="6DA305C4"/>
    <w:rsid w:val="6DA46816"/>
    <w:rsid w:val="6DA5433C"/>
    <w:rsid w:val="6DAA42C3"/>
    <w:rsid w:val="6DAE1443"/>
    <w:rsid w:val="6DB25E28"/>
    <w:rsid w:val="6DB620A5"/>
    <w:rsid w:val="6DB85E1E"/>
    <w:rsid w:val="6DC6295F"/>
    <w:rsid w:val="6DC81DD9"/>
    <w:rsid w:val="6DD518E8"/>
    <w:rsid w:val="6DD54C1E"/>
    <w:rsid w:val="6DD6118A"/>
    <w:rsid w:val="6DD8201C"/>
    <w:rsid w:val="6DDA2161"/>
    <w:rsid w:val="6DE07122"/>
    <w:rsid w:val="6DE74955"/>
    <w:rsid w:val="6DEA61F3"/>
    <w:rsid w:val="6DEA7FA1"/>
    <w:rsid w:val="6DEE09E5"/>
    <w:rsid w:val="6DF4699A"/>
    <w:rsid w:val="6DF745C2"/>
    <w:rsid w:val="6DFA4688"/>
    <w:rsid w:val="6DFB5D0A"/>
    <w:rsid w:val="6E032E11"/>
    <w:rsid w:val="6E041063"/>
    <w:rsid w:val="6E070B53"/>
    <w:rsid w:val="6E081FC6"/>
    <w:rsid w:val="6E096679"/>
    <w:rsid w:val="6E0E0133"/>
    <w:rsid w:val="6E0E5A3E"/>
    <w:rsid w:val="6E0F7A08"/>
    <w:rsid w:val="6E1517E1"/>
    <w:rsid w:val="6E18519D"/>
    <w:rsid w:val="6E1D0376"/>
    <w:rsid w:val="6E1F7C4B"/>
    <w:rsid w:val="6E201C15"/>
    <w:rsid w:val="6E22773B"/>
    <w:rsid w:val="6E276AFF"/>
    <w:rsid w:val="6E281A1A"/>
    <w:rsid w:val="6E296D1B"/>
    <w:rsid w:val="6E2B2A93"/>
    <w:rsid w:val="6E2C0263"/>
    <w:rsid w:val="6E2F4EA0"/>
    <w:rsid w:val="6E3336F6"/>
    <w:rsid w:val="6E34121C"/>
    <w:rsid w:val="6E3556C0"/>
    <w:rsid w:val="6E364877"/>
    <w:rsid w:val="6E386F5E"/>
    <w:rsid w:val="6E3A3756"/>
    <w:rsid w:val="6E42387F"/>
    <w:rsid w:val="6E4341C8"/>
    <w:rsid w:val="6E4678CD"/>
    <w:rsid w:val="6E4A3A4F"/>
    <w:rsid w:val="6E4B4EE4"/>
    <w:rsid w:val="6E510020"/>
    <w:rsid w:val="6E517E76"/>
    <w:rsid w:val="6E52229C"/>
    <w:rsid w:val="6E565636"/>
    <w:rsid w:val="6E587601"/>
    <w:rsid w:val="6E5F44EB"/>
    <w:rsid w:val="6E632089"/>
    <w:rsid w:val="6E67471D"/>
    <w:rsid w:val="6E692A74"/>
    <w:rsid w:val="6E6A0E41"/>
    <w:rsid w:val="6E6B7334"/>
    <w:rsid w:val="6E6E2DDD"/>
    <w:rsid w:val="6E755ABD"/>
    <w:rsid w:val="6E781A51"/>
    <w:rsid w:val="6E7A5ED0"/>
    <w:rsid w:val="6E7D2BC3"/>
    <w:rsid w:val="6E8B1784"/>
    <w:rsid w:val="6E8B52E0"/>
    <w:rsid w:val="6E966455"/>
    <w:rsid w:val="6E975A45"/>
    <w:rsid w:val="6E9817AB"/>
    <w:rsid w:val="6E9C573F"/>
    <w:rsid w:val="6E9D05BA"/>
    <w:rsid w:val="6E9E4E8E"/>
    <w:rsid w:val="6E9E5833"/>
    <w:rsid w:val="6EA2262A"/>
    <w:rsid w:val="6EA445F4"/>
    <w:rsid w:val="6EA55596"/>
    <w:rsid w:val="6EA563D0"/>
    <w:rsid w:val="6EA91C0A"/>
    <w:rsid w:val="6EB26D11"/>
    <w:rsid w:val="6EB365E5"/>
    <w:rsid w:val="6EBD1212"/>
    <w:rsid w:val="6EBF34D3"/>
    <w:rsid w:val="6EBF7737"/>
    <w:rsid w:val="6EC175DC"/>
    <w:rsid w:val="6EC32993"/>
    <w:rsid w:val="6ECB392F"/>
    <w:rsid w:val="6ECD58F9"/>
    <w:rsid w:val="6ED12BC5"/>
    <w:rsid w:val="6ED44F12"/>
    <w:rsid w:val="6ED929CC"/>
    <w:rsid w:val="6EDC1FE0"/>
    <w:rsid w:val="6EDD18B4"/>
    <w:rsid w:val="6EDF387E"/>
    <w:rsid w:val="6EDF7A17"/>
    <w:rsid w:val="6EE81966"/>
    <w:rsid w:val="6EF020B7"/>
    <w:rsid w:val="6EF336A4"/>
    <w:rsid w:val="6EF42DCB"/>
    <w:rsid w:val="6EFC4430"/>
    <w:rsid w:val="6EFE3626"/>
    <w:rsid w:val="6EFE5688"/>
    <w:rsid w:val="6EFF5CCE"/>
    <w:rsid w:val="6F011A46"/>
    <w:rsid w:val="6F0137F4"/>
    <w:rsid w:val="6F0D3F47"/>
    <w:rsid w:val="6F101C89"/>
    <w:rsid w:val="6F143527"/>
    <w:rsid w:val="6F150E28"/>
    <w:rsid w:val="6F153CD3"/>
    <w:rsid w:val="6F176B74"/>
    <w:rsid w:val="6F1928EC"/>
    <w:rsid w:val="6F2D283B"/>
    <w:rsid w:val="6F3054EB"/>
    <w:rsid w:val="6F3239AE"/>
    <w:rsid w:val="6F360B96"/>
    <w:rsid w:val="6F370D0F"/>
    <w:rsid w:val="6F370FC4"/>
    <w:rsid w:val="6F3813CA"/>
    <w:rsid w:val="6F3D46B1"/>
    <w:rsid w:val="6F410095"/>
    <w:rsid w:val="6F431EE0"/>
    <w:rsid w:val="6F4638FD"/>
    <w:rsid w:val="6F4A10C4"/>
    <w:rsid w:val="6F4B4A6F"/>
    <w:rsid w:val="6F593630"/>
    <w:rsid w:val="6F59718C"/>
    <w:rsid w:val="6F5D2FB4"/>
    <w:rsid w:val="6F6B5112"/>
    <w:rsid w:val="6F6B6EC0"/>
    <w:rsid w:val="6F6D49E6"/>
    <w:rsid w:val="6F6F075E"/>
    <w:rsid w:val="6F71097A"/>
    <w:rsid w:val="6F745D74"/>
    <w:rsid w:val="6F771D08"/>
    <w:rsid w:val="6F78153D"/>
    <w:rsid w:val="6F7C6A4D"/>
    <w:rsid w:val="6F7E5279"/>
    <w:rsid w:val="6F80296B"/>
    <w:rsid w:val="6F8166E3"/>
    <w:rsid w:val="6F891436"/>
    <w:rsid w:val="6F8D6E36"/>
    <w:rsid w:val="6F8F0E00"/>
    <w:rsid w:val="6F8F2BAE"/>
    <w:rsid w:val="6F944668"/>
    <w:rsid w:val="6F9603E0"/>
    <w:rsid w:val="6F990141"/>
    <w:rsid w:val="6F993AF1"/>
    <w:rsid w:val="6FA70552"/>
    <w:rsid w:val="6FA84C02"/>
    <w:rsid w:val="6FB16FC8"/>
    <w:rsid w:val="6FB40867"/>
    <w:rsid w:val="6FB62831"/>
    <w:rsid w:val="6FBC3668"/>
    <w:rsid w:val="6FBE7937"/>
    <w:rsid w:val="6FC62348"/>
    <w:rsid w:val="6FCE1961"/>
    <w:rsid w:val="6FCE582A"/>
    <w:rsid w:val="6FCF2A35"/>
    <w:rsid w:val="6FD23B94"/>
    <w:rsid w:val="6FD3514C"/>
    <w:rsid w:val="6FD66A2F"/>
    <w:rsid w:val="6FD809F9"/>
    <w:rsid w:val="6FD827A7"/>
    <w:rsid w:val="6FDB3522"/>
    <w:rsid w:val="6FDC1B6B"/>
    <w:rsid w:val="6FDC72F9"/>
    <w:rsid w:val="6FE078AE"/>
    <w:rsid w:val="6FE253D4"/>
    <w:rsid w:val="6FE359C2"/>
    <w:rsid w:val="6FEF7AF1"/>
    <w:rsid w:val="6FF43359"/>
    <w:rsid w:val="6FF6185D"/>
    <w:rsid w:val="7003534A"/>
    <w:rsid w:val="700C41FF"/>
    <w:rsid w:val="700D7F77"/>
    <w:rsid w:val="70102B68"/>
    <w:rsid w:val="70121FAD"/>
    <w:rsid w:val="70131A31"/>
    <w:rsid w:val="701653E3"/>
    <w:rsid w:val="701A29A5"/>
    <w:rsid w:val="701C4822"/>
    <w:rsid w:val="70221C74"/>
    <w:rsid w:val="702459EC"/>
    <w:rsid w:val="7025639F"/>
    <w:rsid w:val="702754DC"/>
    <w:rsid w:val="70290D2C"/>
    <w:rsid w:val="702B69E4"/>
    <w:rsid w:val="702D1E69"/>
    <w:rsid w:val="70310109"/>
    <w:rsid w:val="70344490"/>
    <w:rsid w:val="70441100"/>
    <w:rsid w:val="704876EA"/>
    <w:rsid w:val="704A5FEB"/>
    <w:rsid w:val="704C3013"/>
    <w:rsid w:val="704C4F43"/>
    <w:rsid w:val="705252F6"/>
    <w:rsid w:val="705374F5"/>
    <w:rsid w:val="70556EED"/>
    <w:rsid w:val="7056191E"/>
    <w:rsid w:val="70575C80"/>
    <w:rsid w:val="70585696"/>
    <w:rsid w:val="705F1DD6"/>
    <w:rsid w:val="706510B7"/>
    <w:rsid w:val="70666005"/>
    <w:rsid w:val="70673EE3"/>
    <w:rsid w:val="706B361B"/>
    <w:rsid w:val="706C1726"/>
    <w:rsid w:val="706C51C0"/>
    <w:rsid w:val="706F12F4"/>
    <w:rsid w:val="707324D0"/>
    <w:rsid w:val="707441F0"/>
    <w:rsid w:val="70776A9B"/>
    <w:rsid w:val="70781894"/>
    <w:rsid w:val="707A1AB0"/>
    <w:rsid w:val="707D6EAA"/>
    <w:rsid w:val="707F4F45"/>
    <w:rsid w:val="708228FC"/>
    <w:rsid w:val="70823BE0"/>
    <w:rsid w:val="70893AA1"/>
    <w:rsid w:val="70904E30"/>
    <w:rsid w:val="7095400A"/>
    <w:rsid w:val="709541F4"/>
    <w:rsid w:val="70965DA1"/>
    <w:rsid w:val="709661BE"/>
    <w:rsid w:val="709712A0"/>
    <w:rsid w:val="709C6820"/>
    <w:rsid w:val="709D579F"/>
    <w:rsid w:val="709F12DA"/>
    <w:rsid w:val="70A26911"/>
    <w:rsid w:val="70A42689"/>
    <w:rsid w:val="70A71437"/>
    <w:rsid w:val="70A7741B"/>
    <w:rsid w:val="70AE6645"/>
    <w:rsid w:val="70B4006F"/>
    <w:rsid w:val="70B57A34"/>
    <w:rsid w:val="70C65E02"/>
    <w:rsid w:val="70CD7E32"/>
    <w:rsid w:val="70CE7706"/>
    <w:rsid w:val="70D171F6"/>
    <w:rsid w:val="70DF7B65"/>
    <w:rsid w:val="70E379D0"/>
    <w:rsid w:val="70E81F3E"/>
    <w:rsid w:val="70E837DF"/>
    <w:rsid w:val="70E92277"/>
    <w:rsid w:val="70EF3E1D"/>
    <w:rsid w:val="70F3126C"/>
    <w:rsid w:val="70F73101"/>
    <w:rsid w:val="70FC4273"/>
    <w:rsid w:val="7104137A"/>
    <w:rsid w:val="71082B55"/>
    <w:rsid w:val="710B6BAC"/>
    <w:rsid w:val="71193077"/>
    <w:rsid w:val="711A1177"/>
    <w:rsid w:val="711A6DEF"/>
    <w:rsid w:val="711C0C24"/>
    <w:rsid w:val="711E582B"/>
    <w:rsid w:val="711F4406"/>
    <w:rsid w:val="71235C9B"/>
    <w:rsid w:val="71327C95"/>
    <w:rsid w:val="71381023"/>
    <w:rsid w:val="7139265C"/>
    <w:rsid w:val="714300F4"/>
    <w:rsid w:val="714F6A99"/>
    <w:rsid w:val="71543E56"/>
    <w:rsid w:val="71597917"/>
    <w:rsid w:val="715C2F64"/>
    <w:rsid w:val="71630796"/>
    <w:rsid w:val="71702C8B"/>
    <w:rsid w:val="71716B68"/>
    <w:rsid w:val="7174105B"/>
    <w:rsid w:val="71744751"/>
    <w:rsid w:val="717B5AE0"/>
    <w:rsid w:val="717F172E"/>
    <w:rsid w:val="7185070D"/>
    <w:rsid w:val="718B5D8D"/>
    <w:rsid w:val="718F3339"/>
    <w:rsid w:val="71932046"/>
    <w:rsid w:val="71946A7E"/>
    <w:rsid w:val="71951611"/>
    <w:rsid w:val="71970440"/>
    <w:rsid w:val="71997D14"/>
    <w:rsid w:val="71A1306D"/>
    <w:rsid w:val="71A16BC9"/>
    <w:rsid w:val="71A87F57"/>
    <w:rsid w:val="71AA3CCF"/>
    <w:rsid w:val="71AB7A47"/>
    <w:rsid w:val="71AC3F14"/>
    <w:rsid w:val="71B505CF"/>
    <w:rsid w:val="71B548D1"/>
    <w:rsid w:val="71BC7C65"/>
    <w:rsid w:val="71BD1D40"/>
    <w:rsid w:val="71C07997"/>
    <w:rsid w:val="71C43014"/>
    <w:rsid w:val="71C64881"/>
    <w:rsid w:val="71C8684B"/>
    <w:rsid w:val="71CC7E01"/>
    <w:rsid w:val="71D022E5"/>
    <w:rsid w:val="71D1493E"/>
    <w:rsid w:val="71D842C9"/>
    <w:rsid w:val="71E01DE7"/>
    <w:rsid w:val="71E13243"/>
    <w:rsid w:val="71E41740"/>
    <w:rsid w:val="71E41974"/>
    <w:rsid w:val="71ED62B2"/>
    <w:rsid w:val="71F039A4"/>
    <w:rsid w:val="71FC02A3"/>
    <w:rsid w:val="72021D5D"/>
    <w:rsid w:val="72031631"/>
    <w:rsid w:val="72043067"/>
    <w:rsid w:val="7205184D"/>
    <w:rsid w:val="720A0C12"/>
    <w:rsid w:val="720A29C0"/>
    <w:rsid w:val="720C491C"/>
    <w:rsid w:val="720C6738"/>
    <w:rsid w:val="72111FA0"/>
    <w:rsid w:val="72161365"/>
    <w:rsid w:val="72165809"/>
    <w:rsid w:val="721750DD"/>
    <w:rsid w:val="721D0945"/>
    <w:rsid w:val="721E6481"/>
    <w:rsid w:val="721F298D"/>
    <w:rsid w:val="72236CE8"/>
    <w:rsid w:val="722A54BC"/>
    <w:rsid w:val="723A0276"/>
    <w:rsid w:val="723B526F"/>
    <w:rsid w:val="723D4CFB"/>
    <w:rsid w:val="72406E13"/>
    <w:rsid w:val="7249173A"/>
    <w:rsid w:val="724A3704"/>
    <w:rsid w:val="724E133B"/>
    <w:rsid w:val="72511D57"/>
    <w:rsid w:val="72556331"/>
    <w:rsid w:val="726A7902"/>
    <w:rsid w:val="726B54BE"/>
    <w:rsid w:val="72730565"/>
    <w:rsid w:val="728203DC"/>
    <w:rsid w:val="7283753E"/>
    <w:rsid w:val="7284642B"/>
    <w:rsid w:val="7285473C"/>
    <w:rsid w:val="728C7879"/>
    <w:rsid w:val="729130E1"/>
    <w:rsid w:val="72914E8F"/>
    <w:rsid w:val="7292327F"/>
    <w:rsid w:val="72952BD1"/>
    <w:rsid w:val="729A1F96"/>
    <w:rsid w:val="729B7ABC"/>
    <w:rsid w:val="729F57FE"/>
    <w:rsid w:val="72A02941"/>
    <w:rsid w:val="72A9136A"/>
    <w:rsid w:val="72A91BA0"/>
    <w:rsid w:val="72B1108D"/>
    <w:rsid w:val="72B312A9"/>
    <w:rsid w:val="72B62B48"/>
    <w:rsid w:val="72B8066E"/>
    <w:rsid w:val="72BD5C84"/>
    <w:rsid w:val="72C214EC"/>
    <w:rsid w:val="72C45800"/>
    <w:rsid w:val="72C542CA"/>
    <w:rsid w:val="72CE60E3"/>
    <w:rsid w:val="72D336FA"/>
    <w:rsid w:val="72D54D7C"/>
    <w:rsid w:val="72DD1E82"/>
    <w:rsid w:val="72E14993"/>
    <w:rsid w:val="72E17BC5"/>
    <w:rsid w:val="72E47527"/>
    <w:rsid w:val="72F16E84"/>
    <w:rsid w:val="72F431B5"/>
    <w:rsid w:val="72F63973"/>
    <w:rsid w:val="72FC0AEE"/>
    <w:rsid w:val="73052A89"/>
    <w:rsid w:val="73076EFF"/>
    <w:rsid w:val="730A1B38"/>
    <w:rsid w:val="730D6C0C"/>
    <w:rsid w:val="73117D7E"/>
    <w:rsid w:val="731A1328"/>
    <w:rsid w:val="731A30D6"/>
    <w:rsid w:val="73221500"/>
    <w:rsid w:val="7327134F"/>
    <w:rsid w:val="732C6152"/>
    <w:rsid w:val="732D418A"/>
    <w:rsid w:val="732E798D"/>
    <w:rsid w:val="73326672"/>
    <w:rsid w:val="73375A36"/>
    <w:rsid w:val="733F0072"/>
    <w:rsid w:val="733F2B3D"/>
    <w:rsid w:val="73441F01"/>
    <w:rsid w:val="73505624"/>
    <w:rsid w:val="73506AF8"/>
    <w:rsid w:val="735465E8"/>
    <w:rsid w:val="735754B8"/>
    <w:rsid w:val="735760D9"/>
    <w:rsid w:val="735C36EF"/>
    <w:rsid w:val="735D0C99"/>
    <w:rsid w:val="735D2FC3"/>
    <w:rsid w:val="735E1767"/>
    <w:rsid w:val="73660E13"/>
    <w:rsid w:val="736B748E"/>
    <w:rsid w:val="73740A39"/>
    <w:rsid w:val="737710AF"/>
    <w:rsid w:val="737956B3"/>
    <w:rsid w:val="737C5B3F"/>
    <w:rsid w:val="737C78ED"/>
    <w:rsid w:val="737D7091"/>
    <w:rsid w:val="737E18B7"/>
    <w:rsid w:val="73840550"/>
    <w:rsid w:val="738549F4"/>
    <w:rsid w:val="738557A7"/>
    <w:rsid w:val="738642C8"/>
    <w:rsid w:val="738A200A"/>
    <w:rsid w:val="738E6711"/>
    <w:rsid w:val="73922C6D"/>
    <w:rsid w:val="739509AF"/>
    <w:rsid w:val="73951FDA"/>
    <w:rsid w:val="7399224D"/>
    <w:rsid w:val="73A62BBC"/>
    <w:rsid w:val="73A82490"/>
    <w:rsid w:val="73AA445A"/>
    <w:rsid w:val="73AD7AA7"/>
    <w:rsid w:val="73AE0BB5"/>
    <w:rsid w:val="73B20C2B"/>
    <w:rsid w:val="73B80A58"/>
    <w:rsid w:val="73BB0416"/>
    <w:rsid w:val="73BC4B7F"/>
    <w:rsid w:val="73BE3A62"/>
    <w:rsid w:val="73C43B5F"/>
    <w:rsid w:val="73C848E1"/>
    <w:rsid w:val="73C979D4"/>
    <w:rsid w:val="73CD3073"/>
    <w:rsid w:val="73D073A4"/>
    <w:rsid w:val="73DE4104"/>
    <w:rsid w:val="73DF711B"/>
    <w:rsid w:val="73E01C2A"/>
    <w:rsid w:val="73F61E70"/>
    <w:rsid w:val="73F76F74"/>
    <w:rsid w:val="73FE5977"/>
    <w:rsid w:val="7407365B"/>
    <w:rsid w:val="740A4EF9"/>
    <w:rsid w:val="740B2A1F"/>
    <w:rsid w:val="741713C4"/>
    <w:rsid w:val="741C044C"/>
    <w:rsid w:val="741C69DA"/>
    <w:rsid w:val="7420296E"/>
    <w:rsid w:val="74246941"/>
    <w:rsid w:val="74257F85"/>
    <w:rsid w:val="743106D8"/>
    <w:rsid w:val="74336D22"/>
    <w:rsid w:val="74337EFD"/>
    <w:rsid w:val="74363E3E"/>
    <w:rsid w:val="74364910"/>
    <w:rsid w:val="74476CC4"/>
    <w:rsid w:val="744A79EB"/>
    <w:rsid w:val="744C3764"/>
    <w:rsid w:val="745A5E80"/>
    <w:rsid w:val="745A77E9"/>
    <w:rsid w:val="745B519B"/>
    <w:rsid w:val="745F5557"/>
    <w:rsid w:val="746C4B3C"/>
    <w:rsid w:val="746C4C5A"/>
    <w:rsid w:val="746E2840"/>
    <w:rsid w:val="746E5488"/>
    <w:rsid w:val="74744A68"/>
    <w:rsid w:val="74746816"/>
    <w:rsid w:val="74784559"/>
    <w:rsid w:val="747F58E7"/>
    <w:rsid w:val="74861836"/>
    <w:rsid w:val="74890514"/>
    <w:rsid w:val="748F3650"/>
    <w:rsid w:val="74934EEE"/>
    <w:rsid w:val="74A0707D"/>
    <w:rsid w:val="74A0760B"/>
    <w:rsid w:val="74A36D45"/>
    <w:rsid w:val="74AC7D5E"/>
    <w:rsid w:val="74B0456B"/>
    <w:rsid w:val="74B65081"/>
    <w:rsid w:val="74B658A6"/>
    <w:rsid w:val="74B9247B"/>
    <w:rsid w:val="74BA6BC4"/>
    <w:rsid w:val="74C07CAE"/>
    <w:rsid w:val="74C27582"/>
    <w:rsid w:val="74C32360"/>
    <w:rsid w:val="74C432FA"/>
    <w:rsid w:val="74C83B0D"/>
    <w:rsid w:val="74CC21AE"/>
    <w:rsid w:val="74D3178F"/>
    <w:rsid w:val="74D55507"/>
    <w:rsid w:val="74D80B53"/>
    <w:rsid w:val="74DE2DFA"/>
    <w:rsid w:val="74E0571E"/>
    <w:rsid w:val="74EF59B8"/>
    <w:rsid w:val="74F17E67"/>
    <w:rsid w:val="74FE5F13"/>
    <w:rsid w:val="75026D05"/>
    <w:rsid w:val="75083D4B"/>
    <w:rsid w:val="750B0F29"/>
    <w:rsid w:val="75136D13"/>
    <w:rsid w:val="75137DDD"/>
    <w:rsid w:val="75157205"/>
    <w:rsid w:val="751920F4"/>
    <w:rsid w:val="751A5610"/>
    <w:rsid w:val="751F49D4"/>
    <w:rsid w:val="751F6782"/>
    <w:rsid w:val="75214E97"/>
    <w:rsid w:val="75241A57"/>
    <w:rsid w:val="75273889"/>
    <w:rsid w:val="752A7CF7"/>
    <w:rsid w:val="752D2645"/>
    <w:rsid w:val="752E07F8"/>
    <w:rsid w:val="752E5D59"/>
    <w:rsid w:val="7530273D"/>
    <w:rsid w:val="75306BE1"/>
    <w:rsid w:val="7533401E"/>
    <w:rsid w:val="75340057"/>
    <w:rsid w:val="75342F7B"/>
    <w:rsid w:val="75385A96"/>
    <w:rsid w:val="753A1AF7"/>
    <w:rsid w:val="753F3897"/>
    <w:rsid w:val="75510278"/>
    <w:rsid w:val="75564E94"/>
    <w:rsid w:val="755D0873"/>
    <w:rsid w:val="7561323F"/>
    <w:rsid w:val="75622B13"/>
    <w:rsid w:val="7564688B"/>
    <w:rsid w:val="75684D2F"/>
    <w:rsid w:val="75693EA1"/>
    <w:rsid w:val="756B19C7"/>
    <w:rsid w:val="756C3391"/>
    <w:rsid w:val="757321B9"/>
    <w:rsid w:val="757A3787"/>
    <w:rsid w:val="757A59D3"/>
    <w:rsid w:val="757E794D"/>
    <w:rsid w:val="7589009F"/>
    <w:rsid w:val="75896AAB"/>
    <w:rsid w:val="758A2545"/>
    <w:rsid w:val="758B3CC7"/>
    <w:rsid w:val="759479A6"/>
    <w:rsid w:val="75956A44"/>
    <w:rsid w:val="759929D8"/>
    <w:rsid w:val="759F6502"/>
    <w:rsid w:val="75A31A77"/>
    <w:rsid w:val="75A3600B"/>
    <w:rsid w:val="75A37883"/>
    <w:rsid w:val="75A60C51"/>
    <w:rsid w:val="75A849CA"/>
    <w:rsid w:val="75AB6ADD"/>
    <w:rsid w:val="75AD0232"/>
    <w:rsid w:val="75AD36EC"/>
    <w:rsid w:val="75B545AA"/>
    <w:rsid w:val="75B710B1"/>
    <w:rsid w:val="75B94E29"/>
    <w:rsid w:val="75BA46FD"/>
    <w:rsid w:val="75BA6733"/>
    <w:rsid w:val="75BE5F9B"/>
    <w:rsid w:val="75BE6D3C"/>
    <w:rsid w:val="75BF1D13"/>
    <w:rsid w:val="75BF3AC1"/>
    <w:rsid w:val="75C33EB4"/>
    <w:rsid w:val="75C61D28"/>
    <w:rsid w:val="75C665FE"/>
    <w:rsid w:val="75CA2B92"/>
    <w:rsid w:val="75D9283F"/>
    <w:rsid w:val="75DE488F"/>
    <w:rsid w:val="75DF4163"/>
    <w:rsid w:val="75DF5F11"/>
    <w:rsid w:val="75E579CC"/>
    <w:rsid w:val="75E9535F"/>
    <w:rsid w:val="75EF25F8"/>
    <w:rsid w:val="75F257F1"/>
    <w:rsid w:val="75F25C45"/>
    <w:rsid w:val="75F407B2"/>
    <w:rsid w:val="75F45E61"/>
    <w:rsid w:val="75FA448B"/>
    <w:rsid w:val="75FF0362"/>
    <w:rsid w:val="76012CC3"/>
    <w:rsid w:val="760616F0"/>
    <w:rsid w:val="760A11E0"/>
    <w:rsid w:val="760A7432"/>
    <w:rsid w:val="760B6D06"/>
    <w:rsid w:val="760F67F7"/>
    <w:rsid w:val="76156C95"/>
    <w:rsid w:val="761756AB"/>
    <w:rsid w:val="76175A86"/>
    <w:rsid w:val="761A519B"/>
    <w:rsid w:val="761B163F"/>
    <w:rsid w:val="7621652A"/>
    <w:rsid w:val="762D4ECF"/>
    <w:rsid w:val="7630676D"/>
    <w:rsid w:val="76325D56"/>
    <w:rsid w:val="76366479"/>
    <w:rsid w:val="763E70DC"/>
    <w:rsid w:val="764010A6"/>
    <w:rsid w:val="76455496"/>
    <w:rsid w:val="764C0A5E"/>
    <w:rsid w:val="764E7C2F"/>
    <w:rsid w:val="76516E0F"/>
    <w:rsid w:val="76522FEF"/>
    <w:rsid w:val="765336FE"/>
    <w:rsid w:val="76545287"/>
    <w:rsid w:val="765661D4"/>
    <w:rsid w:val="7662101C"/>
    <w:rsid w:val="76636B42"/>
    <w:rsid w:val="76650B0D"/>
    <w:rsid w:val="76654669"/>
    <w:rsid w:val="76663667"/>
    <w:rsid w:val="766A0ECB"/>
    <w:rsid w:val="766F0A02"/>
    <w:rsid w:val="7671125F"/>
    <w:rsid w:val="76790114"/>
    <w:rsid w:val="767A147A"/>
    <w:rsid w:val="768076F4"/>
    <w:rsid w:val="76836B42"/>
    <w:rsid w:val="76855262"/>
    <w:rsid w:val="76870A83"/>
    <w:rsid w:val="76872831"/>
    <w:rsid w:val="76876CD5"/>
    <w:rsid w:val="768A40CF"/>
    <w:rsid w:val="768F7938"/>
    <w:rsid w:val="7691545E"/>
    <w:rsid w:val="76946CFC"/>
    <w:rsid w:val="769A6A08"/>
    <w:rsid w:val="769B0662"/>
    <w:rsid w:val="76AC4841"/>
    <w:rsid w:val="76AC75EB"/>
    <w:rsid w:val="76AF7FDA"/>
    <w:rsid w:val="76B000B8"/>
    <w:rsid w:val="76B4739E"/>
    <w:rsid w:val="76B7502B"/>
    <w:rsid w:val="76B86E8E"/>
    <w:rsid w:val="76C240A3"/>
    <w:rsid w:val="76C27D0D"/>
    <w:rsid w:val="76C30D21"/>
    <w:rsid w:val="76C75323"/>
    <w:rsid w:val="76C92E49"/>
    <w:rsid w:val="76D161A2"/>
    <w:rsid w:val="76D17F50"/>
    <w:rsid w:val="76D23D36"/>
    <w:rsid w:val="76D65566"/>
    <w:rsid w:val="76D812DE"/>
    <w:rsid w:val="76D87530"/>
    <w:rsid w:val="76DB0DCF"/>
    <w:rsid w:val="76E310A6"/>
    <w:rsid w:val="76E61C4D"/>
    <w:rsid w:val="76E9529A"/>
    <w:rsid w:val="76EA2DC0"/>
    <w:rsid w:val="76EC70A4"/>
    <w:rsid w:val="76EF6628"/>
    <w:rsid w:val="76F31C74"/>
    <w:rsid w:val="76F37EC6"/>
    <w:rsid w:val="76F40FE9"/>
    <w:rsid w:val="76F46560"/>
    <w:rsid w:val="76F82CD0"/>
    <w:rsid w:val="76FC0095"/>
    <w:rsid w:val="76FD729E"/>
    <w:rsid w:val="77020109"/>
    <w:rsid w:val="770420D4"/>
    <w:rsid w:val="770976EA"/>
    <w:rsid w:val="770A1305"/>
    <w:rsid w:val="770B3462"/>
    <w:rsid w:val="77195299"/>
    <w:rsid w:val="771D4568"/>
    <w:rsid w:val="772029EF"/>
    <w:rsid w:val="77204A34"/>
    <w:rsid w:val="77244524"/>
    <w:rsid w:val="772462D2"/>
    <w:rsid w:val="772C5D33"/>
    <w:rsid w:val="772E2825"/>
    <w:rsid w:val="77302EC9"/>
    <w:rsid w:val="77334767"/>
    <w:rsid w:val="773724A9"/>
    <w:rsid w:val="773A3D47"/>
    <w:rsid w:val="773C186D"/>
    <w:rsid w:val="773D55E5"/>
    <w:rsid w:val="77402ADC"/>
    <w:rsid w:val="774B1AB0"/>
    <w:rsid w:val="774D3A7A"/>
    <w:rsid w:val="774D5910"/>
    <w:rsid w:val="7750356B"/>
    <w:rsid w:val="77536BB7"/>
    <w:rsid w:val="77585F7B"/>
    <w:rsid w:val="775C0B8E"/>
    <w:rsid w:val="77624382"/>
    <w:rsid w:val="776963DA"/>
    <w:rsid w:val="776D5ECB"/>
    <w:rsid w:val="77764653"/>
    <w:rsid w:val="777728A5"/>
    <w:rsid w:val="7778661E"/>
    <w:rsid w:val="777A2396"/>
    <w:rsid w:val="777B5DEC"/>
    <w:rsid w:val="777C7EBC"/>
    <w:rsid w:val="77811976"/>
    <w:rsid w:val="77846D70"/>
    <w:rsid w:val="77894387"/>
    <w:rsid w:val="7789717D"/>
    <w:rsid w:val="77925931"/>
    <w:rsid w:val="779A2A38"/>
    <w:rsid w:val="779E42D6"/>
    <w:rsid w:val="77A318EC"/>
    <w:rsid w:val="77A47413"/>
    <w:rsid w:val="77A613DD"/>
    <w:rsid w:val="77AC29D7"/>
    <w:rsid w:val="77BA055F"/>
    <w:rsid w:val="77BC475C"/>
    <w:rsid w:val="77BE0B50"/>
    <w:rsid w:val="77BF467D"/>
    <w:rsid w:val="77C11D73"/>
    <w:rsid w:val="77C27719"/>
    <w:rsid w:val="77C27899"/>
    <w:rsid w:val="77C47AB5"/>
    <w:rsid w:val="77C90C27"/>
    <w:rsid w:val="77CD6969"/>
    <w:rsid w:val="77CE6A0D"/>
    <w:rsid w:val="77CF650E"/>
    <w:rsid w:val="77D575CC"/>
    <w:rsid w:val="77D677BF"/>
    <w:rsid w:val="77DC4DFE"/>
    <w:rsid w:val="77DF044B"/>
    <w:rsid w:val="77DF669D"/>
    <w:rsid w:val="77E00A7D"/>
    <w:rsid w:val="77E12415"/>
    <w:rsid w:val="77E15F71"/>
    <w:rsid w:val="77E24E65"/>
    <w:rsid w:val="77E369E1"/>
    <w:rsid w:val="77EB6DF0"/>
    <w:rsid w:val="77EF68E0"/>
    <w:rsid w:val="77F0461D"/>
    <w:rsid w:val="77F57C6E"/>
    <w:rsid w:val="77F959B0"/>
    <w:rsid w:val="77FA34D6"/>
    <w:rsid w:val="77FA3FB4"/>
    <w:rsid w:val="78006F2F"/>
    <w:rsid w:val="78041B5D"/>
    <w:rsid w:val="78047EB1"/>
    <w:rsid w:val="78126A72"/>
    <w:rsid w:val="78160DD1"/>
    <w:rsid w:val="78170973"/>
    <w:rsid w:val="78174088"/>
    <w:rsid w:val="781774FC"/>
    <w:rsid w:val="781B6E93"/>
    <w:rsid w:val="78235058"/>
    <w:rsid w:val="78283619"/>
    <w:rsid w:val="782D045E"/>
    <w:rsid w:val="782F5BA4"/>
    <w:rsid w:val="7836235A"/>
    <w:rsid w:val="784309DA"/>
    <w:rsid w:val="78474691"/>
    <w:rsid w:val="784E2CAA"/>
    <w:rsid w:val="784F737E"/>
    <w:rsid w:val="785250C1"/>
    <w:rsid w:val="7856695F"/>
    <w:rsid w:val="78595178"/>
    <w:rsid w:val="785F785A"/>
    <w:rsid w:val="7863107C"/>
    <w:rsid w:val="7866291A"/>
    <w:rsid w:val="78686692"/>
    <w:rsid w:val="786A679B"/>
    <w:rsid w:val="786E76AC"/>
    <w:rsid w:val="786F4218"/>
    <w:rsid w:val="787709AC"/>
    <w:rsid w:val="7879264D"/>
    <w:rsid w:val="787D699C"/>
    <w:rsid w:val="7883171E"/>
    <w:rsid w:val="788D7EA7"/>
    <w:rsid w:val="788E7FF8"/>
    <w:rsid w:val="78911745"/>
    <w:rsid w:val="789254BD"/>
    <w:rsid w:val="78995758"/>
    <w:rsid w:val="78A04C36"/>
    <w:rsid w:val="78A458CD"/>
    <w:rsid w:val="78A50A63"/>
    <w:rsid w:val="78A551F0"/>
    <w:rsid w:val="78AD50A9"/>
    <w:rsid w:val="78AF2513"/>
    <w:rsid w:val="78AF42C1"/>
    <w:rsid w:val="78B27ED5"/>
    <w:rsid w:val="78B71BFD"/>
    <w:rsid w:val="78B96EEE"/>
    <w:rsid w:val="78BC2D64"/>
    <w:rsid w:val="78BE2756"/>
    <w:rsid w:val="78BF764D"/>
    <w:rsid w:val="78C064CE"/>
    <w:rsid w:val="78C31B1A"/>
    <w:rsid w:val="78CA5C67"/>
    <w:rsid w:val="78CA6D92"/>
    <w:rsid w:val="78DC306E"/>
    <w:rsid w:val="78E33F6B"/>
    <w:rsid w:val="78E51A91"/>
    <w:rsid w:val="78ED0288"/>
    <w:rsid w:val="78EF290F"/>
    <w:rsid w:val="78F328E0"/>
    <w:rsid w:val="78F63854"/>
    <w:rsid w:val="78F87A16"/>
    <w:rsid w:val="78F9378E"/>
    <w:rsid w:val="79002BDE"/>
    <w:rsid w:val="79037B9B"/>
    <w:rsid w:val="79055E52"/>
    <w:rsid w:val="790C1BE0"/>
    <w:rsid w:val="790C75C7"/>
    <w:rsid w:val="79125110"/>
    <w:rsid w:val="7917592A"/>
    <w:rsid w:val="79241DCB"/>
    <w:rsid w:val="79273E57"/>
    <w:rsid w:val="79293D18"/>
    <w:rsid w:val="79297BCF"/>
    <w:rsid w:val="792C5912"/>
    <w:rsid w:val="792D3F27"/>
    <w:rsid w:val="7931117A"/>
    <w:rsid w:val="7933353D"/>
    <w:rsid w:val="793547C6"/>
    <w:rsid w:val="793A1DDD"/>
    <w:rsid w:val="794C17CC"/>
    <w:rsid w:val="79526D7F"/>
    <w:rsid w:val="795A247F"/>
    <w:rsid w:val="795D5ACB"/>
    <w:rsid w:val="795F5CE7"/>
    <w:rsid w:val="796055BB"/>
    <w:rsid w:val="7961380D"/>
    <w:rsid w:val="79654980"/>
    <w:rsid w:val="79660E24"/>
    <w:rsid w:val="796903D7"/>
    <w:rsid w:val="797177C8"/>
    <w:rsid w:val="79742119"/>
    <w:rsid w:val="797835F9"/>
    <w:rsid w:val="797A667D"/>
    <w:rsid w:val="797C23F5"/>
    <w:rsid w:val="797D616D"/>
    <w:rsid w:val="798B2638"/>
    <w:rsid w:val="798F2E94"/>
    <w:rsid w:val="79915775"/>
    <w:rsid w:val="799178BA"/>
    <w:rsid w:val="79917F3C"/>
    <w:rsid w:val="799B1B7F"/>
    <w:rsid w:val="799C4845"/>
    <w:rsid w:val="799C6753"/>
    <w:rsid w:val="79A436FA"/>
    <w:rsid w:val="79A731EA"/>
    <w:rsid w:val="79A96F62"/>
    <w:rsid w:val="79AB24EF"/>
    <w:rsid w:val="79AC25AE"/>
    <w:rsid w:val="79AE4579"/>
    <w:rsid w:val="79AE5E14"/>
    <w:rsid w:val="79B7167F"/>
    <w:rsid w:val="79B7342D"/>
    <w:rsid w:val="79BA2F1D"/>
    <w:rsid w:val="79BD2EFB"/>
    <w:rsid w:val="79BF0534"/>
    <w:rsid w:val="79C43D9C"/>
    <w:rsid w:val="79C9213B"/>
    <w:rsid w:val="79CC4220"/>
    <w:rsid w:val="79CC49FF"/>
    <w:rsid w:val="79CD2C51"/>
    <w:rsid w:val="79D00993"/>
    <w:rsid w:val="79D7587D"/>
    <w:rsid w:val="79D90702"/>
    <w:rsid w:val="79DA35C0"/>
    <w:rsid w:val="79DE2130"/>
    <w:rsid w:val="79E24222"/>
    <w:rsid w:val="79E47F9A"/>
    <w:rsid w:val="79E7016D"/>
    <w:rsid w:val="79E92E30"/>
    <w:rsid w:val="79ED068D"/>
    <w:rsid w:val="79ED2CC7"/>
    <w:rsid w:val="79ED6E4F"/>
    <w:rsid w:val="79EE2BC7"/>
    <w:rsid w:val="79EE5161"/>
    <w:rsid w:val="79F5251F"/>
    <w:rsid w:val="79F77CCE"/>
    <w:rsid w:val="79FE6D37"/>
    <w:rsid w:val="7A122E9E"/>
    <w:rsid w:val="7A124ABF"/>
    <w:rsid w:val="7A140880"/>
    <w:rsid w:val="7A2118AD"/>
    <w:rsid w:val="7A2811CB"/>
    <w:rsid w:val="7A2B7977"/>
    <w:rsid w:val="7A304F8E"/>
    <w:rsid w:val="7A306137"/>
    <w:rsid w:val="7A3251AA"/>
    <w:rsid w:val="7A394DCB"/>
    <w:rsid w:val="7A3A1A7F"/>
    <w:rsid w:val="7A410F49"/>
    <w:rsid w:val="7A460C55"/>
    <w:rsid w:val="7A4F18B8"/>
    <w:rsid w:val="7A523156"/>
    <w:rsid w:val="7A543372"/>
    <w:rsid w:val="7A575308"/>
    <w:rsid w:val="7A5C214F"/>
    <w:rsid w:val="7A62253E"/>
    <w:rsid w:val="7A653295"/>
    <w:rsid w:val="7A6560BF"/>
    <w:rsid w:val="7A680BCB"/>
    <w:rsid w:val="7A6D4434"/>
    <w:rsid w:val="7A7430CC"/>
    <w:rsid w:val="7A7725C1"/>
    <w:rsid w:val="7A7E219D"/>
    <w:rsid w:val="7A825211"/>
    <w:rsid w:val="7A842082"/>
    <w:rsid w:val="7A8461EE"/>
    <w:rsid w:val="7A8A0B42"/>
    <w:rsid w:val="7A8D418E"/>
    <w:rsid w:val="7A8F43AA"/>
    <w:rsid w:val="7AA01628"/>
    <w:rsid w:val="7AA31C03"/>
    <w:rsid w:val="7AA9070B"/>
    <w:rsid w:val="7AAA28A3"/>
    <w:rsid w:val="7AAC160F"/>
    <w:rsid w:val="7AB91427"/>
    <w:rsid w:val="7AB94F83"/>
    <w:rsid w:val="7ABB6F4D"/>
    <w:rsid w:val="7ABC4A73"/>
    <w:rsid w:val="7ABE2CD8"/>
    <w:rsid w:val="7ACA7190"/>
    <w:rsid w:val="7AD16771"/>
    <w:rsid w:val="7AD324E9"/>
    <w:rsid w:val="7AD4514B"/>
    <w:rsid w:val="7ADB139D"/>
    <w:rsid w:val="7AE2272C"/>
    <w:rsid w:val="7AE446F6"/>
    <w:rsid w:val="7AE87C4C"/>
    <w:rsid w:val="7AE91D0C"/>
    <w:rsid w:val="7AEA15E0"/>
    <w:rsid w:val="7AEE0B70"/>
    <w:rsid w:val="7AF81F4F"/>
    <w:rsid w:val="7AFB26BA"/>
    <w:rsid w:val="7AFB559C"/>
    <w:rsid w:val="7AFE6810"/>
    <w:rsid w:val="7B036659"/>
    <w:rsid w:val="7B05641A"/>
    <w:rsid w:val="7B08663A"/>
    <w:rsid w:val="7B087CB8"/>
    <w:rsid w:val="7B0A57DF"/>
    <w:rsid w:val="7B0B276E"/>
    <w:rsid w:val="7B0F54EB"/>
    <w:rsid w:val="7B124186"/>
    <w:rsid w:val="7B151345"/>
    <w:rsid w:val="7B160FC2"/>
    <w:rsid w:val="7B1623D5"/>
    <w:rsid w:val="7B176702"/>
    <w:rsid w:val="7B22521E"/>
    <w:rsid w:val="7B2368A0"/>
    <w:rsid w:val="7B244A56"/>
    <w:rsid w:val="7B272834"/>
    <w:rsid w:val="7B2A40D3"/>
    <w:rsid w:val="7B2D0613"/>
    <w:rsid w:val="7B2E119E"/>
    <w:rsid w:val="7B2F59D6"/>
    <w:rsid w:val="7B340AAD"/>
    <w:rsid w:val="7B38059E"/>
    <w:rsid w:val="7B3C19F7"/>
    <w:rsid w:val="7B3D3E06"/>
    <w:rsid w:val="7B3D5BB4"/>
    <w:rsid w:val="7B4479A9"/>
    <w:rsid w:val="7B454A69"/>
    <w:rsid w:val="7B4A4A3E"/>
    <w:rsid w:val="7B4D06B6"/>
    <w:rsid w:val="7B4F3755"/>
    <w:rsid w:val="7B4F58E7"/>
    <w:rsid w:val="7B51165F"/>
    <w:rsid w:val="7B5178B1"/>
    <w:rsid w:val="7B5573A2"/>
    <w:rsid w:val="7B5B2A6B"/>
    <w:rsid w:val="7B6969A9"/>
    <w:rsid w:val="7B6D0B60"/>
    <w:rsid w:val="7B711D02"/>
    <w:rsid w:val="7B7A6E08"/>
    <w:rsid w:val="7B7B66DC"/>
    <w:rsid w:val="7B810197"/>
    <w:rsid w:val="7B851309"/>
    <w:rsid w:val="7B8A0D35"/>
    <w:rsid w:val="7B8A691F"/>
    <w:rsid w:val="7B8C2698"/>
    <w:rsid w:val="7B91508D"/>
    <w:rsid w:val="7B95154C"/>
    <w:rsid w:val="7B981B6E"/>
    <w:rsid w:val="7BA45C33"/>
    <w:rsid w:val="7BA479E1"/>
    <w:rsid w:val="7BA56F07"/>
    <w:rsid w:val="7BA619AB"/>
    <w:rsid w:val="7BA64D25"/>
    <w:rsid w:val="7BA67BFD"/>
    <w:rsid w:val="7BA93249"/>
    <w:rsid w:val="7BA93CBB"/>
    <w:rsid w:val="7BAD6F9E"/>
    <w:rsid w:val="7BB10350"/>
    <w:rsid w:val="7BB265A2"/>
    <w:rsid w:val="7BB87930"/>
    <w:rsid w:val="7BBB726B"/>
    <w:rsid w:val="7BC40B01"/>
    <w:rsid w:val="7BC6204D"/>
    <w:rsid w:val="7BC77B74"/>
    <w:rsid w:val="7BCC0CE6"/>
    <w:rsid w:val="7BDE7397"/>
    <w:rsid w:val="7BE10C35"/>
    <w:rsid w:val="7BE44282"/>
    <w:rsid w:val="7BE75B20"/>
    <w:rsid w:val="7BE95D3C"/>
    <w:rsid w:val="7BEC3136"/>
    <w:rsid w:val="7BED75DA"/>
    <w:rsid w:val="7BF02C26"/>
    <w:rsid w:val="7BF24BF0"/>
    <w:rsid w:val="7BF344C5"/>
    <w:rsid w:val="7BF546E1"/>
    <w:rsid w:val="7BFD5343"/>
    <w:rsid w:val="7C0B180E"/>
    <w:rsid w:val="7C0B3F04"/>
    <w:rsid w:val="7C0C0536"/>
    <w:rsid w:val="7C0D37D8"/>
    <w:rsid w:val="7C0E596F"/>
    <w:rsid w:val="7C0E7550"/>
    <w:rsid w:val="7C1C7EBF"/>
    <w:rsid w:val="7C217284"/>
    <w:rsid w:val="7C23124E"/>
    <w:rsid w:val="7C305719"/>
    <w:rsid w:val="7C3A20F4"/>
    <w:rsid w:val="7C3B6B97"/>
    <w:rsid w:val="7C3C2310"/>
    <w:rsid w:val="7C3D3992"/>
    <w:rsid w:val="7C3F595C"/>
    <w:rsid w:val="7C43369E"/>
    <w:rsid w:val="7C4453CC"/>
    <w:rsid w:val="7C490589"/>
    <w:rsid w:val="7C4B4B66"/>
    <w:rsid w:val="7C5238E1"/>
    <w:rsid w:val="7C5937F5"/>
    <w:rsid w:val="7C596A1E"/>
    <w:rsid w:val="7C5B1D71"/>
    <w:rsid w:val="7C5C02BC"/>
    <w:rsid w:val="7C672EE5"/>
    <w:rsid w:val="7C680B6E"/>
    <w:rsid w:val="7C683105"/>
    <w:rsid w:val="7C6D071B"/>
    <w:rsid w:val="7C7750F6"/>
    <w:rsid w:val="7C792C1C"/>
    <w:rsid w:val="7C79319C"/>
    <w:rsid w:val="7C7B2E38"/>
    <w:rsid w:val="7C815F74"/>
    <w:rsid w:val="7C824F1B"/>
    <w:rsid w:val="7C8917B4"/>
    <w:rsid w:val="7C8A4E29"/>
    <w:rsid w:val="7C8C376F"/>
    <w:rsid w:val="7C8D66C7"/>
    <w:rsid w:val="7C8F243F"/>
    <w:rsid w:val="7C904805"/>
    <w:rsid w:val="7C920181"/>
    <w:rsid w:val="7C945CA8"/>
    <w:rsid w:val="7C9D1B23"/>
    <w:rsid w:val="7CA33D37"/>
    <w:rsid w:val="7CA3413D"/>
    <w:rsid w:val="7CA53A11"/>
    <w:rsid w:val="7CA659DB"/>
    <w:rsid w:val="7CAA234C"/>
    <w:rsid w:val="7CB2612E"/>
    <w:rsid w:val="7CBA4FE2"/>
    <w:rsid w:val="7CBB3234"/>
    <w:rsid w:val="7CBE6C5A"/>
    <w:rsid w:val="7CCA16C9"/>
    <w:rsid w:val="7CD42548"/>
    <w:rsid w:val="7CD82038"/>
    <w:rsid w:val="7CDD764F"/>
    <w:rsid w:val="7CE333B2"/>
    <w:rsid w:val="7CE85FF3"/>
    <w:rsid w:val="7CF6426C"/>
    <w:rsid w:val="7D0641F4"/>
    <w:rsid w:val="7D0A012A"/>
    <w:rsid w:val="7D0A5F6A"/>
    <w:rsid w:val="7D1110A6"/>
    <w:rsid w:val="7D1307C6"/>
    <w:rsid w:val="7D140B97"/>
    <w:rsid w:val="7D16490F"/>
    <w:rsid w:val="7D1D2B7D"/>
    <w:rsid w:val="7D20412A"/>
    <w:rsid w:val="7D2F59D0"/>
    <w:rsid w:val="7D3038A0"/>
    <w:rsid w:val="7D3134F6"/>
    <w:rsid w:val="7D320A51"/>
    <w:rsid w:val="7D3473ED"/>
    <w:rsid w:val="7D3D1E9B"/>
    <w:rsid w:val="7D3E3E65"/>
    <w:rsid w:val="7D40373A"/>
    <w:rsid w:val="7D484972"/>
    <w:rsid w:val="7D4A0A5C"/>
    <w:rsid w:val="7D4B74C7"/>
    <w:rsid w:val="7D4C0330"/>
    <w:rsid w:val="7D5362B5"/>
    <w:rsid w:val="7D545437"/>
    <w:rsid w:val="7D567401"/>
    <w:rsid w:val="7D5D30D1"/>
    <w:rsid w:val="7D5E0064"/>
    <w:rsid w:val="7D6116ED"/>
    <w:rsid w:val="7D627B54"/>
    <w:rsid w:val="7D690EE2"/>
    <w:rsid w:val="7D7004C3"/>
    <w:rsid w:val="7D704031"/>
    <w:rsid w:val="7D715FE9"/>
    <w:rsid w:val="7D7635FF"/>
    <w:rsid w:val="7D80447E"/>
    <w:rsid w:val="7D811A57"/>
    <w:rsid w:val="7D845D1C"/>
    <w:rsid w:val="7D846007"/>
    <w:rsid w:val="7D871368"/>
    <w:rsid w:val="7D8775BA"/>
    <w:rsid w:val="7D8950E1"/>
    <w:rsid w:val="7D8C77F7"/>
    <w:rsid w:val="7D8D727A"/>
    <w:rsid w:val="7D8E26F7"/>
    <w:rsid w:val="7D941E07"/>
    <w:rsid w:val="7DA06319"/>
    <w:rsid w:val="7DA500D2"/>
    <w:rsid w:val="7DB257C7"/>
    <w:rsid w:val="7DB303AF"/>
    <w:rsid w:val="7DB67DE3"/>
    <w:rsid w:val="7DB67EA0"/>
    <w:rsid w:val="7DB81165"/>
    <w:rsid w:val="7DB95684"/>
    <w:rsid w:val="7DC425BD"/>
    <w:rsid w:val="7DC51E91"/>
    <w:rsid w:val="7DC73E5B"/>
    <w:rsid w:val="7DD32800"/>
    <w:rsid w:val="7DD345AE"/>
    <w:rsid w:val="7DD71AD1"/>
    <w:rsid w:val="7DD722F0"/>
    <w:rsid w:val="7DD87E16"/>
    <w:rsid w:val="7DDC7906"/>
    <w:rsid w:val="7DDE4DCE"/>
    <w:rsid w:val="7DE20C95"/>
    <w:rsid w:val="7DE44687"/>
    <w:rsid w:val="7DE71E07"/>
    <w:rsid w:val="7DE801CD"/>
    <w:rsid w:val="7DE90E8D"/>
    <w:rsid w:val="7DE948D5"/>
    <w:rsid w:val="7DEC7621"/>
    <w:rsid w:val="7DEE0806"/>
    <w:rsid w:val="7DEE7639"/>
    <w:rsid w:val="7DF05160"/>
    <w:rsid w:val="7DF32EA2"/>
    <w:rsid w:val="7DF34C50"/>
    <w:rsid w:val="7DF87373"/>
    <w:rsid w:val="7DFF53A3"/>
    <w:rsid w:val="7E012829"/>
    <w:rsid w:val="7E0155BF"/>
    <w:rsid w:val="7E046E5D"/>
    <w:rsid w:val="7E062BD5"/>
    <w:rsid w:val="7E097FCF"/>
    <w:rsid w:val="7E0B4B47"/>
    <w:rsid w:val="7E0D5D12"/>
    <w:rsid w:val="7E1216CD"/>
    <w:rsid w:val="7E141A72"/>
    <w:rsid w:val="7E226F1F"/>
    <w:rsid w:val="7E2A3C6C"/>
    <w:rsid w:val="7E2F1264"/>
    <w:rsid w:val="7E327526"/>
    <w:rsid w:val="7E3338BA"/>
    <w:rsid w:val="7E370FE0"/>
    <w:rsid w:val="7E372D8F"/>
    <w:rsid w:val="7E3A2E26"/>
    <w:rsid w:val="7E3A462D"/>
    <w:rsid w:val="7E3C11F7"/>
    <w:rsid w:val="7E405BAE"/>
    <w:rsid w:val="7E42141E"/>
    <w:rsid w:val="7E4F632A"/>
    <w:rsid w:val="7E52582A"/>
    <w:rsid w:val="7E584AB3"/>
    <w:rsid w:val="7E590F57"/>
    <w:rsid w:val="7E5971A9"/>
    <w:rsid w:val="7E5A57E9"/>
    <w:rsid w:val="7E5A6A7D"/>
    <w:rsid w:val="7E61605D"/>
    <w:rsid w:val="7E68119A"/>
    <w:rsid w:val="7E694F32"/>
    <w:rsid w:val="7E6E42D6"/>
    <w:rsid w:val="7E6F0EF7"/>
    <w:rsid w:val="7E775881"/>
    <w:rsid w:val="7E7A4D34"/>
    <w:rsid w:val="7E8835EA"/>
    <w:rsid w:val="7E9006F1"/>
    <w:rsid w:val="7E90249F"/>
    <w:rsid w:val="7E953F59"/>
    <w:rsid w:val="7E9A331D"/>
    <w:rsid w:val="7EA047A8"/>
    <w:rsid w:val="7EAE3236"/>
    <w:rsid w:val="7EB05F55"/>
    <w:rsid w:val="7EB86C95"/>
    <w:rsid w:val="7EB93EBC"/>
    <w:rsid w:val="7EBC09D3"/>
    <w:rsid w:val="7EC30751"/>
    <w:rsid w:val="7EC550D4"/>
    <w:rsid w:val="7EC83DC4"/>
    <w:rsid w:val="7EC94FAA"/>
    <w:rsid w:val="7ECF746B"/>
    <w:rsid w:val="7ED530CE"/>
    <w:rsid w:val="7ED76320"/>
    <w:rsid w:val="7EDC183D"/>
    <w:rsid w:val="7EDC1B88"/>
    <w:rsid w:val="7EE5567C"/>
    <w:rsid w:val="7EE701C2"/>
    <w:rsid w:val="7EEC4C0E"/>
    <w:rsid w:val="7EEE4A86"/>
    <w:rsid w:val="7EF02F3D"/>
    <w:rsid w:val="7EF7251E"/>
    <w:rsid w:val="7EF96296"/>
    <w:rsid w:val="7EFB0260"/>
    <w:rsid w:val="7EFB200E"/>
    <w:rsid w:val="7F00531C"/>
    <w:rsid w:val="7F014D65"/>
    <w:rsid w:val="7F01514B"/>
    <w:rsid w:val="7F0332B5"/>
    <w:rsid w:val="7F055779"/>
    <w:rsid w:val="7F0D1C9A"/>
    <w:rsid w:val="7F0F1615"/>
    <w:rsid w:val="7F1906E6"/>
    <w:rsid w:val="7F1931CA"/>
    <w:rsid w:val="7F1B0EE2"/>
    <w:rsid w:val="7F1D01D6"/>
    <w:rsid w:val="7F211349"/>
    <w:rsid w:val="7F2552DD"/>
    <w:rsid w:val="7F2C21C7"/>
    <w:rsid w:val="7F2F50A9"/>
    <w:rsid w:val="7F2F7F0A"/>
    <w:rsid w:val="7F3217A8"/>
    <w:rsid w:val="7F34107C"/>
    <w:rsid w:val="7F360225"/>
    <w:rsid w:val="7F364DF4"/>
    <w:rsid w:val="7F385010"/>
    <w:rsid w:val="7F3E4FDF"/>
    <w:rsid w:val="7F401A1B"/>
    <w:rsid w:val="7F4C42FD"/>
    <w:rsid w:val="7F4D0390"/>
    <w:rsid w:val="7F5434CC"/>
    <w:rsid w:val="7F544F1F"/>
    <w:rsid w:val="7F567997"/>
    <w:rsid w:val="7F587EB8"/>
    <w:rsid w:val="7F590AE3"/>
    <w:rsid w:val="7F590D0F"/>
    <w:rsid w:val="7F596D35"/>
    <w:rsid w:val="7F5A53F2"/>
    <w:rsid w:val="7F62128F"/>
    <w:rsid w:val="7F6C6A68"/>
    <w:rsid w:val="7F6F60D6"/>
    <w:rsid w:val="7F741DC0"/>
    <w:rsid w:val="7F78540D"/>
    <w:rsid w:val="7F790A0F"/>
    <w:rsid w:val="7F8042C1"/>
    <w:rsid w:val="7F890F9F"/>
    <w:rsid w:val="7F8B73C1"/>
    <w:rsid w:val="7F930498"/>
    <w:rsid w:val="7F9B2EB0"/>
    <w:rsid w:val="7FA06711"/>
    <w:rsid w:val="7FA36202"/>
    <w:rsid w:val="7FA44454"/>
    <w:rsid w:val="7FA97CBC"/>
    <w:rsid w:val="7FAE08F2"/>
    <w:rsid w:val="7FAE7080"/>
    <w:rsid w:val="7FB34697"/>
    <w:rsid w:val="7FC20D7E"/>
    <w:rsid w:val="7FC543CA"/>
    <w:rsid w:val="7FCD67B2"/>
    <w:rsid w:val="7FCE265B"/>
    <w:rsid w:val="7FD10FC1"/>
    <w:rsid w:val="7FD12D6F"/>
    <w:rsid w:val="7FE64B79"/>
    <w:rsid w:val="7FED6247"/>
    <w:rsid w:val="7FF35D2C"/>
    <w:rsid w:val="7FF42D7D"/>
    <w:rsid w:val="7FFA4074"/>
    <w:rsid w:val="7FFB7DEC"/>
    <w:rsid w:val="7FFD1DB6"/>
    <w:rsid w:val="7FFD59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qFormat="1" w:unhideWhenUsed="0" w:uiPriority="39" w:semiHidden="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qFormat="1" w:unhideWhenUsed="0" w:uiPriority="0" w:semiHidden="0" w:name="List 3"/>
    <w:lsdException w:uiPriority="0" w:name="List 4"/>
    <w:lsdException w:uiPriority="0" w:name="List 5"/>
    <w:lsdException w:qFormat="1"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qFormat="1" w:uiPriority="99" w:semiHidden="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ind w:left="0" w:firstLine="0"/>
      <w:jc w:val="left"/>
      <w:outlineLvl w:val="0"/>
    </w:pPr>
    <w:rPr>
      <w:rFonts w:ascii="Times New Roman" w:hAnsi="Times New Roman" w:eastAsia="宋体"/>
      <w:b/>
      <w:kern w:val="44"/>
      <w:sz w:val="30"/>
      <w:szCs w:val="30"/>
    </w:rPr>
  </w:style>
  <w:style w:type="paragraph" w:styleId="3">
    <w:name w:val="heading 2"/>
    <w:basedOn w:val="1"/>
    <w:next w:val="1"/>
    <w:unhideWhenUsed/>
    <w:qFormat/>
    <w:uiPriority w:val="0"/>
    <w:pPr>
      <w:keepNext/>
      <w:keepLines/>
      <w:numPr>
        <w:ilvl w:val="1"/>
        <w:numId w:val="2"/>
      </w:numPr>
      <w:outlineLvl w:val="1"/>
    </w:pPr>
    <w:rPr>
      <w:rFonts w:ascii="Times New Roman" w:hAnsi="Times New Roman" w:eastAsia="宋体"/>
      <w:b/>
    </w:rPr>
  </w:style>
  <w:style w:type="paragraph" w:styleId="4">
    <w:name w:val="heading 3"/>
    <w:basedOn w:val="1"/>
    <w:next w:val="1"/>
    <w:qFormat/>
    <w:uiPriority w:val="0"/>
    <w:pPr>
      <w:keepNext/>
      <w:numPr>
        <w:ilvl w:val="2"/>
        <w:numId w:val="3"/>
      </w:numPr>
      <w:jc w:val="center"/>
      <w:outlineLvl w:val="2"/>
    </w:pPr>
    <w:rPr>
      <w:rFonts w:ascii="宋体" w:hAnsi="宋体" w:eastAsia="宋体"/>
      <w:b/>
      <w:bCs/>
    </w:rPr>
  </w:style>
  <w:style w:type="paragraph" w:styleId="5">
    <w:name w:val="heading 4"/>
    <w:basedOn w:val="1"/>
    <w:next w:val="1"/>
    <w:qFormat/>
    <w:uiPriority w:val="9"/>
    <w:pPr>
      <w:spacing w:line="240" w:lineRule="auto"/>
      <w:ind w:firstLine="240" w:firstLineChars="100"/>
      <w:outlineLvl w:val="3"/>
    </w:pPr>
    <w:rPr>
      <w:rFonts w:ascii="Arial" w:hAnsi="Arial"/>
      <w:sz w:val="28"/>
    </w:rPr>
  </w:style>
  <w:style w:type="paragraph" w:styleId="6">
    <w:name w:val="heading 5"/>
    <w:basedOn w:val="1"/>
    <w:next w:val="1"/>
    <w:qFormat/>
    <w:uiPriority w:val="0"/>
    <w:pPr>
      <w:keepNext/>
      <w:keepLines/>
      <w:numPr>
        <w:ilvl w:val="4"/>
        <w:numId w:val="4"/>
      </w:numPr>
      <w:tabs>
        <w:tab w:val="left" w:pos="700"/>
        <w:tab w:val="clear" w:pos="1008"/>
      </w:tabs>
      <w:autoSpaceDE w:val="0"/>
      <w:autoSpaceDN w:val="0"/>
      <w:adjustRightInd w:val="0"/>
      <w:spacing w:before="280" w:after="290" w:line="376" w:lineRule="auto"/>
      <w:outlineLvl w:val="4"/>
    </w:pPr>
    <w:rPr>
      <w:rFonts w:ascii="宋体"/>
      <w:b/>
      <w:color w:val="000000"/>
      <w:w w:val="90"/>
      <w:kern w:val="0"/>
      <w:sz w:val="28"/>
      <w:szCs w:val="20"/>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7">
    <w:name w:val="List 3"/>
    <w:basedOn w:val="1"/>
    <w:next w:val="1"/>
    <w:qFormat/>
    <w:uiPriority w:val="0"/>
    <w:pPr>
      <w:ind w:left="100" w:leftChars="400" w:hanging="200" w:hangingChars="200"/>
    </w:pPr>
  </w:style>
  <w:style w:type="paragraph" w:styleId="8">
    <w:name w:val="E-mail Signature"/>
    <w:basedOn w:val="1"/>
    <w:next w:val="9"/>
    <w:unhideWhenUsed/>
    <w:qFormat/>
    <w:uiPriority w:val="99"/>
    <w:pPr>
      <w:spacing w:line="460" w:lineRule="exact"/>
      <w:ind w:firstLine="200"/>
    </w:pPr>
  </w:style>
  <w:style w:type="paragraph" w:customStyle="1" w:styleId="9">
    <w:name w:val="文章"/>
    <w:basedOn w:val="10"/>
    <w:next w:val="11"/>
    <w:qFormat/>
    <w:uiPriority w:val="0"/>
    <w:pPr>
      <w:widowControl/>
      <w:spacing w:line="240" w:lineRule="auto"/>
      <w:ind w:firstLine="480"/>
      <w:jc w:val="center"/>
    </w:pPr>
    <w:rPr>
      <w:sz w:val="26"/>
    </w:rPr>
  </w:style>
  <w:style w:type="paragraph" w:styleId="10">
    <w:name w:val="Body Text Indent"/>
    <w:basedOn w:val="1"/>
    <w:next w:val="1"/>
    <w:qFormat/>
    <w:uiPriority w:val="0"/>
    <w:pPr>
      <w:spacing w:after="120"/>
      <w:ind w:left="420" w:leftChars="200"/>
    </w:pPr>
    <w:rPr>
      <w:kern w:val="0"/>
      <w:szCs w:val="20"/>
    </w:rPr>
  </w:style>
  <w:style w:type="paragraph" w:styleId="11">
    <w:name w:val="List"/>
    <w:basedOn w:val="1"/>
    <w:next w:val="12"/>
    <w:qFormat/>
    <w:uiPriority w:val="0"/>
    <w:pPr>
      <w:ind w:left="200" w:hanging="200" w:hangingChars="200"/>
    </w:pPr>
  </w:style>
  <w:style w:type="paragraph" w:styleId="12">
    <w:name w:val="List Bullet 2"/>
    <w:basedOn w:val="1"/>
    <w:next w:val="13"/>
    <w:semiHidden/>
    <w:unhideWhenUsed/>
    <w:qFormat/>
    <w:uiPriority w:val="0"/>
    <w:pPr>
      <w:numPr>
        <w:ilvl w:val="0"/>
        <w:numId w:val="5"/>
      </w:numPr>
    </w:pPr>
  </w:style>
  <w:style w:type="paragraph" w:customStyle="1" w:styleId="13">
    <w:name w:val="xl70"/>
    <w:basedOn w:val="1"/>
    <w:next w:val="14"/>
    <w:qFormat/>
    <w:uiPriority w:val="0"/>
    <w:pPr>
      <w:widowControl/>
      <w:spacing w:before="280" w:after="280" w:line="240" w:lineRule="auto"/>
    </w:pPr>
    <w:rPr>
      <w:rFonts w:ascii="宋体"/>
    </w:rPr>
  </w:style>
  <w:style w:type="paragraph" w:customStyle="1" w:styleId="14">
    <w:name w:val="正文缩进1"/>
    <w:basedOn w:val="1"/>
    <w:next w:val="15"/>
    <w:qFormat/>
    <w:uiPriority w:val="0"/>
    <w:pPr>
      <w:spacing w:line="240" w:lineRule="auto"/>
      <w:ind w:firstLine="420" w:firstLineChars="0"/>
    </w:pPr>
    <w:rPr>
      <w:sz w:val="21"/>
      <w:szCs w:val="20"/>
    </w:rPr>
  </w:style>
  <w:style w:type="paragraph" w:customStyle="1" w:styleId="15">
    <w:name w:val="td1"/>
    <w:basedOn w:val="1"/>
    <w:next w:val="1"/>
    <w:qFormat/>
    <w:uiPriority w:val="0"/>
    <w:pPr>
      <w:widowControl/>
      <w:spacing w:before="280" w:after="280" w:line="300" w:lineRule="atLeast"/>
      <w:ind w:firstLine="200"/>
    </w:pPr>
    <w:rPr>
      <w:color w:val="000000"/>
      <w:sz w:val="18"/>
    </w:rPr>
  </w:style>
  <w:style w:type="paragraph" w:styleId="16">
    <w:name w:val="Normal Indent"/>
    <w:basedOn w:val="1"/>
    <w:next w:val="1"/>
    <w:qFormat/>
    <w:uiPriority w:val="0"/>
    <w:pPr>
      <w:ind w:firstLine="420"/>
    </w:pPr>
  </w:style>
  <w:style w:type="paragraph" w:styleId="17">
    <w:name w:val="annotation text"/>
    <w:basedOn w:val="1"/>
    <w:next w:val="18"/>
    <w:link w:val="78"/>
    <w:qFormat/>
    <w:uiPriority w:val="99"/>
    <w:pPr>
      <w:jc w:val="left"/>
    </w:pPr>
    <w:rPr>
      <w:kern w:val="0"/>
      <w:szCs w:val="20"/>
    </w:rPr>
  </w:style>
  <w:style w:type="paragraph" w:styleId="18">
    <w:name w:val="toc 5"/>
    <w:basedOn w:val="1"/>
    <w:next w:val="1"/>
    <w:qFormat/>
    <w:uiPriority w:val="39"/>
    <w:pPr>
      <w:ind w:left="840"/>
      <w:jc w:val="left"/>
    </w:pPr>
    <w:rPr>
      <w:sz w:val="18"/>
      <w:szCs w:val="18"/>
    </w:rPr>
  </w:style>
  <w:style w:type="paragraph" w:styleId="19">
    <w:name w:val="Body Text"/>
    <w:basedOn w:val="1"/>
    <w:next w:val="16"/>
    <w:qFormat/>
    <w:uiPriority w:val="0"/>
    <w:rPr>
      <w:b/>
      <w:bCs/>
      <w:sz w:val="32"/>
    </w:rPr>
  </w:style>
  <w:style w:type="paragraph" w:styleId="20">
    <w:name w:val="Plain Text"/>
    <w:basedOn w:val="1"/>
    <w:next w:val="21"/>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21">
    <w:name w:val="toc 1"/>
    <w:basedOn w:val="1"/>
    <w:next w:val="1"/>
    <w:qFormat/>
    <w:uiPriority w:val="0"/>
  </w:style>
  <w:style w:type="paragraph" w:styleId="22">
    <w:name w:val="Body Text Indent 2"/>
    <w:basedOn w:val="1"/>
    <w:qFormat/>
    <w:uiPriority w:val="0"/>
    <w:pPr>
      <w:widowControl/>
      <w:ind w:firstLine="430"/>
      <w:jc w:val="left"/>
    </w:pPr>
    <w:rPr>
      <w:kern w:val="0"/>
      <w:sz w:val="24"/>
      <w:szCs w:val="20"/>
    </w:rPr>
  </w:style>
  <w:style w:type="paragraph" w:styleId="23">
    <w:name w:val="Balloon Text"/>
    <w:basedOn w:val="1"/>
    <w:link w:val="80"/>
    <w:qFormat/>
    <w:uiPriority w:val="0"/>
    <w:pPr>
      <w:spacing w:line="240" w:lineRule="auto"/>
    </w:pPr>
    <w:rPr>
      <w:sz w:val="18"/>
      <w:szCs w:val="18"/>
    </w:rPr>
  </w:style>
  <w:style w:type="paragraph" w:styleId="24">
    <w:name w:val="footer"/>
    <w:basedOn w:val="1"/>
    <w:qFormat/>
    <w:uiPriority w:val="99"/>
    <w:pPr>
      <w:tabs>
        <w:tab w:val="center" w:pos="4153"/>
        <w:tab w:val="right" w:pos="8306"/>
      </w:tabs>
      <w:snapToGrid w:val="0"/>
      <w:jc w:val="left"/>
    </w:pPr>
    <w:rPr>
      <w:kern w:val="0"/>
      <w:sz w:val="18"/>
      <w:szCs w:val="20"/>
    </w:rPr>
  </w:style>
  <w:style w:type="paragraph" w:styleId="2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6">
    <w:name w:val="Body Text Indent 3"/>
    <w:basedOn w:val="1"/>
    <w:qFormat/>
    <w:uiPriority w:val="0"/>
    <w:pPr>
      <w:autoSpaceDE w:val="0"/>
      <w:autoSpaceDN w:val="0"/>
      <w:adjustRightInd w:val="0"/>
      <w:spacing w:line="400" w:lineRule="exact"/>
      <w:ind w:firstLine="520" w:firstLineChars="200"/>
    </w:pPr>
    <w:rPr>
      <w:rFonts w:ascii="宋体" w:hAnsi="宋体"/>
      <w:sz w:val="26"/>
    </w:rPr>
  </w:style>
  <w:style w:type="paragraph" w:styleId="27">
    <w:name w:val="toc 2"/>
    <w:basedOn w:val="1"/>
    <w:next w:val="1"/>
    <w:qFormat/>
    <w:uiPriority w:val="0"/>
    <w:pPr>
      <w:adjustRightInd w:val="0"/>
      <w:spacing w:line="312" w:lineRule="atLeast"/>
      <w:ind w:left="420" w:leftChars="200"/>
      <w:textAlignment w:val="baseline"/>
    </w:pPr>
    <w:rPr>
      <w:kern w:val="0"/>
      <w:szCs w:val="20"/>
    </w:rPr>
  </w:style>
  <w:style w:type="paragraph" w:styleId="28">
    <w:name w:val="Normal (Web)"/>
    <w:basedOn w:val="1"/>
    <w:qFormat/>
    <w:uiPriority w:val="0"/>
    <w:pPr>
      <w:widowControl/>
      <w:spacing w:before="100" w:beforeAutospacing="1" w:after="100" w:afterAutospacing="1"/>
      <w:jc w:val="left"/>
    </w:pPr>
    <w:rPr>
      <w:rFonts w:ascii="宋体" w:hAnsi="宋体"/>
      <w:kern w:val="0"/>
      <w:szCs w:val="20"/>
    </w:rPr>
  </w:style>
  <w:style w:type="paragraph" w:styleId="29">
    <w:name w:val="annotation subject"/>
    <w:basedOn w:val="17"/>
    <w:next w:val="17"/>
    <w:link w:val="79"/>
    <w:qFormat/>
    <w:uiPriority w:val="0"/>
    <w:rPr>
      <w:b/>
      <w:bCs/>
      <w:kern w:val="2"/>
      <w:szCs w:val="24"/>
    </w:rPr>
  </w:style>
  <w:style w:type="paragraph" w:styleId="30">
    <w:name w:val="Body Text First Indent"/>
    <w:basedOn w:val="19"/>
    <w:qFormat/>
    <w:uiPriority w:val="99"/>
    <w:pPr>
      <w:ind w:firstLine="420" w:firstLineChars="100"/>
    </w:pPr>
  </w:style>
  <w:style w:type="paragraph" w:styleId="31">
    <w:name w:val="Body Text First Indent 2"/>
    <w:basedOn w:val="10"/>
    <w:next w:val="30"/>
    <w:unhideWhenUsed/>
    <w:qFormat/>
    <w:uiPriority w:val="99"/>
    <w:pPr>
      <w:ind w:firstLine="420" w:firstLineChars="200"/>
    </w:p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style>
  <w:style w:type="character" w:styleId="36">
    <w:name w:val="page number"/>
    <w:basedOn w:val="34"/>
    <w:qFormat/>
    <w:uiPriority w:val="0"/>
  </w:style>
  <w:style w:type="character" w:styleId="37">
    <w:name w:val="FollowedHyperlink"/>
    <w:basedOn w:val="34"/>
    <w:semiHidden/>
    <w:unhideWhenUsed/>
    <w:qFormat/>
    <w:uiPriority w:val="0"/>
    <w:rPr>
      <w:color w:val="333333"/>
      <w:u w:val="none"/>
    </w:rPr>
  </w:style>
  <w:style w:type="character" w:styleId="38">
    <w:name w:val="Emphasis"/>
    <w:basedOn w:val="34"/>
    <w:qFormat/>
    <w:uiPriority w:val="0"/>
  </w:style>
  <w:style w:type="character" w:styleId="39">
    <w:name w:val="Hyperlink"/>
    <w:basedOn w:val="34"/>
    <w:semiHidden/>
    <w:unhideWhenUsed/>
    <w:qFormat/>
    <w:uiPriority w:val="0"/>
    <w:rPr>
      <w:color w:val="333333"/>
      <w:u w:val="none"/>
    </w:rPr>
  </w:style>
  <w:style w:type="character" w:styleId="40">
    <w:name w:val="annotation reference"/>
    <w:basedOn w:val="34"/>
    <w:qFormat/>
    <w:uiPriority w:val="0"/>
    <w:rPr>
      <w:sz w:val="21"/>
      <w:szCs w:val="21"/>
    </w:rPr>
  </w:style>
  <w:style w:type="paragraph" w:customStyle="1" w:styleId="41">
    <w:name w:val="Default"/>
    <w:basedOn w:val="42"/>
    <w:next w:val="11"/>
    <w:qFormat/>
    <w:uiPriority w:val="0"/>
    <w:pPr>
      <w:autoSpaceDE w:val="0"/>
      <w:autoSpaceDN w:val="0"/>
      <w:adjustRightInd w:val="0"/>
    </w:pPr>
    <w:rPr>
      <w:rFonts w:ascii="仿宋_GB2312" w:hAnsi="Times New Roman" w:eastAsia="仿宋_GB2312" w:cs="仿宋_GB2312"/>
      <w:color w:val="000000"/>
      <w:sz w:val="24"/>
      <w:szCs w:val="24"/>
    </w:rPr>
  </w:style>
  <w:style w:type="paragraph" w:customStyle="1" w:styleId="42">
    <w:name w:val="纯文本1"/>
    <w:basedOn w:val="1"/>
    <w:next w:val="20"/>
    <w:qFormat/>
    <w:uiPriority w:val="0"/>
    <w:rPr>
      <w:rFonts w:ascii="宋体" w:hAnsi="Courier New" w:cs="Courier New"/>
      <w:sz w:val="21"/>
      <w:szCs w:val="21"/>
    </w:rPr>
  </w:style>
  <w:style w:type="paragraph" w:customStyle="1" w:styleId="43">
    <w:name w:val="List 31"/>
    <w:basedOn w:val="1"/>
    <w:next w:val="1"/>
    <w:qFormat/>
    <w:uiPriority w:val="0"/>
    <w:pPr>
      <w:autoSpaceDE w:val="0"/>
      <w:autoSpaceDN w:val="0"/>
      <w:adjustRightInd w:val="0"/>
      <w:spacing w:line="288" w:lineRule="auto"/>
      <w:ind w:left="1260" w:hanging="420"/>
      <w:jc w:val="left"/>
      <w:textAlignment w:val="baseline"/>
    </w:pPr>
    <w:rPr>
      <w:kern w:val="0"/>
      <w:sz w:val="24"/>
      <w:szCs w:val="20"/>
    </w:rPr>
  </w:style>
  <w:style w:type="paragraph" w:customStyle="1" w:styleId="44">
    <w:name w:val="报告书正文"/>
    <w:basedOn w:val="1"/>
    <w:qFormat/>
    <w:uiPriority w:val="0"/>
    <w:pPr>
      <w:ind w:firstLine="480" w:firstLineChars="200"/>
    </w:pPr>
    <w:rPr>
      <w:kern w:val="0"/>
    </w:rPr>
  </w:style>
  <w:style w:type="paragraph" w:customStyle="1" w:styleId="45">
    <w:name w:val="环评表格"/>
    <w:basedOn w:val="1"/>
    <w:qFormat/>
    <w:uiPriority w:val="0"/>
    <w:pPr>
      <w:numPr>
        <w:ilvl w:val="0"/>
        <w:numId w:val="6"/>
      </w:numPr>
      <w:shd w:val="clear" w:color="auto" w:fill="auto"/>
      <w:spacing w:line="240" w:lineRule="auto"/>
      <w:jc w:val="center"/>
    </w:pPr>
    <w:rPr>
      <w:rFonts w:ascii="Times New Roman" w:hAnsi="Times New Roman" w:eastAsia="宋体"/>
      <w:b/>
      <w:bCs/>
      <w:color w:val="000000" w:themeColor="text1"/>
      <w:u w:val="none"/>
      <w:shd w:val="clear" w:color="auto" w:fill="auto"/>
      <w14:textFill>
        <w14:solidFill>
          <w14:schemeClr w14:val="tx1"/>
        </w14:solidFill>
      </w14:textFill>
    </w:rPr>
  </w:style>
  <w:style w:type="paragraph" w:customStyle="1" w:styleId="46">
    <w:name w:val="环评图片"/>
    <w:basedOn w:val="1"/>
    <w:qFormat/>
    <w:uiPriority w:val="0"/>
    <w:pPr>
      <w:numPr>
        <w:ilvl w:val="0"/>
        <w:numId w:val="7"/>
      </w:numPr>
      <w:adjustRightInd w:val="0"/>
      <w:snapToGrid w:val="0"/>
      <w:ind w:left="0" w:firstLine="0" w:firstLineChars="0"/>
      <w:jc w:val="center"/>
    </w:pPr>
    <w:rPr>
      <w:rFonts w:hint="eastAsia" w:ascii="Times New Roman" w:hAnsi="Times New Roman" w:eastAsia="宋体"/>
      <w:b/>
    </w:rPr>
  </w:style>
  <w:style w:type="paragraph" w:customStyle="1" w:styleId="47">
    <w:name w:val="样式35"/>
    <w:basedOn w:val="48"/>
    <w:next w:val="49"/>
    <w:qFormat/>
    <w:uiPriority w:val="0"/>
    <w:pPr>
      <w:tabs>
        <w:tab w:val="left" w:pos="0"/>
        <w:tab w:val="left" w:pos="360"/>
        <w:tab w:val="left" w:pos="480"/>
        <w:tab w:val="left" w:pos="540"/>
        <w:tab w:val="left" w:pos="567"/>
        <w:tab w:val="left" w:pos="720"/>
        <w:tab w:val="left" w:pos="1008"/>
      </w:tabs>
      <w:spacing w:line="312" w:lineRule="auto"/>
      <w:ind w:firstLine="567"/>
    </w:pPr>
    <w:rPr>
      <w:rFonts w:ascii="宋体"/>
      <w:sz w:val="28"/>
    </w:rPr>
  </w:style>
  <w:style w:type="paragraph" w:customStyle="1" w:styleId="48">
    <w:name w:val="表 内容"/>
    <w:basedOn w:val="1"/>
    <w:qFormat/>
    <w:uiPriority w:val="0"/>
    <w:pPr>
      <w:snapToGrid w:val="0"/>
      <w:jc w:val="center"/>
    </w:pPr>
    <w:rPr>
      <w:rFonts w:hint="eastAsia"/>
      <w:sz w:val="24"/>
      <w:szCs w:val="21"/>
    </w:rPr>
  </w:style>
  <w:style w:type="paragraph" w:customStyle="1" w:styleId="49">
    <w:name w:val="font6"/>
    <w:basedOn w:val="1"/>
    <w:next w:val="27"/>
    <w:qFormat/>
    <w:uiPriority w:val="0"/>
    <w:pPr>
      <w:widowControl/>
      <w:spacing w:before="280" w:after="280"/>
    </w:pPr>
  </w:style>
  <w:style w:type="paragraph" w:customStyle="1" w:styleId="50">
    <w:name w:val="样式26"/>
    <w:basedOn w:val="51"/>
    <w:qFormat/>
    <w:uiPriority w:val="0"/>
    <w:pPr>
      <w:tabs>
        <w:tab w:val="left" w:pos="0"/>
        <w:tab w:val="left" w:pos="360"/>
        <w:tab w:val="left" w:pos="480"/>
        <w:tab w:val="left" w:pos="540"/>
        <w:tab w:val="left" w:pos="567"/>
        <w:tab w:val="left" w:pos="720"/>
        <w:tab w:val="left" w:pos="1008"/>
      </w:tabs>
    </w:pPr>
  </w:style>
  <w:style w:type="paragraph" w:customStyle="1" w:styleId="51">
    <w:name w:val="样式21"/>
    <w:basedOn w:val="52"/>
    <w:qFormat/>
    <w:uiPriority w:val="0"/>
    <w:pPr>
      <w:tabs>
        <w:tab w:val="left" w:pos="360"/>
        <w:tab w:val="left" w:pos="480"/>
        <w:tab w:val="left" w:pos="540"/>
        <w:tab w:val="left" w:pos="720"/>
        <w:tab w:val="left" w:pos="1008"/>
      </w:tabs>
      <w:spacing w:beforeLines="50" w:afterLines="50" w:line="360" w:lineRule="auto"/>
      <w:ind w:left="720" w:hanging="720"/>
      <w:outlineLvl w:val="2"/>
    </w:pPr>
    <w:rPr>
      <w:rFonts w:eastAsia="MS Mincho"/>
      <w:kern w:val="0"/>
      <w:sz w:val="24"/>
      <w:szCs w:val="32"/>
    </w:rPr>
  </w:style>
  <w:style w:type="paragraph" w:customStyle="1" w:styleId="52">
    <w:name w:val="样式5"/>
    <w:basedOn w:val="53"/>
    <w:qFormat/>
    <w:uiPriority w:val="0"/>
    <w:pPr>
      <w:tabs>
        <w:tab w:val="left" w:pos="480"/>
        <w:tab w:val="left" w:pos="1008"/>
      </w:tabs>
      <w:ind w:right="-105" w:rightChars="-50"/>
      <w:jc w:val="center"/>
    </w:pPr>
    <w:rPr>
      <w:rFonts w:ascii="宋体"/>
      <w:kern w:val="0"/>
      <w:sz w:val="21"/>
    </w:rPr>
  </w:style>
  <w:style w:type="paragraph" w:customStyle="1" w:styleId="53">
    <w:name w:val="样式12"/>
    <w:basedOn w:val="6"/>
    <w:qFormat/>
    <w:uiPriority w:val="0"/>
    <w:pPr>
      <w:tabs>
        <w:tab w:val="left" w:pos="480"/>
        <w:tab w:val="left" w:pos="1008"/>
        <w:tab w:val="clear" w:pos="700"/>
      </w:tabs>
      <w:ind w:firstLine="200" w:firstLineChars="200"/>
    </w:pPr>
    <w:rPr>
      <w:rFonts w:ascii="Times New Roman" w:hAnsi="Times New Roman" w:eastAsia="宋体"/>
    </w:rPr>
  </w:style>
  <w:style w:type="paragraph" w:customStyle="1" w:styleId="54">
    <w:name w:val="表格标题"/>
    <w:basedOn w:val="55"/>
    <w:next w:val="1"/>
    <w:qFormat/>
    <w:uiPriority w:val="0"/>
    <w:pPr>
      <w:numPr>
        <w:ilvl w:val="0"/>
        <w:numId w:val="8"/>
      </w:numPr>
      <w:spacing w:line="240" w:lineRule="auto"/>
      <w:ind w:left="0" w:firstLine="0"/>
      <w:jc w:val="center"/>
    </w:pPr>
    <w:rPr>
      <w:b/>
      <w:bCs/>
    </w:rPr>
  </w:style>
  <w:style w:type="paragraph" w:customStyle="1" w:styleId="55">
    <w:name w:val="表格000"/>
    <w:basedOn w:val="1"/>
    <w:qFormat/>
    <w:uiPriority w:val="0"/>
    <w:pPr>
      <w:jc w:val="center"/>
    </w:pPr>
    <w:rPr>
      <w:kern w:val="11"/>
      <w:szCs w:val="21"/>
    </w:rPr>
  </w:style>
  <w:style w:type="paragraph" w:customStyle="1" w:styleId="56">
    <w:name w:val="Table Paragraph"/>
    <w:basedOn w:val="1"/>
    <w:qFormat/>
    <w:uiPriority w:val="1"/>
    <w:rPr>
      <w:rFonts w:ascii="仿宋" w:hAnsi="仿宋" w:eastAsia="仿宋" w:cs="仿宋"/>
      <w:lang w:val="zh-CN" w:bidi="zh-CN"/>
    </w:rPr>
  </w:style>
  <w:style w:type="paragraph" w:customStyle="1" w:styleId="57">
    <w:name w:val="报告表正文"/>
    <w:basedOn w:val="1"/>
    <w:qFormat/>
    <w:uiPriority w:val="0"/>
    <w:pPr>
      <w:adjustRightInd w:val="0"/>
      <w:spacing w:line="240" w:lineRule="auto"/>
      <w:jc w:val="center"/>
      <w:textAlignment w:val="baseline"/>
    </w:pPr>
    <w:rPr>
      <w:kern w:val="0"/>
      <w:sz w:val="21"/>
      <w:szCs w:val="20"/>
    </w:rPr>
  </w:style>
  <w:style w:type="paragraph" w:customStyle="1" w:styleId="58">
    <w:name w:val="图标题"/>
    <w:basedOn w:val="1"/>
    <w:qFormat/>
    <w:uiPriority w:val="0"/>
    <w:pPr>
      <w:numPr>
        <w:ilvl w:val="0"/>
        <w:numId w:val="9"/>
      </w:numPr>
      <w:jc w:val="center"/>
    </w:pPr>
    <w:rPr>
      <w:b/>
    </w:rPr>
  </w:style>
  <w:style w:type="paragraph" w:customStyle="1" w:styleId="59">
    <w:name w:val="表格内容"/>
    <w:basedOn w:val="60"/>
    <w:next w:val="1"/>
    <w:qFormat/>
    <w:uiPriority w:val="0"/>
    <w:rPr>
      <w:bCs/>
      <w:kern w:val="2"/>
      <w:szCs w:val="24"/>
      <w:lang w:val="zh-CN"/>
    </w:rPr>
  </w:style>
  <w:style w:type="paragraph" w:customStyle="1" w:styleId="60">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61">
    <w:name w:val="表格正文"/>
    <w:basedOn w:val="1"/>
    <w:next w:val="1"/>
    <w:qFormat/>
    <w:uiPriority w:val="99"/>
    <w:pPr>
      <w:adjustRightInd w:val="0"/>
      <w:spacing w:line="240" w:lineRule="auto"/>
      <w:jc w:val="center"/>
    </w:pPr>
    <w:rPr>
      <w:sz w:val="21"/>
      <w:szCs w:val="20"/>
    </w:rPr>
  </w:style>
  <w:style w:type="paragraph" w:styleId="62">
    <w:name w:val="List Paragraph"/>
    <w:basedOn w:val="1"/>
    <w:qFormat/>
    <w:uiPriority w:val="34"/>
    <w:pPr>
      <w:widowControl/>
      <w:ind w:firstLine="420" w:firstLineChars="200"/>
      <w:jc w:val="left"/>
    </w:pPr>
    <w:rPr>
      <w:rFonts w:ascii="宋体" w:hAnsi="宋体" w:cs="宋体"/>
      <w:kern w:val="0"/>
    </w:rPr>
  </w:style>
  <w:style w:type="paragraph" w:customStyle="1" w:styleId="63">
    <w:name w:val="表标题"/>
    <w:basedOn w:val="64"/>
    <w:next w:val="64"/>
    <w:qFormat/>
    <w:uiPriority w:val="0"/>
    <w:pPr>
      <w:spacing w:line="520" w:lineRule="exact"/>
      <w:jc w:val="center"/>
      <w:textAlignment w:val="baseline"/>
    </w:pPr>
    <w:rPr>
      <w:b/>
      <w:kern w:val="0"/>
      <w:szCs w:val="20"/>
    </w:rPr>
  </w:style>
  <w:style w:type="paragraph" w:customStyle="1" w:styleId="64">
    <w:name w:val="正文内容"/>
    <w:basedOn w:val="1"/>
    <w:qFormat/>
    <w:uiPriority w:val="0"/>
    <w:pPr>
      <w:ind w:firstLine="200" w:firstLineChars="200"/>
    </w:pPr>
    <w:rPr>
      <w:kern w:val="0"/>
    </w:rPr>
  </w:style>
  <w:style w:type="paragraph" w:customStyle="1" w:styleId="65">
    <w:name w:val="正文001"/>
    <w:basedOn w:val="19"/>
    <w:qFormat/>
    <w:uiPriority w:val="0"/>
    <w:pPr>
      <w:spacing w:line="240" w:lineRule="auto"/>
      <w:jc w:val="center"/>
    </w:pPr>
  </w:style>
  <w:style w:type="paragraph" w:customStyle="1" w:styleId="66">
    <w:name w:val="表格2"/>
    <w:basedOn w:val="67"/>
    <w:next w:val="1"/>
    <w:qFormat/>
    <w:uiPriority w:val="0"/>
    <w:rPr>
      <w:position w:val="-28"/>
      <w:sz w:val="21"/>
    </w:rPr>
  </w:style>
  <w:style w:type="paragraph" w:customStyle="1" w:styleId="67">
    <w:name w:val="表格1"/>
    <w:basedOn w:val="1"/>
    <w:next w:val="1"/>
    <w:qFormat/>
    <w:uiPriority w:val="0"/>
    <w:pPr>
      <w:topLinePunct/>
      <w:autoSpaceDE w:val="0"/>
      <w:autoSpaceDN w:val="0"/>
      <w:adjustRightInd w:val="0"/>
      <w:jc w:val="center"/>
    </w:pPr>
    <w:rPr>
      <w:rFonts w:ascii="宋体" w:hAnsi="Impact"/>
      <w:kern w:val="24"/>
      <w:sz w:val="28"/>
      <w:szCs w:val="20"/>
    </w:rPr>
  </w:style>
  <w:style w:type="paragraph" w:customStyle="1" w:styleId="68">
    <w:name w:val="样式1"/>
    <w:qFormat/>
    <w:uiPriority w:val="0"/>
    <w:pPr>
      <w:widowControl w:val="0"/>
      <w:autoSpaceDE w:val="0"/>
      <w:autoSpaceDN w:val="0"/>
      <w:adjustRightInd w:val="0"/>
      <w:spacing w:after="200" w:line="276" w:lineRule="auto"/>
      <w:jc w:val="both"/>
    </w:pPr>
    <w:rPr>
      <w:rFonts w:ascii="Times New Roman" w:hAnsi="Roman" w:eastAsia="宋体" w:cs="Times New Roman"/>
      <w:color w:val="000000"/>
      <w:spacing w:val="-1"/>
      <w:kern w:val="30"/>
      <w:position w:val="-1"/>
      <w:sz w:val="30"/>
      <w:lang w:val="en-US" w:eastAsia="zh-CN" w:bidi="ar-SA"/>
    </w:rPr>
  </w:style>
  <w:style w:type="paragraph" w:customStyle="1" w:styleId="69">
    <w:name w:val="Body Text 22"/>
    <w:basedOn w:val="1"/>
    <w:qFormat/>
    <w:uiPriority w:val="0"/>
    <w:pPr>
      <w:adjustRightInd w:val="0"/>
      <w:spacing w:line="440" w:lineRule="atLeast"/>
      <w:ind w:firstLine="480"/>
    </w:pPr>
    <w:rPr>
      <w:rFonts w:eastAsia="仿宋_GB2312"/>
      <w:szCs w:val="20"/>
    </w:rPr>
  </w:style>
  <w:style w:type="character" w:customStyle="1" w:styleId="70">
    <w:name w:val="font31"/>
    <w:qFormat/>
    <w:uiPriority w:val="0"/>
    <w:rPr>
      <w:rFonts w:hint="default" w:ascii="Times New Roman" w:hAnsi="Times New Roman" w:cs="Times New Roman"/>
      <w:b/>
      <w:color w:val="000000"/>
      <w:sz w:val="21"/>
      <w:szCs w:val="21"/>
      <w:u w:val="none"/>
    </w:rPr>
  </w:style>
  <w:style w:type="character" w:customStyle="1" w:styleId="71">
    <w:name w:val="font41"/>
    <w:basedOn w:val="34"/>
    <w:qFormat/>
    <w:uiPriority w:val="0"/>
    <w:rPr>
      <w:rFonts w:hint="eastAsia" w:ascii="宋体" w:hAnsi="宋体" w:eastAsia="宋体" w:cs="宋体"/>
      <w:b/>
      <w:color w:val="000000"/>
      <w:sz w:val="21"/>
      <w:szCs w:val="21"/>
      <w:u w:val="none"/>
    </w:rPr>
  </w:style>
  <w:style w:type="character" w:customStyle="1" w:styleId="72">
    <w:name w:val="font61"/>
    <w:basedOn w:val="34"/>
    <w:qFormat/>
    <w:uiPriority w:val="0"/>
    <w:rPr>
      <w:rFonts w:hint="eastAsia" w:ascii="宋体" w:hAnsi="宋体" w:eastAsia="宋体" w:cs="宋体"/>
      <w:color w:val="000000"/>
      <w:sz w:val="21"/>
      <w:szCs w:val="21"/>
      <w:u w:val="none"/>
    </w:rPr>
  </w:style>
  <w:style w:type="character" w:customStyle="1" w:styleId="73">
    <w:name w:val="font71"/>
    <w:basedOn w:val="34"/>
    <w:qFormat/>
    <w:uiPriority w:val="0"/>
    <w:rPr>
      <w:rFonts w:hint="default" w:ascii="Times New Roman" w:hAnsi="Times New Roman" w:cs="Times New Roman"/>
      <w:color w:val="000000"/>
      <w:sz w:val="21"/>
      <w:szCs w:val="21"/>
      <w:u w:val="none"/>
      <w:vertAlign w:val="subscript"/>
    </w:rPr>
  </w:style>
  <w:style w:type="character" w:customStyle="1" w:styleId="74">
    <w:name w:val="font51"/>
    <w:qFormat/>
    <w:uiPriority w:val="0"/>
    <w:rPr>
      <w:rFonts w:hint="default" w:ascii="Times New Roman" w:hAnsi="Times New Roman" w:cs="Times New Roman"/>
      <w:color w:val="000000"/>
      <w:sz w:val="21"/>
      <w:szCs w:val="21"/>
      <w:u w:val="none"/>
    </w:rPr>
  </w:style>
  <w:style w:type="paragraph" w:customStyle="1" w:styleId="75">
    <w:name w:val="p0"/>
    <w:basedOn w:val="1"/>
    <w:qFormat/>
    <w:uiPriority w:val="0"/>
    <w:pPr>
      <w:widowControl/>
    </w:pPr>
    <w:rPr>
      <w:rFonts w:ascii="Calibri" w:hAnsi="Calibri" w:cs="宋体"/>
      <w:kern w:val="0"/>
      <w:szCs w:val="21"/>
    </w:rPr>
  </w:style>
  <w:style w:type="paragraph" w:customStyle="1" w:styleId="76">
    <w:name w:val="表格"/>
    <w:basedOn w:val="1"/>
    <w:next w:val="1"/>
    <w:qFormat/>
    <w:uiPriority w:val="0"/>
    <w:pPr>
      <w:adjustRightInd w:val="0"/>
      <w:snapToGrid w:val="0"/>
      <w:spacing w:beforeLines="10" w:afterLines="10" w:line="259" w:lineRule="auto"/>
      <w:jc w:val="center"/>
    </w:pPr>
    <w:rPr>
      <w:rFonts w:ascii="宋体"/>
      <w:kern w:val="0"/>
      <w:szCs w:val="20"/>
    </w:rPr>
  </w:style>
  <w:style w:type="character" w:customStyle="1" w:styleId="77">
    <w:name w:val="font11"/>
    <w:qFormat/>
    <w:uiPriority w:val="0"/>
    <w:rPr>
      <w:rFonts w:hint="default" w:ascii="Times New Roman" w:hAnsi="Times New Roman" w:cs="Times New Roman"/>
      <w:color w:val="000000"/>
      <w:sz w:val="21"/>
      <w:szCs w:val="21"/>
      <w:u w:val="none"/>
    </w:rPr>
  </w:style>
  <w:style w:type="character" w:customStyle="1" w:styleId="78">
    <w:name w:val="批注文字 字符"/>
    <w:basedOn w:val="34"/>
    <w:link w:val="17"/>
    <w:qFormat/>
    <w:uiPriority w:val="99"/>
    <w:rPr>
      <w:sz w:val="24"/>
    </w:rPr>
  </w:style>
  <w:style w:type="character" w:customStyle="1" w:styleId="79">
    <w:name w:val="批注主题 字符"/>
    <w:basedOn w:val="78"/>
    <w:link w:val="29"/>
    <w:qFormat/>
    <w:uiPriority w:val="0"/>
    <w:rPr>
      <w:sz w:val="24"/>
    </w:rPr>
  </w:style>
  <w:style w:type="character" w:customStyle="1" w:styleId="80">
    <w:name w:val="批注框文本 字符"/>
    <w:basedOn w:val="34"/>
    <w:link w:val="23"/>
    <w:qFormat/>
    <w:uiPriority w:val="0"/>
    <w:rPr>
      <w:kern w:val="2"/>
      <w:sz w:val="18"/>
      <w:szCs w:val="18"/>
    </w:rPr>
  </w:style>
  <w:style w:type="paragraph" w:customStyle="1" w:styleId="81">
    <w:name w:val="Revision"/>
    <w:hidden/>
    <w:unhideWhenUsed/>
    <w:qFormat/>
    <w:uiPriority w:val="99"/>
    <w:rPr>
      <w:rFonts w:ascii="Times New Roman" w:hAnsi="Times New Roman" w:eastAsia="宋体" w:cs="Times New Roman"/>
      <w:kern w:val="2"/>
      <w:sz w:val="24"/>
      <w:szCs w:val="24"/>
      <w:lang w:val="en-US" w:eastAsia="zh-CN" w:bidi="ar-SA"/>
    </w:rPr>
  </w:style>
  <w:style w:type="character" w:customStyle="1" w:styleId="82">
    <w:name w:val="info-label"/>
    <w:basedOn w:val="34"/>
    <w:qFormat/>
    <w:uiPriority w:val="0"/>
    <w:rPr>
      <w:b/>
      <w:bCs/>
    </w:rPr>
  </w:style>
  <w:style w:type="character" w:customStyle="1" w:styleId="83">
    <w:name w:val="current"/>
    <w:basedOn w:val="34"/>
    <w:qFormat/>
    <w:uiPriority w:val="0"/>
    <w:rPr>
      <w:color w:val="00C1DE"/>
    </w:rPr>
  </w:style>
  <w:style w:type="character" w:customStyle="1" w:styleId="84">
    <w:name w:val="current1"/>
    <w:basedOn w:val="34"/>
    <w:qFormat/>
    <w:uiPriority w:val="0"/>
    <w:rPr>
      <w:color w:val="00C1DE"/>
    </w:rPr>
  </w:style>
  <w:style w:type="character" w:customStyle="1" w:styleId="85">
    <w:name w:val="info-content"/>
    <w:basedOn w:val="34"/>
    <w:qFormat/>
    <w:uiPriority w:val="0"/>
    <w:rPr>
      <w:color w:val="808080"/>
    </w:rPr>
  </w:style>
  <w:style w:type="paragraph" w:customStyle="1" w:styleId="86">
    <w:name w:val="协力表格标题"/>
    <w:basedOn w:val="60"/>
    <w:qFormat/>
    <w:uiPriority w:val="0"/>
    <w:pPr>
      <w:numPr>
        <w:ilvl w:val="4"/>
        <w:numId w:val="10"/>
      </w:numPr>
      <w:spacing w:line="240" w:lineRule="auto"/>
      <w:ind w:left="1008" w:hanging="1008" w:firstLineChars="0"/>
      <w:jc w:val="center"/>
    </w:pPr>
    <w:rPr>
      <w:rFonts w:ascii="Times New Roman" w:hAnsi="Times New Roman"/>
      <w:b/>
      <w:sz w:val="24"/>
    </w:rPr>
  </w:style>
  <w:style w:type="paragraph" w:customStyle="1" w:styleId="87">
    <w:name w:val="文本"/>
    <w:qFormat/>
    <w:uiPriority w:val="0"/>
    <w:pPr>
      <w:ind w:firstLine="480"/>
    </w:pPr>
    <w:rPr>
      <w:rFonts w:ascii="Times New Roman" w:hAnsi="Times New Roman" w:eastAsia="宋体" w:cs="宋体"/>
      <w:lang w:val="en-US" w:eastAsia="zh-CN" w:bidi="ar-SA"/>
    </w:rPr>
  </w:style>
  <w:style w:type="paragraph" w:customStyle="1" w:styleId="88">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0">
    <w:name w:val="Body text|1"/>
    <w:basedOn w:val="1"/>
    <w:qFormat/>
    <w:uiPriority w:val="0"/>
    <w:pPr>
      <w:widowControl w:val="0"/>
      <w:shd w:val="clear" w:color="auto" w:fill="auto"/>
      <w:spacing w:after="50" w:line="396" w:lineRule="auto"/>
      <w:ind w:firstLine="400"/>
    </w:pPr>
    <w:rPr>
      <w:rFonts w:ascii="宋体" w:hAnsi="宋体" w:eastAsia="宋体" w:cs="宋体"/>
      <w:u w:val="none"/>
      <w:shd w:val="clear" w:color="auto" w:fill="auto"/>
      <w:lang w:val="zh-TW" w:eastAsia="zh-TW" w:bidi="zh-TW"/>
    </w:rPr>
  </w:style>
  <w:style w:type="paragraph" w:customStyle="1" w:styleId="91">
    <w:name w:val="表格填充1"/>
    <w:basedOn w:val="1"/>
    <w:qFormat/>
    <w:uiPriority w:val="0"/>
    <w:pPr>
      <w:adjustRightInd w:val="0"/>
      <w:snapToGrid w:val="0"/>
      <w:spacing w:line="400" w:lineRule="exact"/>
      <w:jc w:val="center"/>
    </w:pPr>
    <w:rPr>
      <w:snapToGrid w:val="0"/>
      <w:kern w:val="0"/>
      <w:szCs w:val="18"/>
    </w:rPr>
  </w:style>
  <w:style w:type="paragraph" w:customStyle="1" w:styleId="92">
    <w:name w:val="DL段落"/>
    <w:basedOn w:val="1"/>
    <w:qFormat/>
    <w:uiPriority w:val="0"/>
    <w:pPr>
      <w:adjustRightInd w:val="0"/>
      <w:snapToGrid w:val="0"/>
      <w:spacing w:line="360" w:lineRule="auto"/>
      <w:ind w:firstLine="200" w:firstLineChars="200"/>
    </w:pPr>
    <w:rPr>
      <w:sz w:val="24"/>
    </w:rPr>
  </w:style>
  <w:style w:type="paragraph" w:customStyle="1" w:styleId="93">
    <w:name w:val="表格表头"/>
    <w:basedOn w:val="1"/>
    <w:qFormat/>
    <w:uiPriority w:val="0"/>
    <w:pPr>
      <w:jc w:val="center"/>
    </w:pPr>
    <w:rPr>
      <w:b/>
      <w:sz w:val="21"/>
    </w:rPr>
  </w:style>
  <w:style w:type="paragraph" w:customStyle="1" w:styleId="94">
    <w:name w:val="报告表格内中"/>
    <w:basedOn w:val="1"/>
    <w:qFormat/>
    <w:uiPriority w:val="0"/>
    <w:pPr>
      <w:spacing w:before="100" w:beforeAutospacing="1"/>
      <w:jc w:val="center"/>
    </w:pPr>
    <w:rPr>
      <w:rFonts w:ascii="宋体" w:hAnsi="宋体"/>
      <w:sz w:val="24"/>
    </w:rPr>
  </w:style>
  <w:style w:type="paragraph" w:styleId="95">
    <w:name w:val="No Spacing"/>
    <w:qFormat/>
    <w:uiPriority w:val="0"/>
    <w:pPr>
      <w:widowControl w:val="0"/>
      <w:jc w:val="both"/>
    </w:pPr>
    <w:rPr>
      <w:rFonts w:ascii="Calibri" w:hAnsi="Calibri" w:eastAsia="Calibri" w:cs="Times New Roman"/>
      <w:kern w:val="2"/>
      <w:sz w:val="21"/>
      <w:szCs w:val="24"/>
      <w:lang w:val="en-US" w:eastAsia="zh-CN" w:bidi="ar-SA"/>
    </w:rPr>
  </w:style>
  <w:style w:type="paragraph" w:customStyle="1" w:styleId="96">
    <w:name w:val="五号缩进2"/>
    <w:basedOn w:val="1"/>
    <w:qFormat/>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default" w:ascii="Times New Roman" w:hAnsi="Times New Roman" w:eastAsia="宋体" w:cs="仿宋_GB2312"/>
      <w:kern w:val="2"/>
      <w:sz w:val="21"/>
      <w:szCs w:val="21"/>
      <w:lang w:val="en-US" w:eastAsia="zh-CN" w:bidi="ar"/>
    </w:rPr>
  </w:style>
  <w:style w:type="paragraph" w:customStyle="1" w:styleId="97">
    <w:name w:val="表格格式"/>
    <w:basedOn w:val="54"/>
    <w:next w:val="1"/>
    <w:qFormat/>
    <w:uiPriority w:val="99"/>
    <w:pPr>
      <w:jc w:val="center"/>
    </w:pPr>
    <w:rPr>
      <w:rFonts w:hAnsi="宋体"/>
      <w:szCs w:val="21"/>
    </w:rPr>
  </w:style>
  <w:style w:type="paragraph" w:customStyle="1" w:styleId="98">
    <w:name w:val="报告表  段"/>
    <w:basedOn w:val="1"/>
    <w:qFormat/>
    <w:uiPriority w:val="0"/>
    <w:pPr>
      <w:adjustRightInd w:val="0"/>
      <w:spacing w:line="360" w:lineRule="auto"/>
      <w:ind w:firstLine="505"/>
      <w:textAlignment w:val="baseline"/>
    </w:pPr>
    <w:rPr>
      <w:rFonts w:ascii="宋体"/>
      <w:kern w:val="0"/>
      <w:sz w:val="24"/>
      <w:szCs w:val="20"/>
    </w:rPr>
  </w:style>
  <w:style w:type="paragraph" w:customStyle="1" w:styleId="99">
    <w:name w:val="表格文字"/>
    <w:basedOn w:val="93"/>
    <w:qFormat/>
    <w:uiPriority w:val="0"/>
    <w:pPr>
      <w:adjustRightInd w:val="0"/>
      <w:snapToGrid w:val="0"/>
      <w:spacing w:line="240" w:lineRule="auto"/>
      <w:ind w:firstLine="0" w:firstLineChars="0"/>
      <w:jc w:val="center"/>
    </w:pPr>
    <w:rPr>
      <w:sz w:val="21"/>
      <w:szCs w:val="20"/>
    </w:rPr>
  </w:style>
  <w:style w:type="paragraph" w:customStyle="1" w:styleId="100">
    <w:name w:val="1表格字体"/>
    <w:basedOn w:val="1"/>
    <w:qFormat/>
    <w:uiPriority w:val="0"/>
    <w:pPr>
      <w:adjustRightInd w:val="0"/>
      <w:spacing w:line="264" w:lineRule="auto"/>
      <w:jc w:val="center"/>
    </w:pPr>
  </w:style>
  <w:style w:type="paragraph" w:customStyle="1" w:styleId="101">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customStyle="1" w:styleId="102">
    <w:name w:val="注解文字"/>
    <w:basedOn w:val="1"/>
    <w:qFormat/>
    <w:uiPriority w:val="0"/>
    <w:pPr>
      <w:ind w:firstLine="471"/>
    </w:pPr>
    <w:rPr>
      <w:snapToGrid w:val="0"/>
      <w:color w:val="000000"/>
      <w:kern w:val="0"/>
      <w:szCs w:val="20"/>
      <w:lang w:val="eu-ES"/>
    </w:rPr>
  </w:style>
  <w:style w:type="paragraph" w:customStyle="1" w:styleId="103">
    <w:name w:val="正文 New"/>
    <w:qFormat/>
    <w:uiPriority w:val="0"/>
    <w:pPr>
      <w:widowControl w:val="0"/>
      <w:jc w:val="both"/>
    </w:pPr>
    <w:rPr>
      <w:rFonts w:ascii="Calibri" w:hAnsi="Calibri" w:eastAsia="仿宋_GB2312" w:cs="Times New Roman"/>
      <w:kern w:val="2"/>
      <w:sz w:val="32"/>
      <w:szCs w:val="32"/>
      <w:lang w:val="en-US" w:eastAsia="zh-CN" w:bidi="ar-SA"/>
    </w:rPr>
  </w:style>
  <w:style w:type="paragraph" w:customStyle="1" w:styleId="104">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 w:val="21"/>
      <w:szCs w:val="21"/>
    </w:rPr>
  </w:style>
  <w:style w:type="paragraph" w:customStyle="1" w:styleId="105">
    <w:name w:val="环评表格title序号格式"/>
    <w:basedOn w:val="1"/>
    <w:qFormat/>
    <w:uiPriority w:val="0"/>
    <w:pPr>
      <w:keepNext/>
      <w:keepLines/>
      <w:numPr>
        <w:ilvl w:val="1"/>
        <w:numId w:val="11"/>
      </w:numPr>
      <w:tabs>
        <w:tab w:val="center" w:pos="0"/>
      </w:tabs>
      <w:adjustRightInd/>
      <w:spacing w:beforeLines="0" w:afterLines="0" w:line="360" w:lineRule="auto"/>
      <w:ind w:left="0" w:firstLine="0"/>
      <w:jc w:val="center"/>
      <w:outlineLvl w:val="2"/>
    </w:pPr>
    <w:rPr>
      <w:rFonts w:ascii="Times New Roman" w:hAnsi="Times New Roman" w:eastAsia="宋体"/>
      <w:b/>
      <w:szCs w:val="21"/>
    </w:rPr>
  </w:style>
  <w:style w:type="character" w:customStyle="1" w:styleId="106">
    <w:name w:val="font01"/>
    <w:basedOn w:val="34"/>
    <w:qFormat/>
    <w:uiPriority w:val="0"/>
    <w:rPr>
      <w:rFonts w:hint="default" w:ascii="Times New Roman" w:hAnsi="Times New Roman" w:cs="Times New Roman"/>
      <w:color w:val="000000"/>
      <w:sz w:val="28"/>
      <w:szCs w:val="28"/>
      <w:u w:val="none"/>
      <w:vertAlign w:val="subscript"/>
    </w:rPr>
  </w:style>
  <w:style w:type="character" w:customStyle="1" w:styleId="107">
    <w:name w:val="font21"/>
    <w:basedOn w:val="34"/>
    <w:qFormat/>
    <w:uiPriority w:val="0"/>
    <w:rPr>
      <w:rFonts w:hint="default" w:ascii="Times New Roman" w:hAnsi="Times New Roman" w:cs="Times New Roman"/>
      <w:color w:val="000000"/>
      <w:sz w:val="28"/>
      <w:szCs w:val="28"/>
      <w:u w:val="none"/>
    </w:rPr>
  </w:style>
  <w:style w:type="character" w:customStyle="1" w:styleId="108">
    <w:name w:val="Body text|2 + 9.5 pt"/>
    <w:qFormat/>
    <w:uiPriority w:val="0"/>
    <w:rPr>
      <w:rFonts w:ascii="PMingLiU" w:hAnsi="PMingLiU" w:eastAsia="PMingLiU" w:cs="PMingLiU"/>
      <w:color w:val="000000"/>
      <w:spacing w:val="0"/>
      <w:w w:val="100"/>
      <w:position w:val="0"/>
      <w:sz w:val="19"/>
      <w:szCs w:val="19"/>
      <w:u w:val="none"/>
      <w:lang w:val="en-US" w:eastAsia="en-US" w:bidi="en-US"/>
    </w:rPr>
  </w:style>
  <w:style w:type="character" w:customStyle="1" w:styleId="109">
    <w:name w:val="Body text|2 + Times New Roman6"/>
    <w:qFormat/>
    <w:uiPriority w:val="0"/>
    <w:rPr>
      <w:rFonts w:ascii="Times New Roman" w:hAnsi="Times New Roman" w:eastAsia="Times New Roman" w:cs="Times New Roman"/>
      <w:color w:val="000000"/>
      <w:spacing w:val="0"/>
      <w:w w:val="100"/>
      <w:position w:val="0"/>
      <w:sz w:val="21"/>
      <w:szCs w:val="21"/>
      <w:u w:val="none"/>
      <w:lang w:val="en-US" w:eastAsia="en-US" w:bidi="en-US"/>
    </w:rPr>
  </w:style>
  <w:style w:type="paragraph" w:customStyle="1" w:styleId="110">
    <w:name w:val="ENFI正文"/>
    <w:basedOn w:val="1"/>
    <w:qFormat/>
    <w:uiPriority w:val="0"/>
    <w:pPr>
      <w:adjustRightInd w:val="0"/>
      <w:snapToGrid w:val="0"/>
      <w:spacing w:line="500" w:lineRule="exact"/>
      <w:ind w:firstLine="567"/>
    </w:pPr>
    <w:rPr>
      <w:color w:val="000000"/>
      <w:kern w:val="0"/>
      <w:sz w:val="24"/>
    </w:rPr>
  </w:style>
  <w:style w:type="paragraph" w:customStyle="1" w:styleId="111">
    <w:name w:val="纯文本12"/>
    <w:basedOn w:val="1"/>
    <w:qFormat/>
    <w:uiPriority w:val="0"/>
    <w:pPr>
      <w:adjustRightInd w:val="0"/>
      <w:textAlignment w:val="baseline"/>
    </w:pPr>
    <w:rPr>
      <w:rFonts w:ascii="宋体" w:hAnsi="Courier New"/>
      <w:color w:val="666600"/>
    </w:rPr>
  </w:style>
  <w:style w:type="paragraph" w:customStyle="1" w:styleId="112">
    <w:name w:val="！正文"/>
    <w:basedOn w:val="1"/>
    <w:qFormat/>
    <w:uiPriority w:val="0"/>
    <w:pPr>
      <w:spacing w:line="520" w:lineRule="exact"/>
      <w:ind w:firstLine="200" w:firstLineChars="200"/>
    </w:pPr>
    <w:rPr>
      <w:sz w:val="24"/>
      <w:szCs w:val="22"/>
    </w:rPr>
  </w:style>
  <w:style w:type="paragraph" w:customStyle="1" w:styleId="113">
    <w:name w:val="小四 间距1.5 缩进2"/>
    <w:basedOn w:val="1"/>
    <w:qFormat/>
    <w:uiPriority w:val="0"/>
    <w:pPr>
      <w:spacing w:line="360" w:lineRule="auto"/>
      <w:ind w:firstLine="415" w:firstLineChars="173"/>
    </w:pPr>
    <w:rPr>
      <w:rFonts w:ascii="Calibri" w:hAnsi="Calibri"/>
      <w:sz w:val="24"/>
    </w:rPr>
  </w:style>
  <w:style w:type="paragraph" w:customStyle="1" w:styleId="114">
    <w:name w:val="WLT正文报告表"/>
    <w:basedOn w:val="1"/>
    <w:qFormat/>
    <w:uiPriority w:val="0"/>
    <w:pPr>
      <w:spacing w:line="360" w:lineRule="auto"/>
      <w:ind w:firstLine="480" w:firstLineChars="200"/>
    </w:pPr>
    <w:rPr>
      <w:bCs/>
      <w:sz w:val="24"/>
    </w:rPr>
  </w:style>
  <w:style w:type="paragraph" w:customStyle="1" w:styleId="115">
    <w:name w:val="WPSOffice手动目录 1"/>
    <w:qFormat/>
    <w:uiPriority w:val="0"/>
    <w:pPr>
      <w:ind w:leftChars="0"/>
    </w:pPr>
    <w:rPr>
      <w:rFonts w:asciiTheme="minorHAnsi" w:hAnsiTheme="minorHAnsi" w:eastAsiaTheme="minorEastAsia" w:cstheme="minorBidi"/>
      <w:sz w:val="20"/>
      <w:szCs w:val="20"/>
    </w:rPr>
  </w:style>
  <w:style w:type="paragraph" w:customStyle="1" w:styleId="116">
    <w:name w:val="标题11"/>
    <w:basedOn w:val="2"/>
    <w:next w:val="3"/>
    <w:qFormat/>
    <w:uiPriority w:val="0"/>
    <w:pPr>
      <w:numPr>
        <w:numId w:val="12"/>
      </w:numPr>
    </w:pPr>
    <w:rPr>
      <w:rFonts w:hint="eastAsia"/>
    </w:rPr>
  </w:style>
  <w:style w:type="paragraph" w:customStyle="1" w:styleId="117">
    <w:name w:val="标题12"/>
    <w:basedOn w:val="1"/>
    <w:next w:val="4"/>
    <w:qFormat/>
    <w:uiPriority w:val="0"/>
    <w:pPr>
      <w:keepNext/>
      <w:keepLines/>
      <w:numPr>
        <w:ilvl w:val="1"/>
        <w:numId w:val="13"/>
      </w:numPr>
      <w:outlineLvl w:val="1"/>
    </w:pPr>
    <w:rPr>
      <w:rFonts w:hint="eastAsia" w:ascii="Times New Roman" w:hAnsi="Times New Roman" w:eastAsia="宋体"/>
      <w:b/>
    </w:rPr>
  </w:style>
  <w:style w:type="paragraph" w:customStyle="1" w:styleId="118">
    <w:name w:val="样式129"/>
    <w:basedOn w:val="1"/>
    <w:qFormat/>
    <w:uiPriority w:val="0"/>
  </w:style>
  <w:style w:type="paragraph" w:customStyle="1" w:styleId="119">
    <w:name w:val="标题13"/>
    <w:basedOn w:val="1"/>
    <w:next w:val="5"/>
    <w:qFormat/>
    <w:uiPriority w:val="0"/>
    <w:pPr>
      <w:numPr>
        <w:ilvl w:val="0"/>
        <w:numId w:val="14"/>
      </w:numPr>
    </w:pPr>
    <w:rPr>
      <w:rFonts w:hint="eastAsia" w:ascii="Times New Roman" w:hAnsi="Times New Roman" w:eastAsia="宋体"/>
    </w:rPr>
  </w:style>
  <w:style w:type="paragraph" w:customStyle="1" w:styleId="120">
    <w:name w:val="序号"/>
    <w:basedOn w:val="1"/>
    <w:qFormat/>
    <w:uiPriority w:val="0"/>
    <w:pPr>
      <w:numPr>
        <w:ilvl w:val="0"/>
        <w:numId w:val="15"/>
      </w:numPr>
      <w:autoSpaceDE w:val="0"/>
      <w:autoSpaceDN w:val="0"/>
      <w:adjustRightInd w:val="0"/>
      <w:snapToGrid w:val="0"/>
      <w:jc w:val="left"/>
    </w:pPr>
    <w:rPr>
      <w:rFonts w:ascii="Times New Roman" w:hAnsi="Times New Roman"/>
      <w:b/>
      <w:bCs/>
      <w:color w:val="auto"/>
      <w:kern w:val="0"/>
      <w:szCs w:val="21"/>
    </w:rPr>
  </w:style>
  <w:style w:type="paragraph" w:customStyle="1" w:styleId="121">
    <w:name w:val="样式130"/>
    <w:basedOn w:val="1"/>
    <w:qFormat/>
    <w:uiPriority w:val="0"/>
    <w:pPr>
      <w:numPr>
        <w:ilvl w:val="0"/>
        <w:numId w:val="15"/>
      </w:numPr>
    </w:pPr>
  </w:style>
  <w:style w:type="paragraph" w:customStyle="1" w:styleId="122">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7" Type="http://schemas.openxmlformats.org/officeDocument/2006/relationships/fontTable" Target="fontTable.xml"/><Relationship Id="rId56" Type="http://schemas.openxmlformats.org/officeDocument/2006/relationships/numbering" Target="numbering.xml"/><Relationship Id="rId55" Type="http://schemas.openxmlformats.org/officeDocument/2006/relationships/customXml" Target="../customXml/item1.xml"/><Relationship Id="rId54" Type="http://schemas.openxmlformats.org/officeDocument/2006/relationships/image" Target="media/image28.png"/><Relationship Id="rId53" Type="http://schemas.openxmlformats.org/officeDocument/2006/relationships/image" Target="media/image27.wmf"/><Relationship Id="rId52" Type="http://schemas.openxmlformats.org/officeDocument/2006/relationships/image" Target="media/image26.png"/><Relationship Id="rId51" Type="http://schemas.openxmlformats.org/officeDocument/2006/relationships/image" Target="media/image25.png"/><Relationship Id="rId50" Type="http://schemas.openxmlformats.org/officeDocument/2006/relationships/image" Target="media/image24.png"/><Relationship Id="rId5" Type="http://schemas.openxmlformats.org/officeDocument/2006/relationships/footer" Target="footer1.xml"/><Relationship Id="rId49" Type="http://schemas.openxmlformats.org/officeDocument/2006/relationships/image" Target="media/image23.jpeg"/><Relationship Id="rId48" Type="http://schemas.openxmlformats.org/officeDocument/2006/relationships/image" Target="media/image22.jpeg"/><Relationship Id="rId47" Type="http://schemas.openxmlformats.org/officeDocument/2006/relationships/image" Target="media/image21.png"/><Relationship Id="rId46" Type="http://schemas.openxmlformats.org/officeDocument/2006/relationships/image" Target="media/image20.png"/><Relationship Id="rId45" Type="http://schemas.openxmlformats.org/officeDocument/2006/relationships/image" Target="media/image19.png"/><Relationship Id="rId44" Type="http://schemas.openxmlformats.org/officeDocument/2006/relationships/image" Target="media/image18.jpeg"/><Relationship Id="rId43" Type="http://schemas.openxmlformats.org/officeDocument/2006/relationships/image" Target="media/image17.png"/><Relationship Id="rId42" Type="http://schemas.openxmlformats.org/officeDocument/2006/relationships/image" Target="media/image16.png"/><Relationship Id="rId41" Type="http://schemas.openxmlformats.org/officeDocument/2006/relationships/image" Target="media/image15.png"/><Relationship Id="rId40" Type="http://schemas.openxmlformats.org/officeDocument/2006/relationships/image" Target="media/image14.png"/><Relationship Id="rId4" Type="http://schemas.openxmlformats.org/officeDocument/2006/relationships/endnotes" Target="endnotes.xml"/><Relationship Id="rId39" Type="http://schemas.openxmlformats.org/officeDocument/2006/relationships/image" Target="media/image13.png"/><Relationship Id="rId38" Type="http://schemas.openxmlformats.org/officeDocument/2006/relationships/image" Target="media/image12.png"/><Relationship Id="rId37" Type="http://schemas.openxmlformats.org/officeDocument/2006/relationships/image" Target="media/image11.png"/><Relationship Id="rId36" Type="http://schemas.openxmlformats.org/officeDocument/2006/relationships/image" Target="media/image10.png"/><Relationship Id="rId35" Type="http://schemas.openxmlformats.org/officeDocument/2006/relationships/image" Target="media/image9.emf"/><Relationship Id="rId34" Type="http://schemas.openxmlformats.org/officeDocument/2006/relationships/oleObject" Target="embeddings/oleObject4.bin"/><Relationship Id="rId33" Type="http://schemas.openxmlformats.org/officeDocument/2006/relationships/image" Target="media/image8.emf"/><Relationship Id="rId32" Type="http://schemas.openxmlformats.org/officeDocument/2006/relationships/oleObject" Target="embeddings/oleObject3.bin"/><Relationship Id="rId31" Type="http://schemas.openxmlformats.org/officeDocument/2006/relationships/image" Target="media/image7.emf"/><Relationship Id="rId30" Type="http://schemas.openxmlformats.org/officeDocument/2006/relationships/oleObject" Target="embeddings/oleObject2.bin"/><Relationship Id="rId3" Type="http://schemas.openxmlformats.org/officeDocument/2006/relationships/footnotes" Target="footnotes.xml"/><Relationship Id="rId29" Type="http://schemas.openxmlformats.org/officeDocument/2006/relationships/image" Target="media/image6.emf"/><Relationship Id="rId28" Type="http://schemas.openxmlformats.org/officeDocument/2006/relationships/oleObject" Target="embeddings/oleObject1.bin"/><Relationship Id="rId27" Type="http://schemas.openxmlformats.org/officeDocument/2006/relationships/image" Target="media/image5.jpeg"/><Relationship Id="rId26" Type="http://schemas.openxmlformats.org/officeDocument/2006/relationships/image" Target="media/image4.png"/><Relationship Id="rId25" Type="http://schemas.openxmlformats.org/officeDocument/2006/relationships/image" Target="media/image3.jpeg"/><Relationship Id="rId24" Type="http://schemas.openxmlformats.org/officeDocument/2006/relationships/image" Target="media/image2.png"/><Relationship Id="rId23" Type="http://schemas.openxmlformats.org/officeDocument/2006/relationships/image" Target="media/image1.jpeg"/><Relationship Id="rId22" Type="http://schemas.openxmlformats.org/officeDocument/2006/relationships/theme" Target="theme/theme1.xml"/><Relationship Id="rId21" Type="http://schemas.openxmlformats.org/officeDocument/2006/relationships/footer" Target="footer15.xml"/><Relationship Id="rId20" Type="http://schemas.openxmlformats.org/officeDocument/2006/relationships/footer" Target="footer14.xml"/><Relationship Id="rId2" Type="http://schemas.openxmlformats.org/officeDocument/2006/relationships/settings" Target="settings.xml"/><Relationship Id="rId19" Type="http://schemas.openxmlformats.org/officeDocument/2006/relationships/header" Target="header2.xml"/><Relationship Id="rId18" Type="http://schemas.openxmlformats.org/officeDocument/2006/relationships/footer" Target="footer13.xml"/><Relationship Id="rId17" Type="http://schemas.openxmlformats.org/officeDocument/2006/relationships/header" Target="header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271</Pages>
  <Words>80154</Words>
  <Characters>102086</Characters>
  <Lines>393</Lines>
  <Paragraphs>110</Paragraphs>
  <TotalTime>35</TotalTime>
  <ScaleCrop>false</ScaleCrop>
  <LinksUpToDate>false</LinksUpToDate>
  <CharactersWithSpaces>102729</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2021-12-14T03:45:00Z</dcterms:created>
  <dc:creator>Administrator</dc:creator>
  <cp:lastModifiedBy>Administrator</cp:lastModifiedBy>
  <cp:lastPrinted>2022-07-27T05:03:00Z</cp:lastPrinted>
  <dcterms:modified xsi:type="dcterms:W3CDTF">2023-04-25T02:28:39Z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EA41D5C6FC874149A711050B8F7507C1</vt:lpwstr>
  </property>
  <property fmtid="{D5CDD505-2E9C-101B-9397-08002B2CF9AE}" pid="4" name="commondata">
    <vt:lpwstr>eyJoZGlkIjoiZjBlNTgzYzJjNGIyNzFlMGU5OWViZTNmMGU0YTllNjQifQ==</vt:lpwstr>
  </property>
</Properties>
</file>