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ind w:left="0" w:leftChars="0" w:firstLine="0" w:firstLineChars="0"/>
        <w:rPr>
          <w:rFonts w:hint="eastAsia" w:ascii="黑体" w:hAnsi="黑体" w:eastAsia="黑体" w:cs="黑体"/>
          <w:lang w:val="en-US" w:eastAsia="zh-CN"/>
        </w:rPr>
      </w:pPr>
      <w:r>
        <w:rPr>
          <w:rFonts w:hint="eastAsia" w:ascii="黑体" w:hAnsi="黑体" w:eastAsia="黑体" w:cs="黑体"/>
          <w:lang w:eastAsia="zh-CN"/>
        </w:rPr>
        <w:t>附件</w:t>
      </w:r>
    </w:p>
    <w:p>
      <w:pPr>
        <w:keepNext w:val="0"/>
        <w:keepLines w:val="0"/>
        <w:pageBreakBefore w:val="0"/>
        <w:kinsoku/>
        <w:overflowPunct/>
        <w:topLinePunct w:val="0"/>
        <w:bidi w:val="0"/>
        <w:spacing w:line="600" w:lineRule="exact"/>
        <w:ind w:left="173" w:leftChars="-192" w:hanging="764"/>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博罗县视频汇聚共享应用项目设计咨询</w:t>
      </w:r>
    </w:p>
    <w:p>
      <w:pPr>
        <w:keepNext w:val="0"/>
        <w:keepLines w:val="0"/>
        <w:pageBreakBefore w:val="0"/>
        <w:kinsoku/>
        <w:overflowPunct/>
        <w:topLinePunct w:val="0"/>
        <w:bidi w:val="0"/>
        <w:spacing w:line="600" w:lineRule="exact"/>
        <w:ind w:left="173" w:leftChars="-192" w:hanging="764"/>
        <w:jc w:val="center"/>
        <w:textAlignment w:val="auto"/>
        <w:rPr>
          <w:rFonts w:hint="eastAsia" w:ascii="黑体" w:hAnsi="黑体" w:eastAsia="黑体" w:cs="黑体"/>
          <w:b w:val="0"/>
          <w:bCs/>
          <w:sz w:val="44"/>
          <w:szCs w:val="44"/>
        </w:rPr>
      </w:pPr>
      <w:r>
        <w:rPr>
          <w:rFonts w:hint="eastAsia" w:ascii="黑体" w:hAnsi="黑体" w:eastAsia="黑体" w:cs="黑体"/>
          <w:sz w:val="44"/>
          <w:szCs w:val="44"/>
          <w:lang w:val="en-US" w:eastAsia="zh-CN"/>
        </w:rPr>
        <w:t>服务项目评审标准</w:t>
      </w:r>
    </w:p>
    <w:p>
      <w:pPr>
        <w:bidi w:val="0"/>
        <w:ind w:firstLine="616" w:firstLineChars="200"/>
        <w:rPr>
          <w:rFonts w:hint="eastAsia" w:ascii="方正黑体_GBK" w:hAnsi="方正黑体_GBK" w:eastAsia="方正黑体_GBK" w:cs="方正黑体_GBK"/>
        </w:rPr>
      </w:pPr>
    </w:p>
    <w:p>
      <w:pPr>
        <w:bidi w:val="0"/>
        <w:ind w:firstLine="616" w:firstLineChars="200"/>
        <w:rPr>
          <w:rFonts w:hint="eastAsia" w:ascii="黑体" w:hAnsi="黑体" w:eastAsia="黑体" w:cs="黑体"/>
        </w:rPr>
      </w:pPr>
      <w:r>
        <w:rPr>
          <w:rFonts w:hint="eastAsia" w:ascii="黑体" w:hAnsi="黑体" w:eastAsia="黑体" w:cs="黑体"/>
        </w:rPr>
        <w:t>一、评审方法</w:t>
      </w:r>
    </w:p>
    <w:p>
      <w:pPr>
        <w:bidi w:val="0"/>
      </w:pPr>
      <w:bookmarkStart w:id="0" w:name="_GoBack"/>
      <w:bookmarkEnd w:id="0"/>
      <w:r>
        <w:t>评审方法采用综合评分法。</w:t>
      </w:r>
    </w:p>
    <w:p>
      <w:pPr>
        <w:numPr>
          <w:ilvl w:val="0"/>
          <w:numId w:val="1"/>
        </w:numPr>
        <w:bidi w:val="0"/>
        <w:ind w:firstLine="616" w:firstLineChars="200"/>
        <w:rPr>
          <w:rFonts w:hint="eastAsia" w:ascii="黑体" w:hAnsi="黑体" w:eastAsia="黑体" w:cs="黑体"/>
          <w:lang w:eastAsia="zh-CN"/>
        </w:rPr>
      </w:pPr>
      <w:r>
        <w:rPr>
          <w:rFonts w:hint="eastAsia" w:ascii="黑体" w:hAnsi="黑体" w:eastAsia="黑体" w:cs="黑体"/>
          <w:lang w:eastAsia="zh-CN"/>
        </w:rPr>
        <w:t>评分标准</w:t>
      </w:r>
    </w:p>
    <w:p>
      <w:pPr>
        <w:bidi w:val="0"/>
        <w:ind w:firstLine="616" w:firstLineChars="200"/>
      </w:pPr>
      <w:r>
        <w:rPr>
          <w:rFonts w:hint="eastAsia"/>
        </w:rPr>
        <w:t>1.</w:t>
      </w:r>
      <w:r>
        <w:t>评分总值最高为100分，评分分值（权重）分配如下：</w:t>
      </w:r>
    </w:p>
    <w:tbl>
      <w:tblPr>
        <w:tblStyle w:val="9"/>
        <w:tblW w:w="8992"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548"/>
        <w:gridCol w:w="2501"/>
        <w:gridCol w:w="2612"/>
        <w:gridCol w:w="2331"/>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66" w:hRule="atLeast"/>
          <w:jc w:val="center"/>
        </w:trPr>
        <w:tc>
          <w:tcPr>
            <w:tcW w:w="1548"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bidi w:val="0"/>
              <w:spacing w:line="460" w:lineRule="exact"/>
              <w:ind w:left="0" w:leftChars="0" w:firstLine="0" w:firstLineChars="0"/>
              <w:jc w:val="center"/>
              <w:textAlignment w:val="auto"/>
              <w:rPr>
                <w:rFonts w:ascii="Arial" w:hAnsi="Arial" w:cs="Arial"/>
                <w:b/>
                <w:bCs/>
                <w:i w:val="0"/>
                <w:iCs w:val="0"/>
                <w:sz w:val="24"/>
              </w:rPr>
            </w:pPr>
            <w:r>
              <w:rPr>
                <w:rFonts w:hint="eastAsia" w:ascii="宋体" w:hAnsi="宋体"/>
                <w:b/>
                <w:bCs/>
                <w:i w:val="0"/>
                <w:iCs w:val="0"/>
                <w:color w:val="auto"/>
              </w:rPr>
              <w:t>评分项目</w:t>
            </w:r>
          </w:p>
        </w:tc>
        <w:tc>
          <w:tcPr>
            <w:tcW w:w="250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bidi w:val="0"/>
              <w:spacing w:line="460" w:lineRule="exact"/>
              <w:ind w:left="0" w:leftChars="0" w:firstLine="0" w:firstLineChars="0"/>
              <w:jc w:val="center"/>
              <w:textAlignment w:val="auto"/>
              <w:rPr>
                <w:rFonts w:ascii="Arial" w:hAnsi="Arial" w:cs="Arial"/>
                <w:b/>
                <w:bCs/>
                <w:i w:val="0"/>
                <w:iCs w:val="0"/>
                <w:sz w:val="24"/>
              </w:rPr>
            </w:pPr>
            <w:r>
              <w:rPr>
                <w:rFonts w:hint="eastAsia" w:ascii="宋体" w:hAnsi="宋体"/>
                <w:b/>
                <w:bCs/>
                <w:i w:val="0"/>
                <w:iCs w:val="0"/>
                <w:color w:val="auto"/>
              </w:rPr>
              <w:t>价格评分</w:t>
            </w:r>
          </w:p>
        </w:tc>
        <w:tc>
          <w:tcPr>
            <w:tcW w:w="2612"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bidi w:val="0"/>
              <w:spacing w:line="460" w:lineRule="exact"/>
              <w:ind w:left="0" w:leftChars="0" w:firstLine="0" w:firstLineChars="0"/>
              <w:jc w:val="center"/>
              <w:textAlignment w:val="auto"/>
              <w:rPr>
                <w:rFonts w:hint="eastAsia" w:ascii="Arial" w:eastAsia="宋体" w:cs="Arial"/>
                <w:b/>
                <w:bCs/>
                <w:i w:val="0"/>
                <w:iCs w:val="0"/>
                <w:lang w:eastAsia="zh-CN"/>
              </w:rPr>
            </w:pPr>
            <w:r>
              <w:rPr>
                <w:rFonts w:hint="eastAsia" w:ascii="宋体" w:hAnsi="宋体"/>
                <w:b/>
                <w:bCs/>
                <w:i w:val="0"/>
                <w:iCs w:val="0"/>
                <w:color w:val="auto"/>
                <w:lang w:val="en-US" w:eastAsia="zh-CN"/>
              </w:rPr>
              <w:t>商务</w:t>
            </w:r>
            <w:r>
              <w:rPr>
                <w:rFonts w:hint="eastAsia" w:ascii="宋体" w:hAnsi="宋体"/>
                <w:b/>
                <w:bCs/>
                <w:i w:val="0"/>
                <w:iCs w:val="0"/>
                <w:color w:val="auto"/>
              </w:rPr>
              <w:t>评分</w:t>
            </w:r>
          </w:p>
        </w:tc>
        <w:tc>
          <w:tcPr>
            <w:tcW w:w="233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bidi w:val="0"/>
              <w:spacing w:line="460" w:lineRule="exact"/>
              <w:ind w:left="0" w:leftChars="0" w:firstLine="0" w:firstLineChars="0"/>
              <w:jc w:val="center"/>
              <w:textAlignment w:val="auto"/>
              <w:rPr>
                <w:rFonts w:ascii="Arial" w:hAnsi="Arial" w:cs="Arial"/>
                <w:b/>
                <w:bCs/>
                <w:i w:val="0"/>
                <w:iCs w:val="0"/>
                <w:sz w:val="24"/>
              </w:rPr>
            </w:pPr>
            <w:r>
              <w:rPr>
                <w:rFonts w:hint="eastAsia" w:ascii="宋体" w:hAnsi="宋体"/>
                <w:b/>
                <w:bCs/>
                <w:i w:val="0"/>
                <w:iCs w:val="0"/>
                <w:color w:val="auto"/>
                <w:lang w:val="en-US" w:eastAsia="zh-CN"/>
              </w:rPr>
              <w:t>技术</w:t>
            </w:r>
            <w:r>
              <w:rPr>
                <w:rFonts w:hint="eastAsia" w:ascii="宋体" w:hAnsi="宋体"/>
                <w:b/>
                <w:bCs/>
                <w:i w:val="0"/>
                <w:iCs w:val="0"/>
                <w:color w:val="auto"/>
              </w:rPr>
              <w:t>评分</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90" w:hRule="atLeast"/>
          <w:jc w:val="center"/>
        </w:trPr>
        <w:tc>
          <w:tcPr>
            <w:tcW w:w="1548"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Arial" w:hAnsi="Arial" w:cs="Arial"/>
                <w:sz w:val="24"/>
              </w:rPr>
            </w:pPr>
            <w:r>
              <w:rPr>
                <w:rFonts w:hint="eastAsia" w:ascii="宋体" w:hAnsi="宋体"/>
                <w:color w:val="auto"/>
              </w:rPr>
              <w:t>权重</w:t>
            </w:r>
          </w:p>
        </w:tc>
        <w:tc>
          <w:tcPr>
            <w:tcW w:w="250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Arial" w:hAnsi="Arial" w:eastAsia="宋体" w:cs="Arial"/>
                <w:sz w:val="24"/>
                <w:lang w:val="en-US" w:eastAsia="zh-CN"/>
              </w:rPr>
            </w:pPr>
            <w:r>
              <w:rPr>
                <w:rFonts w:hint="eastAsia" w:ascii="宋体" w:hAnsi="宋体"/>
                <w:color w:val="auto"/>
              </w:rPr>
              <w:t>10%</w:t>
            </w:r>
          </w:p>
        </w:tc>
        <w:tc>
          <w:tcPr>
            <w:tcW w:w="2612"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Arial" w:hAnsi="Arial" w:eastAsia="宋体" w:cs="Arial"/>
                <w:lang w:val="en-US" w:eastAsia="zh-CN"/>
              </w:rPr>
            </w:pPr>
            <w:r>
              <w:rPr>
                <w:rFonts w:hint="eastAsia" w:ascii="宋体" w:hAnsi="宋体"/>
                <w:color w:val="auto"/>
                <w:lang w:val="en-US" w:eastAsia="zh-CN"/>
              </w:rPr>
              <w:t>40</w:t>
            </w:r>
            <w:r>
              <w:rPr>
                <w:rFonts w:hint="eastAsia" w:ascii="宋体" w:hAnsi="宋体"/>
                <w:color w:val="auto"/>
              </w:rPr>
              <w:t>%</w:t>
            </w:r>
          </w:p>
        </w:tc>
        <w:tc>
          <w:tcPr>
            <w:tcW w:w="233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Arial" w:hAnsi="Arial" w:cs="Arial"/>
                <w:sz w:val="24"/>
              </w:rPr>
            </w:pPr>
            <w:r>
              <w:rPr>
                <w:rFonts w:hint="eastAsia" w:ascii="宋体" w:hAnsi="宋体"/>
                <w:color w:val="auto"/>
                <w:lang w:val="en-US" w:eastAsia="zh-CN"/>
              </w:rPr>
              <w:t>5</w:t>
            </w:r>
            <w:r>
              <w:rPr>
                <w:rFonts w:hint="eastAsia" w:ascii="宋体" w:hAnsi="宋体"/>
                <w:color w:val="auto"/>
              </w:rPr>
              <w:t>0%</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90" w:hRule="atLeast"/>
          <w:jc w:val="center"/>
        </w:trPr>
        <w:tc>
          <w:tcPr>
            <w:tcW w:w="1548"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宋体" w:hAnsi="宋体" w:eastAsia="方正仿宋_GBK"/>
                <w:color w:val="auto"/>
                <w:lang w:val="en-US" w:eastAsia="zh-CN"/>
              </w:rPr>
            </w:pPr>
            <w:r>
              <w:rPr>
                <w:rFonts w:hint="eastAsia" w:ascii="宋体" w:hAnsi="宋体"/>
                <w:color w:val="auto"/>
                <w:lang w:val="en-US" w:eastAsia="zh-CN"/>
              </w:rPr>
              <w:t>分值</w:t>
            </w:r>
          </w:p>
        </w:tc>
        <w:tc>
          <w:tcPr>
            <w:tcW w:w="250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宋体" w:hAnsi="宋体" w:eastAsia="方正仿宋_GBK"/>
                <w:color w:val="auto"/>
                <w:lang w:val="en-US" w:eastAsia="zh-CN"/>
              </w:rPr>
            </w:pPr>
            <w:r>
              <w:rPr>
                <w:rFonts w:hint="eastAsia" w:ascii="宋体" w:hAnsi="宋体"/>
                <w:color w:val="auto"/>
                <w:lang w:val="en-US" w:eastAsia="zh-CN"/>
              </w:rPr>
              <w:t>10</w:t>
            </w:r>
          </w:p>
        </w:tc>
        <w:tc>
          <w:tcPr>
            <w:tcW w:w="2612"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宋体" w:hAnsi="宋体"/>
                <w:color w:val="auto"/>
                <w:lang w:val="en-US" w:eastAsia="zh-CN"/>
              </w:rPr>
            </w:pPr>
            <w:r>
              <w:rPr>
                <w:rFonts w:hint="eastAsia" w:ascii="宋体" w:hAnsi="宋体"/>
                <w:color w:val="auto"/>
                <w:lang w:val="en-US" w:eastAsia="zh-CN"/>
              </w:rPr>
              <w:t>40</w:t>
            </w:r>
          </w:p>
        </w:tc>
        <w:tc>
          <w:tcPr>
            <w:tcW w:w="2331" w:type="dxa"/>
            <w:tcBorders>
              <w:top w:val="outset" w:color="111111" w:sz="6" w:space="0"/>
              <w:left w:val="outset" w:color="111111" w:sz="6" w:space="0"/>
              <w:bottom w:val="outset" w:color="111111" w:sz="6" w:space="0"/>
              <w:right w:val="outset" w:color="111111"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default" w:ascii="宋体" w:hAnsi="宋体" w:eastAsia="方正仿宋_GBK"/>
                <w:color w:val="auto"/>
                <w:lang w:val="en-US" w:eastAsia="zh-CN"/>
              </w:rPr>
            </w:pPr>
            <w:r>
              <w:rPr>
                <w:rFonts w:hint="eastAsia" w:ascii="宋体" w:hAnsi="宋体"/>
                <w:color w:val="auto"/>
                <w:lang w:val="en-US" w:eastAsia="zh-CN"/>
              </w:rPr>
              <w:t>50</w:t>
            </w:r>
          </w:p>
        </w:tc>
      </w:tr>
    </w:tbl>
    <w:p>
      <w:pPr>
        <w:bidi w:val="0"/>
        <w:ind w:firstLine="616" w:firstLineChars="200"/>
        <w:rPr>
          <w:rFonts w:hint="eastAsia"/>
          <w:lang w:eastAsia="zh-CN"/>
        </w:rPr>
      </w:pPr>
      <w:r>
        <w:rPr>
          <w:rFonts w:hint="eastAsia"/>
        </w:rPr>
        <w:t>2.</w:t>
      </w:r>
      <w:r>
        <w:t>评</w:t>
      </w:r>
      <w:r>
        <w:rPr>
          <w:rFonts w:hint="eastAsia"/>
          <w:lang w:eastAsia="zh-CN"/>
        </w:rPr>
        <w:t>分标准</w:t>
      </w:r>
    </w:p>
    <w:tbl>
      <w:tblPr>
        <w:tblStyle w:val="9"/>
        <w:tblW w:w="8940" w:type="dxa"/>
        <w:tblInd w:w="0" w:type="dxa"/>
        <w:tblLayout w:type="autofit"/>
        <w:tblCellMar>
          <w:top w:w="15" w:type="dxa"/>
          <w:left w:w="15" w:type="dxa"/>
          <w:bottom w:w="15" w:type="dxa"/>
          <w:right w:w="15" w:type="dxa"/>
        </w:tblCellMar>
      </w:tblPr>
      <w:tblGrid>
        <w:gridCol w:w="765"/>
        <w:gridCol w:w="1758"/>
        <w:gridCol w:w="846"/>
        <w:gridCol w:w="5571"/>
      </w:tblGrid>
      <w:tr>
        <w:tblPrEx>
          <w:tblCellMar>
            <w:top w:w="15" w:type="dxa"/>
            <w:left w:w="15" w:type="dxa"/>
            <w:bottom w:w="15" w:type="dxa"/>
            <w:right w:w="15" w:type="dxa"/>
          </w:tblCellMar>
        </w:tblPrEx>
        <w:trPr>
          <w:trHeight w:val="285" w:hRule="atLeast"/>
        </w:trPr>
        <w:tc>
          <w:tcPr>
            <w:tcW w:w="25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b/>
                <w:bCs/>
                <w:color w:val="000000"/>
                <w:sz w:val="28"/>
                <w:szCs w:val="28"/>
                <w:lang w:eastAsia="zh-CN"/>
              </w:rPr>
            </w:pPr>
            <w:r>
              <w:rPr>
                <w:rFonts w:hint="eastAsia" w:ascii="宋体" w:hAnsi="宋体" w:cs="仿宋"/>
                <w:b/>
                <w:bCs/>
                <w:color w:val="000000"/>
                <w:sz w:val="28"/>
                <w:szCs w:val="28"/>
                <w:lang w:eastAsia="zh-CN"/>
              </w:rPr>
              <w:t>评审因素</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b/>
                <w:bCs/>
                <w:color w:val="000000"/>
                <w:sz w:val="28"/>
                <w:szCs w:val="28"/>
                <w:lang w:eastAsia="zh-CN"/>
              </w:rPr>
            </w:pPr>
            <w:r>
              <w:rPr>
                <w:rFonts w:hint="eastAsia" w:ascii="宋体" w:hAnsi="宋体" w:cs="仿宋"/>
                <w:b/>
                <w:bCs/>
                <w:color w:val="000000"/>
                <w:sz w:val="28"/>
                <w:szCs w:val="28"/>
                <w:lang w:eastAsia="zh-CN"/>
              </w:rPr>
              <w:t>分值(分)</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b/>
                <w:bCs/>
                <w:color w:val="000000"/>
                <w:sz w:val="28"/>
                <w:szCs w:val="28"/>
                <w:lang w:eastAsia="zh-CN"/>
              </w:rPr>
            </w:pPr>
            <w:r>
              <w:rPr>
                <w:rFonts w:hint="eastAsia" w:ascii="宋体" w:hAnsi="宋体" w:cs="仿宋"/>
                <w:b/>
                <w:bCs/>
                <w:color w:val="000000"/>
                <w:sz w:val="28"/>
                <w:szCs w:val="28"/>
                <w:lang w:eastAsia="zh-CN"/>
              </w:rPr>
              <w:t>评分细则</w:t>
            </w:r>
          </w:p>
        </w:tc>
      </w:tr>
      <w:tr>
        <w:tblPrEx>
          <w:tblCellMar>
            <w:top w:w="15" w:type="dxa"/>
            <w:left w:w="15" w:type="dxa"/>
            <w:bottom w:w="15" w:type="dxa"/>
            <w:right w:w="15" w:type="dxa"/>
          </w:tblCellMar>
        </w:tblPrEx>
        <w:trPr>
          <w:trHeight w:val="1080" w:hRule="atLeast"/>
        </w:trPr>
        <w:tc>
          <w:tcPr>
            <w:tcW w:w="25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color w:val="000000"/>
                <w:sz w:val="28"/>
                <w:szCs w:val="28"/>
                <w:lang w:eastAsia="zh-CN"/>
              </w:rPr>
            </w:pPr>
            <w:r>
              <w:rPr>
                <w:rFonts w:hint="eastAsia" w:ascii="宋体" w:hAnsi="宋体" w:cs="仿宋"/>
                <w:color w:val="000000"/>
                <w:sz w:val="28"/>
                <w:szCs w:val="28"/>
                <w:lang w:eastAsia="zh-CN"/>
              </w:rPr>
              <w:t>价格</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z w:val="28"/>
                <w:szCs w:val="28"/>
                <w:lang w:eastAsia="zh-CN"/>
              </w:rPr>
            </w:pPr>
            <w:r>
              <w:rPr>
                <w:rFonts w:hint="eastAsia" w:ascii="方正仿宋_GB2312" w:hAnsi="方正仿宋_GB2312" w:eastAsia="方正仿宋_GB2312" w:cs="方正仿宋_GB2312"/>
                <w:color w:val="000000"/>
                <w:sz w:val="28"/>
                <w:szCs w:val="28"/>
                <w:lang w:eastAsia="zh-CN"/>
              </w:rPr>
              <w:t>10</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r>
              <w:rPr>
                <w:rFonts w:hint="eastAsia"/>
                <w:sz w:val="28"/>
                <w:szCs w:val="28"/>
              </w:rPr>
              <w:t>价格分计算方法：满</w:t>
            </w:r>
            <w:r>
              <w:rPr>
                <w:rFonts w:hint="eastAsia"/>
                <w:sz w:val="28"/>
                <w:szCs w:val="28"/>
                <w:lang w:val="en-US" w:eastAsia="zh-CN"/>
              </w:rPr>
              <w:t>足</w:t>
            </w:r>
            <w:r>
              <w:rPr>
                <w:rFonts w:hint="eastAsia"/>
                <w:sz w:val="28"/>
                <w:szCs w:val="28"/>
                <w:lang w:eastAsia="zh-CN"/>
              </w:rPr>
              <w:t>采购</w:t>
            </w:r>
            <w:r>
              <w:rPr>
                <w:rFonts w:hint="eastAsia"/>
                <w:sz w:val="28"/>
                <w:szCs w:val="28"/>
              </w:rPr>
              <w:t>要求且价格最低的报价为评标基准价，其价格分为满分。其他投标人的价格分统一按照下列公式计算：投标报价得分=(评标基准价／投标报价</w:t>
            </w:r>
            <w:r>
              <w:rPr>
                <w:rFonts w:hint="eastAsia"/>
                <w:sz w:val="28"/>
                <w:szCs w:val="28"/>
                <w:lang w:eastAsia="zh-CN"/>
              </w:rPr>
              <w:t>）</w:t>
            </w:r>
            <w:r>
              <w:rPr>
                <w:rFonts w:hint="eastAsia"/>
                <w:sz w:val="28"/>
                <w:szCs w:val="28"/>
              </w:rPr>
              <w:t>×价格权重。</w:t>
            </w:r>
          </w:p>
        </w:tc>
      </w:tr>
      <w:tr>
        <w:tblPrEx>
          <w:tblCellMar>
            <w:top w:w="15" w:type="dxa"/>
            <w:left w:w="15" w:type="dxa"/>
            <w:bottom w:w="15" w:type="dxa"/>
            <w:right w:w="15" w:type="dxa"/>
          </w:tblCellMar>
        </w:tblPrEx>
        <w:trPr>
          <w:trHeight w:val="540" w:hRule="atLeast"/>
        </w:trPr>
        <w:tc>
          <w:tcPr>
            <w:tcW w:w="7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r>
              <w:rPr>
                <w:rFonts w:hint="eastAsia" w:ascii="宋体" w:hAnsi="宋体" w:cs="仿宋"/>
                <w:color w:val="000000"/>
                <w:sz w:val="28"/>
                <w:szCs w:val="28"/>
                <w:lang w:eastAsia="zh-CN"/>
              </w:rPr>
              <w:t>商务（</w:t>
            </w:r>
            <w:r>
              <w:rPr>
                <w:rFonts w:hint="eastAsia" w:ascii="宋体" w:hAnsi="宋体" w:cs="仿宋"/>
                <w:color w:val="000000"/>
                <w:sz w:val="28"/>
                <w:szCs w:val="28"/>
                <w:lang w:val="en-US" w:eastAsia="zh-CN"/>
              </w:rPr>
              <w:t>共40分</w:t>
            </w:r>
            <w:r>
              <w:rPr>
                <w:rFonts w:hint="eastAsia" w:ascii="宋体" w:hAnsi="宋体" w:cs="仿宋"/>
                <w:color w:val="000000"/>
                <w:sz w:val="28"/>
                <w:szCs w:val="28"/>
                <w:lang w:eastAsia="zh-CN"/>
              </w:rPr>
              <w:t>）</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宋体" w:hAnsi="宋体" w:cs="仿宋"/>
                <w:color w:val="000000"/>
                <w:sz w:val="28"/>
                <w:szCs w:val="28"/>
                <w:lang w:eastAsia="zh-CN"/>
              </w:rPr>
              <w:t>方案是否漏报采购项目关键内容和项目</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8</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lang w:eastAsia="zh-CN"/>
              </w:rPr>
              <w:t>符合得</w:t>
            </w:r>
            <w:r>
              <w:rPr>
                <w:rFonts w:hint="eastAsia"/>
                <w:lang w:val="en-US" w:eastAsia="zh-CN"/>
              </w:rPr>
              <w:t>8分，不符合</w:t>
            </w:r>
            <w:r>
              <w:rPr>
                <w:rFonts w:hint="eastAsia" w:ascii="宋体" w:hAnsi="宋体" w:cs="仿宋"/>
                <w:color w:val="000000"/>
                <w:sz w:val="28"/>
                <w:szCs w:val="28"/>
                <w:lang w:eastAsia="zh-CN"/>
              </w:rPr>
              <w:t>不得分。</w:t>
            </w:r>
          </w:p>
        </w:tc>
      </w:tr>
      <w:tr>
        <w:tblPrEx>
          <w:tblCellMar>
            <w:top w:w="15" w:type="dxa"/>
            <w:left w:w="15" w:type="dxa"/>
            <w:bottom w:w="15" w:type="dxa"/>
            <w:right w:w="15" w:type="dxa"/>
          </w:tblCellMar>
        </w:tblPrEx>
        <w:trPr>
          <w:trHeight w:val="540" w:hRule="atLeast"/>
        </w:trPr>
        <w:tc>
          <w:tcPr>
            <w:tcW w:w="7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宋体" w:hAnsi="宋体" w:cs="仿宋"/>
                <w:color w:val="000000"/>
                <w:sz w:val="28"/>
                <w:szCs w:val="28"/>
              </w:rPr>
              <w:t>法定代表人/负责人资格证明书及授权委托书</w:t>
            </w:r>
            <w:r>
              <w:rPr>
                <w:rFonts w:hint="eastAsia" w:ascii="宋体" w:hAnsi="宋体" w:cs="仿宋"/>
                <w:color w:val="000000"/>
                <w:sz w:val="28"/>
                <w:szCs w:val="28"/>
                <w:lang w:eastAsia="zh-CN"/>
              </w:rPr>
              <w:t>是否</w:t>
            </w:r>
            <w:r>
              <w:rPr>
                <w:rFonts w:hint="eastAsia" w:ascii="宋体" w:hAnsi="宋体" w:cs="仿宋"/>
                <w:color w:val="000000"/>
                <w:sz w:val="28"/>
                <w:szCs w:val="28"/>
              </w:rPr>
              <w:t>盖章</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8</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lang w:eastAsia="zh-CN"/>
              </w:rPr>
              <w:t>符合得</w:t>
            </w:r>
            <w:r>
              <w:rPr>
                <w:rFonts w:hint="eastAsia"/>
                <w:lang w:val="en-US" w:eastAsia="zh-CN"/>
              </w:rPr>
              <w:t>8分，不符合</w:t>
            </w:r>
            <w:r>
              <w:rPr>
                <w:rFonts w:hint="eastAsia" w:ascii="宋体" w:hAnsi="宋体" w:cs="仿宋"/>
                <w:color w:val="000000"/>
                <w:sz w:val="28"/>
                <w:szCs w:val="28"/>
                <w:lang w:eastAsia="zh-CN"/>
              </w:rPr>
              <w:t>不得分。</w:t>
            </w:r>
          </w:p>
        </w:tc>
      </w:tr>
      <w:tr>
        <w:tblPrEx>
          <w:tblCellMar>
            <w:top w:w="15" w:type="dxa"/>
            <w:left w:w="15" w:type="dxa"/>
            <w:bottom w:w="15" w:type="dxa"/>
            <w:right w:w="15" w:type="dxa"/>
          </w:tblCellMar>
        </w:tblPrEx>
        <w:trPr>
          <w:trHeight w:val="720" w:hRule="atLeast"/>
        </w:trPr>
        <w:tc>
          <w:tcPr>
            <w:tcW w:w="7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宋体" w:hAnsi="宋体" w:cs="仿宋"/>
                <w:color w:val="000000"/>
                <w:sz w:val="28"/>
                <w:szCs w:val="28"/>
              </w:rPr>
              <w:t>文件完全满足</w:t>
            </w:r>
            <w:r>
              <w:rPr>
                <w:rFonts w:hint="eastAsia" w:ascii="宋体" w:hAnsi="宋体" w:cs="仿宋"/>
                <w:color w:val="000000"/>
                <w:sz w:val="28"/>
                <w:szCs w:val="28"/>
                <w:lang w:eastAsia="zh-CN"/>
              </w:rPr>
              <w:t>采购</w:t>
            </w:r>
            <w:r>
              <w:rPr>
                <w:rFonts w:hint="eastAsia" w:ascii="宋体" w:hAnsi="宋体" w:cs="仿宋"/>
                <w:color w:val="000000"/>
                <w:sz w:val="28"/>
                <w:szCs w:val="28"/>
              </w:rPr>
              <w:t>文件的实质性条款</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8</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lang w:eastAsia="zh-CN"/>
              </w:rPr>
              <w:t>符合得</w:t>
            </w:r>
            <w:r>
              <w:rPr>
                <w:rFonts w:hint="eastAsia"/>
                <w:lang w:val="en-US" w:eastAsia="zh-CN"/>
              </w:rPr>
              <w:t>8分，不符合</w:t>
            </w:r>
            <w:r>
              <w:rPr>
                <w:rFonts w:hint="eastAsia" w:ascii="宋体" w:hAnsi="宋体" w:cs="仿宋"/>
                <w:color w:val="000000"/>
                <w:sz w:val="28"/>
                <w:szCs w:val="28"/>
                <w:lang w:eastAsia="zh-CN"/>
              </w:rPr>
              <w:t>不得分。</w:t>
            </w:r>
          </w:p>
        </w:tc>
      </w:tr>
      <w:tr>
        <w:tblPrEx>
          <w:tblCellMar>
            <w:top w:w="15" w:type="dxa"/>
            <w:left w:w="15" w:type="dxa"/>
            <w:bottom w:w="15" w:type="dxa"/>
            <w:right w:w="15" w:type="dxa"/>
          </w:tblCellMar>
        </w:tblPrEx>
        <w:trPr>
          <w:trHeight w:val="360" w:hRule="atLeast"/>
        </w:trPr>
        <w:tc>
          <w:tcPr>
            <w:tcW w:w="76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宋体" w:hAnsi="宋体" w:cs="仿宋"/>
                <w:color w:val="000000"/>
                <w:sz w:val="28"/>
                <w:szCs w:val="28"/>
                <w:lang w:eastAsia="zh-CN"/>
              </w:rPr>
              <w:t>是否按</w:t>
            </w:r>
            <w:r>
              <w:rPr>
                <w:rFonts w:hint="eastAsia" w:ascii="宋体" w:hAnsi="宋体" w:cs="仿宋"/>
                <w:color w:val="000000"/>
                <w:sz w:val="28"/>
                <w:szCs w:val="28"/>
              </w:rPr>
              <w:t>要求提供文件。提交</w:t>
            </w:r>
            <w:r>
              <w:rPr>
                <w:rFonts w:hint="eastAsia" w:ascii="宋体" w:hAnsi="宋体" w:cs="仿宋"/>
                <w:color w:val="000000"/>
                <w:sz w:val="28"/>
                <w:szCs w:val="28"/>
                <w:lang w:eastAsia="zh-CN"/>
              </w:rPr>
              <w:t>文件</w:t>
            </w:r>
            <w:r>
              <w:rPr>
                <w:rFonts w:hint="eastAsia" w:ascii="宋体" w:hAnsi="宋体" w:cs="仿宋"/>
                <w:color w:val="000000"/>
                <w:sz w:val="28"/>
                <w:szCs w:val="28"/>
              </w:rPr>
              <w:t>完整且编排有</w:t>
            </w:r>
            <w:r>
              <w:rPr>
                <w:rFonts w:hint="eastAsia" w:ascii="宋体" w:hAnsi="宋体" w:cs="仿宋"/>
                <w:color w:val="000000"/>
                <w:sz w:val="28"/>
                <w:szCs w:val="28"/>
                <w:lang w:eastAsia="zh-CN"/>
              </w:rPr>
              <w:t>序</w:t>
            </w:r>
            <w:r>
              <w:rPr>
                <w:rFonts w:hint="eastAsia" w:ascii="宋体" w:hAnsi="宋体" w:cs="仿宋"/>
                <w:color w:val="000000"/>
                <w:sz w:val="28"/>
                <w:szCs w:val="28"/>
              </w:rPr>
              <w:t>，并按要求密封、签署、盖章</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8</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lang w:eastAsia="zh-CN"/>
              </w:rPr>
              <w:t>符合得</w:t>
            </w:r>
            <w:r>
              <w:rPr>
                <w:rFonts w:hint="eastAsia"/>
                <w:lang w:val="en-US" w:eastAsia="zh-CN"/>
              </w:rPr>
              <w:t>8分，不符合</w:t>
            </w:r>
            <w:r>
              <w:rPr>
                <w:rFonts w:hint="eastAsia" w:ascii="宋体" w:hAnsi="宋体" w:cs="仿宋"/>
                <w:color w:val="000000"/>
                <w:sz w:val="28"/>
                <w:szCs w:val="28"/>
                <w:lang w:eastAsia="zh-CN"/>
              </w:rPr>
              <w:t>不得分。</w:t>
            </w:r>
          </w:p>
        </w:tc>
      </w:tr>
      <w:tr>
        <w:tblPrEx>
          <w:tblCellMar>
            <w:top w:w="15" w:type="dxa"/>
            <w:left w:w="15" w:type="dxa"/>
            <w:bottom w:w="15" w:type="dxa"/>
            <w:right w:w="15" w:type="dxa"/>
          </w:tblCellMar>
        </w:tblPrEx>
        <w:trPr>
          <w:trHeight w:val="650" w:hRule="atLeast"/>
        </w:trPr>
        <w:tc>
          <w:tcPr>
            <w:tcW w:w="765"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宋体" w:hAnsi="宋体" w:cs="仿宋"/>
                <w:color w:val="000000"/>
                <w:sz w:val="28"/>
                <w:szCs w:val="28"/>
                <w:lang w:eastAsia="zh-CN"/>
              </w:rPr>
              <w:t>送货或提供服务时间</w:t>
            </w:r>
            <w:r>
              <w:rPr>
                <w:rFonts w:hint="eastAsia" w:ascii="宋体" w:hAnsi="宋体" w:cs="仿宋"/>
                <w:color w:val="000000"/>
                <w:sz w:val="28"/>
                <w:szCs w:val="28"/>
              </w:rPr>
              <w:t>满足</w:t>
            </w:r>
            <w:r>
              <w:rPr>
                <w:rFonts w:hint="eastAsia" w:ascii="宋体" w:hAnsi="宋体" w:cs="仿宋"/>
                <w:color w:val="000000"/>
                <w:sz w:val="28"/>
                <w:szCs w:val="28"/>
                <w:lang w:eastAsia="zh-CN"/>
              </w:rPr>
              <w:t>采购</w:t>
            </w:r>
            <w:r>
              <w:rPr>
                <w:rFonts w:hint="eastAsia" w:ascii="宋体" w:hAnsi="宋体" w:cs="仿宋"/>
                <w:color w:val="000000"/>
                <w:sz w:val="28"/>
                <w:szCs w:val="28"/>
              </w:rPr>
              <w:t>文件要求</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8</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b/>
                <w:bCs/>
                <w:color w:val="000000"/>
                <w:spacing w:val="-6"/>
                <w:kern w:val="2"/>
                <w:sz w:val="28"/>
                <w:szCs w:val="28"/>
                <w:lang w:val="en-US" w:eastAsia="zh-CN" w:bidi="ar-SA"/>
              </w:rPr>
            </w:pPr>
            <w:r>
              <w:rPr>
                <w:rFonts w:hint="eastAsia"/>
                <w:lang w:eastAsia="zh-CN"/>
              </w:rPr>
              <w:t>符合得</w:t>
            </w:r>
            <w:r>
              <w:rPr>
                <w:rFonts w:hint="eastAsia"/>
                <w:lang w:val="en-US" w:eastAsia="zh-CN"/>
              </w:rPr>
              <w:t>8分，不符合</w:t>
            </w:r>
            <w:r>
              <w:rPr>
                <w:rFonts w:hint="eastAsia" w:ascii="宋体" w:hAnsi="宋体" w:cs="仿宋"/>
                <w:color w:val="000000"/>
                <w:sz w:val="28"/>
                <w:szCs w:val="28"/>
                <w:lang w:eastAsia="zh-CN"/>
              </w:rPr>
              <w:t>不得分。</w:t>
            </w:r>
          </w:p>
        </w:tc>
      </w:tr>
      <w:tr>
        <w:tblPrEx>
          <w:tblCellMar>
            <w:top w:w="15" w:type="dxa"/>
            <w:left w:w="15" w:type="dxa"/>
            <w:bottom w:w="15" w:type="dxa"/>
            <w:right w:w="15" w:type="dxa"/>
          </w:tblCellMar>
        </w:tblPrEx>
        <w:trPr>
          <w:trHeight w:val="1440" w:hRule="atLeast"/>
        </w:trPr>
        <w:tc>
          <w:tcPr>
            <w:tcW w:w="7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default" w:ascii="宋体" w:hAnsi="宋体" w:cs="仿宋"/>
                <w:color w:val="000000"/>
                <w:sz w:val="28"/>
                <w:szCs w:val="28"/>
                <w:lang w:val="en-US" w:eastAsia="zh-CN"/>
              </w:rPr>
            </w:pPr>
            <w:r>
              <w:rPr>
                <w:rFonts w:hint="eastAsia" w:ascii="宋体" w:hAnsi="宋体" w:cs="仿宋"/>
                <w:color w:val="000000"/>
                <w:sz w:val="28"/>
                <w:szCs w:val="28"/>
                <w:lang w:val="en-US" w:eastAsia="zh-CN"/>
              </w:rPr>
              <w:t>技术（共50分）</w:t>
            </w:r>
          </w:p>
        </w:tc>
        <w:tc>
          <w:tcPr>
            <w:tcW w:w="175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sz w:val="28"/>
                <w:szCs w:val="28"/>
              </w:rPr>
              <w:t>文件</w:t>
            </w:r>
            <w:r>
              <w:rPr>
                <w:rFonts w:hint="eastAsia"/>
                <w:sz w:val="28"/>
                <w:szCs w:val="28"/>
                <w:lang w:eastAsia="zh-CN"/>
              </w:rPr>
              <w:t>方案</w:t>
            </w:r>
            <w:r>
              <w:rPr>
                <w:rFonts w:hint="eastAsia"/>
                <w:sz w:val="28"/>
                <w:szCs w:val="28"/>
              </w:rPr>
              <w:t>设计情况</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25</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sz w:val="28"/>
                <w:szCs w:val="28"/>
              </w:rPr>
            </w:pPr>
            <w:r>
              <w:rPr>
                <w:rFonts w:hint="eastAsia"/>
                <w:sz w:val="28"/>
                <w:szCs w:val="28"/>
                <w:lang w:eastAsia="zh-CN"/>
              </w:rPr>
              <w:t>文件方案</w:t>
            </w:r>
            <w:r>
              <w:rPr>
                <w:rFonts w:hint="eastAsia"/>
                <w:sz w:val="28"/>
                <w:szCs w:val="28"/>
              </w:rPr>
              <w:t>设计的科学性、合理性等因素进行评审和比较：</w:t>
            </w:r>
          </w:p>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sz w:val="28"/>
                <w:szCs w:val="28"/>
              </w:rPr>
              <w:t>对比最优</w:t>
            </w:r>
            <w:r>
              <w:rPr>
                <w:rFonts w:hint="eastAsia"/>
                <w:sz w:val="28"/>
                <w:szCs w:val="28"/>
                <w:lang w:val="en-US" w:eastAsia="zh-CN"/>
              </w:rPr>
              <w:t>得25</w:t>
            </w:r>
            <w:r>
              <w:rPr>
                <w:rFonts w:hint="eastAsia"/>
                <w:sz w:val="28"/>
                <w:szCs w:val="28"/>
              </w:rPr>
              <w:t>分，对比次之</w:t>
            </w:r>
            <w:r>
              <w:rPr>
                <w:rFonts w:hint="eastAsia"/>
                <w:sz w:val="28"/>
                <w:szCs w:val="28"/>
                <w:lang w:val="en-US" w:eastAsia="zh-CN"/>
              </w:rPr>
              <w:t>得15</w:t>
            </w:r>
            <w:r>
              <w:rPr>
                <w:rFonts w:hint="eastAsia"/>
                <w:sz w:val="28"/>
                <w:szCs w:val="28"/>
              </w:rPr>
              <w:t>分，较差的</w:t>
            </w:r>
            <w:r>
              <w:rPr>
                <w:rFonts w:hint="eastAsia"/>
                <w:sz w:val="28"/>
                <w:szCs w:val="28"/>
                <w:lang w:val="en-US" w:eastAsia="zh-CN"/>
              </w:rPr>
              <w:t>得10</w:t>
            </w:r>
            <w:r>
              <w:rPr>
                <w:rFonts w:hint="eastAsia"/>
                <w:sz w:val="28"/>
                <w:szCs w:val="28"/>
              </w:rPr>
              <w:t>分。</w:t>
            </w:r>
          </w:p>
        </w:tc>
      </w:tr>
      <w:tr>
        <w:tblPrEx>
          <w:tblCellMar>
            <w:top w:w="15" w:type="dxa"/>
            <w:left w:w="15" w:type="dxa"/>
            <w:bottom w:w="15" w:type="dxa"/>
            <w:right w:w="15" w:type="dxa"/>
          </w:tblCellMar>
        </w:tblPrEx>
        <w:trPr>
          <w:trHeight w:val="1080" w:hRule="atLeast"/>
        </w:trPr>
        <w:tc>
          <w:tcPr>
            <w:tcW w:w="7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sz w:val="28"/>
                <w:szCs w:val="28"/>
              </w:rPr>
              <w:t>服务质量</w:t>
            </w:r>
            <w:r>
              <w:rPr>
                <w:rFonts w:hint="eastAsia"/>
                <w:sz w:val="28"/>
                <w:szCs w:val="28"/>
                <w:lang w:val="en-US" w:eastAsia="zh-CN"/>
              </w:rPr>
              <w:t>保障</w:t>
            </w:r>
            <w:r>
              <w:rPr>
                <w:rFonts w:hint="eastAsia"/>
                <w:sz w:val="28"/>
                <w:szCs w:val="28"/>
              </w:rPr>
              <w:t>计划措施详细具体程度、针对性和实用性</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default"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color w:val="000000"/>
                <w:sz w:val="28"/>
                <w:szCs w:val="28"/>
                <w:lang w:val="en-US" w:eastAsia="zh-CN"/>
              </w:rPr>
              <w:t>16</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sz w:val="28"/>
                <w:szCs w:val="28"/>
              </w:rPr>
              <w:t>根据服务质量保证计划措施的详细具体程度、针对性和实用性等因素进行评审和比较：对比最优</w:t>
            </w:r>
            <w:r>
              <w:rPr>
                <w:rFonts w:hint="eastAsia"/>
                <w:sz w:val="28"/>
                <w:szCs w:val="28"/>
                <w:lang w:val="en-US" w:eastAsia="zh-CN"/>
              </w:rPr>
              <w:t>得16</w:t>
            </w:r>
            <w:r>
              <w:rPr>
                <w:rFonts w:hint="eastAsia"/>
                <w:sz w:val="28"/>
                <w:szCs w:val="28"/>
              </w:rPr>
              <w:t>分，对比次</w:t>
            </w:r>
            <w:r>
              <w:rPr>
                <w:rFonts w:hint="eastAsia"/>
                <w:sz w:val="28"/>
                <w:szCs w:val="28"/>
                <w:lang w:val="en-US" w:eastAsia="zh-CN"/>
              </w:rPr>
              <w:t>差得10</w:t>
            </w:r>
            <w:r>
              <w:rPr>
                <w:rFonts w:hint="eastAsia"/>
                <w:sz w:val="28"/>
                <w:szCs w:val="28"/>
              </w:rPr>
              <w:t>分，较差的</w:t>
            </w:r>
            <w:r>
              <w:rPr>
                <w:rFonts w:hint="eastAsia"/>
                <w:sz w:val="28"/>
                <w:szCs w:val="28"/>
                <w:lang w:val="en-US" w:eastAsia="zh-CN"/>
              </w:rPr>
              <w:t>得5</w:t>
            </w:r>
            <w:r>
              <w:rPr>
                <w:rFonts w:hint="eastAsia"/>
                <w:sz w:val="28"/>
                <w:szCs w:val="28"/>
              </w:rPr>
              <w:t>分。</w:t>
            </w:r>
          </w:p>
        </w:tc>
      </w:tr>
      <w:tr>
        <w:tblPrEx>
          <w:tblCellMar>
            <w:top w:w="15" w:type="dxa"/>
            <w:left w:w="15" w:type="dxa"/>
            <w:bottom w:w="15" w:type="dxa"/>
            <w:right w:w="15" w:type="dxa"/>
          </w:tblCellMar>
        </w:tblPrEx>
        <w:trPr>
          <w:trHeight w:val="1484" w:hRule="atLeast"/>
        </w:trPr>
        <w:tc>
          <w:tcPr>
            <w:tcW w:w="7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c>
          <w:tcPr>
            <w:tcW w:w="175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ascii="方正仿宋_GB2312" w:hAnsi="方正仿宋_GB2312" w:eastAsia="方正仿宋_GB2312" w:cs="方正仿宋_GB2312"/>
                <w:spacing w:val="5"/>
                <w:sz w:val="31"/>
                <w:szCs w:val="31"/>
              </w:rPr>
              <w:t>过</w:t>
            </w:r>
            <w:r>
              <w:rPr>
                <w:rFonts w:hint="eastAsia" w:ascii="方正仿宋_GB2312" w:hAnsi="方正仿宋_GB2312" w:eastAsia="方正仿宋_GB2312" w:cs="方正仿宋_GB2312"/>
                <w:spacing w:val="4"/>
                <w:sz w:val="31"/>
                <w:szCs w:val="31"/>
              </w:rPr>
              <w:t>往业绩</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方正仿宋_GB2312" w:hAnsi="方正仿宋_GB2312" w:eastAsia="方正仿宋_GB2312" w:cs="方正仿宋_GB2312"/>
                <w:color w:val="000000"/>
                <w:spacing w:val="-6"/>
                <w:kern w:val="2"/>
                <w:sz w:val="28"/>
                <w:szCs w:val="28"/>
                <w:lang w:val="en-US" w:eastAsia="zh-CN" w:bidi="ar-SA"/>
              </w:rPr>
            </w:pPr>
            <w:r>
              <w:rPr>
                <w:rFonts w:hint="eastAsia" w:ascii="方正仿宋_GB2312" w:hAnsi="方正仿宋_GB2312" w:eastAsia="方正仿宋_GB2312" w:cs="方正仿宋_GB2312"/>
                <w:sz w:val="28"/>
                <w:szCs w:val="28"/>
                <w:lang w:val="en-US" w:eastAsia="zh-CN"/>
              </w:rPr>
              <w:t>9</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eastAsia="方正仿宋_GBK" w:cs="仿宋"/>
                <w:color w:val="000000"/>
                <w:spacing w:val="-6"/>
                <w:kern w:val="2"/>
                <w:sz w:val="28"/>
                <w:szCs w:val="28"/>
                <w:lang w:val="en-US" w:eastAsia="zh-CN" w:bidi="ar-SA"/>
              </w:rPr>
            </w:pPr>
            <w:r>
              <w:rPr>
                <w:rFonts w:hint="eastAsia"/>
                <w:sz w:val="28"/>
                <w:szCs w:val="28"/>
              </w:rPr>
              <w:t>根据过往同类型业绩 (或案例) 进行比较评分：</w:t>
            </w:r>
            <w:r>
              <w:rPr>
                <w:rFonts w:hint="eastAsia"/>
                <w:sz w:val="28"/>
                <w:szCs w:val="28"/>
                <w:lang w:val="en-US" w:eastAsia="zh-CN"/>
              </w:rPr>
              <w:t>每提供一项得3分（以合同为准），此项最高得分9分</w:t>
            </w:r>
            <w:r>
              <w:rPr>
                <w:rFonts w:hint="eastAsia"/>
                <w:sz w:val="28"/>
                <w:szCs w:val="28"/>
              </w:rPr>
              <w:t>。</w:t>
            </w:r>
          </w:p>
        </w:tc>
      </w:tr>
      <w:tr>
        <w:tblPrEx>
          <w:tblCellMar>
            <w:top w:w="15" w:type="dxa"/>
            <w:left w:w="15" w:type="dxa"/>
            <w:bottom w:w="15" w:type="dxa"/>
            <w:right w:w="15" w:type="dxa"/>
          </w:tblCellMar>
        </w:tblPrEx>
        <w:trPr>
          <w:trHeight w:val="285" w:hRule="atLeast"/>
        </w:trPr>
        <w:tc>
          <w:tcPr>
            <w:tcW w:w="25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color w:val="000000"/>
                <w:sz w:val="28"/>
                <w:szCs w:val="28"/>
                <w:lang w:eastAsia="zh-CN"/>
              </w:rPr>
            </w:pPr>
            <w:r>
              <w:rPr>
                <w:rFonts w:hint="eastAsia" w:ascii="宋体" w:hAnsi="宋体" w:cs="仿宋"/>
                <w:color w:val="000000"/>
                <w:sz w:val="28"/>
                <w:szCs w:val="28"/>
                <w:lang w:eastAsia="zh-CN"/>
              </w:rPr>
              <w:t>合计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center"/>
              <w:textAlignment w:val="auto"/>
              <w:outlineLvl w:val="9"/>
              <w:rPr>
                <w:rFonts w:hint="eastAsia" w:ascii="宋体" w:hAnsi="宋体" w:cs="仿宋"/>
                <w:color w:val="000000"/>
                <w:sz w:val="28"/>
                <w:szCs w:val="28"/>
                <w:lang w:eastAsia="zh-CN"/>
              </w:rPr>
            </w:pPr>
            <w:r>
              <w:rPr>
                <w:rFonts w:hint="eastAsia" w:ascii="方正仿宋_GB2312" w:hAnsi="方正仿宋_GB2312" w:eastAsia="方正仿宋_GB2312" w:cs="方正仿宋_GB2312"/>
                <w:color w:val="000000"/>
                <w:sz w:val="28"/>
                <w:szCs w:val="28"/>
                <w:lang w:val="en-US" w:eastAsia="zh-CN"/>
              </w:rPr>
              <w:t>100</w:t>
            </w:r>
          </w:p>
        </w:tc>
        <w:tc>
          <w:tcPr>
            <w:tcW w:w="5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20" w:lineRule="exact"/>
              <w:ind w:left="0" w:leftChars="0" w:firstLine="0" w:firstLineChars="0"/>
              <w:contextualSpacing/>
              <w:jc w:val="both"/>
              <w:textAlignment w:val="auto"/>
              <w:outlineLvl w:val="9"/>
              <w:rPr>
                <w:rFonts w:hint="eastAsia" w:ascii="宋体" w:hAnsi="宋体" w:cs="仿宋"/>
                <w:color w:val="000000"/>
                <w:sz w:val="28"/>
                <w:szCs w:val="28"/>
                <w:lang w:eastAsia="zh-CN"/>
              </w:rPr>
            </w:pPr>
          </w:p>
        </w:tc>
      </w:tr>
    </w:tbl>
    <w:p>
      <w:pPr>
        <w:bidi w:val="0"/>
        <w:ind w:left="0" w:leftChars="0" w:firstLine="0" w:firstLineChars="0"/>
        <w:rPr>
          <w:rFonts w:hint="eastAsia"/>
          <w:lang w:eastAsia="zh-CN"/>
        </w:rPr>
      </w:pPr>
      <w:r>
        <w:rPr>
          <w:rFonts w:hint="eastAsia"/>
        </w:rPr>
        <w:t>注：各评委按规定的范围内进行量化打分，并统计总分</w:t>
      </w:r>
      <w:r>
        <w:rPr>
          <w:rFonts w:hint="eastAsia"/>
          <w:lang w:eastAsia="zh-CN"/>
        </w:rPr>
        <w:t>。</w:t>
      </w:r>
    </w:p>
    <w:p>
      <w:pPr>
        <w:bidi w:val="0"/>
        <w:ind w:left="0" w:leftChars="0" w:firstLine="616" w:firstLineChars="200"/>
      </w:pPr>
      <w:r>
        <w:rPr>
          <w:rFonts w:hint="eastAsia"/>
        </w:rPr>
        <w:t>3.</w:t>
      </w:r>
      <w:r>
        <w:t>价格评审</w:t>
      </w:r>
    </w:p>
    <w:p>
      <w:pPr>
        <w:bidi w:val="0"/>
        <w:ind w:firstLine="616" w:firstLineChars="200"/>
      </w:pPr>
      <w:r>
        <w:t>（1）最终报价：所有作出实质性响应的有效供应商应在规定的时间内集中密封提交最终报价（最终报价时间视</w:t>
      </w:r>
      <w:r>
        <w:rPr>
          <w:rFonts w:hint="eastAsia"/>
          <w:lang w:eastAsia="zh-CN"/>
        </w:rPr>
        <w:t>评审</w:t>
      </w:r>
      <w:r>
        <w:t>进程由</w:t>
      </w:r>
      <w:r>
        <w:rPr>
          <w:rFonts w:hint="eastAsia"/>
          <w:lang w:eastAsia="zh-CN"/>
        </w:rPr>
        <w:t>评审</w:t>
      </w:r>
      <w:r>
        <w:t>小组决定）。</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t>（2）核实价的确定：</w:t>
      </w:r>
      <w:r>
        <w:rPr>
          <w:rFonts w:hint="eastAsia"/>
          <w:lang w:eastAsia="zh-CN"/>
        </w:rPr>
        <w:t>评审</w:t>
      </w:r>
      <w:r>
        <w:t>小组对各供应商的最终报价按下述原则进行校核、评审或作出必要的修正后的价格为核实价，如果出现多种处理原则所产生的结果不一致的情况，以最高的修正价作为核实价。</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t>（3）报价的错误修正原则</w:t>
      </w:r>
    </w:p>
    <w:p>
      <w:pPr>
        <w:keepNext w:val="0"/>
        <w:keepLines w:val="0"/>
        <w:pageBreakBefore w:val="0"/>
        <w:widowControl w:val="0"/>
        <w:kinsoku/>
        <w:wordWrap/>
        <w:overflowPunct/>
        <w:topLinePunct w:val="0"/>
        <w:autoSpaceDE/>
        <w:autoSpaceDN/>
        <w:bidi w:val="0"/>
        <w:adjustRightInd/>
        <w:snapToGrid/>
        <w:ind w:firstLine="616" w:firstLineChars="200"/>
        <w:textAlignment w:val="auto"/>
        <w:rPr>
          <w:rFonts w:hint="eastAsia"/>
          <w:lang w:eastAsia="zh-CN"/>
        </w:rPr>
      </w:pPr>
      <w:r>
        <w:t>大写金额与小写金额不一致的，以大写金额为准</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pacing w:val="0"/>
          <w:lang w:eastAsia="zh-CN"/>
        </w:rPr>
      </w:pPr>
      <w:r>
        <w:rPr>
          <w:spacing w:val="0"/>
        </w:rPr>
        <w:t>总价金额与按单价汇总金额不一致的，以单价金额计算结果为准</w:t>
      </w:r>
      <w:r>
        <w:rPr>
          <w:rFonts w:hint="eastAsia"/>
          <w:spacing w:val="0"/>
          <w:lang w:eastAsia="zh-CN"/>
        </w:rPr>
        <w:t>。</w:t>
      </w:r>
    </w:p>
    <w:p>
      <w:pPr>
        <w:keepNext w:val="0"/>
        <w:keepLines w:val="0"/>
        <w:pageBreakBefore w:val="0"/>
        <w:widowControl w:val="0"/>
        <w:kinsoku/>
        <w:wordWrap/>
        <w:overflowPunct/>
        <w:topLinePunct w:val="0"/>
        <w:autoSpaceDE/>
        <w:autoSpaceDN/>
        <w:bidi w:val="0"/>
        <w:adjustRightInd/>
        <w:snapToGrid/>
        <w:ind w:firstLine="616" w:firstLineChars="200"/>
        <w:textAlignment w:val="auto"/>
        <w:rPr>
          <w:rFonts w:hint="eastAsia"/>
          <w:lang w:eastAsia="zh-CN"/>
        </w:rPr>
      </w:pPr>
      <w:r>
        <w:t>单价金额小数点有明显错位的，应以总价为准，并修改单价</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t>修正价后的价格作为核实价。</w:t>
      </w:r>
    </w:p>
    <w:p>
      <w:pPr>
        <w:keepNext w:val="0"/>
        <w:keepLines w:val="0"/>
        <w:pageBreakBefore w:val="0"/>
        <w:widowControl w:val="0"/>
        <w:kinsoku/>
        <w:wordWrap/>
        <w:overflowPunct/>
        <w:topLinePunct w:val="0"/>
        <w:autoSpaceDE/>
        <w:autoSpaceDN/>
        <w:bidi w:val="0"/>
        <w:adjustRightInd/>
        <w:snapToGrid/>
        <w:ind w:firstLine="596" w:firstLineChars="200"/>
        <w:textAlignment w:val="auto"/>
        <w:rPr>
          <w:spacing w:val="-11"/>
        </w:rPr>
      </w:pPr>
      <w:r>
        <w:rPr>
          <w:spacing w:val="-11"/>
        </w:rPr>
        <w:t>（</w:t>
      </w:r>
      <w:r>
        <w:rPr>
          <w:rFonts w:hint="eastAsia"/>
          <w:spacing w:val="-11"/>
        </w:rPr>
        <w:t>4</w:t>
      </w:r>
      <w:r>
        <w:rPr>
          <w:spacing w:val="-11"/>
        </w:rPr>
        <w:t>）评审价的确定：按上述条款的原则校核修正后的价格为评审价。</w:t>
      </w:r>
    </w:p>
    <w:p>
      <w:pPr>
        <w:keepNext w:val="0"/>
        <w:keepLines w:val="0"/>
        <w:pageBreakBefore w:val="0"/>
        <w:widowControl w:val="0"/>
        <w:kinsoku/>
        <w:wordWrap/>
        <w:overflowPunct/>
        <w:topLinePunct w:val="0"/>
        <w:autoSpaceDE/>
        <w:autoSpaceDN/>
        <w:bidi w:val="0"/>
        <w:adjustRightInd/>
        <w:snapToGrid/>
        <w:ind w:firstLine="616" w:firstLineChars="200"/>
        <w:textAlignment w:val="auto"/>
        <w:rPr>
          <w:rFonts w:hint="eastAsia" w:eastAsia="方正仿宋_GBK"/>
          <w:lang w:eastAsia="zh-CN"/>
        </w:rPr>
      </w:pPr>
      <w:r>
        <w:t>（</w:t>
      </w:r>
      <w:r>
        <w:rPr>
          <w:rFonts w:hint="eastAsia"/>
        </w:rPr>
        <w:t>5</w:t>
      </w:r>
      <w:r>
        <w:t>）计算价格评分：各有效</w:t>
      </w:r>
      <w:r>
        <w:rPr>
          <w:rFonts w:hint="eastAsia"/>
          <w:lang w:eastAsia="zh-CN"/>
        </w:rPr>
        <w:t>采购</w:t>
      </w:r>
      <w:r>
        <w:t>供应商的评审价中，取最低者作为基准价，各有效响应供应商的价格评分统一按照下列公式计算：价格评分＝（基准价÷评审价）×</w:t>
      </w:r>
      <w:r>
        <w:rPr>
          <w:rFonts w:hint="eastAsia"/>
        </w:rPr>
        <w:t>10</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16" w:firstLineChars="200"/>
        <w:textAlignment w:val="auto"/>
        <w:rPr>
          <w:rFonts w:hint="eastAsia" w:ascii="黑体" w:hAnsi="黑体" w:eastAsia="黑体" w:cs="黑体"/>
        </w:rPr>
      </w:pPr>
      <w:r>
        <w:rPr>
          <w:rFonts w:hint="eastAsia" w:ascii="黑体" w:hAnsi="黑体" w:eastAsia="黑体" w:cs="黑体"/>
          <w:lang w:val="en-US" w:eastAsia="zh-CN"/>
        </w:rPr>
        <w:t>三</w:t>
      </w:r>
      <w:r>
        <w:rPr>
          <w:rFonts w:hint="eastAsia" w:ascii="黑体" w:hAnsi="黑体" w:eastAsia="黑体" w:cs="黑体"/>
        </w:rPr>
        <w:t>、中标供应商的确定</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rPr>
          <w:rFonts w:hint="eastAsia"/>
        </w:rPr>
        <w:t>1.</w:t>
      </w:r>
      <w:r>
        <w:t>推荐候选供应商名单：本项目不</w:t>
      </w:r>
      <w:r>
        <w:rPr>
          <w:rFonts w:hint="eastAsia"/>
          <w:lang w:eastAsia="zh-CN"/>
        </w:rPr>
        <w:t>少</w:t>
      </w:r>
      <w:r>
        <w:t>于三名成交候选人。将各有效</w:t>
      </w:r>
      <w:r>
        <w:rPr>
          <w:rFonts w:hint="eastAsia"/>
          <w:lang w:eastAsia="zh-CN"/>
        </w:rPr>
        <w:t>采购</w:t>
      </w:r>
      <w:r>
        <w:t>供应商按其评审总得分由高到低顺序排列。评标总得分相同的，按下列顺序比较确定：</w:t>
      </w:r>
    </w:p>
    <w:p>
      <w:pPr>
        <w:keepNext w:val="0"/>
        <w:keepLines w:val="0"/>
        <w:pageBreakBefore w:val="0"/>
        <w:widowControl w:val="0"/>
        <w:kinsoku/>
        <w:wordWrap/>
        <w:overflowPunct/>
        <w:topLinePunct w:val="0"/>
        <w:autoSpaceDE/>
        <w:autoSpaceDN/>
        <w:bidi w:val="0"/>
        <w:adjustRightInd/>
        <w:snapToGrid/>
        <w:ind w:firstLine="616" w:firstLineChars="200"/>
        <w:textAlignment w:val="auto"/>
        <w:rPr>
          <w:rFonts w:hint="eastAsia" w:eastAsia="方正仿宋_GBK"/>
          <w:lang w:eastAsia="zh-CN"/>
        </w:rPr>
      </w:pPr>
      <w:r>
        <w:t>（1）最终报价（由低到高）</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t>（2）</w:t>
      </w:r>
      <w:r>
        <w:rPr>
          <w:rFonts w:hint="eastAsia"/>
          <w:lang w:eastAsia="zh-CN"/>
        </w:rPr>
        <w:t>保障服务</w:t>
      </w:r>
      <w:r>
        <w:t>评分（由高到低）。</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t>如以上都相同的，名次由评标委员会抽签确定。排名第一的投标供应商为第一候选人，排名第二的投标供应商为第二候选人，以此类推。</w:t>
      </w:r>
    </w:p>
    <w:p>
      <w:pPr>
        <w:keepNext w:val="0"/>
        <w:keepLines w:val="0"/>
        <w:pageBreakBefore w:val="0"/>
        <w:widowControl w:val="0"/>
        <w:kinsoku/>
        <w:wordWrap/>
        <w:overflowPunct/>
        <w:topLinePunct w:val="0"/>
        <w:autoSpaceDE/>
        <w:autoSpaceDN/>
        <w:bidi w:val="0"/>
        <w:adjustRightInd/>
        <w:snapToGrid/>
        <w:ind w:firstLine="616" w:firstLineChars="200"/>
        <w:textAlignment w:val="auto"/>
      </w:pPr>
      <w:r>
        <w:rPr>
          <w:rFonts w:hint="eastAsia"/>
        </w:rPr>
        <w:t>2.</w:t>
      </w:r>
      <w:r>
        <w:t>根据</w:t>
      </w:r>
      <w:r>
        <w:rPr>
          <w:rFonts w:hint="eastAsia"/>
          <w:lang w:eastAsia="zh-CN"/>
        </w:rPr>
        <w:t>评审</w:t>
      </w:r>
      <w:r>
        <w:t>小组的评标结果，采购人依法确定供应商。</w:t>
      </w:r>
    </w:p>
    <w:p>
      <w:pPr>
        <w:pStyle w:val="2"/>
        <w:keepNext w:val="0"/>
        <w:keepLines w:val="0"/>
        <w:pageBreakBefore w:val="0"/>
        <w:widowControl w:val="0"/>
        <w:kinsoku/>
        <w:wordWrap/>
        <w:overflowPunct/>
        <w:topLinePunct w:val="0"/>
        <w:autoSpaceDE/>
        <w:autoSpaceDN/>
        <w:bidi w:val="0"/>
        <w:adjustRightInd/>
        <w:snapToGrid/>
        <w:ind w:left="0" w:leftChars="0" w:firstLine="856" w:firstLineChars="200"/>
        <w:textAlignment w:val="auto"/>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pStyle w:val="2"/>
        <w:ind w:left="0" w:leftChars="0" w:firstLine="0" w:firstLineChars="0"/>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_GBK" w:hAnsi="方正小标宋_GBK" w:eastAsia="方正仿宋_GBK" w:cs="方正小标宋_GBK"/>
          <w:spacing w:val="-23"/>
          <w:sz w:val="44"/>
          <w:szCs w:val="44"/>
          <w:lang w:eastAsia="zh-CN"/>
        </w:rPr>
      </w:pPr>
    </w:p>
    <w:sectPr>
      <w:headerReference r:id="rId5" w:type="default"/>
      <w:footerReference r:id="rId6" w:type="default"/>
      <w:pgSz w:w="11906" w:h="16838"/>
      <w:pgMar w:top="2041" w:right="1502" w:bottom="1644" w:left="1502" w:header="851" w:footer="992" w:gutter="0"/>
      <w:pgNumType w:fmt="decimal" w:start="2"/>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F900E2E-8F05-412A-AE83-5E9B50BF09D7}"/>
  </w:font>
  <w:font w:name="黑体">
    <w:panose1 w:val="02010609060101010101"/>
    <w:charset w:val="86"/>
    <w:family w:val="auto"/>
    <w:pitch w:val="default"/>
    <w:sig w:usb0="800002BF" w:usb1="38CF7CFA" w:usb2="00000016" w:usb3="00000000" w:csb0="00040001" w:csb1="00000000"/>
    <w:embedRegular r:id="rId2" w:fontKey="{CCDA6031-F18E-4B6F-A10D-BDD817F688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2E565DF-138C-4E27-A0A1-25BBB4E7031B}"/>
  </w:font>
  <w:font w:name="仿宋">
    <w:panose1 w:val="02010609060101010101"/>
    <w:charset w:val="86"/>
    <w:family w:val="modern"/>
    <w:pitch w:val="default"/>
    <w:sig w:usb0="800002BF" w:usb1="38CF7CFA" w:usb2="00000016" w:usb3="00000000" w:csb0="00040001" w:csb1="00000000"/>
    <w:embedRegular r:id="rId4" w:fontKey="{20B3A796-C607-4692-B15B-2B15EC27B294}"/>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auto"/>
    <w:pitch w:val="default"/>
    <w:sig w:usb0="A00002BF" w:usb1="38CF7CFA" w:usb2="00082016" w:usb3="00000000" w:csb0="00040001" w:csb1="00000000"/>
    <w:embedRegular r:id="rId5" w:fontKey="{3D7EBE65-FD12-4AEB-B88F-9D54C25A4160}"/>
  </w:font>
  <w:font w:name="方正黑体_GBK">
    <w:altName w:val="微软雅黑"/>
    <w:panose1 w:val="03000509000000000000"/>
    <w:charset w:val="86"/>
    <w:family w:val="auto"/>
    <w:pitch w:val="default"/>
    <w:sig w:usb0="00000000" w:usb1="00000000" w:usb2="00000000" w:usb3="00000000" w:csb0="00040000" w:csb1="00000000"/>
    <w:embedRegular r:id="rId6" w:fontKey="{922BFB21-5FC3-4FEC-AE70-3566A1C8DA17}"/>
  </w:font>
  <w:font w:name="方正仿宋_GB2312">
    <w:panose1 w:val="02000000000000000000"/>
    <w:charset w:val="86"/>
    <w:family w:val="auto"/>
    <w:pitch w:val="default"/>
    <w:sig w:usb0="A00002BF" w:usb1="184F6CFA" w:usb2="00000012" w:usb3="00000000" w:csb0="00040001" w:csb1="00000000"/>
    <w:embedRegular r:id="rId7" w:fontKey="{696839E7-BF42-4A5A-B98B-382C593EE45C}"/>
  </w:font>
  <w:font w:name="方正小标宋简体">
    <w:panose1 w:val="02000000000000000000"/>
    <w:charset w:val="86"/>
    <w:family w:val="auto"/>
    <w:pitch w:val="default"/>
    <w:sig w:usb0="00000001" w:usb1="08000000" w:usb2="00000000" w:usb3="00000000" w:csb0="00040000" w:csb1="00000000"/>
    <w:embedRegular r:id="rId8" w:fontKey="{A76042C7-FF5D-4B78-B73F-9C31791101AA}"/>
  </w:font>
  <w:font w:name="方正小标宋_GBK">
    <w:panose1 w:val="02000000000000000000"/>
    <w:charset w:val="86"/>
    <w:family w:val="script"/>
    <w:pitch w:val="default"/>
    <w:sig w:usb0="A00002BF" w:usb1="38CF7CFA" w:usb2="00082016" w:usb3="00000000" w:csb0="00040001" w:csb1="00000000"/>
    <w:embedRegular r:id="rId9" w:fontKey="{A8B4BC20-C8F3-4960-9143-18F27F2D2ABA}"/>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FB5516"/>
    <w:multiLevelType w:val="singleLevel"/>
    <w:tmpl w:val="A6FB551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MTBjMzg3M2Q1Zjc4ODkwNDE1NGI2NGZhMTFjZTkifQ=="/>
  </w:docVars>
  <w:rsids>
    <w:rsidRoot w:val="53BA2F32"/>
    <w:rsid w:val="012D4544"/>
    <w:rsid w:val="01496BDB"/>
    <w:rsid w:val="03563900"/>
    <w:rsid w:val="09FB6F4B"/>
    <w:rsid w:val="132554EB"/>
    <w:rsid w:val="266C1CE0"/>
    <w:rsid w:val="287770B8"/>
    <w:rsid w:val="3233352C"/>
    <w:rsid w:val="3A5A5581"/>
    <w:rsid w:val="3C033CD5"/>
    <w:rsid w:val="3C5462DE"/>
    <w:rsid w:val="3C645A94"/>
    <w:rsid w:val="402E427C"/>
    <w:rsid w:val="42BD267A"/>
    <w:rsid w:val="46E53A7C"/>
    <w:rsid w:val="4A097389"/>
    <w:rsid w:val="4E7A2955"/>
    <w:rsid w:val="53BA2F32"/>
    <w:rsid w:val="59261BDA"/>
    <w:rsid w:val="5BF02BDC"/>
    <w:rsid w:val="62504A96"/>
    <w:rsid w:val="62952EDF"/>
    <w:rsid w:val="664E1339"/>
    <w:rsid w:val="670809A7"/>
    <w:rsid w:val="67922251"/>
    <w:rsid w:val="69527618"/>
    <w:rsid w:val="704A2F79"/>
    <w:rsid w:val="7B0C5C98"/>
    <w:rsid w:val="7FEB0EBA"/>
    <w:rsid w:val="7FEF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方正仿宋_GBK" w:cs="Times New Roman"/>
      <w:spacing w:val="-6"/>
      <w:kern w:val="2"/>
      <w:sz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Normal Indent"/>
    <w:basedOn w:val="1"/>
    <w:qFormat/>
    <w:uiPriority w:val="0"/>
    <w:pPr>
      <w:ind w:firstLine="420" w:firstLineChars="200"/>
    </w:pPr>
  </w:style>
  <w:style w:type="paragraph" w:styleId="5">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rFonts w:ascii="Times New Roman" w:hAnsi="Times New Roman"/>
      <w:sz w:val="24"/>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customStyle="1" w:styleId="13">
    <w:name w:val="font41"/>
    <w:basedOn w:val="11"/>
    <w:qFormat/>
    <w:uiPriority w:val="0"/>
    <w:rPr>
      <w:rFonts w:hint="eastAsia" w:ascii="仿宋" w:hAnsi="仿宋" w:eastAsia="仿宋" w:cs="仿宋"/>
      <w:color w:val="000000"/>
      <w:sz w:val="24"/>
      <w:szCs w:val="24"/>
      <w:u w:val="none"/>
    </w:rPr>
  </w:style>
  <w:style w:type="character" w:customStyle="1" w:styleId="14">
    <w:name w:val="font21"/>
    <w:basedOn w:val="11"/>
    <w:qFormat/>
    <w:uiPriority w:val="0"/>
    <w:rPr>
      <w:rFonts w:ascii="Arial" w:hAnsi="Arial" w:cs="Arial"/>
      <w:color w:val="000000"/>
      <w:sz w:val="24"/>
      <w:szCs w:val="24"/>
      <w:u w:val="single"/>
    </w:rPr>
  </w:style>
  <w:style w:type="character" w:customStyle="1" w:styleId="15">
    <w:name w:val="font11"/>
    <w:basedOn w:val="11"/>
    <w:qFormat/>
    <w:uiPriority w:val="0"/>
    <w:rPr>
      <w:rFonts w:hint="eastAsia" w:ascii="仿宋" w:hAnsi="仿宋" w:eastAsia="仿宋" w:cs="仿宋"/>
      <w:color w:val="000000"/>
      <w:sz w:val="24"/>
      <w:szCs w:val="24"/>
      <w:u w:val="single"/>
    </w:rPr>
  </w:style>
  <w:style w:type="paragraph" w:customStyle="1" w:styleId="16">
    <w:name w:val="Header or footer|1"/>
    <w:basedOn w:val="1"/>
    <w:qFormat/>
    <w:uiPriority w:val="0"/>
    <w:pPr>
      <w:widowControl w:val="0"/>
      <w:shd w:val="clear" w:color="auto" w:fill="auto"/>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4</Pages>
  <Words>1162</Words>
  <Characters>1192</Characters>
  <Lines>0</Lines>
  <Paragraphs>0</Paragraphs>
  <TotalTime>2</TotalTime>
  <ScaleCrop>false</ScaleCrop>
  <LinksUpToDate>false</LinksUpToDate>
  <CharactersWithSpaces>1194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2022-02-17T01:54:00Z</dcterms:created>
  <dc:creator>县政数局</dc:creator>
  <cp:lastModifiedBy>齐齐爸爸</cp:lastModifiedBy>
  <cp:lastPrinted>2022-02-17T01:54:00Z</cp:lastPrinted>
  <dcterms:modified xsi:type="dcterms:W3CDTF">2023-05-24T03:42:59Z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4520D5E79DE1402DB86803D29C90F1B5_13</vt:lpwstr>
  </property>
</Properties>
</file>