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lang w:val="en-US" w:eastAsia="zh-CN"/>
        </w:rPr>
      </w:pPr>
      <w:r>
        <w:rPr>
          <w:rFonts w:hint="eastAsia"/>
          <w:lang w:val="en-US" w:eastAsia="zh-CN"/>
        </w:rPr>
        <w:t>附件：</w:t>
      </w:r>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博罗县政府门户网站运维服务项目采购</w:t>
      </w:r>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需求书</w:t>
      </w:r>
    </w:p>
    <w:p>
      <w:pPr>
        <w:pStyle w:val="2"/>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一、项目名称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博罗县政府门户网站运维服务项目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二、采购方式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局内自主采购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三、供应商资格要求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1.供应商应具备《政府采购法》第二十二条规定的条件。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2.具有独立承担民事责任的在中华人民共和国境内注册的法人。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3.供应商的经营范围必须满足本次项目范围以及供货和售后维护保障能力。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4.参加本项目前3年内在经营活动中没有重大违法记录。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lang w:val="en-US" w:eastAsia="zh-CN"/>
        </w:rPr>
        <w:t>5.本项目不接受联合体投标，不允许投标人对本项目货物及其相关服务进行分包和转包。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lang w:val="en-US" w:eastAsia="zh-CN"/>
        </w:rPr>
        <w:t>6.法律、法规规定的其他条件。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四、采购项目需求清单</w:t>
      </w:r>
    </w:p>
    <w:p>
      <w:pPr>
        <w:pStyle w:val="2"/>
        <w:rPr>
          <w:rFonts w:hint="eastAsia" w:ascii="方正黑体_GBK" w:hAnsi="方正黑体_GBK" w:eastAsia="方正黑体_GBK" w:cs="方正黑体_GBK"/>
        </w:rPr>
      </w:pPr>
    </w:p>
    <w:p>
      <w:pPr>
        <w:rPr>
          <w:rFonts w:hint="eastAsia"/>
        </w:rPr>
      </w:pPr>
    </w:p>
    <w:tbl>
      <w:tblPr>
        <w:tblStyle w:val="9"/>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2513"/>
        <w:gridCol w:w="1724"/>
        <w:gridCol w:w="1300"/>
        <w:gridCol w:w="1409"/>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542" w:type="dxa"/>
            <w:vAlign w:val="center"/>
          </w:tcPr>
          <w:p>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序号</w:t>
            </w:r>
          </w:p>
        </w:tc>
        <w:tc>
          <w:tcPr>
            <w:tcW w:w="2513" w:type="dxa"/>
            <w:vAlign w:val="center"/>
          </w:tcPr>
          <w:p>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采购内容</w:t>
            </w:r>
          </w:p>
        </w:tc>
        <w:tc>
          <w:tcPr>
            <w:tcW w:w="1724" w:type="dxa"/>
            <w:vAlign w:val="center"/>
          </w:tcPr>
          <w:p>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服务范围</w:t>
            </w:r>
          </w:p>
        </w:tc>
        <w:tc>
          <w:tcPr>
            <w:tcW w:w="1300" w:type="dxa"/>
            <w:vAlign w:val="center"/>
          </w:tcPr>
          <w:p>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单位</w:t>
            </w:r>
          </w:p>
        </w:tc>
        <w:tc>
          <w:tcPr>
            <w:tcW w:w="1409" w:type="dxa"/>
            <w:vAlign w:val="center"/>
          </w:tcPr>
          <w:p>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预算金额(万元)</w:t>
            </w:r>
          </w:p>
        </w:tc>
        <w:tc>
          <w:tcPr>
            <w:tcW w:w="2146" w:type="dxa"/>
            <w:vAlign w:val="center"/>
          </w:tcPr>
          <w:p>
            <w:pPr>
              <w:adjustRightInd w:val="0"/>
              <w:spacing w:line="520" w:lineRule="exact"/>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jc w:val="center"/>
        </w:trPr>
        <w:tc>
          <w:tcPr>
            <w:tcW w:w="542" w:type="dxa"/>
            <w:vAlign w:val="center"/>
          </w:tcPr>
          <w:p>
            <w:pPr>
              <w:adjustRightInd w:val="0"/>
              <w:spacing w:line="520" w:lineRule="exact"/>
              <w:jc w:val="center"/>
              <w:rPr>
                <w:rFonts w:ascii="仿宋" w:hAnsi="仿宋" w:eastAsia="仿宋" w:cs="仿宋"/>
                <w:sz w:val="28"/>
                <w:szCs w:val="28"/>
              </w:rPr>
            </w:pPr>
            <w:r>
              <w:rPr>
                <w:rFonts w:hint="default" w:ascii="Times New Roman" w:hAnsi="Times New Roman" w:eastAsia="仿宋" w:cs="Times New Roman"/>
                <w:sz w:val="28"/>
                <w:szCs w:val="28"/>
              </w:rPr>
              <w:t>1</w:t>
            </w:r>
          </w:p>
        </w:tc>
        <w:tc>
          <w:tcPr>
            <w:tcW w:w="2513" w:type="dxa"/>
            <w:vAlign w:val="center"/>
          </w:tcPr>
          <w:p>
            <w:pPr>
              <w:adjustRightInd w:val="0"/>
              <w:spacing w:line="52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博罗县政府门户网站运维服务项目</w:t>
            </w:r>
          </w:p>
        </w:tc>
        <w:tc>
          <w:tcPr>
            <w:tcW w:w="1724" w:type="dxa"/>
            <w:vAlign w:val="center"/>
          </w:tcPr>
          <w:p>
            <w:pPr>
              <w:adjustRightInd w:val="0"/>
              <w:spacing w:line="52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博罗县政府门户网站运维服务</w:t>
            </w:r>
          </w:p>
        </w:tc>
        <w:tc>
          <w:tcPr>
            <w:tcW w:w="1300" w:type="dxa"/>
            <w:vAlign w:val="center"/>
          </w:tcPr>
          <w:p>
            <w:pPr>
              <w:adjustRightInd w:val="0"/>
              <w:spacing w:line="52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项</w:t>
            </w:r>
          </w:p>
        </w:tc>
        <w:tc>
          <w:tcPr>
            <w:tcW w:w="1409" w:type="dxa"/>
            <w:vAlign w:val="center"/>
          </w:tcPr>
          <w:p>
            <w:pPr>
              <w:adjustRightInd w:val="0"/>
              <w:spacing w:line="520" w:lineRule="exact"/>
              <w:jc w:val="center"/>
              <w:rPr>
                <w:rFonts w:ascii="仿宋" w:hAnsi="仿宋" w:eastAsia="仿宋" w:cs="仿宋"/>
                <w:sz w:val="28"/>
                <w:szCs w:val="28"/>
              </w:rPr>
            </w:pPr>
            <w:r>
              <w:rPr>
                <w:rFonts w:hint="default" w:ascii="Times New Roman" w:hAnsi="Times New Roman" w:eastAsia="仿宋" w:cs="Times New Roman"/>
                <w:sz w:val="28"/>
                <w:szCs w:val="28"/>
              </w:rPr>
              <w:t>22</w:t>
            </w:r>
          </w:p>
        </w:tc>
        <w:tc>
          <w:tcPr>
            <w:tcW w:w="2146" w:type="dxa"/>
            <w:vAlign w:val="center"/>
          </w:tcPr>
          <w:p>
            <w:pPr>
              <w:adjustRightInd w:val="0"/>
              <w:spacing w:line="520" w:lineRule="exact"/>
              <w:jc w:val="center"/>
              <w:rPr>
                <w:rFonts w:ascii="仿宋" w:hAnsi="仿宋" w:eastAsia="仿宋" w:cs="仿宋"/>
                <w:sz w:val="28"/>
                <w:szCs w:val="28"/>
              </w:rPr>
            </w:pPr>
            <w:r>
              <w:rPr>
                <w:rFonts w:hint="eastAsia" w:ascii="方正仿宋_GBK" w:hAnsi="方正仿宋_GBK" w:eastAsia="方正仿宋_GBK" w:cs="方正仿宋_GBK"/>
                <w:sz w:val="28"/>
                <w:szCs w:val="28"/>
              </w:rPr>
              <w:t>报价为一次性包干价（包括税金等所有费用）</w:t>
            </w:r>
          </w:p>
        </w:tc>
      </w:tr>
    </w:tbl>
    <w:p>
      <w:pPr>
        <w:spacing w:line="520" w:lineRule="exact"/>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五、采购项目内容和要求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bookmarkStart w:id="0" w:name="_Toc93582683"/>
      <w:r>
        <w:rPr>
          <w:rFonts w:hint="eastAsia"/>
        </w:rPr>
        <w:t>供应商需要根据采购人的需求，制定运维服务方案，其中包括以下内容：</w:t>
      </w:r>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方正楷体_GBK" w:hAnsi="方正楷体_GBK" w:eastAsia="方正楷体_GBK" w:cs="方正楷体_GBK"/>
        </w:rPr>
        <w:t>（一）日常系统维护要求</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1</w:t>
      </w:r>
      <w:r>
        <w:rPr>
          <w:rFonts w:hint="eastAsia" w:ascii="Times New Roman" w:hAnsi="Times New Roman"/>
          <w:b/>
          <w:bCs/>
          <w:lang w:val="en-US" w:eastAsia="zh-CN"/>
        </w:rPr>
        <w:t>.</w:t>
      </w:r>
      <w:r>
        <w:rPr>
          <w:rFonts w:hint="eastAsia" w:ascii="Times New Roman" w:hAnsi="Times New Roman"/>
          <w:b/>
          <w:bCs/>
        </w:rPr>
        <w:t>门户网站维护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需提供包括首页风格调整、图文修改制作及内容链接维护、网站栏目信息内容维护，并协助及时做好对门户网站特殊要求撤稿或批量撤稿。</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2</w:t>
      </w:r>
      <w:r>
        <w:rPr>
          <w:rFonts w:hint="eastAsia" w:ascii="Times New Roman" w:hAnsi="Times New Roman"/>
          <w:b/>
          <w:bCs/>
          <w:lang w:val="en-US" w:eastAsia="zh-CN"/>
        </w:rPr>
        <w:t>.</w:t>
      </w:r>
      <w:r>
        <w:rPr>
          <w:rFonts w:hint="eastAsia" w:ascii="Times New Roman" w:hAnsi="Times New Roman"/>
          <w:b/>
          <w:bCs/>
        </w:rPr>
        <w:t>网站应用功能维护</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需对门户网站前端应用功能组件(省平台统一应用功能除外）进行维护，及时发现和修改已有的功能组件问题，保证其能正常的运行。并及时增加或调整网站交互式功能组件（例：视频、政府热线、咨询投诉、网上调查、问卷、领导信箱等组件）；网页动态模块维护（例：图片新闻、查询、系统登录链接等功能的修改和维护）等；在线访谈图文直播等配合工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3</w:t>
      </w:r>
      <w:r>
        <w:rPr>
          <w:rFonts w:hint="eastAsia" w:ascii="Times New Roman" w:hAnsi="Times New Roman"/>
          <w:b/>
          <w:bCs/>
          <w:lang w:val="en-US" w:eastAsia="zh-CN"/>
        </w:rPr>
        <w:t>.</w:t>
      </w:r>
      <w:r>
        <w:rPr>
          <w:rFonts w:hint="eastAsia" w:ascii="Times New Roman" w:hAnsi="Times New Roman"/>
          <w:b/>
          <w:bCs/>
        </w:rPr>
        <w:t>部门频道、专题栏目维护</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根据部门频道、专题栏目的目录、页面模板、图片、多媒体、应用功能(省平台统一应用功能除外）等进行更新、修改维护。</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4</w:t>
      </w:r>
      <w:r>
        <w:rPr>
          <w:rFonts w:hint="eastAsia" w:ascii="Times New Roman" w:hAnsi="Times New Roman"/>
          <w:b/>
          <w:bCs/>
          <w:lang w:val="en-US" w:eastAsia="zh-CN"/>
        </w:rPr>
        <w:t>.</w:t>
      </w:r>
      <w:r>
        <w:rPr>
          <w:rFonts w:hint="eastAsia" w:ascii="Times New Roman" w:hAnsi="Times New Roman"/>
          <w:b/>
          <w:bCs/>
        </w:rPr>
        <w:t>信息公开目录维护</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（1）日常维护：包括电话咨询、日常运行状况监控；</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（2）信息公开目录调整、版面格式调整；</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w:t>
      </w:r>
      <w:r>
        <w:t>3</w:t>
      </w:r>
      <w:r>
        <w:rPr>
          <w:rFonts w:hint="eastAsia"/>
        </w:rPr>
        <w:t>）信息维护：对目录信息局部图片、文字、链接等相应的修改等维护工作；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w:t>
      </w:r>
      <w:r>
        <w:t>4</w:t>
      </w:r>
      <w:r>
        <w:rPr>
          <w:rFonts w:hint="eastAsia"/>
        </w:rPr>
        <w:t>）协助处理突发性的灾难修复等。</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b/>
          <w:bCs/>
        </w:rPr>
      </w:pPr>
      <w:r>
        <w:rPr>
          <w:b/>
          <w:bCs/>
        </w:rPr>
        <w:t>5</w:t>
      </w:r>
      <w:r>
        <w:rPr>
          <w:rFonts w:hint="eastAsia"/>
          <w:b/>
          <w:bCs/>
          <w:lang w:val="en-US" w:eastAsia="zh-CN"/>
        </w:rPr>
        <w:t>.</w:t>
      </w:r>
      <w:r>
        <w:rPr>
          <w:rFonts w:hint="eastAsia"/>
          <w:b/>
          <w:bCs/>
        </w:rPr>
        <w:t>新增特色专题专栏</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需新增的特色专题专栏，服务期内预设不超过4个（每个特色专题专栏不超过5个栏目）</w:t>
      </w:r>
      <w:r>
        <w:rPr>
          <w:rFonts w:hint="eastAsia"/>
          <w:lang w:eastAsia="zh-CN"/>
        </w:rPr>
        <w:t>，</w:t>
      </w:r>
      <w:r>
        <w:rPr>
          <w:rFonts w:hint="eastAsia"/>
          <w:lang w:val="en-US" w:eastAsia="zh-CN"/>
        </w:rPr>
        <w:t>特殊时期按实际需求实施</w:t>
      </w:r>
      <w:r>
        <w:rPr>
          <w:rFonts w:hint="eastAsia"/>
        </w:rPr>
        <w:t>。</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6</w:t>
      </w:r>
      <w:r>
        <w:rPr>
          <w:rFonts w:hint="eastAsia" w:ascii="Times New Roman" w:hAnsi="Times New Roman"/>
          <w:b/>
          <w:bCs/>
          <w:lang w:val="en-US" w:eastAsia="zh-CN"/>
        </w:rPr>
        <w:t>.</w:t>
      </w:r>
      <w:r>
        <w:rPr>
          <w:rFonts w:hint="eastAsia" w:ascii="Times New Roman" w:hAnsi="Times New Roman"/>
          <w:b/>
          <w:bCs/>
        </w:rPr>
        <w:t>规范性文件图解</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由政策发布部门提供规范性政策文件解读材料，需根据材料将解读内容制作成图文的形式进行解读。服务期内不</w:t>
      </w:r>
      <w:r>
        <w:rPr>
          <w:rFonts w:hint="eastAsia"/>
          <w:lang w:val="en-US" w:eastAsia="zh-CN"/>
        </w:rPr>
        <w:t>低于6</w:t>
      </w:r>
      <w:r>
        <w:rPr>
          <w:rFonts w:hint="eastAsia"/>
        </w:rPr>
        <w:t>个专题解读素材制作。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ascii="Times New Roman" w:hAnsi="Times New Roman"/>
          <w:b/>
          <w:bCs/>
        </w:rPr>
        <w:t>7</w:t>
      </w:r>
      <w:r>
        <w:rPr>
          <w:rFonts w:hint="eastAsia" w:ascii="Times New Roman" w:hAnsi="Times New Roman"/>
          <w:b/>
          <w:bCs/>
          <w:lang w:val="en-US" w:eastAsia="zh-CN"/>
        </w:rPr>
        <w:t>.</w:t>
      </w:r>
      <w:r>
        <w:rPr>
          <w:rFonts w:hint="eastAsia" w:ascii="Times New Roman" w:hAnsi="Times New Roman"/>
          <w:b/>
          <w:bCs/>
        </w:rPr>
        <w:t>网络问政</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需提供网络问政系统正常运行和技术维护工作。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8</w:t>
      </w:r>
      <w:r>
        <w:rPr>
          <w:rFonts w:hint="eastAsia" w:ascii="Times New Roman" w:hAnsi="Times New Roman"/>
          <w:b/>
          <w:bCs/>
          <w:lang w:val="en-US" w:eastAsia="zh-CN"/>
        </w:rPr>
        <w:t>.</w:t>
      </w:r>
      <w:r>
        <w:rPr>
          <w:rFonts w:hint="eastAsia" w:ascii="Times New Roman" w:hAnsi="Times New Roman"/>
          <w:b/>
          <w:bCs/>
        </w:rPr>
        <w:t>移动端维护服务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需对博罗县政府门户网站的移动端进行维护，确保网站电脑端与移动端内容同步更新，栏目、功能同步更新。</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Times New Roman" w:hAnsi="Times New Roman"/>
          <w:b/>
          <w:bCs/>
        </w:rPr>
      </w:pPr>
      <w:r>
        <w:rPr>
          <w:rFonts w:ascii="Times New Roman" w:hAnsi="Times New Roman"/>
          <w:b/>
          <w:bCs/>
        </w:rPr>
        <w:t>9</w:t>
      </w:r>
      <w:r>
        <w:rPr>
          <w:rFonts w:hint="eastAsia" w:ascii="Times New Roman" w:hAnsi="Times New Roman"/>
          <w:b/>
          <w:bCs/>
          <w:lang w:val="en-US" w:eastAsia="zh-CN"/>
        </w:rPr>
        <w:t>.</w:t>
      </w:r>
      <w:r>
        <w:rPr>
          <w:rFonts w:ascii="Times New Roman" w:hAnsi="Times New Roman"/>
          <w:b/>
          <w:bCs/>
        </w:rPr>
        <w:t>提供平台账号管理服务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t>为博罗县集约化平台开设权限提供</w:t>
      </w:r>
      <w:r>
        <w:rPr>
          <w:rFonts w:hint="eastAsia"/>
          <w:lang w:eastAsia="zh-CN"/>
        </w:rPr>
        <w:t>“</w:t>
      </w:r>
      <w:r>
        <w:t>一对一</w:t>
      </w:r>
      <w:r>
        <w:rPr>
          <w:rFonts w:hint="eastAsia"/>
          <w:lang w:eastAsia="zh-CN"/>
        </w:rPr>
        <w:t>”</w:t>
      </w:r>
      <w:r>
        <w:t>服务，包括用户登录帐号的添加、开通，权限配置修改等。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（二）增值服务要求</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b/>
          <w:bCs/>
        </w:rPr>
      </w:pPr>
      <w:r>
        <w:rPr>
          <w:rFonts w:hint="eastAsia"/>
          <w:b/>
          <w:bCs/>
        </w:rPr>
        <w:t>1</w:t>
      </w:r>
      <w:r>
        <w:rPr>
          <w:rFonts w:hint="eastAsia"/>
          <w:b/>
          <w:bCs/>
          <w:lang w:val="en-US" w:eastAsia="zh-CN"/>
        </w:rPr>
        <w:t>.</w:t>
      </w:r>
      <w:r>
        <w:rPr>
          <w:rFonts w:hint="eastAsia"/>
          <w:b/>
          <w:bCs/>
        </w:rPr>
        <w:t>定期服务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定期检查：每月派一名技术人员（维护人员中的1人）对系统进行运行状况检查，提供运行状况必要的汇报，提供预警信息。</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2</w:t>
      </w:r>
      <w:r>
        <w:rPr>
          <w:rFonts w:hint="eastAsia" w:ascii="Times New Roman" w:hAnsi="Times New Roman"/>
          <w:b/>
          <w:bCs/>
          <w:lang w:val="en-US" w:eastAsia="zh-CN"/>
        </w:rPr>
        <w:t>.</w:t>
      </w:r>
      <w:r>
        <w:rPr>
          <w:rFonts w:hint="eastAsia" w:ascii="Times New Roman" w:hAnsi="Times New Roman"/>
          <w:b/>
          <w:bCs/>
        </w:rPr>
        <w:t>问题跟踪服务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b/>
          <w:bCs/>
        </w:rPr>
      </w:pPr>
      <w:r>
        <w:rPr>
          <w:rFonts w:hint="eastAsia"/>
        </w:rPr>
        <w:t>根据维护的内容形成《问题跟踪表》，并制定解决方案，以合理解决跟踪表中出现的问题。问题解决完后，要形成具体文档。</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3</w:t>
      </w:r>
      <w:r>
        <w:rPr>
          <w:rFonts w:hint="eastAsia" w:ascii="Times New Roman" w:hAnsi="Times New Roman"/>
          <w:b/>
          <w:bCs/>
          <w:lang w:val="en-US" w:eastAsia="zh-CN"/>
        </w:rPr>
        <w:t>.</w:t>
      </w:r>
      <w:r>
        <w:rPr>
          <w:rFonts w:hint="eastAsia" w:ascii="Times New Roman" w:hAnsi="Times New Roman"/>
          <w:b/>
          <w:bCs/>
        </w:rPr>
        <w:t>监测整改服务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按照日常监测报告内容，对死链、错链、空白栏目等内容协助进行整改工作。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4</w:t>
      </w:r>
      <w:r>
        <w:rPr>
          <w:rFonts w:hint="eastAsia" w:ascii="Times New Roman" w:hAnsi="Times New Roman"/>
          <w:b/>
          <w:bCs/>
          <w:lang w:val="en-US" w:eastAsia="zh-CN"/>
        </w:rPr>
        <w:t>.</w:t>
      </w:r>
      <w:r>
        <w:rPr>
          <w:rFonts w:hint="eastAsia" w:ascii="Times New Roman" w:hAnsi="Times New Roman"/>
          <w:b/>
          <w:bCs/>
        </w:rPr>
        <w:t>提供考评解决方案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t>针对政府网站考评办法，为博罗县政府提供“一对一”咨询服务，提供问题解决方案并整改。</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5</w:t>
      </w:r>
      <w:r>
        <w:rPr>
          <w:rFonts w:hint="eastAsia" w:ascii="Times New Roman" w:hAnsi="Times New Roman"/>
          <w:b/>
          <w:bCs/>
          <w:lang w:val="en-US" w:eastAsia="zh-CN"/>
        </w:rPr>
        <w:t>.</w:t>
      </w:r>
      <w:r>
        <w:rPr>
          <w:rFonts w:hint="eastAsia" w:ascii="Times New Roman" w:hAnsi="Times New Roman"/>
          <w:b/>
          <w:bCs/>
        </w:rPr>
        <w:t>网站安全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提供网站漏洞修复，制定安全应急响应方案，协助做好网站安全演练等工作。</w:t>
      </w:r>
      <w:r>
        <w:rPr>
          <w:rFonts w:hint="default"/>
          <w:lang w:val="en-US" w:eastAsia="zh-CN"/>
        </w:rPr>
        <w:t>提供网站24小时值班监测服务，全年365天7*24小时不间断对采购方网站首页进行监测。发现问题及时响应网站各类突发情况。技术支撑团队需提供7×24小时电话咨询服务，对于日常运维需求，须15分钟内响应，2小时完成或给出解决方案；若出现一般故障，经采购方同意可通过远程服务完成相应要求；若出现重大故障，必须需到现场服务的，技术支持团队成员应于2小时赶到现场提供技术服务。</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Times New Roman" w:hAnsi="Times New Roman"/>
          <w:b/>
          <w:bCs/>
        </w:rPr>
      </w:pPr>
      <w:r>
        <w:rPr>
          <w:rFonts w:hint="eastAsia" w:ascii="Times New Roman" w:hAnsi="Times New Roman"/>
          <w:b/>
          <w:bCs/>
        </w:rPr>
        <w:t>6</w:t>
      </w:r>
      <w:r>
        <w:rPr>
          <w:rFonts w:hint="eastAsia" w:ascii="Times New Roman" w:hAnsi="Times New Roman"/>
          <w:b/>
          <w:bCs/>
          <w:lang w:val="en-US" w:eastAsia="zh-CN"/>
        </w:rPr>
        <w:t>.</w:t>
      </w:r>
      <w:r>
        <w:rPr>
          <w:rFonts w:hint="eastAsia" w:ascii="Times New Roman" w:hAnsi="Times New Roman"/>
          <w:b/>
          <w:bCs/>
        </w:rPr>
        <w:t>培训服务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t>为博罗县网站用户提供政府网站集约化平台使用方法和政府网站考评细则培训，每年不少于两次。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rPr>
        <w:t>（三）</w:t>
      </w:r>
      <w:r>
        <w:rPr>
          <w:rFonts w:hint="eastAsia" w:ascii="方正楷体_GBK" w:hAnsi="方正楷体_GBK" w:eastAsia="方正楷体_GBK" w:cs="方正楷体_GBK"/>
          <w:lang w:val="en-US" w:eastAsia="zh-CN"/>
        </w:rPr>
        <w:t>驻场</w:t>
      </w:r>
      <w:r>
        <w:rPr>
          <w:rFonts w:hint="eastAsia" w:ascii="方正楷体_GBK" w:hAnsi="方正楷体_GBK" w:eastAsia="方正楷体_GBK" w:cs="方正楷体_GBK"/>
        </w:rPr>
        <w:t>人员服务</w:t>
      </w:r>
      <w:r>
        <w:rPr>
          <w:rFonts w:hint="eastAsia" w:ascii="方正楷体_GBK" w:hAnsi="方正楷体_GBK" w:eastAsia="方正楷体_GBK" w:cs="方正楷体_GBK"/>
          <w:lang w:val="en-US" w:eastAsia="zh-CN"/>
        </w:rPr>
        <w:t>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需为本项目提供人员驻场服务，要求如下：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t>（1）提供</w:t>
      </w:r>
      <w:r>
        <w:rPr>
          <w:rFonts w:hint="eastAsia"/>
        </w:rPr>
        <w:t>1人1年的现场驻场服务；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t>（</w:t>
      </w:r>
      <w:r>
        <w:rPr>
          <w:rFonts w:hint="eastAsia"/>
        </w:rPr>
        <w:t>2）包含驻场人员的工资、奖金、5险1金、税费、管理费等相关的费用；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t>（</w:t>
      </w:r>
      <w:r>
        <w:rPr>
          <w:rFonts w:hint="eastAsia"/>
        </w:rPr>
        <w:t>3）按甲方规定的上下班时间进行考勤，现场支撑网站日常维护与汇报总结工作，及时响应网站维护任务；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t>（</w:t>
      </w:r>
      <w:r>
        <w:rPr>
          <w:rFonts w:hint="eastAsia"/>
        </w:rPr>
        <w:t>4）</w:t>
      </w:r>
      <w:r>
        <w:t>协助组织网站维护工作研讨、问题收集、应急演练等会议工作。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六、服务期限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服务期限：一年，具体履行时间以合同签订为准。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七、付款方式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合同签订之日起15个工作日支付合同总额45%；服务期满半年之日起15个工作日支付合同总额45%；服务期满后15</w:t>
      </w:r>
      <w:r>
        <w:rPr>
          <w:rFonts w:hint="eastAsia"/>
          <w:lang w:val="en-US" w:eastAsia="zh-CN"/>
        </w:rPr>
        <w:t>个</w:t>
      </w:r>
      <w:r>
        <w:rPr>
          <w:rFonts w:hint="eastAsia"/>
        </w:rPr>
        <w:t>工作日支付合同总额10%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八、报价要求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1.报价方式：总价报价（格式可参见本询价文件附件），不得超出最高限价。</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2.供应商必须承诺本次报价包括了与本项目相关的全部费用，不另向</w:t>
      </w:r>
      <w:r>
        <w:rPr>
          <w:rFonts w:hint="eastAsia"/>
          <w:lang w:val="en-US" w:eastAsia="zh-CN"/>
        </w:rPr>
        <w:t>博罗县政务服务数据管理</w:t>
      </w:r>
      <w:r>
        <w:rPr>
          <w:rFonts w:hint="eastAsia"/>
        </w:rPr>
        <w:t>局收费。响应报价包含合同期内的磋商文件要求所有服务范围。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3.响应报价低于采购预算85%以上的，供应商需提供详细的成本分析报告</w:t>
      </w:r>
      <w:r>
        <w:rPr>
          <w:rFonts w:hint="eastAsia"/>
          <w:lang w:eastAsia="zh-CN"/>
        </w:rPr>
        <w:t>（</w:t>
      </w:r>
      <w:r>
        <w:rPr>
          <w:rFonts w:hint="eastAsia"/>
        </w:rPr>
        <w:t>包含各项成本明细、项目实施成本、人工、税费、利润等的详细说明</w:t>
      </w:r>
      <w:r>
        <w:rPr>
          <w:rFonts w:hint="eastAsia"/>
          <w:lang w:eastAsia="zh-CN"/>
        </w:rPr>
        <w:t>）</w:t>
      </w:r>
      <w:r>
        <w:rPr>
          <w:rFonts w:hint="eastAsia"/>
        </w:rPr>
        <w:t>。如未提供成本分析报告或</w:t>
      </w:r>
      <w:r>
        <w:rPr>
          <w:rFonts w:hint="eastAsia"/>
          <w:lang w:val="en-US" w:eastAsia="zh-CN"/>
        </w:rPr>
        <w:t>博罗县政务服务数据管理</w:t>
      </w:r>
      <w:r>
        <w:rPr>
          <w:rFonts w:hint="eastAsia"/>
        </w:rPr>
        <w:t>局认为其成本分析报告不合理的，则按无效投标响应处理。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4.报价文件递交时间及地点：各潜在供应商统一在20</w:t>
      </w:r>
      <w:r>
        <w:rPr>
          <w:rFonts w:hint="eastAsia"/>
          <w:lang w:val="en-US" w:eastAsia="zh-CN"/>
        </w:rPr>
        <w:t>23</w:t>
      </w:r>
      <w:r>
        <w:rPr>
          <w:rFonts w:hint="eastAsia"/>
        </w:rPr>
        <w:t>年6月</w:t>
      </w:r>
      <w:r>
        <w:rPr>
          <w:rFonts w:hint="eastAsia"/>
          <w:lang w:val="en-US" w:eastAsia="zh-CN"/>
        </w:rPr>
        <w:t>13</w:t>
      </w:r>
      <w:r>
        <w:rPr>
          <w:rFonts w:hint="eastAsia"/>
        </w:rPr>
        <w:t>日下午</w:t>
      </w:r>
      <w:r>
        <w:t>1</w:t>
      </w:r>
      <w:r>
        <w:rPr>
          <w:rFonts w:hint="eastAsia"/>
        </w:rPr>
        <w:t>7:30前提交报价文件至博罗县罗阳街道商业西街155号1号楼博罗县政务服务数据管理局办公室。项目方案必须在截止时间前送达，逾期送达不予接受。</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5.报价文件要求：报价文件包括报价单、营业执照副本复印件、法人或负责人身份证复印件、服务方案及满足服务要求的相关证明材料，所有文件均需盖章，盖章后一并密封装袋，并在封口处加盖公章，否则视为无效投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九、其他说明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w:t>
      </w:r>
      <w:r>
        <w:rPr>
          <w:rFonts w:hint="eastAsia"/>
          <w:lang w:val="en-US" w:eastAsia="zh-CN"/>
        </w:rPr>
        <w:t>.</w:t>
      </w:r>
      <w:r>
        <w:rPr>
          <w:rFonts w:hint="eastAsia"/>
        </w:rPr>
        <w:t>我局将结合供应商报价、服务方案、类似项目实施经验、服务人员专业能力等进行综合评审，选择最优者为项目的中选供应商。</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w:t>
      </w:r>
      <w:r>
        <w:rPr>
          <w:rFonts w:hint="eastAsia"/>
          <w:lang w:val="en-US" w:eastAsia="zh-CN"/>
        </w:rPr>
        <w:t>.</w:t>
      </w:r>
      <w:r>
        <w:rPr>
          <w:rFonts w:hint="eastAsia"/>
        </w:rPr>
        <w:t>无论报价结果如何，报价人都自行承担与报价有关的所有费用。</w:t>
      </w:r>
    </w:p>
    <w:p>
      <w:pPr>
        <w:widowControl/>
        <w:jc w:val="left"/>
        <w:rPr>
          <w:rFonts w:ascii="仿宋" w:hAnsi="仿宋" w:eastAsia="仿宋"/>
          <w:sz w:val="32"/>
          <w:szCs w:val="32"/>
        </w:rPr>
      </w:pPr>
      <w:r>
        <w:rPr>
          <w:rFonts w:ascii="仿宋" w:hAnsi="仿宋" w:eastAsia="仿宋"/>
          <w:sz w:val="32"/>
          <w:szCs w:val="32"/>
        </w:rPr>
        <w:br w:type="page"/>
      </w:r>
    </w:p>
    <w:p>
      <w:pPr>
        <w:pStyle w:val="15"/>
        <w:spacing w:line="600" w:lineRule="exact"/>
        <w:ind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2"/>
          <w:sz w:val="44"/>
          <w:szCs w:val="44"/>
        </w:rPr>
        <w:t>博罗县政府门户网站运维服务项目</w:t>
      </w:r>
      <w:r>
        <w:rPr>
          <w:rFonts w:hint="eastAsia" w:ascii="方正小标宋简体" w:hAnsi="方正小标宋简体" w:eastAsia="方正小标宋简体" w:cs="方正小标宋简体"/>
          <w:sz w:val="44"/>
          <w:szCs w:val="44"/>
        </w:rPr>
        <w:t>报价表</w:t>
      </w:r>
    </w:p>
    <w:p>
      <w:pPr>
        <w:pStyle w:val="15"/>
        <w:spacing w:line="600" w:lineRule="exact"/>
        <w:ind w:firstLine="0" w:firstLineChars="0"/>
        <w:jc w:val="center"/>
        <w:rPr>
          <w:rFonts w:hint="eastAsia" w:ascii="方正小标宋简体" w:hAnsi="方正小标宋简体" w:eastAsia="方正小标宋简体" w:cs="方正小标宋简体"/>
          <w:sz w:val="44"/>
          <w:szCs w:val="44"/>
        </w:rPr>
      </w:pPr>
    </w:p>
    <w:p>
      <w:pPr>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博罗县政务服务数据管理</w:t>
      </w:r>
      <w:r>
        <w:rPr>
          <w:rFonts w:hint="eastAsia" w:ascii="方正仿宋_GBK" w:hAnsi="方正仿宋_GBK" w:eastAsia="方正仿宋_GBK" w:cs="方正仿宋_GBK"/>
          <w:sz w:val="32"/>
          <w:szCs w:val="32"/>
        </w:rPr>
        <w:t>局：</w:t>
      </w:r>
    </w:p>
    <w:p>
      <w:pPr>
        <w:pStyle w:val="15"/>
        <w:spacing w:line="600" w:lineRule="exact"/>
        <w:ind w:firstLine="56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《博罗县政府门户网站运维服务项目采购询价函》我单位已知悉，经研究，报价如下：</w:t>
      </w:r>
    </w:p>
    <w:tbl>
      <w:tblPr>
        <w:tblStyle w:val="9"/>
        <w:tblW w:w="87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916"/>
        <w:gridCol w:w="1361"/>
        <w:gridCol w:w="1555"/>
        <w:gridCol w:w="29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4277"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b/>
                <w:bCs/>
                <w:sz w:val="24"/>
              </w:rPr>
            </w:pPr>
            <w:r>
              <w:rPr>
                <w:rStyle w:val="17"/>
                <w:rFonts w:hint="eastAsia" w:ascii="方正仿宋_GBK" w:hAnsi="方正仿宋_GBK" w:eastAsia="方正仿宋_GBK" w:cs="方正仿宋_GBK"/>
                <w:b/>
                <w:bCs/>
                <w:sz w:val="24"/>
              </w:rPr>
              <w:t>项目名称</w:t>
            </w:r>
          </w:p>
        </w:tc>
        <w:tc>
          <w:tcPr>
            <w:tcW w:w="4473"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b/>
                <w:bCs/>
                <w:sz w:val="24"/>
              </w:rPr>
            </w:pPr>
            <w:r>
              <w:rPr>
                <w:rStyle w:val="17"/>
                <w:rFonts w:hint="eastAsia" w:ascii="方正仿宋_GBK" w:hAnsi="方正仿宋_GBK" w:eastAsia="方正仿宋_GBK" w:cs="方正仿宋_GBK"/>
                <w:b/>
                <w:bCs/>
                <w:sz w:val="24"/>
              </w:rPr>
              <w:t>报价（元）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0" w:hRule="atLeast"/>
          <w:jc w:val="center"/>
        </w:trPr>
        <w:tc>
          <w:tcPr>
            <w:tcW w:w="4277" w:type="dxa"/>
            <w:gridSpan w:val="2"/>
            <w:tcBorders>
              <w:top w:val="single" w:color="000000" w:sz="4" w:space="0"/>
              <w:left w:val="single" w:color="000000" w:sz="4" w:space="0"/>
              <w:bottom w:val="single" w:color="000000" w:sz="4" w:space="0"/>
              <w:right w:val="single" w:color="000000" w:sz="4" w:space="0"/>
            </w:tcBorders>
            <w:vAlign w:val="center"/>
          </w:tcPr>
          <w:p>
            <w:pPr>
              <w:pStyle w:val="15"/>
              <w:spacing w:line="600" w:lineRule="exact"/>
              <w:ind w:firstLine="0" w:firstLineChars="0"/>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博罗县政府门户网站运维服务项目</w:t>
            </w:r>
          </w:p>
          <w:p>
            <w:pPr>
              <w:spacing w:line="360" w:lineRule="auto"/>
              <w:jc w:val="center"/>
              <w:rPr>
                <w:rStyle w:val="17"/>
                <w:rFonts w:hint="eastAsia" w:ascii="方正仿宋_GBK" w:hAnsi="方正仿宋_GBK" w:eastAsia="方正仿宋_GBK" w:cs="方正仿宋_GBK"/>
                <w:sz w:val="24"/>
              </w:rPr>
            </w:pPr>
          </w:p>
        </w:tc>
        <w:tc>
          <w:tcPr>
            <w:tcW w:w="4473"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left"/>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小写：</w:t>
            </w:r>
          </w:p>
          <w:p>
            <w:pPr>
              <w:spacing w:line="360" w:lineRule="auto"/>
              <w:ind w:firstLine="480" w:firstLineChars="200"/>
              <w:jc w:val="left"/>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（大写：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8750"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r>
              <w:rPr>
                <w:rStyle w:val="17"/>
                <w:rFonts w:hint="eastAsia" w:ascii="方正仿宋_GBK" w:hAnsi="方正仿宋_GBK" w:eastAsia="方正仿宋_GBK" w:cs="方正仿宋_GBK"/>
                <w:sz w:val="24"/>
              </w:rPr>
              <w:t>服务承诺内容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default" w:ascii="Times New Roman" w:hAnsi="Times New Roman" w:eastAsia="仿宋" w:cs="Times New Roman"/>
                <w:sz w:val="24"/>
              </w:rPr>
            </w:pPr>
            <w:r>
              <w:rPr>
                <w:rStyle w:val="17"/>
                <w:rFonts w:hint="default" w:ascii="Times New Roman" w:hAnsi="Times New Roman" w:eastAsia="仿宋" w:cs="Times New Roman"/>
                <w:sz w:val="24"/>
              </w:rPr>
              <w:t>1</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日常系统维护</w:t>
            </w: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default" w:ascii="Times New Roman" w:hAnsi="Times New Roman" w:eastAsia="仿宋" w:cs="Times New Roman"/>
                <w:sz w:val="24"/>
              </w:rPr>
            </w:pPr>
            <w:r>
              <w:rPr>
                <w:rStyle w:val="17"/>
                <w:rFonts w:hint="default" w:ascii="Times New Roman" w:hAnsi="Times New Roman" w:eastAsia="仿宋" w:cs="Times New Roman"/>
                <w:sz w:val="24"/>
              </w:rPr>
              <w:t>2</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增值服务</w:t>
            </w: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default" w:ascii="Times New Roman" w:hAnsi="Times New Roman" w:eastAsia="仿宋" w:cs="Times New Roman"/>
                <w:sz w:val="24"/>
              </w:rPr>
            </w:pPr>
            <w:r>
              <w:rPr>
                <w:rStyle w:val="17"/>
                <w:rFonts w:hint="default" w:ascii="Times New Roman" w:hAnsi="Times New Roman" w:eastAsia="仿宋" w:cs="Times New Roman"/>
                <w:sz w:val="24"/>
              </w:rPr>
              <w:t>3</w:t>
            </w: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人员驻场</w:t>
            </w: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default" w:ascii="Times New Roman" w:hAnsi="Times New Roman" w:eastAsia="仿宋" w:cs="Times New Roman"/>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r>
              <w:rPr>
                <w:rStyle w:val="17"/>
                <w:rFonts w:hint="eastAsia" w:ascii="方正仿宋_GBK" w:hAnsi="方正仿宋_GBK" w:eastAsia="方正仿宋_GBK" w:cs="方正仿宋_GBK"/>
                <w:sz w:val="24"/>
              </w:rPr>
              <w:t>以下可根据投标方案自行增加服务承诺</w:t>
            </w: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hint="eastAsia" w:ascii="方正仿宋_GBK" w:hAnsi="方正仿宋_GBK" w:eastAsia="方正仿宋_GBK" w:cs="方正仿宋_GBK"/>
                <w:sz w:val="24"/>
              </w:rPr>
            </w:pPr>
          </w:p>
        </w:tc>
      </w:tr>
    </w:tbl>
    <w:p>
      <w:pPr>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报价说明：以上报价为含税综合报价。</w:t>
      </w:r>
    </w:p>
    <w:p>
      <w:pPr>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报价单位联系人及联系方式：</w:t>
      </w:r>
    </w:p>
    <w:p>
      <w:pPr>
        <w:jc w:val="left"/>
        <w:rPr>
          <w:rFonts w:ascii="仿宋" w:hAnsi="仿宋" w:eastAsia="仿宋"/>
          <w:sz w:val="28"/>
          <w:szCs w:val="28"/>
        </w:rPr>
      </w:pPr>
    </w:p>
    <w:p>
      <w:pPr>
        <w:ind w:firstLine="4760" w:firstLineChars="17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报价单位（盖章）：</w:t>
      </w:r>
    </w:p>
    <w:p>
      <w:pPr>
        <w:ind w:firstLine="4760" w:firstLineChars="1700"/>
        <w:jc w:val="left"/>
        <w:rPr>
          <w:rFonts w:ascii="仿宋" w:hAnsi="仿宋" w:eastAsia="仿宋"/>
          <w:b/>
          <w:bCs/>
          <w:sz w:val="28"/>
          <w:szCs w:val="28"/>
        </w:rPr>
      </w:pPr>
      <w:r>
        <w:rPr>
          <w:rFonts w:hint="eastAsia" w:ascii="方正仿宋_GBK" w:hAnsi="方正仿宋_GBK" w:eastAsia="方正仿宋_GBK" w:cs="方正仿宋_GBK"/>
          <w:sz w:val="28"/>
          <w:szCs w:val="28"/>
        </w:rPr>
        <w:t>日期：</w:t>
      </w:r>
    </w:p>
    <w:p>
      <w:pPr>
        <w:spacing w:line="600" w:lineRule="exact"/>
        <w:jc w:val="left"/>
        <w:rPr>
          <w:rFonts w:hint="eastAsia" w:ascii="方正仿宋_GBK" w:hAnsi="方正仿宋_GBK" w:eastAsia="方正仿宋_GBK" w:cs="方正仿宋_GBK"/>
          <w:b/>
          <w:bCs/>
          <w:sz w:val="28"/>
          <w:szCs w:val="28"/>
        </w:rPr>
      </w:pPr>
      <w:r>
        <w:rPr>
          <w:rFonts w:hint="eastAsia" w:ascii="仿宋" w:hAnsi="仿宋" w:eastAsia="仿宋"/>
          <w:b/>
          <w:bCs/>
          <w:sz w:val="28"/>
          <w:szCs w:val="28"/>
        </w:rPr>
        <w:t>评</w:t>
      </w:r>
      <w:r>
        <w:rPr>
          <w:rFonts w:hint="eastAsia" w:ascii="方正仿宋_GBK" w:hAnsi="方正仿宋_GBK" w:eastAsia="方正仿宋_GBK" w:cs="方正仿宋_GBK"/>
          <w:b/>
          <w:bCs/>
          <w:sz w:val="28"/>
          <w:szCs w:val="28"/>
        </w:rPr>
        <w:t>分细则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本次评标采用综合评分法，总分为100分，其中价格部分10分、技术部分50分、资信及商务部分</w:t>
      </w:r>
      <w:r>
        <w:rPr>
          <w:rFonts w:hint="eastAsia"/>
          <w:lang w:val="en-US" w:eastAsia="zh-CN"/>
        </w:rPr>
        <w:t>40</w:t>
      </w:r>
      <w:r>
        <w:rPr>
          <w:rFonts w:hint="eastAsia"/>
        </w:rPr>
        <w:t>分。评分过程中采用四舍五入法，并保留小数2位。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投标人评标综合得分=价格分+技术分+资信及商务分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1.技术部分（50分）</w:t>
      </w:r>
    </w:p>
    <w:tbl>
      <w:tblPr>
        <w:tblStyle w:val="9"/>
        <w:tblW w:w="51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4"/>
        <w:gridCol w:w="4559"/>
        <w:gridCol w:w="558"/>
        <w:gridCol w:w="558"/>
        <w:gridCol w:w="558"/>
        <w:gridCol w:w="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0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项目</w:t>
            </w:r>
          </w:p>
        </w:tc>
        <w:tc>
          <w:tcPr>
            <w:tcW w:w="241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评审内容和标准</w:t>
            </w:r>
          </w:p>
        </w:tc>
        <w:tc>
          <w:tcPr>
            <w:tcW w:w="1184"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04"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 w:hAnsi="仿宋" w:eastAsia="仿宋" w:cs="宋体"/>
                <w:b/>
                <w:bCs/>
                <w:color w:val="000000"/>
                <w:kern w:val="0"/>
                <w:sz w:val="28"/>
                <w:szCs w:val="28"/>
              </w:rPr>
            </w:pPr>
          </w:p>
        </w:tc>
        <w:tc>
          <w:tcPr>
            <w:tcW w:w="2411"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 w:hAnsi="仿宋" w:eastAsia="仿宋" w:cs="宋体"/>
                <w:b/>
                <w:bCs/>
                <w:color w:val="000000"/>
                <w:kern w:val="0"/>
                <w:sz w:val="28"/>
                <w:szCs w:val="28"/>
              </w:rPr>
            </w:pPr>
          </w:p>
        </w:tc>
        <w:tc>
          <w:tcPr>
            <w:tcW w:w="29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好</w:t>
            </w:r>
          </w:p>
        </w:tc>
        <w:tc>
          <w:tcPr>
            <w:tcW w:w="29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较好</w:t>
            </w:r>
          </w:p>
        </w:tc>
        <w:tc>
          <w:tcPr>
            <w:tcW w:w="29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一般</w:t>
            </w:r>
          </w:p>
        </w:tc>
        <w:tc>
          <w:tcPr>
            <w:tcW w:w="29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投标整体响应情况</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w:t>
            </w:r>
            <w:r>
              <w:rPr>
                <w:rFonts w:hint="eastAsia" w:ascii="仿宋" w:hAnsi="仿宋" w:eastAsia="仿宋" w:cs="宋体"/>
                <w:color w:val="000000"/>
                <w:kern w:val="0"/>
                <w:sz w:val="28"/>
                <w:szCs w:val="28"/>
                <w:lang w:val="en-US" w:eastAsia="zh-CN"/>
              </w:rPr>
              <w:t>1</w:t>
            </w:r>
            <w:r>
              <w:rPr>
                <w:rFonts w:hint="eastAsia" w:ascii="仿宋" w:hAnsi="仿宋" w:eastAsia="仿宋" w:cs="宋体"/>
                <w:color w:val="000000"/>
                <w:kern w:val="0"/>
                <w:sz w:val="28"/>
                <w:szCs w:val="28"/>
              </w:rPr>
              <w:t>0分）</w:t>
            </w:r>
          </w:p>
        </w:tc>
        <w:tc>
          <w:tcPr>
            <w:tcW w:w="241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投标方案与需求的吻合程度以及方案的优势情况，包括方案的科学性、可靠性、成熟性、合理性等。</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需求的认识和理解</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投标人对网站运维服务理解及分析情况，包括但不限于运维内容、重点难点分析等。</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运维服务方案</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投标人提供运维服务方案，方案基本满足招标要求，内容完整且无重大缺漏，具有全面性和合理性等。</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项目管理方案</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rPr>
              <w:t>投标人提供项目管理方案，包括项目管理（含运维服务管理制度、工作职责、人员配备等）、实施计划、质量保证、风险规避措施等</w:t>
            </w:r>
            <w:r>
              <w:rPr>
                <w:rFonts w:hint="eastAsia" w:ascii="仿宋" w:hAnsi="仿宋" w:eastAsia="仿宋" w:cs="宋体"/>
                <w:color w:val="000000"/>
                <w:kern w:val="0"/>
                <w:sz w:val="28"/>
                <w:szCs w:val="28"/>
                <w:lang w:eastAsia="zh-CN"/>
              </w:rPr>
              <w:t>。</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4"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宋体"/>
                <w:color w:val="000000"/>
                <w:kern w:val="0"/>
                <w:sz w:val="28"/>
                <w:szCs w:val="28"/>
              </w:rPr>
            </w:pPr>
            <w:r>
              <w:rPr>
                <w:rFonts w:hint="eastAsia" w:ascii="仿宋" w:hAnsi="仿宋" w:eastAsia="仿宋" w:cs="宋体"/>
                <w:color w:val="000000"/>
                <w:kern w:val="0"/>
                <w:sz w:val="28"/>
                <w:szCs w:val="28"/>
              </w:rPr>
              <w:t>应急方案</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r>
              <w:rPr>
                <w:rFonts w:hint="eastAsia" w:ascii="仿宋" w:hAnsi="仿宋" w:eastAsia="仿宋" w:cs="宋体"/>
                <w:color w:val="000000"/>
                <w:kern w:val="0"/>
                <w:sz w:val="28"/>
                <w:szCs w:val="28"/>
                <w:lang w:val="en-US" w:eastAsia="zh-CN"/>
              </w:rPr>
              <w:t>分</w:t>
            </w:r>
            <w:r>
              <w:rPr>
                <w:rFonts w:hint="eastAsia" w:ascii="仿宋" w:hAnsi="仿宋" w:eastAsia="仿宋" w:cs="宋体"/>
                <w:color w:val="000000"/>
                <w:kern w:val="0"/>
                <w:sz w:val="28"/>
                <w:szCs w:val="28"/>
              </w:rPr>
              <w:t>）</w:t>
            </w:r>
          </w:p>
        </w:tc>
        <w:tc>
          <w:tcPr>
            <w:tcW w:w="241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投标人提供应急方案，具有较完整的运维过程中出现紧急情况（如系统性能下降、系统宕机、数据错误等情况）的应对方案。</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10</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7</w:t>
            </w:r>
          </w:p>
        </w:tc>
        <w:tc>
          <w:tcPr>
            <w:tcW w:w="29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5</w:t>
            </w:r>
          </w:p>
        </w:tc>
        <w:tc>
          <w:tcPr>
            <w:tcW w:w="298"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2</w:t>
            </w:r>
          </w:p>
        </w:tc>
      </w:tr>
    </w:tbl>
    <w:p>
      <w:pPr>
        <w:pStyle w:val="4"/>
        <w:snapToGrid w:val="0"/>
        <w:spacing w:line="360" w:lineRule="auto"/>
        <w:ind w:firstLine="0"/>
        <w:rPr>
          <w:rFonts w:ascii="仿宋" w:hAnsi="仿宋" w:eastAsia="仿宋"/>
          <w:sz w:val="28"/>
          <w:szCs w:val="28"/>
        </w:rPr>
      </w:pPr>
    </w:p>
    <w:p>
      <w:pPr>
        <w:pStyle w:val="4"/>
        <w:snapToGrid w:val="0"/>
        <w:spacing w:line="360" w:lineRule="auto"/>
        <w:ind w:firstLine="0"/>
        <w:rPr>
          <w:rFonts w:ascii="仿宋" w:hAnsi="仿宋" w:eastAsia="仿宋"/>
          <w:sz w:val="28"/>
          <w:szCs w:val="28"/>
        </w:rPr>
      </w:pPr>
      <w:bookmarkStart w:id="1" w:name="_GoBack"/>
      <w:bookmarkEnd w:id="1"/>
    </w:p>
    <w:p>
      <w:pPr>
        <w:bidi w:val="0"/>
      </w:pPr>
      <w:r>
        <w:rPr>
          <w:rFonts w:hint="eastAsia"/>
        </w:rPr>
        <w:t>2.</w:t>
      </w:r>
      <w:r>
        <w:t>资信及商务部分（40分）</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9"/>
        <w:gridCol w:w="6092"/>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0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项目</w:t>
            </w:r>
          </w:p>
        </w:tc>
        <w:tc>
          <w:tcPr>
            <w:tcW w:w="3340"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评审内容和标准</w:t>
            </w:r>
          </w:p>
        </w:tc>
        <w:tc>
          <w:tcPr>
            <w:tcW w:w="453"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05"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b/>
                <w:bCs/>
                <w:color w:val="000000"/>
                <w:kern w:val="0"/>
                <w:sz w:val="28"/>
                <w:szCs w:val="28"/>
              </w:rPr>
            </w:pPr>
          </w:p>
        </w:tc>
        <w:tc>
          <w:tcPr>
            <w:tcW w:w="3340"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b/>
                <w:bCs/>
                <w:color w:val="000000"/>
                <w:kern w:val="0"/>
                <w:sz w:val="28"/>
                <w:szCs w:val="28"/>
              </w:rPr>
            </w:pPr>
          </w:p>
        </w:tc>
        <w:tc>
          <w:tcPr>
            <w:tcW w:w="453"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20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投标人综合实力（</w:t>
            </w:r>
            <w:r>
              <w:rPr>
                <w:rFonts w:hint="default" w:ascii="Times New Roman" w:hAnsi="Times New Roman" w:eastAsia="方正仿宋_GBK" w:cs="Times New Roman"/>
                <w:color w:val="000000"/>
                <w:kern w:val="0"/>
                <w:sz w:val="28"/>
                <w:szCs w:val="28"/>
              </w:rPr>
              <w:t>25</w:t>
            </w:r>
            <w:r>
              <w:rPr>
                <w:rFonts w:hint="eastAsia" w:ascii="方正仿宋_GBK" w:hAnsi="方正仿宋_GBK" w:eastAsia="方正仿宋_GBK" w:cs="方正仿宋_GBK"/>
                <w:color w:val="000000"/>
                <w:kern w:val="0"/>
                <w:sz w:val="28"/>
                <w:szCs w:val="28"/>
              </w:rPr>
              <w:t>分）</w:t>
            </w:r>
          </w:p>
        </w:tc>
        <w:tc>
          <w:tcPr>
            <w:tcW w:w="33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投标人具有由国家认证认可监督管理部门批准设立的认证机构颁发的有效的</w:t>
            </w:r>
            <w:r>
              <w:rPr>
                <w:rFonts w:hint="eastAsia" w:ascii="Times New Roman" w:hAnsi="Times New Roman" w:eastAsia="方正仿宋_GBK" w:cs="Times New Roman"/>
                <w:color w:val="000000"/>
                <w:kern w:val="0"/>
                <w:sz w:val="28"/>
                <w:szCs w:val="28"/>
              </w:rPr>
              <w:t>ISO9001</w:t>
            </w:r>
            <w:r>
              <w:rPr>
                <w:rFonts w:hint="eastAsia" w:ascii="方正仿宋_GBK" w:hAnsi="方正仿宋_GBK" w:eastAsia="方正仿宋_GBK" w:cs="方正仿宋_GBK"/>
                <w:color w:val="000000"/>
                <w:kern w:val="0"/>
                <w:sz w:val="28"/>
                <w:szCs w:val="28"/>
              </w:rPr>
              <w:t>质量体系认证证书、</w:t>
            </w:r>
            <w:r>
              <w:rPr>
                <w:rFonts w:hint="eastAsia" w:ascii="Times New Roman" w:hAnsi="Times New Roman" w:eastAsia="方正仿宋_GBK" w:cs="Times New Roman"/>
                <w:color w:val="000000"/>
                <w:kern w:val="0"/>
                <w:sz w:val="28"/>
                <w:szCs w:val="28"/>
              </w:rPr>
              <w:t>ISO27001</w:t>
            </w:r>
            <w:r>
              <w:rPr>
                <w:rFonts w:hint="eastAsia" w:ascii="方正仿宋_GBK" w:hAnsi="方正仿宋_GBK" w:eastAsia="方正仿宋_GBK" w:cs="方正仿宋_GBK"/>
                <w:color w:val="000000"/>
                <w:kern w:val="0"/>
                <w:sz w:val="28"/>
                <w:szCs w:val="28"/>
              </w:rPr>
              <w:t>信息安全管理体系认证证书、</w:t>
            </w:r>
            <w:r>
              <w:rPr>
                <w:rFonts w:hint="eastAsia" w:ascii="Times New Roman" w:hAnsi="Times New Roman" w:eastAsia="方正仿宋_GBK" w:cs="Times New Roman"/>
                <w:color w:val="000000"/>
                <w:kern w:val="0"/>
                <w:sz w:val="28"/>
                <w:szCs w:val="28"/>
              </w:rPr>
              <w:t>ISO20000</w:t>
            </w:r>
            <w:r>
              <w:rPr>
                <w:rFonts w:hint="eastAsia" w:ascii="方正仿宋_GBK" w:hAnsi="方正仿宋_GBK" w:eastAsia="方正仿宋_GBK" w:cs="方正仿宋_GBK"/>
                <w:color w:val="000000"/>
                <w:kern w:val="0"/>
                <w:sz w:val="28"/>
                <w:szCs w:val="28"/>
              </w:rPr>
              <w:t>信息技术服务管理体系认证证书、</w:t>
            </w:r>
            <w:r>
              <w:rPr>
                <w:rFonts w:hint="eastAsia" w:ascii="Times New Roman" w:hAnsi="Times New Roman" w:eastAsia="方正仿宋_GBK" w:cs="Times New Roman"/>
                <w:color w:val="000000"/>
                <w:kern w:val="0"/>
                <w:sz w:val="28"/>
                <w:szCs w:val="28"/>
              </w:rPr>
              <w:t>ISO14001</w:t>
            </w:r>
            <w:r>
              <w:rPr>
                <w:rFonts w:hint="eastAsia" w:ascii="方正仿宋_GBK" w:hAnsi="方正仿宋_GBK" w:eastAsia="方正仿宋_GBK" w:cs="方正仿宋_GBK"/>
                <w:color w:val="000000"/>
                <w:kern w:val="0"/>
                <w:sz w:val="28"/>
                <w:szCs w:val="28"/>
              </w:rPr>
              <w:t>环境管理体系证书、</w:t>
            </w:r>
            <w:r>
              <w:rPr>
                <w:rFonts w:hint="eastAsia" w:ascii="Times New Roman" w:hAnsi="Times New Roman" w:eastAsia="方正仿宋_GBK" w:cs="Times New Roman"/>
                <w:color w:val="000000"/>
                <w:kern w:val="0"/>
                <w:sz w:val="28"/>
                <w:szCs w:val="28"/>
              </w:rPr>
              <w:t>ISO45001</w:t>
            </w:r>
            <w:r>
              <w:rPr>
                <w:rFonts w:hint="eastAsia" w:ascii="方正仿宋_GBK" w:hAnsi="方正仿宋_GBK" w:eastAsia="方正仿宋_GBK" w:cs="方正仿宋_GBK"/>
                <w:color w:val="000000"/>
                <w:kern w:val="0"/>
                <w:sz w:val="28"/>
                <w:szCs w:val="28"/>
              </w:rPr>
              <w:t>职业健康安全管理体系证书，每提供一个证书得</w:t>
            </w:r>
            <w:r>
              <w:rPr>
                <w:rFonts w:hint="eastAsia" w:ascii="方正仿宋_GBK" w:hAnsi="方正仿宋_GBK" w:eastAsia="方正仿宋_GBK" w:cs="方正仿宋_GBK"/>
                <w:color w:val="000000"/>
                <w:kern w:val="0"/>
                <w:sz w:val="28"/>
                <w:szCs w:val="28"/>
                <w:lang w:val="en-US" w:eastAsia="zh-CN"/>
              </w:rPr>
              <w:t>1</w:t>
            </w:r>
            <w:r>
              <w:rPr>
                <w:rFonts w:hint="eastAsia" w:ascii="方正仿宋_GBK" w:hAnsi="方正仿宋_GBK" w:eastAsia="方正仿宋_GBK" w:cs="方正仿宋_GBK"/>
                <w:color w:val="000000"/>
                <w:kern w:val="0"/>
                <w:sz w:val="28"/>
                <w:szCs w:val="28"/>
              </w:rPr>
              <w:t>分，最多得</w:t>
            </w:r>
            <w:r>
              <w:rPr>
                <w:rFonts w:hint="eastAsia" w:ascii="Times New Roman" w:hAnsi="Times New Roman" w:eastAsia="方正仿宋_GBK" w:cs="Times New Roman"/>
                <w:color w:val="000000"/>
                <w:kern w:val="0"/>
                <w:sz w:val="28"/>
                <w:szCs w:val="28"/>
                <w:lang w:val="en-US" w:eastAsia="zh-CN"/>
              </w:rPr>
              <w:t>5</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1205"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p>
        </w:tc>
        <w:tc>
          <w:tcPr>
            <w:tcW w:w="33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投标人获得中国软件行业联合会颁发的软件服务商交付能力认证证书，二级及以上得</w:t>
            </w:r>
            <w:r>
              <w:rPr>
                <w:rFonts w:hint="eastAsia" w:ascii="Times New Roman" w:hAnsi="Times New Roman" w:eastAsia="方正仿宋_GBK" w:cs="Times New Roman"/>
                <w:color w:val="000000"/>
                <w:kern w:val="0"/>
                <w:sz w:val="28"/>
                <w:szCs w:val="28"/>
              </w:rPr>
              <w:t>6</w:t>
            </w:r>
            <w:r>
              <w:rPr>
                <w:rFonts w:hint="eastAsia" w:ascii="方正仿宋_GBK" w:hAnsi="方正仿宋_GBK" w:eastAsia="方正仿宋_GBK" w:cs="方正仿宋_GBK"/>
                <w:color w:val="000000"/>
                <w:kern w:val="0"/>
                <w:sz w:val="28"/>
                <w:szCs w:val="28"/>
              </w:rPr>
              <w:t>分，三级得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分，四级得</w:t>
            </w:r>
            <w:r>
              <w:rPr>
                <w:rFonts w:hint="eastAsia" w:ascii="Times New Roman" w:hAnsi="Times New Roman" w:eastAsia="方正仿宋_GBK" w:cs="Times New Roman"/>
                <w:color w:val="000000"/>
                <w:kern w:val="0"/>
                <w:sz w:val="28"/>
                <w:szCs w:val="28"/>
              </w:rPr>
              <w:t>1</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1205"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p>
        </w:tc>
        <w:tc>
          <w:tcPr>
            <w:tcW w:w="33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投标人获得中国电子信息行业协会颁发的信息系统建设和服务能力等级证书，达到优秀级（</w:t>
            </w:r>
            <w:r>
              <w:rPr>
                <w:rFonts w:hint="eastAsia" w:ascii="Times New Roman" w:hAnsi="Times New Roman" w:eastAsia="方正仿宋_GBK" w:cs="Times New Roman"/>
                <w:color w:val="000000"/>
                <w:kern w:val="0"/>
                <w:sz w:val="28"/>
                <w:szCs w:val="28"/>
              </w:rPr>
              <w:t>CS4</w:t>
            </w:r>
            <w:r>
              <w:rPr>
                <w:rFonts w:hint="eastAsia" w:ascii="方正仿宋_GBK" w:hAnsi="方正仿宋_GBK" w:eastAsia="方正仿宋_GBK" w:cs="方正仿宋_GBK"/>
                <w:color w:val="000000"/>
                <w:kern w:val="0"/>
                <w:sz w:val="28"/>
                <w:szCs w:val="28"/>
              </w:rPr>
              <w:t>级）或良好级（</w:t>
            </w:r>
            <w:r>
              <w:rPr>
                <w:rFonts w:hint="eastAsia" w:ascii="Times New Roman" w:hAnsi="Times New Roman" w:eastAsia="方正仿宋_GBK" w:cs="Times New Roman"/>
                <w:color w:val="000000"/>
                <w:kern w:val="0"/>
                <w:sz w:val="28"/>
                <w:szCs w:val="28"/>
              </w:rPr>
              <w:t>CS3</w:t>
            </w:r>
            <w:r>
              <w:rPr>
                <w:rFonts w:hint="eastAsia" w:ascii="方正仿宋_GBK" w:hAnsi="方正仿宋_GBK" w:eastAsia="方正仿宋_GBK" w:cs="方正仿宋_GBK"/>
                <w:color w:val="000000"/>
                <w:kern w:val="0"/>
                <w:sz w:val="28"/>
                <w:szCs w:val="28"/>
              </w:rPr>
              <w:t>级）得</w:t>
            </w:r>
            <w:r>
              <w:rPr>
                <w:rFonts w:hint="eastAsia" w:ascii="Times New Roman" w:hAnsi="Times New Roman" w:eastAsia="方正仿宋_GBK" w:cs="Times New Roman"/>
                <w:color w:val="000000"/>
                <w:kern w:val="0"/>
                <w:sz w:val="28"/>
                <w:szCs w:val="28"/>
              </w:rPr>
              <w:t>6</w:t>
            </w:r>
            <w:r>
              <w:rPr>
                <w:rFonts w:hint="eastAsia" w:ascii="方正仿宋_GBK" w:hAnsi="方正仿宋_GBK" w:eastAsia="方正仿宋_GBK" w:cs="方正仿宋_GBK"/>
                <w:color w:val="000000"/>
                <w:kern w:val="0"/>
                <w:sz w:val="28"/>
                <w:szCs w:val="28"/>
              </w:rPr>
              <w:t>分，基本级（</w:t>
            </w:r>
            <w:r>
              <w:rPr>
                <w:rFonts w:hint="eastAsia" w:ascii="Times New Roman" w:hAnsi="Times New Roman" w:eastAsia="方正仿宋_GBK" w:cs="Times New Roman"/>
                <w:color w:val="000000"/>
                <w:kern w:val="0"/>
                <w:sz w:val="28"/>
                <w:szCs w:val="28"/>
              </w:rPr>
              <w:t>CS2</w:t>
            </w:r>
            <w:r>
              <w:rPr>
                <w:rFonts w:hint="eastAsia" w:ascii="方正仿宋_GBK" w:hAnsi="方正仿宋_GBK" w:eastAsia="方正仿宋_GBK" w:cs="方正仿宋_GBK"/>
                <w:color w:val="000000"/>
                <w:kern w:val="0"/>
                <w:sz w:val="28"/>
                <w:szCs w:val="28"/>
              </w:rPr>
              <w:t>级）或初始级（</w:t>
            </w:r>
            <w:r>
              <w:rPr>
                <w:rFonts w:hint="eastAsia" w:ascii="Times New Roman" w:hAnsi="Times New Roman" w:eastAsia="方正仿宋_GBK" w:cs="Times New Roman"/>
                <w:color w:val="000000"/>
                <w:kern w:val="0"/>
                <w:sz w:val="28"/>
                <w:szCs w:val="28"/>
              </w:rPr>
              <w:t>CS1</w:t>
            </w:r>
            <w:r>
              <w:rPr>
                <w:rFonts w:hint="eastAsia" w:ascii="方正仿宋_GBK" w:hAnsi="方正仿宋_GBK" w:eastAsia="方正仿宋_GBK" w:cs="方正仿宋_GBK"/>
                <w:color w:val="000000"/>
                <w:kern w:val="0"/>
                <w:sz w:val="28"/>
                <w:szCs w:val="28"/>
              </w:rPr>
              <w:t>级）得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分，其他不得分。</w:t>
            </w:r>
          </w:p>
        </w:tc>
        <w:tc>
          <w:tcPr>
            <w:tcW w:w="45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trPr>
        <w:tc>
          <w:tcPr>
            <w:tcW w:w="1205"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p>
        </w:tc>
        <w:tc>
          <w:tcPr>
            <w:tcW w:w="33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投标人具有国家工业和信息化部、科技部或市场监督管理总局认可机构颁发的信息安全应急处理类、信息系统安全集成、信息系统安全运维类和软件安全开发类三级及以上服务资质认证证书，每提供一个证书得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分，最多得</w:t>
            </w:r>
            <w:r>
              <w:rPr>
                <w:rFonts w:hint="eastAsia" w:ascii="Times New Roman" w:hAnsi="Times New Roman" w:eastAsia="方正仿宋_GBK" w:cs="Times New Roman"/>
                <w:color w:val="000000"/>
                <w:kern w:val="0"/>
                <w:sz w:val="28"/>
                <w:szCs w:val="28"/>
              </w:rPr>
              <w:t>8</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20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项目经理实力（</w:t>
            </w:r>
            <w:r>
              <w:rPr>
                <w:rFonts w:hint="eastAsia" w:ascii="Times New Roman" w:hAnsi="Times New Roman" w:eastAsia="方正仿宋_GBK" w:cs="Times New Roman"/>
                <w:color w:val="000000"/>
                <w:kern w:val="0"/>
                <w:sz w:val="28"/>
                <w:szCs w:val="28"/>
              </w:rPr>
              <w:t>10</w:t>
            </w:r>
            <w:r>
              <w:rPr>
                <w:rFonts w:hint="eastAsia" w:ascii="方正仿宋_GBK" w:hAnsi="方正仿宋_GBK" w:eastAsia="方正仿宋_GBK" w:cs="方正仿宋_GBK"/>
                <w:color w:val="000000"/>
                <w:kern w:val="0"/>
                <w:sz w:val="28"/>
                <w:szCs w:val="28"/>
              </w:rPr>
              <w:t>分）</w:t>
            </w:r>
          </w:p>
        </w:tc>
        <w:tc>
          <w:tcPr>
            <w:tcW w:w="33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投标人拟选派项目经理具有硕士及以上学位证书、信息系统项目管理师证书、系统架构设计师、信息技术应用创新专业人员证书（</w:t>
            </w:r>
            <w:r>
              <w:rPr>
                <w:rFonts w:hint="eastAsia" w:ascii="Times New Roman" w:hAnsi="Times New Roman" w:eastAsia="方正仿宋_GBK" w:cs="Times New Roman"/>
                <w:color w:val="000000"/>
                <w:kern w:val="0"/>
                <w:sz w:val="28"/>
                <w:szCs w:val="28"/>
              </w:rPr>
              <w:t>ITAIP</w:t>
            </w:r>
            <w:r>
              <w:rPr>
                <w:rFonts w:hint="eastAsia" w:ascii="方正仿宋_GBK" w:hAnsi="方正仿宋_GBK" w:eastAsia="方正仿宋_GBK" w:cs="方正仿宋_GBK"/>
                <w:color w:val="000000"/>
                <w:kern w:val="0"/>
                <w:sz w:val="28"/>
                <w:szCs w:val="28"/>
              </w:rPr>
              <w:t>）、项目管理专业人员（</w:t>
            </w:r>
            <w:r>
              <w:rPr>
                <w:rFonts w:hint="eastAsia" w:ascii="Times New Roman" w:hAnsi="Times New Roman" w:eastAsia="方正仿宋_GBK" w:cs="Times New Roman"/>
                <w:color w:val="000000"/>
                <w:kern w:val="0"/>
                <w:sz w:val="28"/>
                <w:szCs w:val="28"/>
              </w:rPr>
              <w:t>PMP</w:t>
            </w:r>
            <w:r>
              <w:rPr>
                <w:rFonts w:hint="eastAsia" w:ascii="方正仿宋_GBK" w:hAnsi="方正仿宋_GBK" w:eastAsia="方正仿宋_GBK" w:cs="方正仿宋_GBK"/>
                <w:color w:val="000000"/>
                <w:kern w:val="0"/>
                <w:sz w:val="28"/>
                <w:szCs w:val="28"/>
              </w:rPr>
              <w:t>）证书，每提供</w:t>
            </w:r>
            <w:r>
              <w:rPr>
                <w:rFonts w:hint="eastAsia" w:ascii="Times New Roman" w:hAnsi="Times New Roman" w:eastAsia="方正仿宋_GBK" w:cs="Times New Roman"/>
                <w:color w:val="000000"/>
                <w:kern w:val="0"/>
                <w:sz w:val="28"/>
                <w:szCs w:val="28"/>
              </w:rPr>
              <w:t>1</w:t>
            </w:r>
            <w:r>
              <w:rPr>
                <w:rFonts w:hint="eastAsia" w:ascii="方正仿宋_GBK" w:hAnsi="方正仿宋_GBK" w:eastAsia="方正仿宋_GBK" w:cs="方正仿宋_GBK"/>
                <w:color w:val="000000"/>
                <w:kern w:val="0"/>
                <w:sz w:val="28"/>
                <w:szCs w:val="28"/>
              </w:rPr>
              <w:t>个得</w:t>
            </w:r>
            <w:r>
              <w:rPr>
                <w:rFonts w:hint="eastAsia" w:ascii="Times New Roman" w:hAnsi="Times New Roman" w:eastAsia="方正仿宋_GBK" w:cs="Times New Roman"/>
                <w:color w:val="000000"/>
                <w:kern w:val="0"/>
                <w:sz w:val="28"/>
                <w:szCs w:val="28"/>
              </w:rPr>
              <w:t>2</w:t>
            </w:r>
            <w:r>
              <w:rPr>
                <w:rFonts w:hint="eastAsia" w:ascii="方正仿宋_GBK" w:hAnsi="方正仿宋_GBK" w:eastAsia="方正仿宋_GBK" w:cs="方正仿宋_GBK"/>
                <w:color w:val="000000"/>
                <w:kern w:val="0"/>
                <w:sz w:val="28"/>
                <w:szCs w:val="28"/>
              </w:rPr>
              <w:t>分，本项最多得</w:t>
            </w:r>
            <w:r>
              <w:rPr>
                <w:rFonts w:hint="eastAsia" w:ascii="Times New Roman" w:hAnsi="Times New Roman" w:eastAsia="方正仿宋_GBK" w:cs="Times New Roman"/>
                <w:color w:val="000000"/>
                <w:kern w:val="0"/>
                <w:sz w:val="28"/>
                <w:szCs w:val="28"/>
              </w:rPr>
              <w:t>10</w:t>
            </w:r>
            <w:r>
              <w:rPr>
                <w:rFonts w:hint="eastAsia" w:ascii="方正仿宋_GBK" w:hAnsi="方正仿宋_GBK" w:eastAsia="方正仿宋_GBK" w:cs="方正仿宋_GBK"/>
                <w:color w:val="000000"/>
                <w:kern w:val="0"/>
                <w:sz w:val="28"/>
                <w:szCs w:val="28"/>
              </w:rPr>
              <w:t>分。</w:t>
            </w:r>
            <w:r>
              <w:rPr>
                <w:rFonts w:hint="eastAsia" w:ascii="方正仿宋_GBK" w:hAnsi="方正仿宋_GBK" w:eastAsia="方正仿宋_GBK" w:cs="方正仿宋_GBK"/>
                <w:color w:val="000000"/>
                <w:kern w:val="0"/>
                <w:sz w:val="28"/>
                <w:szCs w:val="28"/>
              </w:rPr>
              <w:br w:type="textWrapping"/>
            </w:r>
            <w:r>
              <w:rPr>
                <w:rFonts w:hint="eastAsia" w:ascii="方正仿宋_GBK" w:hAnsi="方正仿宋_GBK" w:eastAsia="方正仿宋_GBK" w:cs="方正仿宋_GBK"/>
                <w:color w:val="000000"/>
                <w:kern w:val="0"/>
                <w:sz w:val="28"/>
                <w:szCs w:val="28"/>
              </w:rPr>
              <w:t>评审依据：须提供证书复印件和近</w:t>
            </w:r>
            <w:r>
              <w:rPr>
                <w:rFonts w:hint="eastAsia" w:ascii="Times New Roman" w:hAnsi="Times New Roman" w:eastAsia="方正仿宋_GBK" w:cs="Times New Roman"/>
                <w:color w:val="000000"/>
                <w:kern w:val="0"/>
                <w:sz w:val="28"/>
                <w:szCs w:val="28"/>
              </w:rPr>
              <w:t>6</w:t>
            </w:r>
            <w:r>
              <w:rPr>
                <w:rFonts w:hint="eastAsia" w:ascii="方正仿宋_GBK" w:hAnsi="方正仿宋_GBK" w:eastAsia="方正仿宋_GBK" w:cs="方正仿宋_GBK"/>
                <w:color w:val="000000"/>
                <w:kern w:val="0"/>
                <w:sz w:val="28"/>
                <w:szCs w:val="28"/>
              </w:rPr>
              <w:t>个月供应商为其缴纳社保的证明材料。</w:t>
            </w:r>
          </w:p>
        </w:tc>
        <w:tc>
          <w:tcPr>
            <w:tcW w:w="45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205"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相关业绩（</w:t>
            </w:r>
            <w:r>
              <w:rPr>
                <w:rFonts w:hint="eastAsia" w:ascii="Times New Roman" w:hAnsi="Times New Roman" w:eastAsia="方正仿宋_GBK" w:cs="Times New Roman"/>
                <w:color w:val="000000"/>
                <w:kern w:val="0"/>
                <w:sz w:val="28"/>
                <w:szCs w:val="28"/>
              </w:rPr>
              <w:t>5</w:t>
            </w:r>
            <w:r>
              <w:rPr>
                <w:rFonts w:hint="eastAsia" w:ascii="方正仿宋_GBK" w:hAnsi="方正仿宋_GBK" w:eastAsia="方正仿宋_GBK" w:cs="方正仿宋_GBK"/>
                <w:color w:val="000000"/>
                <w:kern w:val="0"/>
                <w:sz w:val="28"/>
                <w:szCs w:val="28"/>
              </w:rPr>
              <w:t>分）</w:t>
            </w:r>
          </w:p>
        </w:tc>
        <w:tc>
          <w:tcPr>
            <w:tcW w:w="33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供应商提供政府网站维护项目案例（合同关键页复印件），每提供一个得</w:t>
            </w:r>
            <w:r>
              <w:rPr>
                <w:rFonts w:hint="eastAsia" w:ascii="Times New Roman" w:hAnsi="Times New Roman" w:eastAsia="方正仿宋_GBK" w:cs="Times New Roman"/>
                <w:color w:val="000000"/>
                <w:kern w:val="0"/>
                <w:sz w:val="28"/>
                <w:szCs w:val="28"/>
              </w:rPr>
              <w:t>1</w:t>
            </w:r>
            <w:r>
              <w:rPr>
                <w:rFonts w:hint="eastAsia" w:ascii="方正仿宋_GBK" w:hAnsi="方正仿宋_GBK" w:eastAsia="方正仿宋_GBK" w:cs="方正仿宋_GBK"/>
                <w:color w:val="000000"/>
                <w:kern w:val="0"/>
                <w:sz w:val="28"/>
                <w:szCs w:val="28"/>
              </w:rPr>
              <w:t>分，本项满分</w:t>
            </w:r>
            <w:r>
              <w:rPr>
                <w:rFonts w:hint="eastAsia" w:ascii="Times New Roman" w:hAnsi="Times New Roman" w:eastAsia="方正仿宋_GBK" w:cs="Times New Roman"/>
                <w:color w:val="000000"/>
                <w:kern w:val="0"/>
                <w:sz w:val="28"/>
                <w:szCs w:val="28"/>
              </w:rPr>
              <w:t>5</w:t>
            </w:r>
            <w:r>
              <w:rPr>
                <w:rFonts w:hint="eastAsia" w:ascii="方正仿宋_GBK" w:hAnsi="方正仿宋_GBK" w:eastAsia="方正仿宋_GBK" w:cs="方正仿宋_GBK"/>
                <w:color w:val="000000"/>
                <w:kern w:val="0"/>
                <w:sz w:val="28"/>
                <w:szCs w:val="28"/>
              </w:rPr>
              <w:t>分。</w:t>
            </w:r>
          </w:p>
        </w:tc>
        <w:tc>
          <w:tcPr>
            <w:tcW w:w="45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kern w:val="0"/>
                <w:sz w:val="28"/>
                <w:szCs w:val="28"/>
              </w:rPr>
            </w:pPr>
            <w:r>
              <w:rPr>
                <w:rFonts w:hint="eastAsia" w:ascii="Times New Roman" w:hAnsi="Times New Roman" w:eastAsia="方正仿宋_GBK" w:cs="Times New Roman"/>
                <w:color w:val="000000"/>
                <w:kern w:val="0"/>
                <w:sz w:val="28"/>
                <w:szCs w:val="28"/>
              </w:rPr>
              <w:t>5</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3.价格部分（</w:t>
      </w:r>
      <w:r>
        <w:t>1</w:t>
      </w:r>
      <w:r>
        <w:rPr>
          <w:rFonts w:hint="eastAsia"/>
        </w:rPr>
        <w:t>0分）</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（1）价格分采用低价优先法计算，即满足招标文件要求且投标价格最低的投标报价为评标基准价，其他投标人的价格分按照下列公式计算：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价格分=（评标基准价/投标报价）×</w:t>
      </w:r>
      <w:r>
        <w:t>1</w:t>
      </w:r>
      <w:r>
        <w:rPr>
          <w:rFonts w:hint="eastAsia"/>
        </w:rPr>
        <w:t>0%×100</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注：（1）投标如缺少某项服务，评标价将在其投标价的基础上加上其他投标人相应分项价格的最高价。如若中标，该缺漏项费用将由中标人自行承担。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（2）若所有有效投标人的报价均超过采购预算价，且采购人不能支付的，该项目作废标处理。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p>
    <w:sectPr>
      <w:footerReference r:id="rId3" w:type="default"/>
      <w:pgSz w:w="11906" w:h="16838"/>
      <w:pgMar w:top="2041" w:right="1502" w:bottom="1644" w:left="1502"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宋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3YzA0YzI4MjMyNmFkNjExYmI2NWVhZjBkNmFmZjIifQ=="/>
  </w:docVars>
  <w:rsids>
    <w:rsidRoot w:val="11441675"/>
    <w:rsid w:val="0002388C"/>
    <w:rsid w:val="00076BE2"/>
    <w:rsid w:val="0008242D"/>
    <w:rsid w:val="000A3E06"/>
    <w:rsid w:val="00171A39"/>
    <w:rsid w:val="001A52E2"/>
    <w:rsid w:val="001C2F63"/>
    <w:rsid w:val="001E14B1"/>
    <w:rsid w:val="002139B6"/>
    <w:rsid w:val="0021605C"/>
    <w:rsid w:val="00236722"/>
    <w:rsid w:val="00286C89"/>
    <w:rsid w:val="0029084F"/>
    <w:rsid w:val="00311C79"/>
    <w:rsid w:val="0037160C"/>
    <w:rsid w:val="003864B1"/>
    <w:rsid w:val="003F0D16"/>
    <w:rsid w:val="004366B5"/>
    <w:rsid w:val="004F3638"/>
    <w:rsid w:val="004F68D4"/>
    <w:rsid w:val="00551D34"/>
    <w:rsid w:val="00583E26"/>
    <w:rsid w:val="005F0CAE"/>
    <w:rsid w:val="00626F72"/>
    <w:rsid w:val="00634A59"/>
    <w:rsid w:val="006408C5"/>
    <w:rsid w:val="0067022A"/>
    <w:rsid w:val="006A589A"/>
    <w:rsid w:val="00736399"/>
    <w:rsid w:val="00742537"/>
    <w:rsid w:val="00794DEF"/>
    <w:rsid w:val="008407DB"/>
    <w:rsid w:val="008627C4"/>
    <w:rsid w:val="00887EF5"/>
    <w:rsid w:val="008B15B8"/>
    <w:rsid w:val="008E44EF"/>
    <w:rsid w:val="00911777"/>
    <w:rsid w:val="009479E7"/>
    <w:rsid w:val="009822D2"/>
    <w:rsid w:val="009A334A"/>
    <w:rsid w:val="009A503E"/>
    <w:rsid w:val="009B393F"/>
    <w:rsid w:val="00A32AFF"/>
    <w:rsid w:val="00B20A9F"/>
    <w:rsid w:val="00B534DE"/>
    <w:rsid w:val="00B6581E"/>
    <w:rsid w:val="00B66405"/>
    <w:rsid w:val="00BB04F1"/>
    <w:rsid w:val="00BE6923"/>
    <w:rsid w:val="00BF568D"/>
    <w:rsid w:val="00C5035E"/>
    <w:rsid w:val="00CC26B3"/>
    <w:rsid w:val="00CF2E2A"/>
    <w:rsid w:val="00D010EF"/>
    <w:rsid w:val="00D2052D"/>
    <w:rsid w:val="00D362C9"/>
    <w:rsid w:val="00E31A11"/>
    <w:rsid w:val="00E466DC"/>
    <w:rsid w:val="00E8510C"/>
    <w:rsid w:val="00E91262"/>
    <w:rsid w:val="00ED60CA"/>
    <w:rsid w:val="00F41E0B"/>
    <w:rsid w:val="00F85EF3"/>
    <w:rsid w:val="00F933EA"/>
    <w:rsid w:val="01545CC9"/>
    <w:rsid w:val="01E03822"/>
    <w:rsid w:val="028D07F3"/>
    <w:rsid w:val="028E366E"/>
    <w:rsid w:val="028F1BEF"/>
    <w:rsid w:val="02964427"/>
    <w:rsid w:val="02FB44A7"/>
    <w:rsid w:val="031007FA"/>
    <w:rsid w:val="03F132B5"/>
    <w:rsid w:val="04153D97"/>
    <w:rsid w:val="044E03FC"/>
    <w:rsid w:val="048B6E28"/>
    <w:rsid w:val="05554BF2"/>
    <w:rsid w:val="05846891"/>
    <w:rsid w:val="064E07BF"/>
    <w:rsid w:val="07011070"/>
    <w:rsid w:val="07304461"/>
    <w:rsid w:val="07534B43"/>
    <w:rsid w:val="077D3CCE"/>
    <w:rsid w:val="07F16B17"/>
    <w:rsid w:val="08987818"/>
    <w:rsid w:val="08B42559"/>
    <w:rsid w:val="08BA2275"/>
    <w:rsid w:val="08EE1700"/>
    <w:rsid w:val="09716ACF"/>
    <w:rsid w:val="09B7021E"/>
    <w:rsid w:val="09F46FBB"/>
    <w:rsid w:val="0A1C3FD3"/>
    <w:rsid w:val="0A212F39"/>
    <w:rsid w:val="0AAB4533"/>
    <w:rsid w:val="0B31491B"/>
    <w:rsid w:val="0B4147B3"/>
    <w:rsid w:val="0C2072C6"/>
    <w:rsid w:val="0C623E28"/>
    <w:rsid w:val="0C8F3C7C"/>
    <w:rsid w:val="0CE75489"/>
    <w:rsid w:val="0D0F644D"/>
    <w:rsid w:val="0D8B7F4A"/>
    <w:rsid w:val="0D9613D0"/>
    <w:rsid w:val="0E057AD0"/>
    <w:rsid w:val="0E561A45"/>
    <w:rsid w:val="0F065E65"/>
    <w:rsid w:val="0F4A7DB2"/>
    <w:rsid w:val="0F5A67CD"/>
    <w:rsid w:val="0FA364D6"/>
    <w:rsid w:val="0FB56212"/>
    <w:rsid w:val="0FC10009"/>
    <w:rsid w:val="10164E59"/>
    <w:rsid w:val="101A4F23"/>
    <w:rsid w:val="10B108A3"/>
    <w:rsid w:val="10EE0864"/>
    <w:rsid w:val="11441675"/>
    <w:rsid w:val="11E23046"/>
    <w:rsid w:val="122F26F6"/>
    <w:rsid w:val="12764102"/>
    <w:rsid w:val="12E56015"/>
    <w:rsid w:val="13702819"/>
    <w:rsid w:val="13D00640"/>
    <w:rsid w:val="141975A9"/>
    <w:rsid w:val="14A30A1F"/>
    <w:rsid w:val="14C36CD2"/>
    <w:rsid w:val="165F2D0D"/>
    <w:rsid w:val="16804694"/>
    <w:rsid w:val="169536CF"/>
    <w:rsid w:val="16ED1594"/>
    <w:rsid w:val="16FF5D57"/>
    <w:rsid w:val="17093B8E"/>
    <w:rsid w:val="171B7CCC"/>
    <w:rsid w:val="17AE403B"/>
    <w:rsid w:val="17EC1CAD"/>
    <w:rsid w:val="17F11161"/>
    <w:rsid w:val="191368FD"/>
    <w:rsid w:val="196121E5"/>
    <w:rsid w:val="19896D1E"/>
    <w:rsid w:val="19DA0F0F"/>
    <w:rsid w:val="1ADA027E"/>
    <w:rsid w:val="1B133905"/>
    <w:rsid w:val="1B1C4C12"/>
    <w:rsid w:val="1B4C58EC"/>
    <w:rsid w:val="1B7C614C"/>
    <w:rsid w:val="1B8911AD"/>
    <w:rsid w:val="1C1A507A"/>
    <w:rsid w:val="1C57757C"/>
    <w:rsid w:val="1C631B92"/>
    <w:rsid w:val="1C7162AA"/>
    <w:rsid w:val="1CA27AC4"/>
    <w:rsid w:val="1CD83164"/>
    <w:rsid w:val="1CDB2684"/>
    <w:rsid w:val="1D3653D2"/>
    <w:rsid w:val="1D76208C"/>
    <w:rsid w:val="1D9A066A"/>
    <w:rsid w:val="1E100C25"/>
    <w:rsid w:val="1E871F4C"/>
    <w:rsid w:val="1F202699"/>
    <w:rsid w:val="1F4C276D"/>
    <w:rsid w:val="1FDB6139"/>
    <w:rsid w:val="20543792"/>
    <w:rsid w:val="208529EF"/>
    <w:rsid w:val="2124215A"/>
    <w:rsid w:val="214357E2"/>
    <w:rsid w:val="216F70F7"/>
    <w:rsid w:val="21BC32D9"/>
    <w:rsid w:val="21E552E3"/>
    <w:rsid w:val="22233E93"/>
    <w:rsid w:val="22E3179A"/>
    <w:rsid w:val="22EF2BF0"/>
    <w:rsid w:val="230C2E18"/>
    <w:rsid w:val="230D60D4"/>
    <w:rsid w:val="24531FDD"/>
    <w:rsid w:val="24C82B26"/>
    <w:rsid w:val="25207AD0"/>
    <w:rsid w:val="252F3F48"/>
    <w:rsid w:val="25306629"/>
    <w:rsid w:val="26253EF8"/>
    <w:rsid w:val="269477B4"/>
    <w:rsid w:val="26B7527B"/>
    <w:rsid w:val="272765CE"/>
    <w:rsid w:val="281070EF"/>
    <w:rsid w:val="289D59D7"/>
    <w:rsid w:val="28DE0D21"/>
    <w:rsid w:val="28FC05A1"/>
    <w:rsid w:val="29394811"/>
    <w:rsid w:val="294D026E"/>
    <w:rsid w:val="29B664B3"/>
    <w:rsid w:val="29C613A5"/>
    <w:rsid w:val="2A4E52BC"/>
    <w:rsid w:val="2A647246"/>
    <w:rsid w:val="2ACA6093"/>
    <w:rsid w:val="2AD314F7"/>
    <w:rsid w:val="2BB54F79"/>
    <w:rsid w:val="2BFB29CB"/>
    <w:rsid w:val="2C077F81"/>
    <w:rsid w:val="2C307CA6"/>
    <w:rsid w:val="2CA53728"/>
    <w:rsid w:val="2CCB6806"/>
    <w:rsid w:val="2D205BFE"/>
    <w:rsid w:val="2D914D1F"/>
    <w:rsid w:val="2DE5695A"/>
    <w:rsid w:val="2DF550D7"/>
    <w:rsid w:val="2E0A6C32"/>
    <w:rsid w:val="2E197F24"/>
    <w:rsid w:val="2E2912C1"/>
    <w:rsid w:val="2E500E72"/>
    <w:rsid w:val="2E7E4997"/>
    <w:rsid w:val="2E932DDD"/>
    <w:rsid w:val="2F377AAD"/>
    <w:rsid w:val="2FF3319C"/>
    <w:rsid w:val="2FFD01B3"/>
    <w:rsid w:val="30221852"/>
    <w:rsid w:val="305D0315"/>
    <w:rsid w:val="30836DA1"/>
    <w:rsid w:val="309012EA"/>
    <w:rsid w:val="31333FEC"/>
    <w:rsid w:val="313A17EE"/>
    <w:rsid w:val="317B3ABE"/>
    <w:rsid w:val="3196615D"/>
    <w:rsid w:val="319F39CD"/>
    <w:rsid w:val="31AF5EF7"/>
    <w:rsid w:val="31B01F13"/>
    <w:rsid w:val="322A198A"/>
    <w:rsid w:val="322D0F45"/>
    <w:rsid w:val="32344368"/>
    <w:rsid w:val="3260529D"/>
    <w:rsid w:val="32A85A35"/>
    <w:rsid w:val="32D55E06"/>
    <w:rsid w:val="33281C2B"/>
    <w:rsid w:val="34370326"/>
    <w:rsid w:val="344D6573"/>
    <w:rsid w:val="3455779E"/>
    <w:rsid w:val="34586D8D"/>
    <w:rsid w:val="348040D4"/>
    <w:rsid w:val="34A302B0"/>
    <w:rsid w:val="34C6125E"/>
    <w:rsid w:val="34E156A4"/>
    <w:rsid w:val="34F21ED3"/>
    <w:rsid w:val="353649D4"/>
    <w:rsid w:val="3548430B"/>
    <w:rsid w:val="35875A8A"/>
    <w:rsid w:val="35994344"/>
    <w:rsid w:val="35A8521D"/>
    <w:rsid w:val="36051798"/>
    <w:rsid w:val="365D0C62"/>
    <w:rsid w:val="37271878"/>
    <w:rsid w:val="374B4832"/>
    <w:rsid w:val="37C5276F"/>
    <w:rsid w:val="37E477E8"/>
    <w:rsid w:val="38357DE2"/>
    <w:rsid w:val="384C4F79"/>
    <w:rsid w:val="389E4AD2"/>
    <w:rsid w:val="39537D75"/>
    <w:rsid w:val="397E44E7"/>
    <w:rsid w:val="39AA2842"/>
    <w:rsid w:val="39D74686"/>
    <w:rsid w:val="3A0D463D"/>
    <w:rsid w:val="3A2373F2"/>
    <w:rsid w:val="3A263150"/>
    <w:rsid w:val="3A4F49E1"/>
    <w:rsid w:val="3A6F590C"/>
    <w:rsid w:val="3A8C4132"/>
    <w:rsid w:val="3AA46531"/>
    <w:rsid w:val="3ADB1EE5"/>
    <w:rsid w:val="3AEE54D6"/>
    <w:rsid w:val="3AFB31DA"/>
    <w:rsid w:val="3B0B5CE3"/>
    <w:rsid w:val="3BC529B4"/>
    <w:rsid w:val="3C5A6CCB"/>
    <w:rsid w:val="3C70497C"/>
    <w:rsid w:val="3CDA41CA"/>
    <w:rsid w:val="3D586CA0"/>
    <w:rsid w:val="3D5D7AD8"/>
    <w:rsid w:val="3D7D7E19"/>
    <w:rsid w:val="3DEF1DD3"/>
    <w:rsid w:val="3E6A57C6"/>
    <w:rsid w:val="3E984A51"/>
    <w:rsid w:val="3EC70AC0"/>
    <w:rsid w:val="3ECE0544"/>
    <w:rsid w:val="3EF27217"/>
    <w:rsid w:val="40663CF4"/>
    <w:rsid w:val="40840F95"/>
    <w:rsid w:val="4103369E"/>
    <w:rsid w:val="412D69EA"/>
    <w:rsid w:val="41600EAC"/>
    <w:rsid w:val="43174C91"/>
    <w:rsid w:val="433C59C0"/>
    <w:rsid w:val="446412A3"/>
    <w:rsid w:val="44BF0A8A"/>
    <w:rsid w:val="44F65FCF"/>
    <w:rsid w:val="4501736F"/>
    <w:rsid w:val="45257E26"/>
    <w:rsid w:val="4539383F"/>
    <w:rsid w:val="45943191"/>
    <w:rsid w:val="45D82617"/>
    <w:rsid w:val="45F6242C"/>
    <w:rsid w:val="462124B4"/>
    <w:rsid w:val="464F76AD"/>
    <w:rsid w:val="46980DD0"/>
    <w:rsid w:val="46A80788"/>
    <w:rsid w:val="46F35C35"/>
    <w:rsid w:val="4710617D"/>
    <w:rsid w:val="476B6898"/>
    <w:rsid w:val="478873B5"/>
    <w:rsid w:val="47D413E7"/>
    <w:rsid w:val="48153B5F"/>
    <w:rsid w:val="484C1A0A"/>
    <w:rsid w:val="4869406E"/>
    <w:rsid w:val="48830B85"/>
    <w:rsid w:val="49043B76"/>
    <w:rsid w:val="495A02B4"/>
    <w:rsid w:val="49876B6B"/>
    <w:rsid w:val="49887151"/>
    <w:rsid w:val="49A2024D"/>
    <w:rsid w:val="4A2B3855"/>
    <w:rsid w:val="4AC00DAD"/>
    <w:rsid w:val="4B4D7E80"/>
    <w:rsid w:val="4B791F86"/>
    <w:rsid w:val="4B921E63"/>
    <w:rsid w:val="4C591E77"/>
    <w:rsid w:val="4C7F0637"/>
    <w:rsid w:val="4CE0596C"/>
    <w:rsid w:val="4CE85598"/>
    <w:rsid w:val="4CF84C4E"/>
    <w:rsid w:val="4E5677C2"/>
    <w:rsid w:val="4F92135D"/>
    <w:rsid w:val="501F3006"/>
    <w:rsid w:val="50323154"/>
    <w:rsid w:val="507B2251"/>
    <w:rsid w:val="50A56CB1"/>
    <w:rsid w:val="50F75B30"/>
    <w:rsid w:val="51083F80"/>
    <w:rsid w:val="511C0780"/>
    <w:rsid w:val="514364CA"/>
    <w:rsid w:val="5158736D"/>
    <w:rsid w:val="51DD1F7D"/>
    <w:rsid w:val="521D3487"/>
    <w:rsid w:val="52E70C90"/>
    <w:rsid w:val="53057695"/>
    <w:rsid w:val="532412F9"/>
    <w:rsid w:val="53267083"/>
    <w:rsid w:val="53560097"/>
    <w:rsid w:val="537318B8"/>
    <w:rsid w:val="53B847D3"/>
    <w:rsid w:val="53D84237"/>
    <w:rsid w:val="55860E7E"/>
    <w:rsid w:val="55EE6186"/>
    <w:rsid w:val="55FA15BC"/>
    <w:rsid w:val="565A573F"/>
    <w:rsid w:val="56946E99"/>
    <w:rsid w:val="56B6292D"/>
    <w:rsid w:val="56CF6775"/>
    <w:rsid w:val="57214BC9"/>
    <w:rsid w:val="573F0215"/>
    <w:rsid w:val="57751FD0"/>
    <w:rsid w:val="585616C2"/>
    <w:rsid w:val="588D2316"/>
    <w:rsid w:val="58A3081C"/>
    <w:rsid w:val="58BF7E8E"/>
    <w:rsid w:val="58F57508"/>
    <w:rsid w:val="592416C9"/>
    <w:rsid w:val="598968E8"/>
    <w:rsid w:val="5A071AA0"/>
    <w:rsid w:val="5A3C604D"/>
    <w:rsid w:val="5A4E660B"/>
    <w:rsid w:val="5A736072"/>
    <w:rsid w:val="5B9565D8"/>
    <w:rsid w:val="5BE65723"/>
    <w:rsid w:val="5D2B7707"/>
    <w:rsid w:val="5D2E072A"/>
    <w:rsid w:val="5DB24D4D"/>
    <w:rsid w:val="5DEB7187"/>
    <w:rsid w:val="5DF11390"/>
    <w:rsid w:val="5E407B16"/>
    <w:rsid w:val="5E804586"/>
    <w:rsid w:val="5EF0196D"/>
    <w:rsid w:val="5F9C57F8"/>
    <w:rsid w:val="600B3D23"/>
    <w:rsid w:val="60437E9C"/>
    <w:rsid w:val="604A6A92"/>
    <w:rsid w:val="60944AF6"/>
    <w:rsid w:val="609F3900"/>
    <w:rsid w:val="612078EC"/>
    <w:rsid w:val="61BD3D5D"/>
    <w:rsid w:val="61FD10E0"/>
    <w:rsid w:val="623F0FB7"/>
    <w:rsid w:val="62635DA5"/>
    <w:rsid w:val="62F66122"/>
    <w:rsid w:val="632E3718"/>
    <w:rsid w:val="637A3EB2"/>
    <w:rsid w:val="63A54572"/>
    <w:rsid w:val="63EB58B2"/>
    <w:rsid w:val="641F5CF2"/>
    <w:rsid w:val="64D434E5"/>
    <w:rsid w:val="65055220"/>
    <w:rsid w:val="65416DF5"/>
    <w:rsid w:val="659770B8"/>
    <w:rsid w:val="65983AA7"/>
    <w:rsid w:val="66626176"/>
    <w:rsid w:val="67453E13"/>
    <w:rsid w:val="677E5A48"/>
    <w:rsid w:val="67813DAE"/>
    <w:rsid w:val="67DD75BB"/>
    <w:rsid w:val="68370455"/>
    <w:rsid w:val="683733A7"/>
    <w:rsid w:val="68E933FD"/>
    <w:rsid w:val="691E4564"/>
    <w:rsid w:val="696C456C"/>
    <w:rsid w:val="69E06E5E"/>
    <w:rsid w:val="6A0E0E8E"/>
    <w:rsid w:val="6A2D1BDB"/>
    <w:rsid w:val="6A555A38"/>
    <w:rsid w:val="6A7B0148"/>
    <w:rsid w:val="6A7B0939"/>
    <w:rsid w:val="6B27595F"/>
    <w:rsid w:val="6B275F5B"/>
    <w:rsid w:val="6BC14D9E"/>
    <w:rsid w:val="6C5D58A2"/>
    <w:rsid w:val="6C900B04"/>
    <w:rsid w:val="6CA730A1"/>
    <w:rsid w:val="6D4A54F9"/>
    <w:rsid w:val="6D7039F3"/>
    <w:rsid w:val="6DBE1380"/>
    <w:rsid w:val="6E5F5053"/>
    <w:rsid w:val="6E7F7C41"/>
    <w:rsid w:val="6E95154C"/>
    <w:rsid w:val="6EC63D39"/>
    <w:rsid w:val="6F074D99"/>
    <w:rsid w:val="6F9B1CA8"/>
    <w:rsid w:val="6FBB41C0"/>
    <w:rsid w:val="6FC173B6"/>
    <w:rsid w:val="711E6265"/>
    <w:rsid w:val="71276C9E"/>
    <w:rsid w:val="715971F9"/>
    <w:rsid w:val="726D0121"/>
    <w:rsid w:val="72716347"/>
    <w:rsid w:val="728E34DF"/>
    <w:rsid w:val="73963B80"/>
    <w:rsid w:val="73E059D3"/>
    <w:rsid w:val="742C690D"/>
    <w:rsid w:val="74A71395"/>
    <w:rsid w:val="74F070B8"/>
    <w:rsid w:val="75013F35"/>
    <w:rsid w:val="757A47A1"/>
    <w:rsid w:val="75F8009A"/>
    <w:rsid w:val="76335CBD"/>
    <w:rsid w:val="7696308F"/>
    <w:rsid w:val="76981D6E"/>
    <w:rsid w:val="76D7312B"/>
    <w:rsid w:val="77677CF8"/>
    <w:rsid w:val="7824624A"/>
    <w:rsid w:val="78250582"/>
    <w:rsid w:val="78275595"/>
    <w:rsid w:val="78390D1A"/>
    <w:rsid w:val="785028B5"/>
    <w:rsid w:val="78744D31"/>
    <w:rsid w:val="78F86E42"/>
    <w:rsid w:val="7924533D"/>
    <w:rsid w:val="7931472C"/>
    <w:rsid w:val="794A032E"/>
    <w:rsid w:val="7AA453A4"/>
    <w:rsid w:val="7AE5394A"/>
    <w:rsid w:val="7B30512C"/>
    <w:rsid w:val="7B737E1A"/>
    <w:rsid w:val="7BA97EF7"/>
    <w:rsid w:val="7C661672"/>
    <w:rsid w:val="7CBE2C96"/>
    <w:rsid w:val="7CD60987"/>
    <w:rsid w:val="7D2E0502"/>
    <w:rsid w:val="7D9705BE"/>
    <w:rsid w:val="7DD02642"/>
    <w:rsid w:val="7DD10836"/>
    <w:rsid w:val="7DD90323"/>
    <w:rsid w:val="7E155678"/>
    <w:rsid w:val="7E7E4C5E"/>
    <w:rsid w:val="7E8D1BF1"/>
    <w:rsid w:val="7EAB7F3E"/>
    <w:rsid w:val="7EB00F88"/>
    <w:rsid w:val="7F57547E"/>
    <w:rsid w:val="7FC33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1"/>
    <w:pPr>
      <w:ind w:left="726"/>
      <w:outlineLvl w:val="0"/>
    </w:pPr>
    <w:rPr>
      <w:rFonts w:ascii="宋体" w:hAnsi="宋体"/>
      <w:sz w:val="38"/>
      <w:szCs w:val="38"/>
    </w:rPr>
  </w:style>
  <w:style w:type="paragraph" w:styleId="3">
    <w:name w:val="heading 2"/>
    <w:basedOn w:val="1"/>
    <w:next w:val="1"/>
    <w:qFormat/>
    <w:uiPriority w:val="9"/>
    <w:pPr>
      <w:keepNext/>
      <w:keepLines/>
      <w:spacing w:before="140" w:after="140"/>
      <w:outlineLvl w:val="1"/>
    </w:pPr>
    <w:rPr>
      <w:rFonts w:ascii="等线 Light" w:hAnsi="等线 Light" w:eastAsia="华文宋体"/>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line="200" w:lineRule="exact"/>
      <w:ind w:firstLine="301"/>
    </w:pPr>
    <w:rPr>
      <w:rFonts w:ascii="宋体" w:hAnsi="Courier New"/>
      <w:spacing w:val="-4"/>
      <w:sz w:val="18"/>
      <w:szCs w:val="20"/>
    </w:rPr>
  </w:style>
  <w:style w:type="paragraph" w:styleId="5">
    <w:name w:val="footer"/>
    <w:basedOn w:val="1"/>
    <w:link w:val="13"/>
    <w:qFormat/>
    <w:uiPriority w:val="0"/>
    <w:pPr>
      <w:tabs>
        <w:tab w:val="center" w:pos="4153"/>
        <w:tab w:val="right" w:pos="8306"/>
      </w:tabs>
      <w:snapToGrid w:val="0"/>
      <w:jc w:val="left"/>
    </w:pPr>
    <w:rPr>
      <w:rFonts w:ascii="Times New Roman" w:hAnsi="Times New Roman"/>
      <w:sz w:val="24"/>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Body Text First Indent 2"/>
    <w:basedOn w:val="4"/>
    <w:qFormat/>
    <w:uiPriority w:val="0"/>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customStyle="1" w:styleId="13">
    <w:name w:val="页脚 字符"/>
    <w:link w:val="5"/>
    <w:qFormat/>
    <w:uiPriority w:val="0"/>
    <w:rPr>
      <w:rFonts w:ascii="Times New Roman" w:hAnsi="Times New Roman" w:eastAsia="方正仿宋_GBK"/>
      <w:kern w:val="2"/>
      <w:sz w:val="24"/>
      <w:szCs w:val="18"/>
    </w:rPr>
  </w:style>
  <w:style w:type="character" w:customStyle="1" w:styleId="14">
    <w:name w:val="页眉 字符"/>
    <w:link w:val="6"/>
    <w:qFormat/>
    <w:uiPriority w:val="0"/>
    <w:rPr>
      <w:kern w:val="2"/>
      <w:sz w:val="18"/>
      <w:szCs w:val="18"/>
    </w:rPr>
  </w:style>
  <w:style w:type="paragraph" w:customStyle="1" w:styleId="15">
    <w:name w:val="正文带缩进"/>
    <w:basedOn w:val="1"/>
    <w:qFormat/>
    <w:uiPriority w:val="0"/>
    <w:pPr>
      <w:spacing w:line="360" w:lineRule="auto"/>
      <w:ind w:firstLine="200" w:firstLineChars="200"/>
    </w:pPr>
    <w:rPr>
      <w:rFonts w:ascii="宋体"/>
      <w:kern w:val="0"/>
      <w:sz w:val="20"/>
      <w:szCs w:val="20"/>
    </w:rPr>
  </w:style>
  <w:style w:type="paragraph" w:customStyle="1" w:styleId="16">
    <w:name w:val="BodyTextIndent"/>
    <w:basedOn w:val="1"/>
    <w:qFormat/>
    <w:uiPriority w:val="0"/>
    <w:pPr>
      <w:spacing w:line="360" w:lineRule="auto"/>
      <w:ind w:left="479" w:leftChars="228" w:firstLine="60" w:firstLineChars="25"/>
      <w:textAlignment w:val="bottom"/>
    </w:pPr>
    <w:rPr>
      <w:rFonts w:ascii="宋体" w:hAnsi="宋体"/>
      <w:color w:val="000000"/>
      <w:kern w:val="0"/>
      <w:sz w:val="24"/>
    </w:rPr>
  </w:style>
  <w:style w:type="character" w:customStyle="1" w:styleId="17">
    <w:name w:val="NormalCharacter"/>
    <w:qFormat/>
    <w:uiPriority w:val="0"/>
  </w:style>
  <w:style w:type="paragraph" w:customStyle="1" w:styleId="18">
    <w:name w:val="No Spacing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市水利局</Company>
  <Pages>10</Pages>
  <Words>577</Words>
  <Characters>3292</Characters>
  <Lines>27</Lines>
  <Paragraphs>7</Paragraphs>
  <TotalTime>13</TotalTime>
  <ScaleCrop>false</ScaleCrop>
  <LinksUpToDate>false</LinksUpToDate>
  <CharactersWithSpaces>3862</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2021-12-27T09:59:00Z</dcterms:created>
  <dc:creator>马睿豪</dc:creator>
  <cp:lastModifiedBy>JY1396957431</cp:lastModifiedBy>
  <cp:lastPrinted>2023-04-18T07:03:00Z</cp:lastPrinted>
  <dcterms:modified xsi:type="dcterms:W3CDTF">2023-06-06T02:15:13Z</dcterms:modified>
  <dc:title>惠州市河长制综合信息管理平台年度运行维护（2022年度）项目询价函</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A4F6C09E2859411AA0B5D76877E0CAC9_13</vt:lpwstr>
  </property>
</Properties>
</file>