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p>
    <w:p>
      <w:pPr>
        <w:pStyle w:val="38"/>
      </w:pPr>
    </w:p>
    <w:p>
      <w:pPr>
        <w:pStyle w:val="38"/>
      </w:pPr>
    </w:p>
    <w:p>
      <w:pPr>
        <w:pStyle w:val="38"/>
      </w:pPr>
    </w:p>
    <w:p>
      <w:pPr>
        <w:adjustRightInd w:val="0"/>
        <w:snapToGrid w:val="0"/>
        <w:jc w:val="center"/>
        <w:outlineLvl w:val="0"/>
        <w:rPr>
          <w:rFonts w:hint="eastAsia" w:ascii="方正小标宋_GBK" w:eastAsia="方正小标宋_GBK"/>
          <w:bCs/>
          <w:color w:val="auto"/>
          <w:sz w:val="72"/>
          <w:szCs w:val="72"/>
        </w:rPr>
      </w:pPr>
      <w:r>
        <w:rPr>
          <w:rFonts w:hint="eastAsia" w:ascii="方正小标宋_GBK" w:eastAsia="方正小标宋_GBK"/>
          <w:bCs/>
          <w:color w:val="auto"/>
          <w:sz w:val="72"/>
          <w:szCs w:val="72"/>
        </w:rPr>
        <w:t>建设项目环境影响报告表</w:t>
      </w:r>
    </w:p>
    <w:p>
      <w:pPr>
        <w:adjustRightInd w:val="0"/>
        <w:snapToGrid w:val="0"/>
        <w:spacing w:before="192" w:beforeLines="80"/>
        <w:jc w:val="center"/>
        <w:outlineLvl w:val="0"/>
        <w:rPr>
          <w:rFonts w:hint="eastAsia" w:ascii="楷体_GB2312" w:eastAsia="楷体_GB2312"/>
          <w:bCs/>
          <w:color w:val="auto"/>
          <w:sz w:val="48"/>
          <w:szCs w:val="48"/>
        </w:rPr>
      </w:pPr>
      <w:r>
        <w:rPr>
          <w:rFonts w:hint="eastAsia" w:ascii="楷体_GB2312" w:eastAsia="楷体_GB2312"/>
          <w:bCs/>
          <w:color w:val="auto"/>
          <w:sz w:val="48"/>
          <w:szCs w:val="48"/>
        </w:rPr>
        <w:t>（污染影响类）</w:t>
      </w:r>
    </w:p>
    <w:p>
      <w:pPr>
        <w:adjustRightInd w:val="0"/>
        <w:snapToGrid w:val="0"/>
        <w:spacing w:line="288" w:lineRule="auto"/>
        <w:jc w:val="center"/>
        <w:rPr>
          <w:rFonts w:ascii="华文仿宋" w:hAnsi="华文仿宋" w:eastAsia="华文仿宋" w:cs="华文仿宋"/>
          <w:color w:val="auto"/>
          <w:kern w:val="44"/>
          <w:sz w:val="44"/>
          <w:szCs w:val="44"/>
        </w:rPr>
      </w:pPr>
    </w:p>
    <w:p>
      <w:pPr>
        <w:ind w:firstLine="1040"/>
        <w:rPr>
          <w:rFonts w:eastAsia="仿宋"/>
          <w:color w:val="auto"/>
          <w:sz w:val="44"/>
          <w:szCs w:val="44"/>
        </w:rPr>
      </w:pPr>
    </w:p>
    <w:p>
      <w:pPr>
        <w:ind w:firstLine="1040"/>
        <w:rPr>
          <w:rFonts w:eastAsia="仿宋"/>
          <w:color w:val="auto"/>
          <w:sz w:val="44"/>
          <w:szCs w:val="44"/>
        </w:rPr>
      </w:pPr>
    </w:p>
    <w:p>
      <w:pPr>
        <w:ind w:firstLine="1040"/>
        <w:rPr>
          <w:rFonts w:eastAsia="仿宋"/>
          <w:color w:val="auto"/>
          <w:sz w:val="44"/>
          <w:szCs w:val="44"/>
        </w:rPr>
      </w:pPr>
    </w:p>
    <w:p>
      <w:pPr>
        <w:ind w:firstLine="1040"/>
        <w:rPr>
          <w:rFonts w:eastAsia="仿宋"/>
          <w:color w:val="auto"/>
          <w:sz w:val="44"/>
          <w:szCs w:val="44"/>
        </w:rPr>
      </w:pPr>
    </w:p>
    <w:p>
      <w:pPr>
        <w:adjustRightInd w:val="0"/>
        <w:snapToGrid w:val="0"/>
        <w:spacing w:line="288" w:lineRule="auto"/>
        <w:ind w:firstLine="1080" w:firstLineChars="300"/>
        <w:outlineLvl w:val="0"/>
        <w:rPr>
          <w:rFonts w:hint="default" w:ascii="仿宋_GB2312" w:eastAsia="仿宋_GB2312"/>
          <w:color w:val="auto"/>
          <w:sz w:val="36"/>
          <w:szCs w:val="36"/>
          <w:u w:val="single"/>
          <w:lang w:val="en-US" w:eastAsia="zh-CN"/>
        </w:rPr>
      </w:pPr>
      <w:r>
        <w:rPr>
          <w:rFonts w:hint="eastAsia" w:ascii="仿宋_GB2312" w:eastAsia="仿宋_GB2312"/>
          <w:color w:val="auto"/>
          <w:sz w:val="36"/>
          <w:szCs w:val="36"/>
        </w:rPr>
        <w:t>项目名称：</w:t>
      </w:r>
      <w:r>
        <w:rPr>
          <w:rFonts w:hint="eastAsia" w:ascii="仿宋_GB2312" w:eastAsia="仿宋_GB2312"/>
          <w:color w:val="auto"/>
          <w:sz w:val="36"/>
          <w:szCs w:val="36"/>
          <w:u w:val="single"/>
          <w:lang w:eastAsia="zh-CN"/>
        </w:rPr>
        <w:t>惠州冠联塑胶电子有限公司</w:t>
      </w:r>
      <w:r>
        <w:rPr>
          <w:rFonts w:hint="eastAsia" w:ascii="仿宋_GB2312" w:eastAsia="仿宋_GB2312"/>
          <w:color w:val="auto"/>
          <w:sz w:val="36"/>
          <w:szCs w:val="36"/>
          <w:u w:val="single"/>
          <w:lang w:val="en-US" w:eastAsia="zh-CN"/>
        </w:rPr>
        <w:t>扩建</w:t>
      </w:r>
      <w:r>
        <w:rPr>
          <w:rFonts w:hint="eastAsia" w:ascii="仿宋_GB2312" w:eastAsia="仿宋_GB2312"/>
          <w:color w:val="auto"/>
          <w:sz w:val="36"/>
          <w:szCs w:val="36"/>
          <w:u w:val="single"/>
          <w:lang w:eastAsia="zh-CN"/>
        </w:rPr>
        <w:t>项目</w:t>
      </w:r>
      <w:r>
        <w:rPr>
          <w:rFonts w:hint="eastAsia" w:ascii="仿宋_GB2312" w:eastAsia="仿宋_GB2312"/>
          <w:color w:val="auto"/>
          <w:sz w:val="36"/>
          <w:szCs w:val="36"/>
          <w:u w:val="single"/>
          <w:lang w:val="en-US" w:eastAsia="zh-CN"/>
        </w:rPr>
        <w:t xml:space="preserve">   </w:t>
      </w:r>
    </w:p>
    <w:p>
      <w:pPr>
        <w:adjustRightInd w:val="0"/>
        <w:snapToGrid w:val="0"/>
        <w:spacing w:line="288" w:lineRule="auto"/>
        <w:ind w:firstLine="1080" w:firstLineChars="300"/>
        <w:outlineLvl w:val="0"/>
        <w:rPr>
          <w:rFonts w:hint="default" w:ascii="仿宋_GB2312" w:eastAsia="仿宋_GB2312"/>
          <w:color w:val="auto"/>
          <w:sz w:val="36"/>
          <w:szCs w:val="36"/>
          <w:u w:val="single"/>
          <w:lang w:val="en-US" w:eastAsia="zh-CN"/>
        </w:rPr>
      </w:pPr>
      <w:r>
        <w:rPr>
          <w:rFonts w:hint="eastAsia" w:ascii="仿宋_GB2312" w:eastAsia="仿宋_GB2312"/>
          <w:color w:val="auto"/>
          <w:sz w:val="36"/>
          <w:szCs w:val="36"/>
        </w:rPr>
        <w:t>建设单位（盖章）：</w:t>
      </w:r>
      <w:r>
        <w:rPr>
          <w:rFonts w:hint="eastAsia" w:ascii="仿宋_GB2312" w:eastAsia="仿宋_GB2312"/>
          <w:color w:val="auto"/>
          <w:sz w:val="36"/>
          <w:szCs w:val="36"/>
          <w:u w:val="single"/>
          <w:lang w:eastAsia="zh-CN"/>
        </w:rPr>
        <w:t>惠州冠联塑胶电子有限公司</w:t>
      </w:r>
      <w:r>
        <w:rPr>
          <w:rFonts w:hint="eastAsia" w:ascii="仿宋_GB2312" w:eastAsia="仿宋_GB2312"/>
          <w:color w:val="auto"/>
          <w:sz w:val="36"/>
          <w:szCs w:val="36"/>
          <w:u w:val="single"/>
          <w:lang w:val="en-US" w:eastAsia="zh-CN"/>
        </w:rPr>
        <w:t xml:space="preserve">   </w:t>
      </w:r>
    </w:p>
    <w:p>
      <w:pPr>
        <w:adjustRightInd w:val="0"/>
        <w:snapToGrid w:val="0"/>
        <w:spacing w:line="288" w:lineRule="auto"/>
        <w:ind w:firstLine="1080" w:firstLineChars="300"/>
        <w:outlineLvl w:val="0"/>
        <w:rPr>
          <w:rFonts w:ascii="仿宋_GB2312" w:eastAsia="仿宋_GB2312"/>
          <w:color w:val="auto"/>
          <w:sz w:val="36"/>
          <w:szCs w:val="36"/>
          <w:u w:val="single"/>
        </w:rPr>
      </w:pPr>
      <w:r>
        <w:rPr>
          <w:rFonts w:hint="eastAsia" w:ascii="仿宋_GB2312" w:eastAsia="仿宋_GB2312"/>
          <w:color w:val="auto"/>
          <w:sz w:val="36"/>
          <w:szCs w:val="36"/>
        </w:rPr>
        <w:t>编制日期：</w:t>
      </w:r>
      <w:r>
        <w:rPr>
          <w:rFonts w:hint="eastAsia" w:ascii="仿宋_GB2312" w:eastAsia="仿宋_GB2312"/>
          <w:color w:val="auto"/>
          <w:sz w:val="36"/>
          <w:szCs w:val="36"/>
          <w:u w:val="single"/>
        </w:rPr>
        <w:t xml:space="preserve">  </w:t>
      </w:r>
      <w:r>
        <w:rPr>
          <w:rFonts w:ascii="仿宋_GB2312" w:eastAsia="仿宋_GB2312"/>
          <w:color w:val="auto"/>
          <w:sz w:val="36"/>
          <w:szCs w:val="36"/>
          <w:u w:val="single"/>
        </w:rPr>
        <w:t xml:space="preserve"> </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2023</w:t>
      </w:r>
      <w:r>
        <w:rPr>
          <w:rFonts w:hint="eastAsia" w:ascii="仿宋_GB2312" w:eastAsia="仿宋_GB2312"/>
          <w:color w:val="auto"/>
          <w:sz w:val="36"/>
          <w:szCs w:val="36"/>
          <w:u w:val="single"/>
        </w:rPr>
        <w:t>年</w:t>
      </w:r>
      <w:r>
        <w:rPr>
          <w:rFonts w:hint="eastAsia" w:ascii="仿宋_GB2312" w:eastAsia="仿宋_GB2312"/>
          <w:color w:val="auto"/>
          <w:sz w:val="36"/>
          <w:szCs w:val="36"/>
          <w:u w:val="single"/>
          <w:lang w:val="en-US" w:eastAsia="zh-CN"/>
        </w:rPr>
        <w:t>8</w:t>
      </w:r>
      <w:r>
        <w:rPr>
          <w:rFonts w:hint="eastAsia" w:ascii="仿宋_GB2312" w:eastAsia="仿宋_GB2312"/>
          <w:color w:val="auto"/>
          <w:sz w:val="36"/>
          <w:szCs w:val="36"/>
          <w:u w:val="single"/>
        </w:rPr>
        <w:t xml:space="preserve">月   </w:t>
      </w:r>
      <w:r>
        <w:rPr>
          <w:rFonts w:hint="eastAsia" w:ascii="仿宋_GB2312" w:eastAsia="仿宋_GB2312"/>
          <w:color w:val="auto"/>
          <w:sz w:val="36"/>
          <w:szCs w:val="36"/>
          <w:u w:val="single"/>
          <w:lang w:val="en-US" w:eastAsia="zh-CN"/>
        </w:rPr>
        <w:t xml:space="preserve">     </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p>
    <w:p>
      <w:pPr>
        <w:adjustRightInd w:val="0"/>
        <w:snapToGrid w:val="0"/>
        <w:spacing w:line="288" w:lineRule="auto"/>
        <w:ind w:firstLine="1040"/>
        <w:rPr>
          <w:rFonts w:ascii="仿宋_GB2312" w:eastAsia="仿宋_GB2312"/>
          <w:color w:val="auto"/>
          <w:sz w:val="36"/>
          <w:szCs w:val="36"/>
          <w:u w:val="single"/>
        </w:rPr>
      </w:pPr>
      <w:bookmarkStart w:id="0" w:name="_Hlk57884087"/>
    </w:p>
    <w:p>
      <w:pPr>
        <w:adjustRightInd w:val="0"/>
        <w:snapToGrid w:val="0"/>
        <w:spacing w:line="288" w:lineRule="auto"/>
        <w:ind w:firstLine="1040"/>
        <w:rPr>
          <w:rFonts w:ascii="仿宋_GB2312" w:eastAsia="仿宋_GB2312"/>
          <w:color w:val="auto"/>
          <w:sz w:val="36"/>
          <w:szCs w:val="36"/>
        </w:rPr>
      </w:pPr>
    </w:p>
    <w:p>
      <w:pPr>
        <w:adjustRightInd w:val="0"/>
        <w:snapToGrid w:val="0"/>
        <w:spacing w:line="288" w:lineRule="auto"/>
        <w:ind w:firstLine="1040"/>
        <w:jc w:val="left"/>
        <w:rPr>
          <w:rFonts w:ascii="仿宋_GB2312" w:eastAsia="仿宋_GB2312"/>
          <w:color w:val="auto"/>
          <w:sz w:val="36"/>
          <w:szCs w:val="36"/>
        </w:rPr>
      </w:pPr>
    </w:p>
    <w:p>
      <w:pPr>
        <w:adjustRightInd w:val="0"/>
        <w:snapToGrid w:val="0"/>
        <w:spacing w:line="288" w:lineRule="auto"/>
        <w:ind w:firstLine="1040"/>
        <w:rPr>
          <w:rFonts w:hint="eastAsia" w:ascii="仿宋_GB2312" w:eastAsia="仿宋_GB2312"/>
          <w:color w:val="auto"/>
          <w:sz w:val="36"/>
          <w:szCs w:val="36"/>
        </w:rPr>
      </w:pPr>
    </w:p>
    <w:p>
      <w:pPr>
        <w:adjustRightInd w:val="0"/>
        <w:snapToGrid w:val="0"/>
        <w:spacing w:line="288" w:lineRule="auto"/>
        <w:ind w:firstLine="1040"/>
        <w:rPr>
          <w:rFonts w:hint="eastAsia" w:ascii="仿宋_GB2312" w:eastAsia="仿宋_GB2312"/>
          <w:color w:val="auto"/>
          <w:sz w:val="36"/>
          <w:szCs w:val="36"/>
        </w:rPr>
      </w:pPr>
    </w:p>
    <w:bookmarkEnd w:id="0"/>
    <w:p>
      <w:pPr>
        <w:adjustRightInd w:val="0"/>
        <w:snapToGrid w:val="0"/>
        <w:spacing w:line="288" w:lineRule="auto"/>
        <w:jc w:val="center"/>
        <w:outlineLvl w:val="0"/>
        <w:rPr>
          <w:rFonts w:hint="eastAsia" w:ascii="楷体_GB2312" w:eastAsia="楷体_GB2312"/>
          <w:color w:val="auto"/>
          <w:sz w:val="36"/>
          <w:szCs w:val="36"/>
        </w:rPr>
      </w:pPr>
      <w:r>
        <w:rPr>
          <w:rFonts w:hint="eastAsia" w:ascii="楷体_GB2312" w:eastAsia="楷体_GB2312"/>
          <w:color w:val="auto"/>
          <w:sz w:val="36"/>
          <w:szCs w:val="36"/>
        </w:rPr>
        <w:t>中华人民共和国生态环境部制</w:t>
      </w:r>
    </w:p>
    <w:p>
      <w:pPr>
        <w:pStyle w:val="38"/>
      </w:pPr>
    </w:p>
    <w:p>
      <w:pPr>
        <w:pStyle w:val="38"/>
        <w:ind w:left="0" w:leftChars="0" w:firstLine="0" w:firstLineChars="0"/>
      </w:pPr>
    </w:p>
    <w:p>
      <w:pPr>
        <w:pStyle w:val="3"/>
        <w:rPr>
          <w:color w:val="auto"/>
        </w:rPr>
      </w:pPr>
      <w:r>
        <w:rPr>
          <w:rFonts w:hint="eastAsia"/>
          <w:color w:val="auto"/>
        </w:rPr>
        <w:t>一、建设项目基本情况</w:t>
      </w:r>
    </w:p>
    <w:tbl>
      <w:tblPr>
        <w:tblStyle w:val="29"/>
        <w:tblW w:w="499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26"/>
        <w:gridCol w:w="2781"/>
        <w:gridCol w:w="2598"/>
        <w:gridCol w:w="31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建设项目名称</w:t>
            </w:r>
          </w:p>
        </w:tc>
        <w:tc>
          <w:tcPr>
            <w:tcW w:w="4103" w:type="pct"/>
            <w:gridSpan w:val="3"/>
            <w:noWrap/>
            <w:vAlign w:val="center"/>
          </w:tcPr>
          <w:p>
            <w:pPr>
              <w:adjustRightInd w:val="0"/>
              <w:snapToGrid w:val="0"/>
              <w:spacing w:line="240" w:lineRule="auto"/>
              <w:jc w:val="center"/>
              <w:rPr>
                <w:rFonts w:hint="eastAsia" w:eastAsia="宋体"/>
                <w:color w:val="auto"/>
                <w:szCs w:val="21"/>
                <w:highlight w:val="none"/>
                <w:lang w:eastAsia="zh-CN"/>
              </w:rPr>
            </w:pPr>
            <w:r>
              <w:rPr>
                <w:rFonts w:hint="eastAsia"/>
                <w:color w:val="auto"/>
                <w:highlight w:val="none"/>
                <w:lang w:eastAsia="zh-CN"/>
              </w:rPr>
              <w:t>惠州冠联塑胶电子有限公司扩建项目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项目代码</w:t>
            </w:r>
          </w:p>
        </w:tc>
        <w:tc>
          <w:tcPr>
            <w:tcW w:w="4103" w:type="pct"/>
            <w:gridSpan w:val="3"/>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BF9000" w:themeColor="accent4" w:themeShade="BF"/>
                <w:szCs w:val="21"/>
                <w:highlight w:val="none"/>
              </w:rPr>
              <w:t>2307-441322-04-01-189210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建设单位联系人</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c>
          <w:tcPr>
            <w:tcW w:w="1255" w:type="pct"/>
            <w:noWrap/>
            <w:vAlign w:val="center"/>
          </w:tcPr>
          <w:p>
            <w:pPr>
              <w:adjustRightInd w:val="0"/>
              <w:snapToGrid w:val="0"/>
              <w:spacing w:line="240" w:lineRule="auto"/>
              <w:jc w:val="center"/>
              <w:rPr>
                <w:color w:val="auto"/>
                <w:szCs w:val="21"/>
                <w:highlight w:val="none"/>
              </w:rPr>
            </w:pPr>
            <w:r>
              <w:rPr>
                <w:rFonts w:hint="eastAsia"/>
                <w:color w:val="auto"/>
                <w:highlight w:val="none"/>
              </w:rPr>
              <w:t>联系方式</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bookmarkStart w:id="2" w:name="_GoBack"/>
            <w:bookmarkEnd w:id="2"/>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建设地点</w:t>
            </w:r>
          </w:p>
        </w:tc>
        <w:tc>
          <w:tcPr>
            <w:tcW w:w="4103" w:type="pct"/>
            <w:gridSpan w:val="3"/>
            <w:noWrap/>
            <w:vAlign w:val="center"/>
          </w:tcPr>
          <w:p>
            <w:pPr>
              <w:adjustRightInd w:val="0"/>
              <w:snapToGrid w:val="0"/>
              <w:spacing w:line="240" w:lineRule="auto"/>
              <w:jc w:val="center"/>
              <w:rPr>
                <w:rFonts w:hint="eastAsia" w:eastAsia="宋体"/>
                <w:color w:val="auto"/>
                <w:szCs w:val="21"/>
                <w:highlight w:val="none"/>
                <w:lang w:eastAsia="zh-CN"/>
              </w:rPr>
            </w:pPr>
            <w:r>
              <w:rPr>
                <w:color w:val="auto"/>
                <w:szCs w:val="21"/>
                <w:highlight w:val="none"/>
                <w:u w:val="single"/>
              </w:rPr>
              <w:t>广东</w:t>
            </w:r>
            <w:r>
              <w:rPr>
                <w:color w:val="auto"/>
                <w:szCs w:val="21"/>
                <w:highlight w:val="none"/>
              </w:rPr>
              <w:t>省</w:t>
            </w:r>
            <w:r>
              <w:rPr>
                <w:color w:val="auto"/>
                <w:szCs w:val="21"/>
                <w:highlight w:val="none"/>
                <w:u w:val="single"/>
              </w:rPr>
              <w:t>惠州</w:t>
            </w:r>
            <w:r>
              <w:rPr>
                <w:color w:val="auto"/>
                <w:szCs w:val="21"/>
                <w:highlight w:val="none"/>
              </w:rPr>
              <w:t>市</w:t>
            </w:r>
            <w:r>
              <w:rPr>
                <w:rFonts w:hint="eastAsia"/>
                <w:color w:val="auto"/>
                <w:kern w:val="21"/>
                <w:szCs w:val="21"/>
                <w:highlight w:val="none"/>
                <w:u w:val="single"/>
                <w:lang w:val="en-US" w:eastAsia="zh-CN"/>
              </w:rPr>
              <w:t>博罗</w:t>
            </w:r>
            <w:r>
              <w:rPr>
                <w:rFonts w:hint="eastAsia"/>
                <w:color w:val="auto"/>
                <w:szCs w:val="21"/>
                <w:highlight w:val="none"/>
                <w:lang w:val="en-US" w:eastAsia="zh-CN"/>
              </w:rPr>
              <w:t>县</w:t>
            </w:r>
            <w:r>
              <w:rPr>
                <w:rFonts w:hint="eastAsia"/>
                <w:color w:val="auto"/>
                <w:kern w:val="21"/>
                <w:szCs w:val="21"/>
                <w:highlight w:val="none"/>
                <w:u w:val="single"/>
                <w:lang w:val="en-US" w:eastAsia="zh-CN"/>
              </w:rPr>
              <w:t>石湾</w:t>
            </w:r>
            <w:r>
              <w:rPr>
                <w:rFonts w:hint="eastAsia"/>
                <w:color w:val="auto"/>
                <w:kern w:val="21"/>
                <w:szCs w:val="21"/>
                <w:highlight w:val="none"/>
                <w:lang w:val="en-US" w:eastAsia="zh-CN"/>
              </w:rPr>
              <w:t>镇</w:t>
            </w:r>
            <w:r>
              <w:rPr>
                <w:rFonts w:hint="eastAsia"/>
                <w:color w:val="auto"/>
                <w:szCs w:val="21"/>
                <w:highlight w:val="none"/>
                <w:u w:val="single"/>
              </w:rPr>
              <w:t>南亚北路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地理坐标</w:t>
            </w:r>
          </w:p>
        </w:tc>
        <w:tc>
          <w:tcPr>
            <w:tcW w:w="4103" w:type="pct"/>
            <w:gridSpan w:val="3"/>
            <w:noWrap/>
            <w:vAlign w:val="center"/>
          </w:tcPr>
          <w:p>
            <w:pPr>
              <w:spacing w:line="240" w:lineRule="auto"/>
              <w:jc w:val="center"/>
              <w:rPr>
                <w:color w:val="auto"/>
                <w:szCs w:val="21"/>
                <w:highlight w:val="none"/>
              </w:rPr>
            </w:pPr>
            <w:r>
              <w:rPr>
                <w:color w:val="auto"/>
                <w:szCs w:val="21"/>
                <w:highlight w:val="none"/>
              </w:rPr>
              <w:t>（</w:t>
            </w:r>
            <w:r>
              <w:rPr>
                <w:rFonts w:hint="default" w:ascii="Times New Roman" w:hAnsi="Times New Roman" w:eastAsia="宋体" w:cs="Times New Roman"/>
                <w:color w:val="auto"/>
                <w:sz w:val="24"/>
                <w:szCs w:val="24"/>
                <w:highlight w:val="none"/>
                <w:u w:val="single"/>
                <w:shd w:val="clear" w:color="auto" w:fill="auto"/>
                <w:lang w:val="en-US" w:eastAsia="zh-CN"/>
              </w:rPr>
              <w:t>11</w:t>
            </w:r>
            <w:r>
              <w:rPr>
                <w:rFonts w:hint="eastAsia" w:cs="Times New Roman"/>
                <w:color w:val="auto"/>
                <w:sz w:val="24"/>
                <w:szCs w:val="24"/>
                <w:highlight w:val="none"/>
                <w:u w:val="single"/>
                <w:shd w:val="clear" w:color="auto" w:fill="auto"/>
                <w:lang w:val="en-US" w:eastAsia="zh-CN"/>
              </w:rPr>
              <w:t>3</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度</w:t>
            </w:r>
            <w:r>
              <w:rPr>
                <w:rFonts w:hint="default" w:ascii="Times New Roman" w:hAnsi="Times New Roman" w:eastAsia="宋体" w:cs="Times New Roman"/>
                <w:color w:val="auto"/>
                <w:sz w:val="24"/>
                <w:szCs w:val="24"/>
                <w:highlight w:val="none"/>
                <w:u w:val="single"/>
                <w:shd w:val="clear" w:color="auto" w:fill="auto"/>
              </w:rPr>
              <w:t xml:space="preserve"> </w:t>
            </w:r>
            <w:r>
              <w:rPr>
                <w:rFonts w:hint="eastAsia" w:cs="Times New Roman"/>
                <w:color w:val="auto"/>
                <w:sz w:val="24"/>
                <w:szCs w:val="24"/>
                <w:highlight w:val="none"/>
                <w:u w:val="single"/>
                <w:shd w:val="clear" w:color="auto" w:fill="auto"/>
                <w:lang w:val="en-US" w:eastAsia="zh-CN"/>
              </w:rPr>
              <w:t>53</w:t>
            </w:r>
            <w:r>
              <w:rPr>
                <w:rFonts w:hint="default" w:ascii="Times New Roman" w:hAnsi="Times New Roman" w:eastAsia="宋体" w:cs="Times New Roman"/>
                <w:color w:val="auto"/>
                <w:sz w:val="24"/>
                <w:szCs w:val="24"/>
                <w:highlight w:val="none"/>
                <w:shd w:val="clear" w:color="auto" w:fill="auto"/>
              </w:rPr>
              <w:t>分</w:t>
            </w:r>
            <w:r>
              <w:rPr>
                <w:rFonts w:hint="default" w:ascii="Times New Roman" w:hAnsi="Times New Roman" w:eastAsia="宋体" w:cs="Times New Roman"/>
                <w:color w:val="auto"/>
                <w:sz w:val="24"/>
                <w:szCs w:val="24"/>
                <w:highlight w:val="none"/>
                <w:u w:val="single"/>
                <w:shd w:val="clear" w:color="auto" w:fill="auto"/>
              </w:rPr>
              <w:t xml:space="preserve"> 39.808 </w:t>
            </w:r>
            <w:r>
              <w:rPr>
                <w:rFonts w:hint="default" w:ascii="Times New Roman" w:hAnsi="Times New Roman" w:eastAsia="宋体" w:cs="Times New Roman"/>
                <w:color w:val="auto"/>
                <w:sz w:val="24"/>
                <w:szCs w:val="24"/>
                <w:highlight w:val="none"/>
                <w:shd w:val="clear" w:color="auto" w:fill="auto"/>
              </w:rPr>
              <w:t>秒</w:t>
            </w:r>
            <w:r>
              <w:rPr>
                <w:color w:val="auto"/>
                <w:sz w:val="24"/>
                <w:szCs w:val="24"/>
                <w:highlight w:val="none"/>
              </w:rPr>
              <w:t>，</w:t>
            </w:r>
            <w:r>
              <w:rPr>
                <w:rFonts w:hint="default" w:ascii="Times New Roman" w:hAnsi="Times New Roman" w:eastAsia="宋体" w:cs="Times New Roman"/>
                <w:color w:val="auto"/>
                <w:sz w:val="24"/>
                <w:szCs w:val="24"/>
                <w:highlight w:val="none"/>
                <w:u w:val="single"/>
                <w:shd w:val="clear" w:color="auto" w:fill="auto"/>
                <w:lang w:val="en-US" w:eastAsia="zh-CN"/>
              </w:rPr>
              <w:t>23</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度</w:t>
            </w:r>
            <w:r>
              <w:rPr>
                <w:rFonts w:hint="default" w:ascii="Times New Roman" w:hAnsi="Times New Roman" w:eastAsia="宋体" w:cs="Times New Roman"/>
                <w:color w:val="auto"/>
                <w:sz w:val="24"/>
                <w:szCs w:val="24"/>
                <w:highlight w:val="none"/>
                <w:u w:val="single"/>
                <w:shd w:val="clear" w:color="auto" w:fill="auto"/>
              </w:rPr>
              <w:t xml:space="preserve"> </w:t>
            </w:r>
            <w:r>
              <w:rPr>
                <w:rFonts w:hint="eastAsia" w:cs="Times New Roman"/>
                <w:color w:val="auto"/>
                <w:sz w:val="24"/>
                <w:szCs w:val="24"/>
                <w:highlight w:val="none"/>
                <w:u w:val="single"/>
                <w:shd w:val="clear" w:color="auto" w:fill="auto"/>
                <w:lang w:val="en-US" w:eastAsia="zh-CN"/>
              </w:rPr>
              <w:t>8</w:t>
            </w:r>
            <w:r>
              <w:rPr>
                <w:rFonts w:hint="default" w:ascii="Times New Roman" w:hAnsi="Times New Roman" w:eastAsia="宋体" w:cs="Times New Roman"/>
                <w:color w:val="auto"/>
                <w:sz w:val="24"/>
                <w:szCs w:val="24"/>
                <w:highlight w:val="none"/>
                <w:shd w:val="clear" w:color="auto" w:fill="auto"/>
              </w:rPr>
              <w:t>分</w:t>
            </w:r>
            <w:r>
              <w:rPr>
                <w:rFonts w:hint="default" w:ascii="Times New Roman" w:hAnsi="Times New Roman" w:eastAsia="宋体" w:cs="Times New Roman"/>
                <w:color w:val="auto"/>
                <w:sz w:val="24"/>
                <w:szCs w:val="24"/>
                <w:highlight w:val="none"/>
                <w:u w:val="single"/>
                <w:shd w:val="clear" w:color="auto" w:fill="auto"/>
              </w:rPr>
              <w:t xml:space="preserve"> </w:t>
            </w:r>
            <w:r>
              <w:rPr>
                <w:rFonts w:hint="eastAsia"/>
                <w:color w:val="auto"/>
                <w:szCs w:val="21"/>
                <w:highlight w:val="none"/>
                <w:u w:val="single"/>
              </w:rPr>
              <w:t>17.860</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秒</w:t>
            </w:r>
            <w:r>
              <w:rPr>
                <w:color w:val="auto"/>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国民经济行业类别</w:t>
            </w:r>
          </w:p>
        </w:tc>
        <w:tc>
          <w:tcPr>
            <w:tcW w:w="1343" w:type="pct"/>
            <w:noWrap/>
            <w:vAlign w:val="center"/>
          </w:tcPr>
          <w:p>
            <w:pPr>
              <w:adjustRightInd w:val="0"/>
              <w:snapToGrid w:val="0"/>
              <w:spacing w:line="240" w:lineRule="auto"/>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C2929塑料零件及其他塑料制品制造</w:t>
            </w:r>
          </w:p>
          <w:p>
            <w:pPr>
              <w:adjustRightInd w:val="0"/>
              <w:snapToGrid w:val="0"/>
              <w:spacing w:line="240" w:lineRule="auto"/>
              <w:jc w:val="center"/>
              <w:rPr>
                <w:rFonts w:hint="eastAsia" w:eastAsia="宋体"/>
                <w:color w:val="auto"/>
                <w:szCs w:val="21"/>
                <w:highlight w:val="none"/>
                <w:lang w:eastAsia="zh-CN"/>
              </w:rPr>
            </w:pPr>
            <w:r>
              <w:rPr>
                <w:rFonts w:hint="eastAsia" w:ascii="Times New Roman" w:hAnsi="Times New Roman" w:eastAsia="宋体" w:cs="Times New Roman"/>
                <w:color w:val="auto"/>
                <w:szCs w:val="21"/>
                <w:highlight w:val="none"/>
              </w:rPr>
              <w:t>C3525模具制造</w:t>
            </w:r>
          </w:p>
        </w:tc>
        <w:tc>
          <w:tcPr>
            <w:tcW w:w="1255" w:type="pct"/>
            <w:noWrap/>
            <w:vAlign w:val="center"/>
          </w:tcPr>
          <w:p>
            <w:pPr>
              <w:adjustRightInd w:val="0"/>
              <w:snapToGrid w:val="0"/>
              <w:spacing w:line="240" w:lineRule="auto"/>
              <w:jc w:val="center"/>
              <w:rPr>
                <w:color w:val="auto"/>
                <w:szCs w:val="21"/>
                <w:highlight w:val="none"/>
              </w:rPr>
            </w:pPr>
            <w:bookmarkStart w:id="1" w:name="_Hlk49843745"/>
            <w:r>
              <w:rPr>
                <w:color w:val="auto"/>
                <w:szCs w:val="21"/>
                <w:highlight w:val="none"/>
              </w:rPr>
              <w:t>建设项目</w:t>
            </w:r>
          </w:p>
          <w:p>
            <w:pPr>
              <w:adjustRightInd w:val="0"/>
              <w:snapToGrid w:val="0"/>
              <w:spacing w:line="240" w:lineRule="auto"/>
              <w:jc w:val="center"/>
              <w:rPr>
                <w:color w:val="auto"/>
                <w:szCs w:val="21"/>
                <w:highlight w:val="none"/>
              </w:rPr>
            </w:pPr>
            <w:r>
              <w:rPr>
                <w:color w:val="auto"/>
                <w:szCs w:val="21"/>
                <w:highlight w:val="none"/>
              </w:rPr>
              <w:t>行业类别</w:t>
            </w:r>
            <w:bookmarkEnd w:id="1"/>
          </w:p>
        </w:tc>
        <w:tc>
          <w:tcPr>
            <w:tcW w:w="1505" w:type="pct"/>
            <w:noWrap/>
            <w:vAlign w:val="center"/>
          </w:tcPr>
          <w:p>
            <w:pPr>
              <w:adjustRightInd w:val="0"/>
              <w:snapToGrid w:val="0"/>
              <w:spacing w:line="240" w:lineRule="auto"/>
              <w:jc w:val="center"/>
              <w:rPr>
                <w:rFonts w:hint="eastAsia"/>
                <w:color w:val="auto"/>
                <w:szCs w:val="21"/>
                <w:highlight w:val="none"/>
              </w:rPr>
            </w:pPr>
            <w:r>
              <w:rPr>
                <w:rFonts w:hint="eastAsia"/>
                <w:color w:val="auto"/>
                <w:szCs w:val="21"/>
                <w:highlight w:val="none"/>
              </w:rPr>
              <w:t>53 塑料制品业 292</w:t>
            </w:r>
          </w:p>
          <w:p>
            <w:pPr>
              <w:adjustRightInd w:val="0"/>
              <w:snapToGrid w:val="0"/>
              <w:spacing w:line="240" w:lineRule="auto"/>
              <w:jc w:val="center"/>
              <w:rPr>
                <w:color w:val="auto"/>
                <w:szCs w:val="21"/>
                <w:highlight w:val="none"/>
              </w:rPr>
            </w:pPr>
            <w:r>
              <w:rPr>
                <w:rFonts w:hint="eastAsia"/>
                <w:color w:val="auto"/>
                <w:szCs w:val="21"/>
                <w:highlight w:val="none"/>
              </w:rPr>
              <w:t>70 化工、木材、非金属加工专业设备制造 352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建设性质</w:t>
            </w:r>
          </w:p>
        </w:tc>
        <w:tc>
          <w:tcPr>
            <w:tcW w:w="1343" w:type="pct"/>
            <w:noWrap/>
            <w:vAlign w:val="center"/>
          </w:tcPr>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新建（迁建）</w:t>
            </w:r>
          </w:p>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改建</w:t>
            </w:r>
          </w:p>
          <w:p>
            <w:pPr>
              <w:spacing w:line="240" w:lineRule="auto"/>
              <w:jc w:val="left"/>
              <w:rPr>
                <w:rFonts w:hint="eastAsia" w:eastAsia="宋体"/>
                <w:color w:val="auto"/>
                <w:szCs w:val="21"/>
                <w:highlight w:val="none"/>
                <w:lang w:eastAsia="zh-CN"/>
              </w:rPr>
            </w:pPr>
            <w:r>
              <w:rPr>
                <w:rFonts w:hint="eastAsia"/>
                <w:color w:val="auto"/>
                <w:szCs w:val="21"/>
                <w:highlight w:val="none"/>
                <w:lang w:eastAsia="zh-CN"/>
              </w:rPr>
              <w:t>☑扩建</w:t>
            </w:r>
          </w:p>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技术改造</w:t>
            </w:r>
          </w:p>
        </w:tc>
        <w:tc>
          <w:tcPr>
            <w:tcW w:w="1255" w:type="pct"/>
            <w:noWrap/>
            <w:vAlign w:val="center"/>
          </w:tcPr>
          <w:p>
            <w:pPr>
              <w:adjustRightInd w:val="0"/>
              <w:snapToGrid w:val="0"/>
              <w:spacing w:line="240" w:lineRule="auto"/>
              <w:jc w:val="center"/>
              <w:rPr>
                <w:color w:val="auto"/>
                <w:szCs w:val="21"/>
                <w:highlight w:val="none"/>
              </w:rPr>
            </w:pPr>
            <w:r>
              <w:rPr>
                <w:color w:val="auto"/>
                <w:szCs w:val="21"/>
                <w:highlight w:val="none"/>
              </w:rPr>
              <w:t>建设项目</w:t>
            </w:r>
          </w:p>
          <w:p>
            <w:pPr>
              <w:adjustRightInd w:val="0"/>
              <w:snapToGrid w:val="0"/>
              <w:spacing w:line="240" w:lineRule="auto"/>
              <w:jc w:val="center"/>
              <w:rPr>
                <w:color w:val="auto"/>
                <w:szCs w:val="21"/>
                <w:highlight w:val="none"/>
              </w:rPr>
            </w:pPr>
            <w:r>
              <w:rPr>
                <w:color w:val="auto"/>
                <w:szCs w:val="21"/>
                <w:highlight w:val="none"/>
              </w:rPr>
              <w:t>申报情形</w:t>
            </w:r>
          </w:p>
        </w:tc>
        <w:tc>
          <w:tcPr>
            <w:tcW w:w="1505" w:type="pct"/>
            <w:noWrap/>
            <w:vAlign w:val="center"/>
          </w:tcPr>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 xml:space="preserve">首次申报项目            </w:t>
            </w:r>
          </w:p>
          <w:p>
            <w:pPr>
              <w:spacing w:line="240" w:lineRule="auto"/>
              <w:jc w:val="left"/>
              <w:rPr>
                <w:color w:val="auto"/>
                <w:szCs w:val="21"/>
                <w:highlight w:val="none"/>
              </w:rPr>
            </w:pPr>
            <w:r>
              <w:rPr>
                <w:color w:val="auto"/>
                <w:szCs w:val="21"/>
                <w:highlight w:val="none"/>
              </w:rPr>
              <w:t>□不予批准后再次申报项目</w:t>
            </w:r>
          </w:p>
          <w:p>
            <w:pPr>
              <w:spacing w:line="240" w:lineRule="auto"/>
              <w:jc w:val="left"/>
              <w:rPr>
                <w:color w:val="auto"/>
                <w:szCs w:val="21"/>
                <w:highlight w:val="none"/>
              </w:rPr>
            </w:pPr>
            <w:r>
              <w:rPr>
                <w:color w:val="auto"/>
                <w:szCs w:val="21"/>
                <w:highlight w:val="none"/>
              </w:rPr>
              <w:t xml:space="preserve">□超五年重新审核项目     </w:t>
            </w:r>
          </w:p>
          <w:p>
            <w:pPr>
              <w:spacing w:line="240" w:lineRule="auto"/>
              <w:jc w:val="left"/>
              <w:rPr>
                <w:color w:val="auto"/>
                <w:szCs w:val="21"/>
                <w:highlight w:val="none"/>
              </w:rPr>
            </w:pPr>
            <w:r>
              <w:rPr>
                <w:color w:val="auto"/>
                <w:szCs w:val="21"/>
                <w:highlight w:val="none"/>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72"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项目审批（核准/备案）部门</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c>
          <w:tcPr>
            <w:tcW w:w="1255" w:type="pct"/>
            <w:noWrap/>
            <w:vAlign w:val="center"/>
          </w:tcPr>
          <w:p>
            <w:pPr>
              <w:adjustRightInd w:val="0"/>
              <w:snapToGrid w:val="0"/>
              <w:spacing w:line="240" w:lineRule="auto"/>
              <w:jc w:val="center"/>
              <w:rPr>
                <w:color w:val="auto"/>
                <w:szCs w:val="21"/>
                <w:highlight w:val="none"/>
              </w:rPr>
            </w:pPr>
            <w:r>
              <w:rPr>
                <w:color w:val="auto"/>
                <w:szCs w:val="21"/>
                <w:highlight w:val="none"/>
              </w:rPr>
              <w:t>项目审批（核准/</w:t>
            </w:r>
          </w:p>
          <w:p>
            <w:pPr>
              <w:adjustRightInd w:val="0"/>
              <w:snapToGrid w:val="0"/>
              <w:spacing w:line="240" w:lineRule="auto"/>
              <w:jc w:val="center"/>
              <w:rPr>
                <w:color w:val="auto"/>
                <w:szCs w:val="21"/>
                <w:highlight w:val="none"/>
              </w:rPr>
            </w:pPr>
            <w:r>
              <w:rPr>
                <w:color w:val="auto"/>
                <w:szCs w:val="21"/>
                <w:highlight w:val="none"/>
              </w:rPr>
              <w:t>备案）文号</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45"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总投资（万元）</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745.60</w:t>
            </w:r>
          </w:p>
        </w:tc>
        <w:tc>
          <w:tcPr>
            <w:tcW w:w="1255" w:type="pct"/>
            <w:noWrap/>
            <w:tcMar>
              <w:top w:w="16" w:type="dxa"/>
              <w:left w:w="16" w:type="dxa"/>
              <w:right w:w="16" w:type="dxa"/>
            </w:tcMar>
            <w:vAlign w:val="center"/>
          </w:tcPr>
          <w:p>
            <w:pPr>
              <w:adjustRightInd w:val="0"/>
              <w:snapToGrid w:val="0"/>
              <w:spacing w:line="240" w:lineRule="auto"/>
              <w:jc w:val="center"/>
              <w:rPr>
                <w:color w:val="auto"/>
                <w:szCs w:val="21"/>
                <w:highlight w:val="none"/>
              </w:rPr>
            </w:pPr>
            <w:r>
              <w:rPr>
                <w:color w:val="auto"/>
                <w:szCs w:val="21"/>
                <w:highlight w:val="none"/>
              </w:rPr>
              <w:t>环保投资（万元）</w:t>
            </w:r>
          </w:p>
        </w:tc>
        <w:tc>
          <w:tcPr>
            <w:tcW w:w="1505" w:type="pct"/>
            <w:noWrap/>
            <w:vAlign w:val="center"/>
          </w:tcPr>
          <w:p>
            <w:pPr>
              <w:adjustRightInd w:val="0"/>
              <w:snapToGrid w:val="0"/>
              <w:spacing w:line="240" w:lineRule="auto"/>
              <w:jc w:val="center"/>
              <w:rPr>
                <w:rFonts w:hint="default"/>
                <w:color w:val="auto"/>
                <w:szCs w:val="21"/>
                <w:highlight w:val="none"/>
                <w:lang w:val="en-US"/>
              </w:rPr>
            </w:pPr>
            <w:r>
              <w:rPr>
                <w:rFonts w:hint="eastAsia"/>
                <w:color w:val="auto"/>
                <w:szCs w:val="21"/>
                <w:highlight w:val="none"/>
                <w:lang w:val="en-US" w:eastAsia="zh-CN"/>
              </w:rPr>
              <w:t>50.00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95"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环保投资占比（%）</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6.7</w:t>
            </w:r>
          </w:p>
        </w:tc>
        <w:tc>
          <w:tcPr>
            <w:tcW w:w="1255" w:type="pct"/>
            <w:noWrap/>
            <w:tcMar>
              <w:top w:w="16" w:type="dxa"/>
              <w:left w:w="16" w:type="dxa"/>
              <w:right w:w="16" w:type="dxa"/>
            </w:tcMar>
            <w:vAlign w:val="center"/>
          </w:tcPr>
          <w:p>
            <w:pPr>
              <w:adjustRightInd w:val="0"/>
              <w:snapToGrid w:val="0"/>
              <w:spacing w:line="240" w:lineRule="auto"/>
              <w:jc w:val="center"/>
              <w:rPr>
                <w:color w:val="auto"/>
                <w:szCs w:val="21"/>
                <w:highlight w:val="none"/>
              </w:rPr>
            </w:pPr>
            <w:r>
              <w:rPr>
                <w:color w:val="auto"/>
                <w:szCs w:val="21"/>
                <w:highlight w:val="none"/>
              </w:rPr>
              <w:t>施工工期</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11"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是否开工建设</w:t>
            </w:r>
          </w:p>
        </w:tc>
        <w:tc>
          <w:tcPr>
            <w:tcW w:w="1343" w:type="pct"/>
            <w:noWrap/>
            <w:vAlign w:val="center"/>
          </w:tcPr>
          <w:p>
            <w:pPr>
              <w:adjustRightInd w:val="0"/>
              <w:snapToGrid w:val="0"/>
              <w:spacing w:line="240" w:lineRule="auto"/>
              <w:rPr>
                <w:color w:val="auto"/>
                <w:szCs w:val="21"/>
                <w:highlight w:val="none"/>
              </w:rPr>
            </w:pPr>
            <w:r>
              <w:rPr>
                <w:rFonts w:hint="eastAsia"/>
                <w:color w:val="auto"/>
                <w:szCs w:val="21"/>
                <w:highlight w:val="none"/>
                <w:lang w:eastAsia="zh-CN"/>
              </w:rPr>
              <w:t>☑</w:t>
            </w:r>
            <w:r>
              <w:rPr>
                <w:color w:val="auto"/>
                <w:szCs w:val="21"/>
                <w:highlight w:val="none"/>
              </w:rPr>
              <w:t>否</w:t>
            </w:r>
          </w:p>
          <w:p>
            <w:pPr>
              <w:adjustRightInd w:val="0"/>
              <w:snapToGrid w:val="0"/>
              <w:spacing w:line="240" w:lineRule="auto"/>
              <w:rPr>
                <w:color w:val="auto"/>
                <w:szCs w:val="21"/>
                <w:highlight w:val="none"/>
              </w:rPr>
            </w:pPr>
            <w:r>
              <w:rPr>
                <w:color w:val="auto"/>
                <w:szCs w:val="21"/>
                <w:highlight w:val="none"/>
              </w:rPr>
              <w:sym w:font="Wingdings 2" w:char="00A3"/>
            </w:r>
            <w:r>
              <w:rPr>
                <w:color w:val="auto"/>
                <w:szCs w:val="21"/>
                <w:highlight w:val="none"/>
              </w:rPr>
              <w:t>是：</w:t>
            </w:r>
          </w:p>
        </w:tc>
        <w:tc>
          <w:tcPr>
            <w:tcW w:w="1255" w:type="pct"/>
            <w:noWrap/>
            <w:tcMar>
              <w:top w:w="16" w:type="dxa"/>
              <w:left w:w="16" w:type="dxa"/>
              <w:right w:w="16" w:type="dxa"/>
            </w:tcMar>
            <w:vAlign w:val="center"/>
          </w:tcPr>
          <w:p>
            <w:pPr>
              <w:adjustRightInd w:val="0"/>
              <w:snapToGrid w:val="0"/>
              <w:spacing w:line="240" w:lineRule="auto"/>
              <w:jc w:val="center"/>
              <w:rPr>
                <w:color w:val="auto"/>
                <w:spacing w:val="-6"/>
                <w:szCs w:val="21"/>
                <w:highlight w:val="none"/>
              </w:rPr>
            </w:pPr>
            <w:r>
              <w:rPr>
                <w:color w:val="auto"/>
                <w:spacing w:val="-6"/>
                <w:szCs w:val="21"/>
                <w:highlight w:val="none"/>
              </w:rPr>
              <w:t>用地（用海）</w:t>
            </w:r>
          </w:p>
          <w:p>
            <w:pPr>
              <w:adjustRightInd w:val="0"/>
              <w:snapToGrid w:val="0"/>
              <w:spacing w:line="240" w:lineRule="auto"/>
              <w:jc w:val="center"/>
              <w:rPr>
                <w:color w:val="auto"/>
                <w:szCs w:val="21"/>
                <w:highlight w:val="none"/>
              </w:rPr>
            </w:pPr>
            <w:r>
              <w:rPr>
                <w:color w:val="auto"/>
                <w:spacing w:val="-6"/>
                <w:szCs w:val="21"/>
                <w:highlight w:val="none"/>
              </w:rPr>
              <w:t>面积（m</w:t>
            </w:r>
            <w:r>
              <w:rPr>
                <w:color w:val="auto"/>
                <w:spacing w:val="-6"/>
                <w:szCs w:val="21"/>
                <w:highlight w:val="none"/>
                <w:vertAlign w:val="superscript"/>
              </w:rPr>
              <w:t>2</w:t>
            </w:r>
            <w:r>
              <w:rPr>
                <w:color w:val="auto"/>
                <w:spacing w:val="-6"/>
                <w:szCs w:val="21"/>
                <w:highlight w:val="none"/>
              </w:rPr>
              <w:t>）</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本次新增625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896" w:type="pct"/>
            <w:noWrap/>
            <w:vAlign w:val="center"/>
          </w:tcPr>
          <w:p>
            <w:pPr>
              <w:autoSpaceDE w:val="0"/>
              <w:autoSpaceDN w:val="0"/>
              <w:adjustRightInd w:val="0"/>
              <w:snapToGrid w:val="0"/>
              <w:spacing w:line="240" w:lineRule="auto"/>
              <w:jc w:val="center"/>
              <w:rPr>
                <w:color w:val="auto"/>
                <w:kern w:val="0"/>
                <w:szCs w:val="21"/>
              </w:rPr>
            </w:pPr>
            <w:r>
              <w:rPr>
                <w:color w:val="auto"/>
                <w:kern w:val="0"/>
                <w:szCs w:val="21"/>
              </w:rPr>
              <w:t>专项评价设置情况</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896" w:type="pct"/>
            <w:noWrap/>
            <w:vAlign w:val="center"/>
          </w:tcPr>
          <w:p>
            <w:pPr>
              <w:autoSpaceDE w:val="0"/>
              <w:autoSpaceDN w:val="0"/>
              <w:adjustRightInd w:val="0"/>
              <w:snapToGrid w:val="0"/>
              <w:spacing w:line="240" w:lineRule="auto"/>
              <w:jc w:val="center"/>
              <w:rPr>
                <w:color w:val="auto"/>
                <w:kern w:val="0"/>
                <w:szCs w:val="21"/>
              </w:rPr>
            </w:pPr>
            <w:r>
              <w:rPr>
                <w:color w:val="auto"/>
                <w:szCs w:val="21"/>
              </w:rPr>
              <w:t>规划情况</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6" w:hRule="atLeast"/>
          <w:jc w:val="center"/>
        </w:trPr>
        <w:tc>
          <w:tcPr>
            <w:tcW w:w="896" w:type="pct"/>
            <w:noWrap/>
            <w:vAlign w:val="center"/>
          </w:tcPr>
          <w:p>
            <w:pPr>
              <w:adjustRightInd w:val="0"/>
              <w:snapToGrid w:val="0"/>
              <w:spacing w:line="240" w:lineRule="auto"/>
              <w:jc w:val="center"/>
              <w:rPr>
                <w:color w:val="auto"/>
                <w:kern w:val="0"/>
                <w:szCs w:val="21"/>
              </w:rPr>
            </w:pPr>
            <w:r>
              <w:rPr>
                <w:color w:val="auto"/>
                <w:szCs w:val="21"/>
              </w:rPr>
              <w:t>规划环境影响评价情况</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8" w:hRule="atLeast"/>
          <w:jc w:val="center"/>
        </w:trPr>
        <w:tc>
          <w:tcPr>
            <w:tcW w:w="896" w:type="pct"/>
            <w:noWrap/>
            <w:vAlign w:val="center"/>
          </w:tcPr>
          <w:p>
            <w:pPr>
              <w:autoSpaceDE w:val="0"/>
              <w:autoSpaceDN w:val="0"/>
              <w:adjustRightInd w:val="0"/>
              <w:snapToGrid w:val="0"/>
              <w:spacing w:line="240" w:lineRule="auto"/>
              <w:jc w:val="center"/>
              <w:rPr>
                <w:color w:val="auto"/>
                <w:kern w:val="0"/>
                <w:szCs w:val="21"/>
              </w:rPr>
            </w:pPr>
            <w:r>
              <w:rPr>
                <w:color w:val="auto"/>
                <w:kern w:val="0"/>
                <w:szCs w:val="21"/>
              </w:rPr>
              <w:t>规划及规划环境影响评价符合性分析</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96" w:type="pct"/>
            <w:noWrap/>
            <w:vAlign w:val="center"/>
          </w:tcPr>
          <w:p>
            <w:pPr>
              <w:autoSpaceDE w:val="0"/>
              <w:autoSpaceDN w:val="0"/>
              <w:adjustRightInd w:val="0"/>
              <w:snapToGrid w:val="0"/>
              <w:spacing w:line="240" w:lineRule="auto"/>
              <w:jc w:val="center"/>
              <w:rPr>
                <w:rFonts w:ascii="宋体" w:hAnsi="宋体" w:cs="宋体"/>
                <w:color w:val="auto"/>
                <w:kern w:val="0"/>
                <w:szCs w:val="21"/>
              </w:rPr>
            </w:pPr>
            <w:r>
              <w:rPr>
                <w:rFonts w:hint="eastAsia" w:ascii="宋体" w:hAnsi="宋体" w:cs="宋体"/>
                <w:color w:val="auto"/>
                <w:kern w:val="0"/>
                <w:szCs w:val="21"/>
              </w:rPr>
              <w:t>其他符合性分析</w:t>
            </w:r>
          </w:p>
        </w:tc>
        <w:tc>
          <w:tcPr>
            <w:tcW w:w="4103" w:type="pct"/>
            <w:gridSpan w:val="3"/>
            <w:noWrap/>
            <w:vAlign w:val="center"/>
          </w:tcPr>
          <w:p>
            <w:pPr>
              <w:numPr>
                <w:ilvl w:val="0"/>
                <w:numId w:val="8"/>
              </w:numPr>
              <w:autoSpaceDE w:val="0"/>
              <w:autoSpaceDN w:val="0"/>
              <w:adjustRightInd w:val="0"/>
              <w:snapToGrid w:val="0"/>
              <w:jc w:val="left"/>
              <w:rPr>
                <w:rFonts w:ascii="宋体" w:hAnsi="宋体" w:cs="宋体"/>
                <w:b/>
                <w:bCs/>
                <w:color w:val="auto"/>
                <w:kern w:val="0"/>
                <w:szCs w:val="21"/>
              </w:rPr>
            </w:pPr>
            <w:r>
              <w:rPr>
                <w:rFonts w:hint="eastAsia" w:ascii="宋体" w:hAnsi="宋体" w:cs="宋体"/>
                <w:b/>
                <w:bCs/>
                <w:color w:val="auto"/>
                <w:kern w:val="0"/>
                <w:szCs w:val="21"/>
              </w:rPr>
              <w:t>与博罗县“三线一单”管控方案的相符性分析：</w:t>
            </w:r>
          </w:p>
          <w:p>
            <w:pPr>
              <w:pStyle w:val="17"/>
              <w:spacing w:before="0" w:after="0" w:line="360" w:lineRule="auto"/>
              <w:ind w:right="0" w:firstLine="480" w:firstLineChars="200"/>
              <w:rPr>
                <w:rFonts w:hint="eastAsia"/>
                <w:color w:val="auto"/>
                <w:sz w:val="24"/>
                <w:highlight w:val="none"/>
                <w:lang w:eastAsia="zh-CN"/>
              </w:rPr>
            </w:pPr>
            <w:r>
              <w:rPr>
                <w:b w:val="0"/>
                <w:bCs/>
                <w:color w:val="auto"/>
                <w:sz w:val="24"/>
                <w:highlight w:val="none"/>
              </w:rPr>
              <w:t>本项目位于</w:t>
            </w:r>
            <w:r>
              <w:rPr>
                <w:rFonts w:hint="eastAsia"/>
                <w:b w:val="0"/>
                <w:bCs/>
                <w:color w:val="auto"/>
                <w:sz w:val="24"/>
                <w:highlight w:val="none"/>
              </w:rPr>
              <w:t>ZH44132220001博罗沙河流域重点管控单元</w:t>
            </w:r>
            <w:r>
              <w:rPr>
                <w:rFonts w:hint="eastAsia"/>
                <w:b w:val="0"/>
                <w:bCs/>
                <w:color w:val="auto"/>
                <w:sz w:val="24"/>
                <w:highlight w:val="none"/>
                <w:lang w:eastAsia="zh-CN"/>
              </w:rPr>
              <w:t>（</w:t>
            </w:r>
            <w:r>
              <w:rPr>
                <w:rFonts w:hint="eastAsia"/>
                <w:b w:val="0"/>
                <w:bCs/>
                <w:color w:val="auto"/>
                <w:sz w:val="24"/>
                <w:highlight w:val="none"/>
                <w:lang w:val="en-US" w:eastAsia="zh-CN"/>
              </w:rPr>
              <w:t>详见附图10</w:t>
            </w:r>
            <w:r>
              <w:rPr>
                <w:rFonts w:hint="eastAsia"/>
                <w:b w:val="0"/>
                <w:bCs/>
                <w:color w:val="auto"/>
                <w:sz w:val="24"/>
                <w:highlight w:val="none"/>
                <w:lang w:eastAsia="zh-CN"/>
              </w:rPr>
              <w:t>）</w:t>
            </w:r>
            <w:r>
              <w:rPr>
                <w:b w:val="0"/>
                <w:bCs/>
                <w:color w:val="auto"/>
                <w:sz w:val="24"/>
                <w:highlight w:val="none"/>
              </w:rPr>
              <w:t>，</w:t>
            </w:r>
            <w:r>
              <w:rPr>
                <w:rFonts w:hint="eastAsia"/>
                <w:color w:val="auto"/>
                <w:sz w:val="24"/>
                <w:highlight w:val="none"/>
              </w:rPr>
              <w:t>具体</w:t>
            </w:r>
            <w:r>
              <w:rPr>
                <w:rFonts w:hint="eastAsia"/>
                <w:color w:val="auto"/>
                <w:sz w:val="24"/>
                <w:highlight w:val="none"/>
                <w:lang w:val="en-US" w:eastAsia="zh-CN"/>
              </w:rPr>
              <w:t>相符性分析</w:t>
            </w:r>
            <w:r>
              <w:rPr>
                <w:rFonts w:hint="eastAsia"/>
                <w:color w:val="auto"/>
                <w:sz w:val="24"/>
                <w:highlight w:val="none"/>
              </w:rPr>
              <w:t>如下</w:t>
            </w:r>
            <w:r>
              <w:rPr>
                <w:rFonts w:hint="eastAsia"/>
                <w:color w:val="auto"/>
                <w:sz w:val="24"/>
                <w:highlight w:val="none"/>
                <w:lang w:eastAsia="zh-CN"/>
              </w:rPr>
              <w:t>：</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color w:val="auto"/>
                <w:sz w:val="22"/>
                <w:szCs w:val="22"/>
                <w:highlight w:val="none"/>
                <w:lang w:val="en-US" w:eastAsia="zh-CN"/>
              </w:rPr>
            </w:pPr>
            <w:r>
              <w:rPr>
                <w:rFonts w:hint="eastAsia"/>
                <w:color w:val="auto"/>
                <w:sz w:val="22"/>
                <w:szCs w:val="22"/>
                <w:highlight w:val="none"/>
                <w:lang w:val="en-US" w:eastAsia="zh-CN"/>
              </w:rPr>
              <w:t>管控要求对照情况表</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4953"/>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82" w:type="pct"/>
                  <w:gridSpan w:val="2"/>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管控要求</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生态保护红线</w:t>
                  </w:r>
                </w:p>
              </w:tc>
              <w:tc>
                <w:tcPr>
                  <w:tcW w:w="2995" w:type="pct"/>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表1-1 石湾镇生态空间管控分区面积（平方公里）</w:t>
                  </w:r>
                </w:p>
                <w:tbl>
                  <w:tblPr>
                    <w:tblStyle w:val="30"/>
                    <w:tblW w:w="4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2"/>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442"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生态保护红线</w:t>
                        </w:r>
                      </w:p>
                    </w:tc>
                    <w:tc>
                      <w:tcPr>
                        <w:tcW w:w="1998"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442"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一般生态空间</w:t>
                        </w:r>
                      </w:p>
                    </w:tc>
                    <w:tc>
                      <w:tcPr>
                        <w:tcW w:w="1998"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442"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vertAlign w:val="baseline"/>
                            <w:lang w:val="en-US" w:eastAsia="zh-CN"/>
                          </w:rPr>
                          <w:t>生态空间一般管控区</w:t>
                        </w:r>
                      </w:p>
                    </w:tc>
                    <w:tc>
                      <w:tcPr>
                        <w:tcW w:w="1998"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vertAlign w:val="baseline"/>
                            <w:lang w:val="en-US" w:eastAsia="zh-CN"/>
                          </w:rPr>
                          <w:t>81.29</w:t>
                        </w:r>
                      </w:p>
                    </w:tc>
                  </w:tr>
                </w:tbl>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博罗县生态空间最终划定情况</w:t>
                  </w:r>
                  <w:r>
                    <w:rPr>
                      <w:rFonts w:hint="eastAsia" w:ascii="Times New Roman" w:eastAsia="宋体" w:cs="Times New Roman"/>
                      <w:color w:val="auto"/>
                      <w:sz w:val="21"/>
                      <w:szCs w:val="21"/>
                      <w:highlight w:val="none"/>
                      <w:lang w:val="en-US" w:eastAsia="zh-CN"/>
                    </w:rPr>
                    <w:t>图</w:t>
                  </w:r>
                  <w:r>
                    <w:rPr>
                      <w:rFonts w:hint="default" w:ascii="Times New Roman" w:hAnsi="Times New Roman" w:eastAsia="宋体" w:cs="Times New Roman"/>
                      <w:color w:val="auto"/>
                      <w:sz w:val="21"/>
                      <w:szCs w:val="21"/>
                      <w:highlight w:val="none"/>
                      <w:lang w:val="en-US" w:eastAsia="zh-CN"/>
                    </w:rPr>
                    <w:t>（详见附图</w:t>
                  </w:r>
                  <w:r>
                    <w:rPr>
                      <w:rFonts w:hint="eastAsia" w:asci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en-US" w:eastAsia="zh-CN"/>
                    </w:rPr>
                    <w:t>），项目属于生态空间一般管控区，不位于生态保护红线内。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6" w:hRule="atLeast"/>
                <w:jc w:val="center"/>
              </w:trPr>
              <w:tc>
                <w:tcPr>
                  <w:tcW w:w="286" w:type="pct"/>
                  <w:vMerge w:val="restar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环境质量底线</w:t>
                  </w:r>
                </w:p>
              </w:tc>
              <w:tc>
                <w:tcPr>
                  <w:tcW w:w="2995" w:type="pct"/>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表1-2石湾镇水环境质量底线（面积：km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0"/>
                    <w:tblW w:w="4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44"/>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3344"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水环境优先保护区面积</w:t>
                        </w:r>
                      </w:p>
                    </w:tc>
                    <w:tc>
                      <w:tcPr>
                        <w:tcW w:w="1155"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344"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水环境生活污染重点管控区面积</w:t>
                        </w:r>
                      </w:p>
                    </w:tc>
                    <w:tc>
                      <w:tcPr>
                        <w:tcW w:w="1155"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42.956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344"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水环境工业污染重点管控区面积</w:t>
                        </w:r>
                      </w:p>
                    </w:tc>
                    <w:tc>
                      <w:tcPr>
                        <w:tcW w:w="1155"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30.901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344"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水环境一般管控区面积</w:t>
                        </w:r>
                      </w:p>
                    </w:tc>
                    <w:tc>
                      <w:tcPr>
                        <w:tcW w:w="1155"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7.433</w:t>
                        </w:r>
                      </w:p>
                    </w:tc>
                  </w:tr>
                </w:tbl>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博罗县水环境质量底线管控分区划定情况图（详见附图</w:t>
                  </w:r>
                  <w:r>
                    <w:rPr>
                      <w:rFonts w:hint="eastAsia" w:ascii="Times New Roman" w:eastAsia="宋体" w:cs="Times New Roman"/>
                      <w:color w:val="auto"/>
                      <w:sz w:val="21"/>
                      <w:szCs w:val="21"/>
                      <w:highlight w:val="none"/>
                      <w:lang w:val="en-US" w:eastAsia="zh-CN"/>
                    </w:rPr>
                    <w:t>14</w:t>
                  </w:r>
                  <w:r>
                    <w:rPr>
                      <w:rFonts w:hint="default" w:ascii="Times New Roman" w:hAnsi="Times New Roman" w:eastAsia="宋体" w:cs="Times New Roman"/>
                      <w:color w:val="auto"/>
                      <w:sz w:val="21"/>
                      <w:szCs w:val="21"/>
                      <w:highlight w:val="none"/>
                      <w:lang w:val="en-US" w:eastAsia="zh-CN"/>
                    </w:rPr>
                    <w:t>），本项目位于水环境生活污染重点管控区内，本项目无生产废水排放，生活污水经三级化粪池预处理后经市政管网排入</w:t>
                  </w:r>
                  <w:r>
                    <w:rPr>
                      <w:rFonts w:hint="eastAsia" w:ascii="Times New Roman" w:eastAsia="宋体"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处理达标后排放，不会突破水环境质量底线。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p>
              </w:tc>
              <w:tc>
                <w:tcPr>
                  <w:tcW w:w="2995" w:type="pct"/>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表1-3石湾镇大气环境质量底线（面积：km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0"/>
                    <w:tblW w:w="4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9"/>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345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大气环境优先保护区面积</w:t>
                        </w:r>
                      </w:p>
                    </w:tc>
                    <w:tc>
                      <w:tcPr>
                        <w:tcW w:w="1060"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大气环境布局敏感重点管控区面积</w:t>
                        </w:r>
                      </w:p>
                    </w:tc>
                    <w:tc>
                      <w:tcPr>
                        <w:tcW w:w="1060"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大气环境高排放重点管控区面积</w:t>
                        </w:r>
                      </w:p>
                    </w:tc>
                    <w:tc>
                      <w:tcPr>
                        <w:tcW w:w="1060"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81.29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大气环境弱扩散重点管控区面积</w:t>
                        </w:r>
                      </w:p>
                    </w:tc>
                    <w:tc>
                      <w:tcPr>
                        <w:tcW w:w="1060"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5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大气环境一般管控区面积</w:t>
                        </w:r>
                      </w:p>
                    </w:tc>
                    <w:tc>
                      <w:tcPr>
                        <w:tcW w:w="1060"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bl>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大气环境高排放重点管控区管控要求：</w:t>
                  </w:r>
                </w:p>
                <w:p>
                  <w:pPr>
                    <w:pStyle w:val="55"/>
                    <w:keepNext w:val="0"/>
                    <w:keepLines w:val="0"/>
                    <w:pageBreakBefore w:val="0"/>
                    <w:widowControl w:val="0"/>
                    <w:kinsoku/>
                    <w:wordWrap/>
                    <w:overflowPunct/>
                    <w:topLinePunct w:val="0"/>
                    <w:bidi w:val="0"/>
                    <w:snapToGrid/>
                    <w:spacing w:line="240" w:lineRule="auto"/>
                    <w:ind w:left="0" w:leftChars="0" w:right="0" w:rightChars="0"/>
                    <w:jc w:val="both"/>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现有源提标升级改造：①对大气环境高排放重点管控区进行环保集中整治，限期进行达标改造，减少工业集聚区污染；②鼓励大气环境高排放重点管控区建设集中的喷涂工程中心和有机废弃物回收再生利用中心，并配备高效治理设施。</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博罗县大气环境质量底线管控分区划定情况图（详见附图</w:t>
                  </w:r>
                  <w:r>
                    <w:rPr>
                      <w:rFonts w:hint="eastAsia" w:ascii="Times New Roman" w:eastAsia="宋体"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lang w:val="en-US" w:eastAsia="zh-CN"/>
                    </w:rPr>
                    <w:t>），项目位于大气环境高排放重点管控区。</w:t>
                  </w:r>
                </w:p>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根据该管控区</w:t>
                  </w:r>
                  <w:r>
                    <w:rPr>
                      <w:rFonts w:hint="eastAsia" w:ascii="Times New Roman" w:eastAsia="宋体" w:cs="Times New Roman"/>
                      <w:color w:val="auto"/>
                      <w:sz w:val="21"/>
                      <w:szCs w:val="21"/>
                      <w:highlight w:val="none"/>
                      <w:lang w:val="en-US" w:eastAsia="zh-CN"/>
                    </w:rPr>
                    <w:t>的</w:t>
                  </w:r>
                  <w:r>
                    <w:rPr>
                      <w:rFonts w:hint="default" w:ascii="Times New Roman" w:hAnsi="Times New Roman" w:eastAsia="宋体" w:cs="Times New Roman"/>
                      <w:color w:val="auto"/>
                      <w:sz w:val="21"/>
                      <w:szCs w:val="21"/>
                      <w:highlight w:val="none"/>
                      <w:lang w:val="en-US" w:eastAsia="zh-CN"/>
                    </w:rPr>
                    <w:t>管控要求，</w:t>
                  </w:r>
                  <w:r>
                    <w:rPr>
                      <w:rFonts w:hint="eastAsia" w:ascii="Times New Roman" w:eastAsia="宋体" w:cs="Times New Roman"/>
                      <w:color w:val="BF9000" w:themeColor="accent4" w:themeShade="BF"/>
                      <w:sz w:val="21"/>
                      <w:szCs w:val="21"/>
                      <w:highlight w:val="none"/>
                      <w:lang w:val="en-US" w:eastAsia="zh-CN"/>
                    </w:rPr>
                    <w:t>扩建</w:t>
                  </w:r>
                  <w:r>
                    <w:rPr>
                      <w:rFonts w:hint="default" w:ascii="Times New Roman" w:hAnsi="Times New Roman" w:eastAsia="宋体" w:cs="Times New Roman"/>
                      <w:color w:val="BF9000" w:themeColor="accent4" w:themeShade="BF"/>
                      <w:sz w:val="21"/>
                      <w:szCs w:val="21"/>
                      <w:highlight w:val="none"/>
                      <w:lang w:val="en-US" w:eastAsia="zh-CN"/>
                    </w:rPr>
                    <w:t>项目</w:t>
                  </w:r>
                  <w:r>
                    <w:rPr>
                      <w:rFonts w:hint="eastAsia" w:ascii="Times New Roman" w:eastAsia="宋体" w:cs="Times New Roman"/>
                      <w:color w:val="BF9000" w:themeColor="accent4" w:themeShade="BF"/>
                      <w:sz w:val="21"/>
                      <w:szCs w:val="21"/>
                      <w:highlight w:val="none"/>
                      <w:lang w:val="en-US" w:eastAsia="zh-CN"/>
                    </w:rPr>
                    <w:t>注塑废气经一套“</w:t>
                  </w:r>
                  <w:r>
                    <w:rPr>
                      <w:rFonts w:hint="default" w:ascii="Times New Roman" w:hAnsi="Times New Roman" w:eastAsia="宋体" w:cs="Times New Roman"/>
                      <w:color w:val="BF9000" w:themeColor="accent4" w:themeShade="BF"/>
                      <w:sz w:val="21"/>
                      <w:szCs w:val="21"/>
                      <w:highlight w:val="none"/>
                      <w:lang w:val="en-US" w:eastAsia="zh-CN"/>
                    </w:rPr>
                    <w:t>水喷淋+</w:t>
                  </w:r>
                  <w:r>
                    <w:rPr>
                      <w:rFonts w:hint="eastAsia" w:ascii="Times New Roman" w:eastAsia="宋体" w:cs="Times New Roman"/>
                      <w:color w:val="BF9000" w:themeColor="accent4" w:themeShade="BF"/>
                      <w:sz w:val="21"/>
                      <w:szCs w:val="21"/>
                      <w:highlight w:val="none"/>
                      <w:lang w:val="en-US" w:eastAsia="zh-CN"/>
                    </w:rPr>
                    <w:t>干式过滤器+二级</w:t>
                  </w:r>
                  <w:r>
                    <w:rPr>
                      <w:rFonts w:hint="default" w:ascii="Times New Roman" w:hAnsi="Times New Roman" w:eastAsia="宋体" w:cs="Times New Roman"/>
                      <w:color w:val="BF9000" w:themeColor="accent4" w:themeShade="BF"/>
                      <w:sz w:val="21"/>
                      <w:szCs w:val="21"/>
                      <w:highlight w:val="none"/>
                      <w:lang w:val="en-US" w:eastAsia="zh-CN"/>
                    </w:rPr>
                    <w:t>活性炭吸附装置</w:t>
                  </w:r>
                  <w:r>
                    <w:rPr>
                      <w:rFonts w:hint="eastAsia" w:ascii="Times New Roman" w:eastAsia="宋体" w:cs="Times New Roman"/>
                      <w:color w:val="BF9000" w:themeColor="accent4" w:themeShade="BF"/>
                      <w:sz w:val="21"/>
                      <w:szCs w:val="21"/>
                      <w:highlight w:val="none"/>
                      <w:lang w:val="en-US" w:eastAsia="zh-CN"/>
                    </w:rPr>
                    <w:t>”</w:t>
                  </w:r>
                  <w:r>
                    <w:rPr>
                      <w:rFonts w:hint="default" w:ascii="Times New Roman" w:hAnsi="Times New Roman" w:eastAsia="宋体" w:cs="Times New Roman"/>
                      <w:color w:val="BF9000" w:themeColor="accent4" w:themeShade="BF"/>
                      <w:sz w:val="21"/>
                      <w:szCs w:val="21"/>
                      <w:highlight w:val="none"/>
                      <w:lang w:val="en-US" w:eastAsia="zh-CN"/>
                    </w:rPr>
                    <w:t>处理后经1根</w:t>
                  </w:r>
                  <w:r>
                    <w:rPr>
                      <w:rFonts w:hint="eastAsia" w:ascii="Times New Roman" w:eastAsia="宋体" w:cs="Times New Roman"/>
                      <w:color w:val="BF9000" w:themeColor="accent4" w:themeShade="BF"/>
                      <w:sz w:val="21"/>
                      <w:szCs w:val="21"/>
                      <w:highlight w:val="none"/>
                      <w:lang w:val="en-US" w:eastAsia="zh-CN"/>
                    </w:rPr>
                    <w:t>15m</w:t>
                  </w:r>
                  <w:r>
                    <w:rPr>
                      <w:rFonts w:hint="default" w:ascii="Times New Roman" w:hAnsi="Times New Roman" w:eastAsia="宋体" w:cs="Times New Roman"/>
                      <w:color w:val="BF9000" w:themeColor="accent4" w:themeShade="BF"/>
                      <w:sz w:val="21"/>
                      <w:szCs w:val="21"/>
                      <w:highlight w:val="none"/>
                      <w:lang w:val="en-US" w:eastAsia="zh-CN"/>
                    </w:rPr>
                    <w:t>高的排气筒DA00</w:t>
                  </w:r>
                  <w:r>
                    <w:rPr>
                      <w:rFonts w:hint="eastAsia" w:ascii="Times New Roman" w:eastAsia="宋体" w:cs="Times New Roman"/>
                      <w:color w:val="BF9000" w:themeColor="accent4" w:themeShade="BF"/>
                      <w:sz w:val="21"/>
                      <w:szCs w:val="21"/>
                      <w:highlight w:val="none"/>
                      <w:lang w:val="en-US" w:eastAsia="zh-CN"/>
                    </w:rPr>
                    <w:t>1</w:t>
                  </w:r>
                  <w:r>
                    <w:rPr>
                      <w:rFonts w:hint="default" w:ascii="Times New Roman" w:hAnsi="Times New Roman" w:eastAsia="宋体" w:cs="Times New Roman"/>
                      <w:color w:val="BF9000" w:themeColor="accent4" w:themeShade="BF"/>
                      <w:sz w:val="21"/>
                      <w:szCs w:val="21"/>
                      <w:highlight w:val="none"/>
                      <w:lang w:val="en-US" w:eastAsia="zh-CN"/>
                    </w:rPr>
                    <w:t>排放</w:t>
                  </w:r>
                  <w:r>
                    <w:rPr>
                      <w:rFonts w:hint="eastAsia" w:ascii="Times New Roman" w:eastAsia="宋体" w:cs="Times New Roman"/>
                      <w:color w:val="BF9000" w:themeColor="accent4" w:themeShade="BF"/>
                      <w:sz w:val="21"/>
                      <w:szCs w:val="21"/>
                      <w:highlight w:val="none"/>
                      <w:lang w:val="en-US" w:eastAsia="zh-CN"/>
                    </w:rPr>
                    <w:t>；</w:t>
                  </w:r>
                  <w:r>
                    <w:rPr>
                      <w:rFonts w:hint="eastAsia" w:ascii="Times New Roman" w:hAnsi="Times New Roman" w:eastAsia="宋体" w:cs="Times New Roman"/>
                      <w:color w:val="BF9000" w:themeColor="accent4" w:themeShade="BF"/>
                      <w:sz w:val="21"/>
                      <w:szCs w:val="21"/>
                      <w:highlight w:val="none"/>
                      <w:lang w:val="en-US" w:eastAsia="zh-CN"/>
                    </w:rPr>
                    <w:t>混料</w:t>
                  </w:r>
                  <w:r>
                    <w:rPr>
                      <w:rFonts w:hint="eastAsia" w:ascii="Times New Roman" w:eastAsia="宋体" w:cs="Times New Roman"/>
                      <w:color w:val="BF9000" w:themeColor="accent4" w:themeShade="BF"/>
                      <w:sz w:val="21"/>
                      <w:szCs w:val="21"/>
                      <w:highlight w:val="none"/>
                      <w:lang w:val="en-US" w:eastAsia="zh-CN"/>
                    </w:rPr>
                    <w:t>及</w:t>
                  </w:r>
                  <w:r>
                    <w:rPr>
                      <w:rFonts w:hint="eastAsia" w:ascii="Times New Roman" w:hAnsi="Times New Roman" w:eastAsia="宋体" w:cs="Times New Roman"/>
                      <w:color w:val="BF9000" w:themeColor="accent4" w:themeShade="BF"/>
                      <w:sz w:val="21"/>
                      <w:szCs w:val="21"/>
                      <w:highlight w:val="none"/>
                      <w:lang w:val="en-US" w:eastAsia="zh-CN"/>
                    </w:rPr>
                    <w:t>破碎产生的</w:t>
                  </w:r>
                  <w:r>
                    <w:rPr>
                      <w:rFonts w:hint="default" w:ascii="Times New Roman" w:hAnsi="Times New Roman" w:eastAsia="宋体" w:cs="Times New Roman"/>
                      <w:color w:val="BF9000" w:themeColor="accent4" w:themeShade="BF"/>
                      <w:sz w:val="21"/>
                      <w:szCs w:val="21"/>
                      <w:highlight w:val="none"/>
                      <w:lang w:val="en-US" w:eastAsia="zh-CN"/>
                    </w:rPr>
                    <w:t>粉尘经</w:t>
                  </w:r>
                  <w:r>
                    <w:rPr>
                      <w:rFonts w:hint="eastAsia" w:ascii="Times New Roman" w:eastAsia="宋体" w:cs="Times New Roman"/>
                      <w:color w:val="BF9000" w:themeColor="accent4" w:themeShade="BF"/>
                      <w:sz w:val="21"/>
                      <w:szCs w:val="21"/>
                      <w:highlight w:val="none"/>
                      <w:lang w:val="en-US" w:eastAsia="zh-CN"/>
                    </w:rPr>
                    <w:t>一套“</w:t>
                  </w:r>
                  <w:r>
                    <w:rPr>
                      <w:rFonts w:hint="default" w:ascii="Times New Roman" w:hAnsi="Times New Roman" w:eastAsia="宋体" w:cs="Times New Roman"/>
                      <w:color w:val="BF9000" w:themeColor="accent4" w:themeShade="BF"/>
                      <w:sz w:val="21"/>
                      <w:szCs w:val="21"/>
                      <w:highlight w:val="none"/>
                      <w:lang w:val="en-US" w:eastAsia="zh-CN"/>
                    </w:rPr>
                    <w:t>布袋除尘器</w:t>
                  </w:r>
                  <w:r>
                    <w:rPr>
                      <w:rFonts w:hint="eastAsia" w:ascii="Times New Roman" w:eastAsia="宋体" w:cs="Times New Roman"/>
                      <w:color w:val="BF9000" w:themeColor="accent4" w:themeShade="BF"/>
                      <w:sz w:val="21"/>
                      <w:szCs w:val="21"/>
                      <w:highlight w:val="none"/>
                      <w:lang w:val="en-US" w:eastAsia="zh-CN"/>
                    </w:rPr>
                    <w:t>”</w:t>
                  </w:r>
                  <w:r>
                    <w:rPr>
                      <w:rFonts w:hint="default" w:ascii="Times New Roman" w:hAnsi="Times New Roman" w:eastAsia="宋体" w:cs="Times New Roman"/>
                      <w:color w:val="BF9000" w:themeColor="accent4" w:themeShade="BF"/>
                      <w:sz w:val="21"/>
                      <w:szCs w:val="21"/>
                      <w:highlight w:val="none"/>
                      <w:lang w:val="en-US" w:eastAsia="zh-CN"/>
                    </w:rPr>
                    <w:t>处理后经1根</w:t>
                  </w:r>
                  <w:r>
                    <w:rPr>
                      <w:rFonts w:hint="eastAsia" w:ascii="Times New Roman" w:eastAsia="宋体" w:cs="Times New Roman"/>
                      <w:color w:val="BF9000" w:themeColor="accent4" w:themeShade="BF"/>
                      <w:sz w:val="21"/>
                      <w:szCs w:val="21"/>
                      <w:highlight w:val="none"/>
                      <w:lang w:val="en-US" w:eastAsia="zh-CN"/>
                    </w:rPr>
                    <w:t>15m</w:t>
                  </w:r>
                  <w:r>
                    <w:rPr>
                      <w:rFonts w:hint="default" w:ascii="Times New Roman" w:hAnsi="Times New Roman" w:eastAsia="宋体" w:cs="Times New Roman"/>
                      <w:color w:val="BF9000" w:themeColor="accent4" w:themeShade="BF"/>
                      <w:sz w:val="21"/>
                      <w:szCs w:val="21"/>
                      <w:highlight w:val="none"/>
                      <w:lang w:val="en-US" w:eastAsia="zh-CN"/>
                    </w:rPr>
                    <w:t>高的排气筒DA00</w:t>
                  </w:r>
                  <w:r>
                    <w:rPr>
                      <w:rFonts w:hint="eastAsia" w:ascii="Times New Roman" w:eastAsia="宋体" w:cs="Times New Roman"/>
                      <w:color w:val="BF9000" w:themeColor="accent4" w:themeShade="BF"/>
                      <w:sz w:val="21"/>
                      <w:szCs w:val="21"/>
                      <w:highlight w:val="none"/>
                      <w:lang w:val="en-US" w:eastAsia="zh-CN"/>
                    </w:rPr>
                    <w:t>2</w:t>
                  </w:r>
                  <w:r>
                    <w:rPr>
                      <w:rFonts w:hint="default" w:ascii="Times New Roman" w:hAnsi="Times New Roman" w:eastAsia="宋体" w:cs="Times New Roman"/>
                      <w:color w:val="BF9000" w:themeColor="accent4" w:themeShade="BF"/>
                      <w:sz w:val="21"/>
                      <w:szCs w:val="21"/>
                      <w:highlight w:val="none"/>
                      <w:lang w:val="en-US" w:eastAsia="zh-CN"/>
                    </w:rPr>
                    <w:t>排放；</w:t>
                  </w:r>
                  <w:r>
                    <w:rPr>
                      <w:rFonts w:hint="default" w:ascii="Times New Roman" w:hAnsi="Times New Roman" w:eastAsia="宋体" w:cs="Times New Roman"/>
                      <w:b w:val="0"/>
                      <w:bCs/>
                      <w:color w:val="BF9000" w:themeColor="accent4" w:themeShade="BF"/>
                      <w:sz w:val="21"/>
                      <w:szCs w:val="21"/>
                      <w:highlight w:val="none"/>
                      <w:lang w:val="en-US" w:eastAsia="zh-CN"/>
                    </w:rPr>
                    <w:t>喷漆</w:t>
                  </w:r>
                  <w:r>
                    <w:rPr>
                      <w:rFonts w:hint="eastAsia" w:ascii="Times New Roman" w:eastAsia="宋体" w:cs="Times New Roman"/>
                      <w:color w:val="BF9000" w:themeColor="accent4" w:themeShade="BF"/>
                      <w:sz w:val="21"/>
                      <w:szCs w:val="21"/>
                      <w:highlight w:val="none"/>
                      <w:lang w:val="en-US" w:eastAsia="zh-CN"/>
                    </w:rPr>
                    <w:t>及烘烤、丝印及烘烤工序产生的废气</w:t>
                  </w:r>
                  <w:r>
                    <w:rPr>
                      <w:rFonts w:hint="default" w:ascii="Times New Roman" w:hAnsi="Times New Roman" w:eastAsia="宋体" w:cs="Times New Roman"/>
                      <w:color w:val="BF9000" w:themeColor="accent4" w:themeShade="BF"/>
                      <w:sz w:val="21"/>
                      <w:szCs w:val="21"/>
                      <w:highlight w:val="none"/>
                      <w:lang w:val="en-US" w:eastAsia="zh-CN"/>
                    </w:rPr>
                    <w:t>经</w:t>
                  </w:r>
                  <w:r>
                    <w:rPr>
                      <w:rFonts w:hint="eastAsia" w:ascii="Times New Roman" w:eastAsia="宋体" w:cs="Times New Roman"/>
                      <w:color w:val="BF9000" w:themeColor="accent4" w:themeShade="BF"/>
                      <w:sz w:val="21"/>
                      <w:szCs w:val="21"/>
                      <w:highlight w:val="none"/>
                      <w:lang w:val="en-US" w:eastAsia="zh-CN"/>
                    </w:rPr>
                    <w:t>一套“</w:t>
                  </w:r>
                  <w:r>
                    <w:rPr>
                      <w:rFonts w:hint="default" w:ascii="Times New Roman" w:hAnsi="Times New Roman" w:eastAsia="宋体" w:cs="Times New Roman"/>
                      <w:color w:val="BF9000" w:themeColor="accent4" w:themeShade="BF"/>
                      <w:sz w:val="21"/>
                      <w:szCs w:val="21"/>
                      <w:highlight w:val="none"/>
                      <w:lang w:val="en-US" w:eastAsia="zh-CN"/>
                    </w:rPr>
                    <w:t>水喷淋+</w:t>
                  </w:r>
                  <w:r>
                    <w:rPr>
                      <w:rFonts w:hint="eastAsia" w:ascii="Times New Roman" w:eastAsia="宋体" w:cs="Times New Roman"/>
                      <w:color w:val="BF9000" w:themeColor="accent4" w:themeShade="BF"/>
                      <w:sz w:val="21"/>
                      <w:szCs w:val="21"/>
                      <w:highlight w:val="none"/>
                      <w:lang w:val="en-US" w:eastAsia="zh-CN"/>
                    </w:rPr>
                    <w:t>干式过滤器+二级</w:t>
                  </w:r>
                  <w:r>
                    <w:rPr>
                      <w:rFonts w:hint="default" w:ascii="Times New Roman" w:hAnsi="Times New Roman" w:eastAsia="宋体" w:cs="Times New Roman"/>
                      <w:color w:val="BF9000" w:themeColor="accent4" w:themeShade="BF"/>
                      <w:sz w:val="21"/>
                      <w:szCs w:val="21"/>
                      <w:highlight w:val="none"/>
                      <w:lang w:val="en-US" w:eastAsia="zh-CN"/>
                    </w:rPr>
                    <w:t>活性炭吸附装置</w:t>
                  </w:r>
                  <w:r>
                    <w:rPr>
                      <w:rFonts w:hint="eastAsia" w:ascii="Times New Roman" w:eastAsia="宋体" w:cs="Times New Roman"/>
                      <w:color w:val="BF9000" w:themeColor="accent4" w:themeShade="BF"/>
                      <w:sz w:val="21"/>
                      <w:szCs w:val="21"/>
                      <w:highlight w:val="none"/>
                      <w:lang w:val="en-US" w:eastAsia="zh-CN"/>
                    </w:rPr>
                    <w:t>”</w:t>
                  </w:r>
                  <w:r>
                    <w:rPr>
                      <w:rFonts w:hint="default" w:ascii="Times New Roman" w:hAnsi="Times New Roman" w:eastAsia="宋体" w:cs="Times New Roman"/>
                      <w:color w:val="BF9000" w:themeColor="accent4" w:themeShade="BF"/>
                      <w:sz w:val="21"/>
                      <w:szCs w:val="21"/>
                      <w:highlight w:val="none"/>
                      <w:lang w:val="en-US" w:eastAsia="zh-CN"/>
                    </w:rPr>
                    <w:t>处理后经1根</w:t>
                  </w:r>
                  <w:r>
                    <w:rPr>
                      <w:rFonts w:hint="eastAsia" w:ascii="Times New Roman" w:eastAsia="宋体" w:cs="Times New Roman"/>
                      <w:color w:val="BF9000" w:themeColor="accent4" w:themeShade="BF"/>
                      <w:sz w:val="21"/>
                      <w:szCs w:val="21"/>
                      <w:highlight w:val="none"/>
                      <w:lang w:val="en-US" w:eastAsia="zh-CN"/>
                    </w:rPr>
                    <w:t>15m</w:t>
                  </w:r>
                  <w:r>
                    <w:rPr>
                      <w:rFonts w:hint="default" w:ascii="Times New Roman" w:hAnsi="Times New Roman" w:eastAsia="宋体" w:cs="Times New Roman"/>
                      <w:color w:val="BF9000" w:themeColor="accent4" w:themeShade="BF"/>
                      <w:sz w:val="21"/>
                      <w:szCs w:val="21"/>
                      <w:highlight w:val="none"/>
                      <w:lang w:val="en-US" w:eastAsia="zh-CN"/>
                    </w:rPr>
                    <w:t>高的排气筒DA00</w:t>
                  </w:r>
                  <w:r>
                    <w:rPr>
                      <w:rFonts w:hint="eastAsia" w:ascii="Times New Roman" w:eastAsia="宋体" w:cs="Times New Roman"/>
                      <w:color w:val="BF9000" w:themeColor="accent4" w:themeShade="BF"/>
                      <w:sz w:val="21"/>
                      <w:szCs w:val="21"/>
                      <w:highlight w:val="none"/>
                      <w:lang w:val="en-US" w:eastAsia="zh-CN"/>
                    </w:rPr>
                    <w:t>3</w:t>
                  </w:r>
                  <w:r>
                    <w:rPr>
                      <w:rFonts w:hint="default" w:ascii="Times New Roman" w:hAnsi="Times New Roman" w:eastAsia="宋体" w:cs="Times New Roman"/>
                      <w:color w:val="BF9000" w:themeColor="accent4" w:themeShade="BF"/>
                      <w:sz w:val="21"/>
                      <w:szCs w:val="21"/>
                      <w:highlight w:val="none"/>
                      <w:lang w:val="en-US" w:eastAsia="zh-CN"/>
                    </w:rPr>
                    <w:t>排放</w:t>
                  </w:r>
                  <w:r>
                    <w:rPr>
                      <w:rFonts w:hint="eastAsia" w:ascii="Times New Roman" w:eastAsia="宋体" w:cs="Times New Roman"/>
                      <w:color w:val="BF9000" w:themeColor="accent4" w:themeShade="BF"/>
                      <w:sz w:val="21"/>
                      <w:szCs w:val="21"/>
                      <w:highlight w:val="none"/>
                      <w:lang w:val="en-US" w:eastAsia="zh-CN"/>
                    </w:rPr>
                    <w:t>；机加工及打磨工序产生的粉尘</w:t>
                  </w:r>
                  <w:r>
                    <w:rPr>
                      <w:rFonts w:hint="default" w:ascii="Times New Roman" w:hAnsi="Times New Roman" w:eastAsia="宋体" w:cs="Times New Roman"/>
                      <w:color w:val="BF9000" w:themeColor="accent4" w:themeShade="BF"/>
                      <w:sz w:val="21"/>
                      <w:szCs w:val="21"/>
                      <w:highlight w:val="none"/>
                      <w:lang w:val="en-US" w:eastAsia="zh-CN"/>
                    </w:rPr>
                    <w:t>经</w:t>
                  </w:r>
                  <w:r>
                    <w:rPr>
                      <w:rFonts w:hint="eastAsia" w:ascii="Times New Roman" w:eastAsia="宋体" w:cs="Times New Roman"/>
                      <w:color w:val="BF9000" w:themeColor="accent4" w:themeShade="BF"/>
                      <w:sz w:val="21"/>
                      <w:szCs w:val="21"/>
                      <w:highlight w:val="none"/>
                      <w:lang w:val="en-US" w:eastAsia="zh-CN"/>
                    </w:rPr>
                    <w:t>一套“</w:t>
                  </w:r>
                  <w:r>
                    <w:rPr>
                      <w:rFonts w:hint="default" w:ascii="Times New Roman" w:hAnsi="Times New Roman" w:eastAsia="宋体" w:cs="Times New Roman"/>
                      <w:color w:val="BF9000" w:themeColor="accent4" w:themeShade="BF"/>
                      <w:sz w:val="21"/>
                      <w:szCs w:val="21"/>
                      <w:highlight w:val="none"/>
                      <w:lang w:val="en-US" w:eastAsia="zh-CN"/>
                    </w:rPr>
                    <w:t>布袋除尘器</w:t>
                  </w:r>
                  <w:r>
                    <w:rPr>
                      <w:rFonts w:hint="eastAsia" w:ascii="Times New Roman" w:eastAsia="宋体" w:cs="Times New Roman"/>
                      <w:color w:val="BF9000" w:themeColor="accent4" w:themeShade="BF"/>
                      <w:sz w:val="21"/>
                      <w:szCs w:val="21"/>
                      <w:highlight w:val="none"/>
                      <w:lang w:val="en-US" w:eastAsia="zh-CN"/>
                    </w:rPr>
                    <w:t>”</w:t>
                  </w:r>
                  <w:r>
                    <w:rPr>
                      <w:rFonts w:hint="default" w:ascii="Times New Roman" w:hAnsi="Times New Roman" w:eastAsia="宋体" w:cs="Times New Roman"/>
                      <w:color w:val="BF9000" w:themeColor="accent4" w:themeShade="BF"/>
                      <w:sz w:val="21"/>
                      <w:szCs w:val="21"/>
                      <w:highlight w:val="none"/>
                      <w:lang w:val="en-US" w:eastAsia="zh-CN"/>
                    </w:rPr>
                    <w:t>处理后经1根</w:t>
                  </w:r>
                  <w:r>
                    <w:rPr>
                      <w:rFonts w:hint="eastAsia" w:ascii="Times New Roman" w:eastAsia="宋体" w:cs="Times New Roman"/>
                      <w:color w:val="BF9000" w:themeColor="accent4" w:themeShade="BF"/>
                      <w:sz w:val="21"/>
                      <w:szCs w:val="21"/>
                      <w:highlight w:val="none"/>
                      <w:lang w:val="en-US" w:eastAsia="zh-CN"/>
                    </w:rPr>
                    <w:t>15m</w:t>
                  </w:r>
                  <w:r>
                    <w:rPr>
                      <w:rFonts w:hint="default" w:ascii="Times New Roman" w:hAnsi="Times New Roman" w:eastAsia="宋体" w:cs="Times New Roman"/>
                      <w:color w:val="BF9000" w:themeColor="accent4" w:themeShade="BF"/>
                      <w:sz w:val="21"/>
                      <w:szCs w:val="21"/>
                      <w:highlight w:val="none"/>
                      <w:lang w:val="en-US" w:eastAsia="zh-CN"/>
                    </w:rPr>
                    <w:t>高的排气筒DA00</w:t>
                  </w:r>
                  <w:r>
                    <w:rPr>
                      <w:rFonts w:hint="eastAsia" w:ascii="Times New Roman" w:eastAsia="宋体" w:cs="Times New Roman"/>
                      <w:color w:val="BF9000" w:themeColor="accent4" w:themeShade="BF"/>
                      <w:sz w:val="21"/>
                      <w:szCs w:val="21"/>
                      <w:highlight w:val="none"/>
                      <w:lang w:val="en-US" w:eastAsia="zh-CN"/>
                    </w:rPr>
                    <w:t>4</w:t>
                  </w:r>
                  <w:r>
                    <w:rPr>
                      <w:rFonts w:hint="default" w:ascii="Times New Roman" w:hAnsi="Times New Roman" w:eastAsia="宋体" w:cs="Times New Roman"/>
                      <w:color w:val="BF9000" w:themeColor="accent4" w:themeShade="BF"/>
                      <w:sz w:val="21"/>
                      <w:szCs w:val="21"/>
                      <w:highlight w:val="none"/>
                      <w:lang w:val="en-US" w:eastAsia="zh-CN"/>
                    </w:rPr>
                    <w:t>排放；不会</w:t>
                  </w:r>
                  <w:r>
                    <w:rPr>
                      <w:rFonts w:hint="default" w:ascii="Times New Roman" w:hAnsi="Times New Roman" w:eastAsia="宋体" w:cs="Times New Roman"/>
                      <w:color w:val="auto"/>
                      <w:sz w:val="21"/>
                      <w:szCs w:val="21"/>
                      <w:highlight w:val="none"/>
                      <w:lang w:val="en-US" w:eastAsia="zh-CN"/>
                    </w:rPr>
                    <w:t>突破大气环境质量底线。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表1-4土壤环境管控区（面积：km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0"/>
                    <w:tblW w:w="4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0"/>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博罗县建设用地土壤污染风险重点管控区面积</w:t>
                        </w:r>
                      </w:p>
                    </w:tc>
                    <w:tc>
                      <w:tcPr>
                        <w:tcW w:w="143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340.8688125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石湾镇</w:t>
                        </w:r>
                        <w:r>
                          <w:rPr>
                            <w:rFonts w:hint="default" w:ascii="Times New Roman" w:hAnsi="Times New Roman" w:eastAsia="宋体" w:cs="Times New Roman"/>
                            <w:color w:val="auto"/>
                            <w:sz w:val="21"/>
                            <w:szCs w:val="21"/>
                            <w:highlight w:val="none"/>
                            <w:vertAlign w:val="baseline"/>
                            <w:lang w:val="en-US" w:eastAsia="zh-CN"/>
                          </w:rPr>
                          <w:t>建设用地一般管控区面积</w:t>
                        </w:r>
                      </w:p>
                    </w:tc>
                    <w:tc>
                      <w:tcPr>
                        <w:tcW w:w="143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26.089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石湾镇</w:t>
                        </w:r>
                        <w:r>
                          <w:rPr>
                            <w:rFonts w:hint="default" w:ascii="Times New Roman" w:hAnsi="Times New Roman" w:eastAsia="宋体" w:cs="Times New Roman"/>
                            <w:color w:val="auto"/>
                            <w:sz w:val="21"/>
                            <w:szCs w:val="21"/>
                            <w:highlight w:val="none"/>
                            <w:vertAlign w:val="baseline"/>
                            <w:lang w:val="en-US" w:eastAsia="zh-CN"/>
                          </w:rPr>
                          <w:t>未利用地一般管控区面积</w:t>
                        </w:r>
                      </w:p>
                    </w:tc>
                    <w:tc>
                      <w:tcPr>
                        <w:tcW w:w="143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6.939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3100"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博罗县土壤环境一般管控区面积</w:t>
                        </w:r>
                      </w:p>
                    </w:tc>
                    <w:tc>
                      <w:tcPr>
                        <w:tcW w:w="143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 xml:space="preserve">26.089 </w:t>
                        </w:r>
                      </w:p>
                    </w:tc>
                  </w:tr>
                </w:tbl>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博罗县建设用地土壤管控分区划定情况图（详见附图</w:t>
                  </w:r>
                  <w:r>
                    <w:rPr>
                      <w:rFonts w:hint="eastAsia" w:ascii="Times New Roman" w:eastAsia="宋体" w:cs="Times New Roman"/>
                      <w:color w:val="auto"/>
                      <w:sz w:val="21"/>
                      <w:szCs w:val="21"/>
                      <w:highlight w:val="none"/>
                      <w:lang w:val="en-US" w:eastAsia="zh-CN"/>
                    </w:rPr>
                    <w:t>16</w:t>
                  </w:r>
                  <w:r>
                    <w:rPr>
                      <w:rFonts w:hint="default" w:ascii="Times New Roman" w:hAnsi="Times New Roman" w:eastAsia="宋体" w:cs="Times New Roman"/>
                      <w:color w:val="auto"/>
                      <w:sz w:val="21"/>
                      <w:szCs w:val="21"/>
                      <w:highlight w:val="none"/>
                      <w:lang w:val="en-US" w:eastAsia="zh-CN"/>
                    </w:rPr>
                    <w:t>），项目位于博罗县土壤环境一般管控区，生产过程产生的一般工业固体废物、危险废物妥善处置，不会污染土壤环境。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restar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资源利用上线</w:t>
                  </w:r>
                </w:p>
              </w:tc>
              <w:tc>
                <w:tcPr>
                  <w:tcW w:w="2995" w:type="pct"/>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表1-5 博罗县土地资源优先保护区面积统计（平方公里）</w:t>
                  </w:r>
                </w:p>
                <w:tbl>
                  <w:tblPr>
                    <w:tblStyle w:val="30"/>
                    <w:tblW w:w="4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9"/>
                    <w:gridCol w:w="1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272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土地资源优先保护区面积</w:t>
                        </w:r>
                      </w:p>
                    </w:tc>
                    <w:tc>
                      <w:tcPr>
                        <w:tcW w:w="1831"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834.505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272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土地资源优先保护区比例</w:t>
                        </w:r>
                      </w:p>
                    </w:tc>
                    <w:tc>
                      <w:tcPr>
                        <w:tcW w:w="1831"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29.23%</w:t>
                        </w:r>
                      </w:p>
                    </w:tc>
                  </w:tr>
                </w:tbl>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717" w:type="pct"/>
                  <w:noWrap w:val="0"/>
                  <w:vAlign w:val="center"/>
                </w:tcPr>
                <w:p>
                  <w:pPr>
                    <w:pStyle w:val="42"/>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博罗县资源利用上线－土地资源优先保护区划定情况图（详见附图</w:t>
                  </w:r>
                  <w:r>
                    <w:rPr>
                      <w:rFonts w:hint="eastAsia" w:ascii="Times New Roman" w:eastAsia="宋体" w:cs="Times New Roman"/>
                      <w:color w:val="auto"/>
                      <w:sz w:val="21"/>
                      <w:szCs w:val="21"/>
                      <w:highlight w:val="none"/>
                      <w:lang w:val="en-US" w:eastAsia="zh-CN"/>
                    </w:rPr>
                    <w:t>17</w:t>
                  </w:r>
                  <w:r>
                    <w:rPr>
                      <w:rFonts w:hint="default" w:ascii="Times New Roman" w:hAnsi="Times New Roman" w:eastAsia="宋体" w:cs="Times New Roman"/>
                      <w:color w:val="auto"/>
                      <w:sz w:val="21"/>
                      <w:szCs w:val="21"/>
                      <w:highlight w:val="none"/>
                      <w:lang w:val="en-US" w:eastAsia="zh-CN"/>
                    </w:rPr>
                    <w:t>），项目不</w:t>
                  </w:r>
                  <w:r>
                    <w:rPr>
                      <w:rFonts w:hint="eastAsia" w:ascii="Times New Roman" w:hAnsi="Times New Roman" w:eastAsia="宋体" w:cs="Times New Roman"/>
                      <w:color w:val="auto"/>
                      <w:sz w:val="21"/>
                      <w:szCs w:val="21"/>
                      <w:highlight w:val="none"/>
                      <w:lang w:val="en-US" w:eastAsia="zh-CN"/>
                    </w:rPr>
                    <w:t>在</w:t>
                  </w:r>
                  <w:r>
                    <w:rPr>
                      <w:rFonts w:hint="default" w:ascii="Times New Roman" w:hAnsi="Times New Roman" w:eastAsia="宋体" w:cs="Times New Roman"/>
                      <w:color w:val="auto"/>
                      <w:sz w:val="21"/>
                      <w:szCs w:val="21"/>
                      <w:highlight w:val="none"/>
                      <w:lang w:val="en-US" w:eastAsia="zh-CN"/>
                    </w:rPr>
                    <w:t>土壤资源优先保护区</w:t>
                  </w:r>
                  <w:r>
                    <w:rPr>
                      <w:rFonts w:hint="eastAsia" w:ascii="Times New Roman" w:hAnsi="Times New Roman" w:eastAsia="宋体" w:cs="Times New Roman"/>
                      <w:color w:val="auto"/>
                      <w:sz w:val="21"/>
                      <w:szCs w:val="21"/>
                      <w:highlight w:val="none"/>
                      <w:lang w:val="en-US" w:eastAsia="zh-CN"/>
                    </w:rPr>
                    <w:t>内</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表1-6博罗县能源（煤炭）重点管控区面积统计（平方公里）</w:t>
                  </w:r>
                </w:p>
                <w:tbl>
                  <w:tblPr>
                    <w:tblStyle w:val="30"/>
                    <w:tblW w:w="4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4"/>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374"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高污染燃料禁燃区面积</w:t>
                        </w:r>
                      </w:p>
                    </w:tc>
                    <w:tc>
                      <w:tcPr>
                        <w:tcW w:w="1165"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394.927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3374"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高污染燃料禁燃区比例</w:t>
                        </w:r>
                      </w:p>
                    </w:tc>
                    <w:tc>
                      <w:tcPr>
                        <w:tcW w:w="1165"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13.83%</w:t>
                        </w:r>
                      </w:p>
                    </w:tc>
                  </w:tr>
                </w:tbl>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717" w:type="pct"/>
                  <w:noWrap w:val="0"/>
                  <w:vAlign w:val="center"/>
                </w:tcPr>
                <w:p>
                  <w:pPr>
                    <w:pStyle w:val="42"/>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根据《博罗县“三线一单”生态环境分区管控图集》博罗县资源利用上线-高污染燃料禁燃区划定情况图（详见附图</w:t>
                  </w:r>
                  <w:r>
                    <w:rPr>
                      <w:rFonts w:hint="eastAsia" w:ascii="Times New Roman" w:eastAsia="宋体" w:cs="Times New Roman"/>
                      <w:color w:val="auto"/>
                      <w:sz w:val="21"/>
                      <w:szCs w:val="21"/>
                      <w:highlight w:val="none"/>
                      <w:lang w:val="en-US" w:eastAsia="zh-CN"/>
                    </w:rPr>
                    <w:t>18</w:t>
                  </w:r>
                  <w:r>
                    <w:rPr>
                      <w:rFonts w:hint="default" w:ascii="Times New Roman" w:hAnsi="Times New Roman" w:eastAsia="宋体" w:cs="Times New Roman"/>
                      <w:color w:val="auto"/>
                      <w:sz w:val="21"/>
                      <w:szCs w:val="21"/>
                      <w:highlight w:val="none"/>
                      <w:lang w:val="en-US" w:eastAsia="zh-CN"/>
                    </w:rPr>
                    <w:t>），本项目不</w:t>
                  </w:r>
                  <w:r>
                    <w:rPr>
                      <w:rFonts w:hint="eastAsia" w:ascii="Times New Roman" w:hAnsi="Times New Roman" w:eastAsia="宋体" w:cs="Times New Roman"/>
                      <w:color w:val="auto"/>
                      <w:sz w:val="21"/>
                      <w:szCs w:val="21"/>
                      <w:highlight w:val="none"/>
                      <w:lang w:val="en-US" w:eastAsia="zh-CN"/>
                    </w:rPr>
                    <w:t>在</w:t>
                  </w:r>
                  <w:r>
                    <w:rPr>
                      <w:rFonts w:hint="default" w:ascii="Times New Roman" w:hAnsi="Times New Roman" w:eastAsia="宋体" w:cs="Times New Roman"/>
                      <w:color w:val="auto"/>
                      <w:sz w:val="21"/>
                      <w:szCs w:val="21"/>
                      <w:highlight w:val="none"/>
                      <w:lang w:val="en-US" w:eastAsia="zh-CN"/>
                    </w:rPr>
                    <w:t>高污染燃料禁燃区</w:t>
                  </w:r>
                  <w:r>
                    <w:rPr>
                      <w:rFonts w:hint="eastAsia" w:ascii="Times New Roman" w:hAnsi="Times New Roman" w:eastAsia="宋体" w:cs="Times New Roman"/>
                      <w:color w:val="auto"/>
                      <w:sz w:val="21"/>
                      <w:szCs w:val="21"/>
                      <w:highlight w:val="none"/>
                      <w:lang w:val="en-US" w:eastAsia="zh-CN"/>
                    </w:rPr>
                    <w:t>内</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表1-7博罗县矿产资源开采敏感区面积统计（平方公里）</w:t>
                  </w:r>
                </w:p>
                <w:tbl>
                  <w:tblPr>
                    <w:tblStyle w:val="30"/>
                    <w:tblW w:w="4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9"/>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335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矿产资源开采敏感区面积</w:t>
                        </w:r>
                      </w:p>
                    </w:tc>
                    <w:tc>
                      <w:tcPr>
                        <w:tcW w:w="1160"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633.776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359"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矿产资源开采敏感区比例</w:t>
                        </w:r>
                      </w:p>
                    </w:tc>
                    <w:tc>
                      <w:tcPr>
                        <w:tcW w:w="1160" w:type="dxa"/>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22.20%</w:t>
                        </w:r>
                      </w:p>
                    </w:tc>
                  </w:tr>
                </w:tbl>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717" w:type="pct"/>
                  <w:noWrap w:val="0"/>
                  <w:vAlign w:val="center"/>
                </w:tcPr>
                <w:p>
                  <w:pPr>
                    <w:pStyle w:val="42"/>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博罗县资源利用上线-矿产资源开发敏感区划定情况图（详见附图</w:t>
                  </w:r>
                  <w:r>
                    <w:rPr>
                      <w:rFonts w:hint="eastAsia" w:ascii="Times New Roman" w:eastAsia="宋体" w:cs="Times New Roman"/>
                      <w:color w:val="auto"/>
                      <w:sz w:val="21"/>
                      <w:szCs w:val="21"/>
                      <w:highlight w:val="none"/>
                      <w:lang w:val="en-US" w:eastAsia="zh-CN"/>
                    </w:rPr>
                    <w:t>19</w:t>
                  </w:r>
                  <w:r>
                    <w:rPr>
                      <w:rFonts w:hint="default" w:ascii="Times New Roman" w:hAnsi="Times New Roman" w:eastAsia="宋体" w:cs="Times New Roman"/>
                      <w:color w:val="auto"/>
                      <w:sz w:val="21"/>
                      <w:szCs w:val="21"/>
                      <w:highlight w:val="none"/>
                      <w:lang w:val="en-US" w:eastAsia="zh-CN"/>
                    </w:rPr>
                    <w:t>），本项目不</w:t>
                  </w:r>
                  <w:r>
                    <w:rPr>
                      <w:rFonts w:hint="eastAsia" w:ascii="Times New Roman" w:hAnsi="Times New Roman" w:eastAsia="宋体" w:cs="Times New Roman"/>
                      <w:color w:val="auto"/>
                      <w:sz w:val="21"/>
                      <w:szCs w:val="21"/>
                      <w:highlight w:val="none"/>
                      <w:lang w:val="en-US" w:eastAsia="zh-CN"/>
                    </w:rPr>
                    <w:t>在</w:t>
                  </w:r>
                  <w:r>
                    <w:rPr>
                      <w:rFonts w:hint="default" w:ascii="Times New Roman" w:hAnsi="Times New Roman" w:eastAsia="宋体" w:cs="Times New Roman"/>
                      <w:color w:val="auto"/>
                      <w:sz w:val="21"/>
                      <w:szCs w:val="21"/>
                      <w:highlight w:val="none"/>
                      <w:lang w:val="en-US" w:eastAsia="zh-CN"/>
                    </w:rPr>
                    <w:t>矿产资源开采敏感区</w:t>
                  </w:r>
                  <w:r>
                    <w:rPr>
                      <w:rFonts w:hint="eastAsia" w:ascii="Times New Roman" w:hAnsi="Times New Roman" w:eastAsia="宋体" w:cs="Times New Roman"/>
                      <w:color w:val="auto"/>
                      <w:sz w:val="21"/>
                      <w:szCs w:val="21"/>
                      <w:highlight w:val="none"/>
                      <w:lang w:val="en-US" w:eastAsia="zh-CN"/>
                    </w:rPr>
                    <w:t>内</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5"/>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资源利用管控要求：强化水资源节约集约利用。推动农业节水增效；推进工业节水减排；开展城镇节水降损；保障江河湖库生态流量。</w:t>
                  </w:r>
                </w:p>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ar-SA"/>
                    </w:rPr>
                    <w:t>推进土地资源节约集约利用。科学划定生态保护红线、永久基本农田、城镇开发边界三条控制线，统筹布局生态、农业、城镇空间；按照“工业优先、以用为先”的原则，调整存量和扩大增量建设用地，优先保障“3+7”重点工业园区等重大平台、重大项目的用地需求。</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w:t>
                  </w:r>
                  <w:r>
                    <w:rPr>
                      <w:rFonts w:hint="default" w:ascii="Times New Roman" w:hAnsi="Times New Roman" w:eastAsia="宋体" w:cs="Times New Roman"/>
                      <w:color w:val="auto"/>
                      <w:sz w:val="21"/>
                      <w:szCs w:val="21"/>
                      <w:highlight w:val="none"/>
                      <w:lang w:val="en-US" w:bidi="zh-CN"/>
                    </w:rPr>
                    <w:t>生产</w:t>
                  </w:r>
                  <w:r>
                    <w:rPr>
                      <w:rFonts w:hint="default" w:ascii="Times New Roman" w:hAnsi="Times New Roman" w:eastAsia="宋体" w:cs="Times New Roman"/>
                      <w:color w:val="auto"/>
                      <w:sz w:val="21"/>
                      <w:szCs w:val="21"/>
                      <w:highlight w:val="none"/>
                      <w:lang w:bidi="zh-CN"/>
                    </w:rPr>
                    <w:t>废水排放。</w:t>
                  </w:r>
                </w:p>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bidi="zh-CN"/>
                    </w:rPr>
                    <w:t>根据</w:t>
                  </w:r>
                  <w:r>
                    <w:rPr>
                      <w:rFonts w:hint="eastAsia" w:ascii="Times New Roman" w:eastAsia="宋体" w:cs="Times New Roman"/>
                      <w:color w:val="auto"/>
                      <w:sz w:val="21"/>
                      <w:szCs w:val="21"/>
                      <w:highlight w:val="none"/>
                      <w:lang w:val="en-US" w:bidi="zh-CN"/>
                    </w:rPr>
                    <w:t>《博罗县石湾镇总体规划方案调整》（见附图12）</w:t>
                  </w:r>
                  <w:r>
                    <w:rPr>
                      <w:rFonts w:hint="eastAsia" w:ascii="Times New Roman" w:eastAsia="宋体" w:cs="Times New Roman"/>
                      <w:color w:val="FF0000"/>
                      <w:sz w:val="21"/>
                      <w:szCs w:val="21"/>
                      <w:highlight w:val="none"/>
                      <w:lang w:val="en-US" w:bidi="zh-CN"/>
                    </w:rPr>
                    <w:t>及用地证明（见附件2）</w:t>
                  </w:r>
                  <w:r>
                    <w:rPr>
                      <w:rFonts w:hint="default" w:ascii="Times New Roman" w:hAnsi="Times New Roman" w:eastAsia="宋体" w:cs="Times New Roman"/>
                      <w:color w:val="auto"/>
                      <w:sz w:val="21"/>
                      <w:szCs w:val="21"/>
                      <w:highlight w:val="none"/>
                      <w:lang w:bidi="zh-CN"/>
                    </w:rPr>
                    <w:t>，</w:t>
                  </w:r>
                  <w:r>
                    <w:rPr>
                      <w:rFonts w:hint="default" w:ascii="Times New Roman" w:hAnsi="Times New Roman" w:eastAsia="宋体" w:cs="Times New Roman"/>
                      <w:color w:val="auto"/>
                      <w:sz w:val="21"/>
                      <w:szCs w:val="21"/>
                      <w:highlight w:val="none"/>
                      <w:lang w:val="en-US" w:bidi="zh-CN"/>
                    </w:rPr>
                    <w:t>本项目</w:t>
                  </w:r>
                  <w:r>
                    <w:rPr>
                      <w:rFonts w:hint="eastAsia" w:ascii="Times New Roman" w:eastAsia="宋体" w:cs="Times New Roman"/>
                      <w:color w:val="auto"/>
                      <w:sz w:val="21"/>
                      <w:szCs w:val="21"/>
                      <w:highlight w:val="none"/>
                      <w:lang w:val="en-US" w:bidi="zh-CN"/>
                    </w:rPr>
                    <w:t>用地属于工业</w:t>
                  </w:r>
                  <w:r>
                    <w:rPr>
                      <w:rFonts w:hint="default" w:ascii="Times New Roman" w:hAnsi="Times New Roman" w:eastAsia="宋体" w:cs="Times New Roman"/>
                      <w:color w:val="auto"/>
                      <w:sz w:val="21"/>
                      <w:szCs w:val="21"/>
                      <w:highlight w:val="none"/>
                      <w:lang w:val="en-US" w:bidi="zh-CN"/>
                    </w:rPr>
                    <w:t>用地，满足要求。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5000" w:type="pct"/>
                  <w:gridSpan w:val="3"/>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bidi="zh-CN"/>
                    </w:rPr>
                  </w:pP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b/>
                      <w:bCs/>
                      <w:color w:val="auto"/>
                      <w:sz w:val="21"/>
                      <w:szCs w:val="21"/>
                      <w:lang w:val="en-US" w:eastAsia="zh-CN"/>
                    </w:rPr>
                    <w:t>与</w:t>
                  </w:r>
                  <w:r>
                    <w:rPr>
                      <w:rFonts w:hint="default" w:ascii="Times New Roman" w:hAnsi="Times New Roman" w:eastAsia="宋体" w:cs="Times New Roman"/>
                      <w:b/>
                      <w:bCs/>
                      <w:color w:val="auto"/>
                      <w:sz w:val="21"/>
                      <w:szCs w:val="21"/>
                    </w:rPr>
                    <w:t>ZH44132220001博罗沙河流域重点管控单元</w:t>
                  </w:r>
                  <w:r>
                    <w:rPr>
                      <w:rFonts w:hint="default" w:ascii="Times New Roman" w:hAnsi="Times New Roman" w:eastAsia="宋体" w:cs="Times New Roman"/>
                      <w:b/>
                      <w:bCs/>
                      <w:color w:val="auto"/>
                      <w:sz w:val="21"/>
                      <w:szCs w:val="21"/>
                      <w:lang w:val="en-US" w:eastAsia="zh-CN"/>
                    </w:rPr>
                    <w:t>的相符性分析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restar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区域布局管控</w:t>
                  </w: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1-1.【产业/鼓励引导类】饮用水水源保护区外的区域，重点发展电子信息、智能家电、先进材料等产业。</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本项目为C2929塑料零件及其他塑料制品制造</w:t>
                  </w:r>
                  <w:r>
                    <w:rPr>
                      <w:rFonts w:hint="eastAsia" w:ascii="Times New Roman" w:hAnsi="Times New Roman" w:eastAsia="宋体" w:cs="Times New Roman"/>
                      <w:color w:val="auto"/>
                      <w:sz w:val="21"/>
                      <w:szCs w:val="21"/>
                      <w:highlight w:val="none"/>
                      <w:lang w:val="en-US" w:eastAsia="zh-CN"/>
                    </w:rPr>
                    <w:t>及</w:t>
                  </w:r>
                  <w:r>
                    <w:rPr>
                      <w:rFonts w:hint="default" w:ascii="Times New Roman" w:hAnsi="Times New Roman" w:eastAsia="宋体" w:cs="Times New Roman"/>
                      <w:color w:val="auto"/>
                      <w:sz w:val="21"/>
                      <w:szCs w:val="21"/>
                      <w:highlight w:val="none"/>
                    </w:rPr>
                    <w:t>C3525模具制造，</w:t>
                  </w:r>
                  <w:r>
                    <w:rPr>
                      <w:rFonts w:hint="default" w:ascii="Times New Roman" w:hAnsi="Times New Roman" w:eastAsia="宋体" w:cs="Times New Roman"/>
                      <w:color w:val="auto"/>
                      <w:sz w:val="21"/>
                      <w:szCs w:val="21"/>
                      <w:highlight w:val="none"/>
                      <w:lang w:val="en-US" w:eastAsia="zh-CN"/>
                    </w:rPr>
                    <w:t>属于允许类</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rPr>
                    <w:t>本项目为C2929塑料零件及其他塑料制品制造</w:t>
                  </w:r>
                  <w:r>
                    <w:rPr>
                      <w:rFonts w:hint="eastAsia" w:ascii="Times New Roman" w:hAnsi="Times New Roman" w:eastAsia="宋体" w:cs="Times New Roman"/>
                      <w:color w:val="auto"/>
                      <w:sz w:val="21"/>
                      <w:szCs w:val="21"/>
                      <w:highlight w:val="none"/>
                      <w:lang w:val="en-US" w:eastAsia="zh-CN"/>
                    </w:rPr>
                    <w:t>及</w:t>
                  </w:r>
                  <w:r>
                    <w:rPr>
                      <w:rFonts w:hint="default" w:ascii="Times New Roman" w:hAnsi="Times New Roman" w:eastAsia="宋体" w:cs="Times New Roman"/>
                      <w:color w:val="auto"/>
                      <w:sz w:val="21"/>
                      <w:szCs w:val="21"/>
                      <w:highlight w:val="none"/>
                    </w:rPr>
                    <w:t>C3525模具制造，不属于</w:t>
                  </w:r>
                  <w:r>
                    <w:rPr>
                      <w:rFonts w:hint="eastAsia" w:ascii="Times New Roman" w:eastAsia="宋体" w:cs="Times New Roman"/>
                      <w:color w:val="auto"/>
                      <w:sz w:val="21"/>
                      <w:szCs w:val="21"/>
                      <w:highlight w:val="none"/>
                      <w:lang w:val="en-US" w:eastAsia="zh-CN"/>
                    </w:rPr>
                    <w:t>以上</w:t>
                  </w:r>
                  <w:r>
                    <w:rPr>
                      <w:rFonts w:hint="default" w:ascii="Times New Roman" w:hAnsi="Times New Roman" w:eastAsia="宋体" w:cs="Times New Roman"/>
                      <w:color w:val="auto"/>
                      <w:sz w:val="21"/>
                      <w:szCs w:val="21"/>
                      <w:highlight w:val="none"/>
                    </w:rPr>
                    <w:t>禁止类。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1-3.【产业/限制类】严格限制化工、包装印刷、工业涂装等高VOCs排放建设项目。</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eastAsia" w:ascii="Times New Roman" w:eastAsia="宋体" w:cs="Times New Roman"/>
                      <w:color w:val="auto"/>
                      <w:sz w:val="21"/>
                      <w:szCs w:val="21"/>
                      <w:highlight w:val="none"/>
                      <w:lang w:val="en-US" w:eastAsia="zh-CN"/>
                    </w:rPr>
                    <w:t>本项目使用的水性油漆及水性油墨均满足低挥发要求，因此</w:t>
                  </w:r>
                  <w:r>
                    <w:rPr>
                      <w:rFonts w:hint="default" w:ascii="Times New Roman" w:hAnsi="Times New Roman" w:eastAsia="宋体" w:cs="Times New Roman"/>
                      <w:color w:val="auto"/>
                      <w:sz w:val="21"/>
                      <w:szCs w:val="21"/>
                      <w:highlight w:val="none"/>
                    </w:rPr>
                    <w:t>本项目不属于</w:t>
                  </w:r>
                  <w:r>
                    <w:rPr>
                      <w:rFonts w:hint="default" w:ascii="Times New Roman" w:hAnsi="Times New Roman" w:eastAsia="宋体" w:cs="Times New Roman"/>
                      <w:color w:val="auto"/>
                      <w:sz w:val="21"/>
                      <w:szCs w:val="21"/>
                      <w:highlight w:val="none"/>
                      <w:lang w:bidi="zh-CN"/>
                    </w:rPr>
                    <w:t>高VOCs排放建设项目</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-4.【生态/限制类】一般生态空间内可开展生态保护红线内允许的活动，在不影响主导生态功能的前提下，还可开展国家和省规定不纳入环评管理的项目建设，以及生态旅游、基础设施建设、村庄建设等人为活动。</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不</w:t>
                  </w:r>
                  <w:r>
                    <w:rPr>
                      <w:rFonts w:hint="eastAsia" w:ascii="Times New Roman" w:eastAsia="宋体" w:cs="Times New Roman"/>
                      <w:color w:val="auto"/>
                      <w:sz w:val="21"/>
                      <w:szCs w:val="21"/>
                      <w:highlight w:val="none"/>
                      <w:lang w:val="en-US" w:bidi="zh-CN"/>
                    </w:rPr>
                    <w:t>在</w:t>
                  </w:r>
                  <w:r>
                    <w:rPr>
                      <w:rFonts w:hint="default" w:ascii="Times New Roman" w:hAnsi="Times New Roman" w:eastAsia="宋体" w:cs="Times New Roman"/>
                      <w:color w:val="auto"/>
                      <w:sz w:val="21"/>
                      <w:szCs w:val="21"/>
                      <w:highlight w:val="none"/>
                      <w:lang w:val="en-US" w:bidi="zh-CN"/>
                    </w:rPr>
                    <w:t>一般生态空间内</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不</w:t>
                  </w:r>
                  <w:r>
                    <w:rPr>
                      <w:rFonts w:hint="eastAsia" w:ascii="Times New Roman" w:eastAsia="宋体" w:cs="Times New Roman"/>
                      <w:color w:val="auto"/>
                      <w:sz w:val="21"/>
                      <w:szCs w:val="21"/>
                      <w:highlight w:val="none"/>
                      <w:lang w:val="en-US" w:bidi="zh-CN"/>
                    </w:rPr>
                    <w:t>在</w:t>
                  </w:r>
                  <w:r>
                    <w:rPr>
                      <w:rFonts w:hint="default" w:ascii="Times New Roman" w:hAnsi="Times New Roman" w:eastAsia="宋体" w:cs="Times New Roman"/>
                      <w:color w:val="auto"/>
                      <w:sz w:val="21"/>
                      <w:szCs w:val="21"/>
                      <w:highlight w:val="none"/>
                      <w:lang w:bidi="zh-CN"/>
                    </w:rPr>
                    <w:t>饮用水水源保护区域内，不属于水禁止类项目。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-6.【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本项目不属于新建废弃物堆放场和处理场项目。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1-7.【水/禁止类】畜禽禁养区内不得从事畜禽养殖业。</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本项目不属于畜禽养殖业。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-8.【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本项目不属于畜禽养殖业。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本项目不属于新建储油库项目</w:t>
                  </w:r>
                  <w:r>
                    <w:rPr>
                      <w:rFonts w:hint="eastAsia" w:ascii="Times New Roman" w:eastAsia="宋体" w:cs="Times New Roman"/>
                      <w:color w:val="auto"/>
                      <w:sz w:val="21"/>
                      <w:szCs w:val="21"/>
                      <w:highlight w:val="none"/>
                      <w:lang w:bidi="zh-CN"/>
                    </w:rPr>
                    <w:t>，</w:t>
                  </w:r>
                  <w:r>
                    <w:rPr>
                      <w:rFonts w:hint="eastAsia" w:ascii="Times New Roman" w:eastAsia="宋体" w:cs="Times New Roman"/>
                      <w:color w:val="auto"/>
                      <w:sz w:val="21"/>
                      <w:szCs w:val="21"/>
                      <w:highlight w:val="none"/>
                      <w:lang w:val="en-US" w:bidi="zh-CN"/>
                    </w:rPr>
                    <w:t>使用的含VOC原辅料不属于高挥发性有机物原辅材料</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1-10.【大气/鼓励引导类】大气环境高排放重点管控区内，强化达标监管，引导工业项目落地集聚发展，有序推进区域内行业企业提标改造。</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产生的废气经收集至废气处理设施处理达标后</w:t>
                  </w:r>
                  <w:r>
                    <w:rPr>
                      <w:rFonts w:hint="eastAsia" w:ascii="Times New Roman" w:eastAsia="宋体" w:cs="Times New Roman"/>
                      <w:color w:val="auto"/>
                      <w:sz w:val="21"/>
                      <w:szCs w:val="21"/>
                      <w:highlight w:val="none"/>
                      <w:lang w:val="en-US" w:bidi="zh-CN"/>
                    </w:rPr>
                    <w:t>高空</w:t>
                  </w:r>
                  <w:r>
                    <w:rPr>
                      <w:rFonts w:hint="default" w:ascii="Times New Roman" w:hAnsi="Times New Roman" w:eastAsia="宋体" w:cs="Times New Roman"/>
                      <w:color w:val="auto"/>
                      <w:sz w:val="21"/>
                      <w:szCs w:val="21"/>
                      <w:highlight w:val="none"/>
                      <w:lang w:val="en-US" w:bidi="zh-CN"/>
                    </w:rPr>
                    <w:t>排放，待项目建成后按要求定期开展自行监测，确保废气达标排放</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1-11.【土壤/禁止类】禁止在重金属重点防控区域内新建、改建、扩建增加重金属污染物排放总量的建设项目。</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本项目无重金属污染物排放。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1-12.【土壤/限制类】重金属污染防控非重点区新建、</w:t>
                  </w:r>
                  <w:r>
                    <w:rPr>
                      <w:rFonts w:hint="eastAsia" w:ascii="Times New Roman" w:eastAsia="宋体" w:cs="Times New Roman"/>
                      <w:color w:val="auto"/>
                      <w:sz w:val="21"/>
                      <w:szCs w:val="21"/>
                      <w:lang w:bidi="zh-CN"/>
                    </w:rPr>
                    <w:t>迁扩建</w:t>
                  </w:r>
                  <w:r>
                    <w:rPr>
                      <w:rFonts w:hint="default" w:ascii="Times New Roman" w:hAnsi="Times New Roman" w:eastAsia="宋体" w:cs="Times New Roman"/>
                      <w:color w:val="auto"/>
                      <w:sz w:val="21"/>
                      <w:szCs w:val="21"/>
                      <w:lang w:bidi="zh-CN"/>
                    </w:rPr>
                    <w:t>重金属排放项目，应严格落实重金属总量替代与削减要求，严格控制重点行业发展规模。强化涉重金属污染行业建设项目环评审批管理，严格执行环保“三同时”制度。</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本项目无重金属污染物排放。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86" w:type="pct"/>
                  <w:vMerge w:val="restar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能源资源利用</w:t>
                  </w: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2-1.【能源/鼓励引导类】鼓励降低煤炭消耗、能源消耗，引导光伏等多种形式的新能源利用。</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项目所有设备采用电能源，符合能源资料利用的要求。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2-2.【能源/综合类】根据本地区大气环境质量改善要求逐步扩大高污染燃料禁燃区范围。</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rPr>
                    <w:t>项目所有设备采用电能源，符合能源资料利用的要求。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restar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污染物排放管控</w:t>
                  </w: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3-1.【水/限制类】单元内城镇生活污水处理厂出水水质COD、氨氮、总磷排放执行国家《地表水环境质量</w:t>
                  </w:r>
                  <w:r>
                    <w:rPr>
                      <w:rFonts w:hint="eastAsia" w:ascii="Times New Roman" w:hAnsi="Times New Roman" w:eastAsia="宋体" w:cs="Times New Roman"/>
                      <w:color w:val="auto"/>
                      <w:sz w:val="21"/>
                      <w:szCs w:val="21"/>
                      <w:highlight w:val="none"/>
                      <w:lang w:val="en-US" w:eastAsia="zh-CN"/>
                    </w:rPr>
                    <w:t>标准</w:t>
                  </w:r>
                  <w:r>
                    <w:rPr>
                      <w:rFonts w:hint="default" w:ascii="Times New Roman" w:hAnsi="Times New Roman" w:eastAsia="宋体" w:cs="Times New Roman"/>
                      <w:color w:val="auto"/>
                      <w:sz w:val="21"/>
                      <w:szCs w:val="21"/>
                      <w:highlight w:val="none"/>
                      <w:lang w:val="en-US"/>
                    </w:rPr>
                    <w:t>》（GB3838-2002）Ⅴ类标准，其余指标执行国家《城镇污水处理厂污染物排放标</w:t>
                  </w:r>
                  <w:r>
                    <w:rPr>
                      <w:rFonts w:hint="eastAsia" w:ascii="Times New Roman" w:hAnsi="Times New Roman" w:eastAsia="宋体" w:cs="Times New Roman"/>
                      <w:color w:val="auto"/>
                      <w:sz w:val="21"/>
                      <w:szCs w:val="21"/>
                      <w:highlight w:val="none"/>
                      <w:lang w:val="en-US" w:eastAsia="zh-CN"/>
                    </w:rPr>
                    <w:t>准</w:t>
                  </w:r>
                  <w:r>
                    <w:rPr>
                      <w:rFonts w:hint="default" w:ascii="Times New Roman" w:hAnsi="Times New Roman" w:eastAsia="宋体" w:cs="Times New Roman"/>
                      <w:color w:val="auto"/>
                      <w:sz w:val="21"/>
                      <w:szCs w:val="21"/>
                      <w:highlight w:val="none"/>
                      <w:lang w:val="en-US"/>
                    </w:rPr>
                    <w:t>》（GB18918-2002）一级A标准与广东省《水污染物排放限值》较严值的标准。</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生活污水经三级化粪池预处理后经市政管网排入</w:t>
                  </w:r>
                  <w:r>
                    <w:rPr>
                      <w:rFonts w:hint="eastAsia" w:ascii="Times New Roman" w:hAnsi="Times New Roman" w:eastAsia="宋体" w:cs="Times New Roman"/>
                      <w:color w:val="auto"/>
                      <w:sz w:val="21"/>
                      <w:szCs w:val="21"/>
                      <w:highlight w:val="none"/>
                      <w:lang w:val="en-US" w:eastAsia="zh-CN"/>
                    </w:rPr>
                    <w:t>博罗县</w:t>
                  </w:r>
                  <w:r>
                    <w:rPr>
                      <w:rFonts w:hint="eastAsia" w:ascii="Times New Roman" w:eastAsia="宋体" w:cs="Times New Roman"/>
                      <w:color w:val="auto"/>
                      <w:sz w:val="21"/>
                      <w:szCs w:val="21"/>
                      <w:highlight w:val="none"/>
                      <w:lang w:val="en-US" w:eastAsia="zh-CN"/>
                    </w:rPr>
                    <w:t>石湾镇大牛垒</w:t>
                  </w:r>
                  <w:r>
                    <w:rPr>
                      <w:rFonts w:hint="eastAsia" w:ascii="Times New Roman" w:hAnsi="Times New Roman" w:eastAsia="宋体" w:cs="Times New Roman"/>
                      <w:color w:val="auto"/>
                      <w:sz w:val="21"/>
                      <w:szCs w:val="21"/>
                      <w:highlight w:val="none"/>
                      <w:lang w:val="en-US" w:eastAsia="zh-CN"/>
                    </w:rPr>
                    <w:t>生活污水处理厂</w:t>
                  </w:r>
                  <w:r>
                    <w:rPr>
                      <w:rFonts w:hint="default" w:ascii="Times New Roman" w:hAnsi="Times New Roman" w:eastAsia="宋体" w:cs="Times New Roman"/>
                      <w:color w:val="auto"/>
                      <w:sz w:val="21"/>
                      <w:szCs w:val="21"/>
                      <w:highlight w:val="none"/>
                      <w:lang w:val="en-US" w:eastAsia="zh-CN"/>
                    </w:rPr>
                    <w:t>处理，尾水排放执行广东省地方标准《水污染物排放限值》（DB44/26-2001）第二时段一级标准及《城镇污水处理厂污染物排放标准》（GB18918-2002）一级A标准两者中的较严者，其中COD</w:t>
                  </w:r>
                  <w:r>
                    <w:rPr>
                      <w:rFonts w:hint="default" w:ascii="Times New Roman" w:hAnsi="Times New Roman" w:eastAsia="宋体" w:cs="Times New Roman"/>
                      <w:color w:val="auto"/>
                      <w:sz w:val="21"/>
                      <w:szCs w:val="21"/>
                      <w:highlight w:val="none"/>
                      <w:vertAlign w:val="subscript"/>
                      <w:lang w:val="en-US" w:eastAsia="zh-CN"/>
                    </w:rPr>
                    <w:t>Cr</w:t>
                  </w:r>
                  <w:r>
                    <w:rPr>
                      <w:rFonts w:hint="default" w:ascii="Times New Roman" w:hAnsi="Times New Roman" w:eastAsia="宋体" w:cs="Times New Roman"/>
                      <w:color w:val="auto"/>
                      <w:sz w:val="21"/>
                      <w:szCs w:val="21"/>
                      <w:highlight w:val="none"/>
                      <w:lang w:val="en-US" w:eastAsia="zh-CN"/>
                    </w:rPr>
                    <w:t>、氨氮、总磷执行《地表水环境质量标准》（GB3838-2002）V类标准</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3-2.【水/限制类】严格控制流域内增加水污染物排放或对东江水、水环境安全构成影响的项目。</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生产废水</w:t>
                  </w:r>
                  <w:r>
                    <w:rPr>
                      <w:rFonts w:hint="eastAsia" w:ascii="Times New Roman" w:eastAsia="宋体" w:cs="Times New Roman"/>
                      <w:color w:val="auto"/>
                      <w:sz w:val="21"/>
                      <w:szCs w:val="21"/>
                      <w:highlight w:val="none"/>
                      <w:lang w:val="en-US" w:bidi="zh-CN"/>
                    </w:rPr>
                    <w:t>收集后定期交由处理资质的单位处理，不外排</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-3.【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生产废水</w:t>
                  </w:r>
                  <w:r>
                    <w:rPr>
                      <w:rFonts w:hint="eastAsia" w:ascii="Times New Roman" w:eastAsia="宋体" w:cs="Times New Roman"/>
                      <w:color w:val="auto"/>
                      <w:sz w:val="21"/>
                      <w:szCs w:val="21"/>
                      <w:highlight w:val="none"/>
                      <w:lang w:val="en-US" w:bidi="zh-CN"/>
                    </w:rPr>
                    <w:t>收集后定期交由有处理资质的单位处理，不外排</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3-4.【水/综合类】强化农业面源污染治理，控制农药化肥使用量。</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项目不涉及农业污染。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3-5.【大气/限制类】重点行业新建涉VOCs排放的工业企业原则上应入园进区。新建项目VOCs实施倍量替代。</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项目不属于重点行业，</w:t>
                  </w:r>
                  <w:r>
                    <w:rPr>
                      <w:rFonts w:hint="eastAsia" w:ascii="Times New Roman" w:eastAsia="宋体" w:cs="Times New Roman"/>
                      <w:color w:val="auto"/>
                      <w:sz w:val="21"/>
                      <w:szCs w:val="21"/>
                      <w:highlight w:val="none"/>
                      <w:lang w:bidi="zh-CN"/>
                    </w:rPr>
                    <w:t>“</w:t>
                  </w:r>
                  <w:r>
                    <w:rPr>
                      <w:rFonts w:hint="default" w:ascii="Times New Roman" w:hAnsi="Times New Roman" w:eastAsia="宋体" w:cs="Times New Roman"/>
                      <w:color w:val="auto"/>
                      <w:sz w:val="21"/>
                      <w:szCs w:val="21"/>
                      <w:highlight w:val="none"/>
                      <w:lang w:bidi="zh-CN"/>
                    </w:rPr>
                    <w:t>项目VOCs实施倍量替代</w:t>
                  </w:r>
                  <w:r>
                    <w:rPr>
                      <w:rFonts w:hint="eastAsia" w:ascii="Times New Roman" w:eastAsia="宋体" w:cs="Times New Roman"/>
                      <w:color w:val="auto"/>
                      <w:sz w:val="21"/>
                      <w:szCs w:val="21"/>
                      <w:highlight w:val="none"/>
                      <w:lang w:bidi="zh-CN"/>
                    </w:rPr>
                    <w:t>”</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3-6.【土壤/禁止类】禁止向农用地排放重金属或者其他有毒有害物质含量超标的污水、污泥，以及可能造成土壤污染的清淤底泥、尾矿、矿渣等。</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rPr>
                    <w:t>项目运营期不排放重金属或者其他有毒有害物质含量超标的污水、污泥，以及可能造成土壤污染的清淤底泥、尾矿、矿渣等。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286" w:type="pct"/>
                  <w:vMerge w:val="restar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环境风险防控</w:t>
                  </w:r>
                </w:p>
              </w:tc>
              <w:tc>
                <w:tcPr>
                  <w:tcW w:w="2995" w:type="pct"/>
                  <w:noWrap w:val="0"/>
                  <w:vAlign w:val="center"/>
                </w:tcPr>
                <w:p>
                  <w:pPr>
                    <w:pStyle w:val="55"/>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4-1.【水/综合类】城镇污水处理厂、涉水企业应采取有效措施，防止事故废水直接排入水体。</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rPr>
                    <w:t>本项目不属于城镇污水处理厂企业</w:t>
                  </w:r>
                  <w:r>
                    <w:rPr>
                      <w:rFonts w:hint="eastAsia" w:ascii="Times New Roman" w:eastAsia="宋体" w:cs="Times New Roman"/>
                      <w:color w:val="auto"/>
                      <w:kern w:val="0"/>
                      <w:sz w:val="21"/>
                      <w:szCs w:val="21"/>
                      <w:highlight w:val="none"/>
                      <w:lang w:val="en-US" w:eastAsia="zh-CN"/>
                    </w:rPr>
                    <w:t>，生产废水收集后定期委外处理，不外排</w:t>
                  </w:r>
                  <w:r>
                    <w:rPr>
                      <w:rFonts w:hint="default" w:ascii="Times New Roman" w:hAnsi="Times New Roman" w:eastAsia="宋体" w:cs="Times New Roman"/>
                      <w:color w:val="auto"/>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4-2.【水/综合类】加强饮用水水源保护区内环境风险排查，开展风险评估及水环境预警监测。</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w:t>
                  </w:r>
                  <w:r>
                    <w:rPr>
                      <w:rFonts w:hint="eastAsia" w:ascii="Times New Roman" w:eastAsia="宋体" w:cs="Times New Roman"/>
                      <w:color w:val="auto"/>
                      <w:sz w:val="21"/>
                      <w:szCs w:val="21"/>
                      <w:highlight w:val="none"/>
                      <w:lang w:val="en-US" w:bidi="zh-CN"/>
                    </w:rPr>
                    <w:t>在</w:t>
                  </w:r>
                  <w:r>
                    <w:rPr>
                      <w:rFonts w:hint="default" w:ascii="Times New Roman" w:hAnsi="Times New Roman" w:eastAsia="宋体" w:cs="Times New Roman"/>
                      <w:color w:val="auto"/>
                      <w:sz w:val="21"/>
                      <w:szCs w:val="21"/>
                      <w:highlight w:val="none"/>
                      <w:lang w:bidi="zh-CN"/>
                    </w:rPr>
                    <w:t>饮用水水源保护区内。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286" w:type="pct"/>
                  <w:vMerge w:val="continue"/>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717" w:type="pct"/>
                  <w:noWrap w:val="0"/>
                  <w:vAlign w:val="center"/>
                </w:tcPr>
                <w:p>
                  <w:pPr>
                    <w:pStyle w:val="42"/>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项目不属于生产、储存和使用有毒有害气体的企业。</w:t>
                  </w:r>
                </w:p>
              </w:tc>
            </w:tr>
          </w:tbl>
          <w:p>
            <w:pPr>
              <w:autoSpaceDE w:val="0"/>
              <w:autoSpaceDN w:val="0"/>
              <w:adjustRightInd w:val="0"/>
              <w:snapToGrid w:val="0"/>
              <w:ind w:firstLine="482" w:firstLineChars="200"/>
              <w:jc w:val="left"/>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2、项目与产业政策符合性分析：</w:t>
            </w:r>
          </w:p>
          <w:p>
            <w:pPr>
              <w:autoSpaceDE w:val="0"/>
              <w:autoSpaceDN w:val="0"/>
              <w:adjustRightInd w:val="0"/>
              <w:snapToGrid w:val="0"/>
              <w:ind w:firstLine="480" w:firstLineChars="200"/>
              <w:jc w:val="left"/>
              <w:rPr>
                <w:color w:val="auto"/>
                <w:kern w:val="0"/>
                <w:szCs w:val="21"/>
                <w:highlight w:val="none"/>
              </w:rPr>
            </w:pPr>
            <w:r>
              <w:rPr>
                <w:color w:val="auto"/>
                <w:sz w:val="24"/>
                <w:szCs w:val="24"/>
                <w:highlight w:val="none"/>
              </w:rPr>
              <w:t>本项目属于</w:t>
            </w:r>
            <w:r>
              <w:rPr>
                <w:rFonts w:hint="eastAsia"/>
                <w:color w:val="auto"/>
                <w:sz w:val="24"/>
                <w:szCs w:val="24"/>
                <w:highlight w:val="none"/>
              </w:rPr>
              <w:t>C2929塑料零件及其他塑料制品制造及C3525模具制造</w:t>
            </w:r>
            <w:r>
              <w:rPr>
                <w:color w:val="auto"/>
                <w:sz w:val="24"/>
                <w:szCs w:val="24"/>
                <w:highlight w:val="none"/>
              </w:rPr>
              <w:t>，</w:t>
            </w:r>
            <w:r>
              <w:rPr>
                <w:rFonts w:hint="eastAsia"/>
                <w:color w:val="auto"/>
                <w:sz w:val="24"/>
                <w:szCs w:val="24"/>
                <w:highlight w:val="none"/>
                <w:lang w:val="en-US" w:eastAsia="zh-CN"/>
              </w:rPr>
              <w:t>不属于</w:t>
            </w:r>
            <w:r>
              <w:rPr>
                <w:color w:val="auto"/>
                <w:sz w:val="24"/>
                <w:szCs w:val="24"/>
                <w:highlight w:val="none"/>
              </w:rPr>
              <w:t>《产业结构调整指导目录</w:t>
            </w:r>
            <w:r>
              <w:rPr>
                <w:rFonts w:hint="eastAsia"/>
                <w:color w:val="auto"/>
                <w:sz w:val="24"/>
                <w:szCs w:val="24"/>
                <w:highlight w:val="none"/>
                <w:lang w:eastAsia="zh-CN"/>
              </w:rPr>
              <w:t>（</w:t>
            </w:r>
            <w:r>
              <w:rPr>
                <w:color w:val="auto"/>
                <w:sz w:val="24"/>
                <w:szCs w:val="24"/>
                <w:highlight w:val="none"/>
              </w:rPr>
              <w:t>2019年本</w:t>
            </w:r>
            <w:r>
              <w:rPr>
                <w:rFonts w:hint="eastAsia"/>
                <w:color w:val="auto"/>
                <w:sz w:val="24"/>
                <w:szCs w:val="24"/>
                <w:highlight w:val="none"/>
                <w:lang w:eastAsia="zh-CN"/>
              </w:rPr>
              <w:t>）</w:t>
            </w:r>
            <w:r>
              <w:rPr>
                <w:color w:val="auto"/>
                <w:sz w:val="24"/>
                <w:szCs w:val="24"/>
                <w:highlight w:val="none"/>
              </w:rPr>
              <w:t>》</w:t>
            </w:r>
            <w:r>
              <w:rPr>
                <w:rFonts w:hint="eastAsia"/>
                <w:color w:val="auto"/>
                <w:sz w:val="24"/>
                <w:szCs w:val="24"/>
                <w:highlight w:val="none"/>
                <w:lang w:eastAsia="zh-CN"/>
              </w:rPr>
              <w:t>（</w:t>
            </w:r>
            <w:r>
              <w:rPr>
                <w:color w:val="auto"/>
                <w:sz w:val="24"/>
                <w:szCs w:val="24"/>
                <w:highlight w:val="none"/>
              </w:rPr>
              <w:t>发展改革委令第</w:t>
            </w:r>
            <w:r>
              <w:rPr>
                <w:rFonts w:hint="eastAsia"/>
                <w:color w:val="auto"/>
                <w:sz w:val="24"/>
                <w:szCs w:val="24"/>
                <w:highlight w:val="none"/>
                <w:lang w:val="en-US" w:eastAsia="zh-CN"/>
              </w:rPr>
              <w:t>2</w:t>
            </w:r>
            <w:r>
              <w:rPr>
                <w:color w:val="auto"/>
                <w:sz w:val="24"/>
                <w:szCs w:val="24"/>
                <w:highlight w:val="none"/>
              </w:rPr>
              <w:t>9号</w:t>
            </w:r>
            <w:r>
              <w:rPr>
                <w:rFonts w:hint="eastAsia"/>
                <w:color w:val="auto"/>
                <w:sz w:val="24"/>
                <w:szCs w:val="24"/>
                <w:highlight w:val="none"/>
                <w:lang w:eastAsia="zh-CN"/>
              </w:rPr>
              <w:t>）</w:t>
            </w:r>
            <w:r>
              <w:rPr>
                <w:color w:val="auto"/>
                <w:sz w:val="24"/>
                <w:szCs w:val="24"/>
                <w:highlight w:val="none"/>
              </w:rPr>
              <w:t>及《国家发展改革委关于修改&lt;产业结构调整指导目录（2019年本）&gt;有关条款的决定》中</w:t>
            </w:r>
            <w:r>
              <w:rPr>
                <w:rFonts w:hint="eastAsia"/>
                <w:color w:val="auto"/>
                <w:sz w:val="24"/>
                <w:szCs w:val="24"/>
                <w:highlight w:val="none"/>
                <w:lang w:val="en-US" w:eastAsia="zh-CN"/>
              </w:rPr>
              <w:t>的鼓励类、</w:t>
            </w:r>
            <w:r>
              <w:rPr>
                <w:color w:val="auto"/>
                <w:sz w:val="24"/>
                <w:szCs w:val="24"/>
                <w:highlight w:val="none"/>
              </w:rPr>
              <w:t>限制类、淘汰类，属于允许类项目。因此，该项目符合国家</w:t>
            </w:r>
            <w:r>
              <w:rPr>
                <w:color w:val="auto"/>
                <w:kern w:val="0"/>
                <w:sz w:val="24"/>
                <w:szCs w:val="24"/>
                <w:highlight w:val="none"/>
                <w:lang w:bidi="ar"/>
              </w:rPr>
              <w:t>的产业政策规定</w:t>
            </w:r>
            <w:r>
              <w:rPr>
                <w:color w:val="auto"/>
                <w:kern w:val="0"/>
                <w:szCs w:val="21"/>
                <w:highlight w:val="none"/>
              </w:rPr>
              <w:t>。</w:t>
            </w:r>
          </w:p>
          <w:p>
            <w:pPr>
              <w:autoSpaceDE w:val="0"/>
              <w:autoSpaceDN w:val="0"/>
              <w:adjustRightInd w:val="0"/>
              <w:snapToGrid w:val="0"/>
              <w:ind w:firstLine="482" w:firstLineChars="200"/>
              <w:jc w:val="left"/>
              <w:rPr>
                <w:rFonts w:hint="eastAsia" w:ascii="宋体" w:hAnsi="宋体" w:eastAsia="宋体" w:cs="宋体"/>
                <w:b/>
                <w:bCs/>
                <w:color w:val="auto"/>
                <w:kern w:val="0"/>
                <w:szCs w:val="21"/>
              </w:rPr>
            </w:pPr>
            <w:r>
              <w:rPr>
                <w:rFonts w:hint="eastAsia" w:ascii="宋体" w:hAnsi="宋体" w:eastAsia="宋体" w:cs="宋体"/>
                <w:b/>
                <w:bCs/>
                <w:color w:val="auto"/>
                <w:kern w:val="0"/>
                <w:szCs w:val="21"/>
              </w:rPr>
              <w:t>3、与《市场准入负面清单（202</w:t>
            </w:r>
            <w:r>
              <w:rPr>
                <w:rFonts w:hint="eastAsia" w:ascii="宋体" w:hAnsi="宋体" w:eastAsia="宋体" w:cs="宋体"/>
                <w:b/>
                <w:bCs/>
                <w:color w:val="auto"/>
                <w:kern w:val="0"/>
                <w:szCs w:val="21"/>
                <w:lang w:val="en-US" w:eastAsia="zh-CN"/>
              </w:rPr>
              <w:t>2</w:t>
            </w:r>
            <w:r>
              <w:rPr>
                <w:rFonts w:hint="eastAsia" w:ascii="宋体" w:hAnsi="宋体" w:eastAsia="宋体" w:cs="宋体"/>
                <w:b/>
                <w:bCs/>
                <w:color w:val="auto"/>
                <w:kern w:val="0"/>
                <w:szCs w:val="21"/>
              </w:rPr>
              <w:t>年版）》的相符性分析</w:t>
            </w:r>
          </w:p>
          <w:p>
            <w:pPr>
              <w:autoSpaceDE w:val="0"/>
              <w:autoSpaceDN w:val="0"/>
              <w:adjustRightInd w:val="0"/>
              <w:snapToGrid w:val="0"/>
              <w:ind w:firstLine="480" w:firstLineChars="200"/>
              <w:jc w:val="left"/>
              <w:rPr>
                <w:rFonts w:hint="eastAsia" w:ascii="Times New Roman" w:hAnsi="Times New Roman" w:eastAsia="宋体" w:cs="Times New Roman"/>
                <w:color w:val="auto"/>
                <w:highlight w:val="none"/>
                <w:lang w:eastAsia="zh-CN"/>
              </w:rPr>
            </w:pPr>
            <w:r>
              <w:rPr>
                <w:rFonts w:ascii="Times New Roman" w:hAnsi="Times New Roman" w:eastAsia="宋体" w:cs="Times New Roman"/>
                <w:color w:val="auto"/>
                <w:highlight w:val="none"/>
              </w:rPr>
              <w:t>本项目属于</w:t>
            </w:r>
            <w:r>
              <w:rPr>
                <w:rFonts w:hint="eastAsia" w:ascii="Times New Roman" w:hAnsi="Times New Roman" w:eastAsia="宋体" w:cs="Times New Roman"/>
                <w:color w:val="auto"/>
                <w:highlight w:val="none"/>
              </w:rPr>
              <w:t>C2929塑料零件及其他塑料制品制造及C3525模具制造</w:t>
            </w:r>
            <w:r>
              <w:rPr>
                <w:rFonts w:ascii="Times New Roman" w:hAnsi="Times New Roman" w:eastAsia="宋体" w:cs="Times New Roman"/>
                <w:color w:val="auto"/>
                <w:highlight w:val="none"/>
              </w:rPr>
              <w:t>，不属于《市场准入负面清单（202</w:t>
            </w:r>
            <w:r>
              <w:rPr>
                <w:rFonts w:hint="eastAsia" w:ascii="Times New Roman" w:hAnsi="Times New Roman" w:eastAsia="宋体" w:cs="Times New Roman"/>
                <w:color w:val="auto"/>
                <w:highlight w:val="none"/>
                <w:lang w:val="en-US" w:eastAsia="zh-CN"/>
              </w:rPr>
              <w:t>2</w:t>
            </w:r>
            <w:r>
              <w:rPr>
                <w:rFonts w:ascii="Times New Roman" w:hAnsi="Times New Roman" w:eastAsia="宋体" w:cs="Times New Roman"/>
                <w:color w:val="auto"/>
                <w:highlight w:val="none"/>
              </w:rPr>
              <w:t>年版）》</w:t>
            </w:r>
            <w:r>
              <w:rPr>
                <w:color w:val="auto"/>
                <w:sz w:val="24"/>
                <w:szCs w:val="24"/>
                <w:highlight w:val="none"/>
              </w:rPr>
              <w:t>（</w:t>
            </w:r>
            <w:r>
              <w:rPr>
                <w:rFonts w:hint="eastAsia" w:ascii="Times New Roman" w:hAnsi="Times New Roman" w:eastAsia="宋体"/>
                <w:color w:val="auto"/>
                <w:sz w:val="24"/>
                <w:szCs w:val="24"/>
                <w:highlight w:val="none"/>
                <w:lang w:val="en-US" w:eastAsia="zh-CN"/>
              </w:rPr>
              <w:t>发改体改规〔2022〕397号</w:t>
            </w:r>
            <w:r>
              <w:rPr>
                <w:color w:val="auto"/>
                <w:sz w:val="24"/>
                <w:szCs w:val="24"/>
                <w:highlight w:val="none"/>
              </w:rPr>
              <w:t>）</w:t>
            </w:r>
            <w:r>
              <w:rPr>
                <w:rFonts w:ascii="Times New Roman" w:hAnsi="Times New Roman" w:eastAsia="宋体" w:cs="Times New Roman"/>
                <w:color w:val="auto"/>
                <w:highlight w:val="none"/>
              </w:rPr>
              <w:t>中的禁止准入类</w:t>
            </w:r>
            <w:r>
              <w:rPr>
                <w:rFonts w:hint="eastAsia"/>
                <w:color w:val="auto"/>
                <w:highlight w:val="none"/>
                <w:lang w:eastAsia="zh-CN"/>
              </w:rPr>
              <w:t>、</w:t>
            </w:r>
            <w:r>
              <w:rPr>
                <w:rFonts w:hint="eastAsia"/>
                <w:color w:val="auto"/>
                <w:highlight w:val="none"/>
                <w:lang w:val="en-US" w:eastAsia="zh-CN"/>
              </w:rPr>
              <w:t>许可类</w:t>
            </w:r>
            <w:r>
              <w:rPr>
                <w:rFonts w:ascii="Times New Roman" w:hAnsi="Times New Roman" w:eastAsia="宋体" w:cs="Times New Roman"/>
                <w:color w:val="auto"/>
                <w:highlight w:val="none"/>
              </w:rPr>
              <w:t>项目。因此，该项目符合《市场准入负面清单（202</w:t>
            </w:r>
            <w:r>
              <w:rPr>
                <w:rFonts w:hint="eastAsia" w:ascii="Times New Roman" w:hAnsi="Times New Roman" w:eastAsia="宋体" w:cs="Times New Roman"/>
                <w:color w:val="auto"/>
                <w:highlight w:val="none"/>
                <w:lang w:val="en-US" w:eastAsia="zh-CN"/>
              </w:rPr>
              <w:t>2</w:t>
            </w:r>
            <w:r>
              <w:rPr>
                <w:rFonts w:ascii="Times New Roman" w:hAnsi="Times New Roman" w:eastAsia="宋体" w:cs="Times New Roman"/>
                <w:color w:val="auto"/>
                <w:highlight w:val="none"/>
              </w:rPr>
              <w:t>年版）》</w:t>
            </w:r>
            <w:r>
              <w:rPr>
                <w:color w:val="auto"/>
                <w:sz w:val="24"/>
                <w:szCs w:val="24"/>
                <w:highlight w:val="none"/>
              </w:rPr>
              <w:t>（</w:t>
            </w:r>
            <w:r>
              <w:rPr>
                <w:rFonts w:hint="eastAsia" w:ascii="Times New Roman" w:hAnsi="Times New Roman" w:eastAsia="宋体"/>
                <w:color w:val="auto"/>
                <w:sz w:val="24"/>
                <w:szCs w:val="24"/>
                <w:highlight w:val="none"/>
                <w:lang w:val="en-US" w:eastAsia="zh-CN"/>
              </w:rPr>
              <w:t>发改体改规〔2022〕397号</w:t>
            </w:r>
            <w:r>
              <w:rPr>
                <w:color w:val="auto"/>
                <w:sz w:val="24"/>
                <w:szCs w:val="24"/>
                <w:highlight w:val="none"/>
              </w:rPr>
              <w:t>）</w:t>
            </w:r>
            <w:r>
              <w:rPr>
                <w:rFonts w:ascii="Times New Roman" w:hAnsi="Times New Roman" w:eastAsia="宋体" w:cs="Times New Roman"/>
                <w:color w:val="auto"/>
                <w:highlight w:val="none"/>
              </w:rPr>
              <w:t>的相关规定</w:t>
            </w:r>
            <w:r>
              <w:rPr>
                <w:rFonts w:hint="eastAsia" w:cs="Times New Roman"/>
                <w:color w:val="auto"/>
                <w:highlight w:val="none"/>
                <w:lang w:eastAsia="zh-CN"/>
              </w:rPr>
              <w:t>。</w:t>
            </w:r>
          </w:p>
          <w:p>
            <w:pPr>
              <w:autoSpaceDE w:val="0"/>
              <w:autoSpaceDN w:val="0"/>
              <w:adjustRightInd w:val="0"/>
              <w:snapToGrid w:val="0"/>
              <w:ind w:firstLine="482" w:firstLineChars="200"/>
              <w:jc w:val="left"/>
              <w:rPr>
                <w:rFonts w:ascii="宋体" w:hAnsi="宋体" w:cs="宋体"/>
                <w:b/>
                <w:bCs/>
                <w:color w:val="auto"/>
                <w:kern w:val="0"/>
                <w:szCs w:val="21"/>
              </w:rPr>
            </w:pPr>
            <w:r>
              <w:rPr>
                <w:rFonts w:hint="eastAsia" w:ascii="宋体" w:hAnsi="宋体" w:cs="宋体"/>
                <w:b/>
                <w:bCs/>
                <w:color w:val="auto"/>
                <w:kern w:val="0"/>
                <w:szCs w:val="21"/>
                <w:lang w:val="en-US" w:eastAsia="zh-CN"/>
              </w:rPr>
              <w:t>4、</w:t>
            </w:r>
            <w:r>
              <w:rPr>
                <w:rFonts w:hint="eastAsia" w:ascii="宋体" w:hAnsi="宋体" w:cs="宋体"/>
                <w:b/>
                <w:bCs/>
                <w:color w:val="auto"/>
                <w:kern w:val="0"/>
                <w:szCs w:val="21"/>
              </w:rPr>
              <w:t>项目与用地规划相符性分析：</w:t>
            </w:r>
          </w:p>
          <w:p>
            <w:pPr>
              <w:autoSpaceDE w:val="0"/>
              <w:autoSpaceDN w:val="0"/>
              <w:adjustRightInd w:val="0"/>
              <w:snapToGrid w:val="0"/>
              <w:ind w:firstLine="480" w:firstLineChars="200"/>
              <w:jc w:val="left"/>
              <w:rPr>
                <w:color w:val="auto"/>
              </w:rPr>
            </w:pPr>
            <w:r>
              <w:rPr>
                <w:color w:val="auto"/>
              </w:rPr>
              <w:t>项目位于</w:t>
            </w:r>
            <w:r>
              <w:rPr>
                <w:rFonts w:hint="eastAsia"/>
                <w:color w:val="auto"/>
              </w:rPr>
              <w:t>广东省惠州市博罗县石湾镇南亚北路</w:t>
            </w:r>
            <w:r>
              <w:rPr>
                <w:color w:val="auto"/>
              </w:rPr>
              <w:t>。根据</w:t>
            </w:r>
            <w:r>
              <w:rPr>
                <w:rFonts w:hint="eastAsia"/>
                <w:color w:val="auto"/>
              </w:rPr>
              <w:t>《</w:t>
            </w:r>
            <w:r>
              <w:rPr>
                <w:rFonts w:hint="eastAsia"/>
                <w:color w:val="auto"/>
                <w:lang w:val="en-US" w:eastAsia="zh-CN"/>
              </w:rPr>
              <w:t>博罗县石湾镇总体规划方案调整</w:t>
            </w:r>
            <w:r>
              <w:rPr>
                <w:rFonts w:hint="eastAsia"/>
                <w:color w:val="auto"/>
              </w:rPr>
              <w:t>》</w:t>
            </w:r>
            <w:r>
              <w:rPr>
                <w:rFonts w:hint="eastAsia"/>
                <w:color w:val="auto"/>
                <w:lang w:eastAsia="zh-CN"/>
              </w:rPr>
              <w:t>（</w:t>
            </w:r>
            <w:r>
              <w:rPr>
                <w:rFonts w:hint="eastAsia"/>
                <w:color w:val="auto"/>
                <w:lang w:val="en-US" w:eastAsia="zh-CN"/>
              </w:rPr>
              <w:t>见附图12</w:t>
            </w:r>
            <w:r>
              <w:rPr>
                <w:rFonts w:hint="eastAsia"/>
                <w:color w:val="auto"/>
                <w:lang w:eastAsia="zh-CN"/>
              </w:rPr>
              <w:t>）</w:t>
            </w:r>
            <w:r>
              <w:rPr>
                <w:rFonts w:hint="eastAsia"/>
                <w:color w:val="FF0000"/>
                <w:lang w:val="en-US" w:eastAsia="zh-CN"/>
              </w:rPr>
              <w:t>及用地证明（见附件2）</w:t>
            </w:r>
            <w:r>
              <w:rPr>
                <w:color w:val="auto"/>
              </w:rPr>
              <w:t>，项目</w:t>
            </w:r>
            <w:r>
              <w:rPr>
                <w:rFonts w:hint="eastAsia"/>
                <w:color w:val="auto"/>
                <w:lang w:val="en-US" w:eastAsia="zh-CN"/>
              </w:rPr>
              <w:t>用地</w:t>
            </w:r>
            <w:r>
              <w:rPr>
                <w:color w:val="auto"/>
              </w:rPr>
              <w:t>属于工业用地，</w:t>
            </w:r>
            <w:r>
              <w:rPr>
                <w:rFonts w:hint="eastAsia"/>
                <w:color w:val="auto"/>
              </w:rPr>
              <w:t>符合规划</w:t>
            </w:r>
            <w:r>
              <w:rPr>
                <w:rFonts w:hint="eastAsia"/>
                <w:color w:val="auto"/>
                <w:lang w:val="en-US" w:eastAsia="zh-CN"/>
              </w:rPr>
              <w:t>要求</w:t>
            </w:r>
            <w:r>
              <w:rPr>
                <w:color w:val="auto"/>
              </w:rPr>
              <w:t>。</w:t>
            </w:r>
          </w:p>
          <w:p>
            <w:pPr>
              <w:autoSpaceDE w:val="0"/>
              <w:autoSpaceDN w:val="0"/>
              <w:adjustRightInd w:val="0"/>
              <w:snapToGrid w:val="0"/>
              <w:ind w:firstLine="482" w:firstLineChars="200"/>
              <w:jc w:val="left"/>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val="en-US" w:eastAsia="zh-CN"/>
              </w:rPr>
              <w:t>5、与环境功能区划符合性分析</w:t>
            </w:r>
          </w:p>
          <w:p>
            <w:pPr>
              <w:adjustRightInd w:val="0"/>
              <w:snapToGrid w:val="0"/>
              <w:spacing w:line="360" w:lineRule="auto"/>
              <w:ind w:firstLine="480" w:firstLineChars="200"/>
              <w:rPr>
                <w:rFonts w:hint="eastAsia"/>
                <w:b w:val="0"/>
                <w:bCs/>
                <w:color w:val="auto"/>
                <w:sz w:val="24"/>
                <w:szCs w:val="24"/>
              </w:rPr>
            </w:pPr>
            <w:r>
              <w:rPr>
                <w:rFonts w:hint="eastAsia"/>
                <w:b w:val="0"/>
                <w:bCs/>
                <w:color w:val="auto"/>
                <w:sz w:val="24"/>
                <w:szCs w:val="24"/>
              </w:rPr>
              <w:t>根据《广东省人民政府关于调整惠州市饮用水源保护区划调整方案》（粤府函[2014]188号）、《广东省人民政府关于调整惠州市部分饮用水水源保护区的批复》（粤府函〔2019〕270号）及《惠州市乡镇级及以下集中式饮用水水源保护区划定（调整）方案》（惠府函〔2020〕317号），项目所在地不属于饮用水源保护区。</w:t>
            </w:r>
          </w:p>
          <w:p>
            <w:pPr>
              <w:adjustRightInd w:val="0"/>
              <w:snapToGrid w:val="0"/>
              <w:spacing w:line="360" w:lineRule="auto"/>
              <w:ind w:firstLine="480" w:firstLineChars="200"/>
              <w:rPr>
                <w:rFonts w:hint="eastAsia"/>
                <w:b w:val="0"/>
                <w:bCs/>
                <w:color w:val="BF9000" w:themeColor="accent4" w:themeShade="BF"/>
                <w:sz w:val="24"/>
                <w:szCs w:val="24"/>
                <w:highlight w:val="none"/>
              </w:rPr>
            </w:pPr>
            <w:r>
              <w:rPr>
                <w:rFonts w:hint="eastAsia"/>
                <w:color w:val="BF9000" w:themeColor="accent4" w:themeShade="BF"/>
                <w:sz w:val="24"/>
                <w:szCs w:val="24"/>
                <w:highlight w:val="none"/>
              </w:rPr>
              <w:t>根据</w:t>
            </w:r>
            <w:r>
              <w:rPr>
                <w:rFonts w:hint="eastAsia"/>
                <w:color w:val="BF9000" w:themeColor="accent4" w:themeShade="BF"/>
                <w:sz w:val="24"/>
                <w:szCs w:val="24"/>
                <w:highlight w:val="none"/>
                <w:lang w:val="en-US" w:eastAsia="zh-CN"/>
              </w:rPr>
              <w:t>关于印发</w:t>
            </w:r>
            <w:r>
              <w:rPr>
                <w:rFonts w:hint="eastAsia"/>
                <w:color w:val="BF9000" w:themeColor="accent4" w:themeShade="BF"/>
                <w:sz w:val="24"/>
                <w:szCs w:val="24"/>
                <w:highlight w:val="none"/>
              </w:rPr>
              <w:t>《博罗县2023年水污染防治攻坚战工作方案</w:t>
            </w:r>
            <w:r>
              <w:rPr>
                <w:color w:val="BF9000" w:themeColor="accent4" w:themeShade="BF"/>
                <w:sz w:val="24"/>
                <w:szCs w:val="24"/>
                <w:highlight w:val="none"/>
              </w:rPr>
              <w:t>》</w:t>
            </w:r>
            <w:r>
              <w:rPr>
                <w:rFonts w:hint="eastAsia"/>
                <w:color w:val="BF9000" w:themeColor="accent4" w:themeShade="BF"/>
                <w:sz w:val="24"/>
                <w:szCs w:val="24"/>
                <w:highlight w:val="none"/>
                <w:lang w:val="en-US" w:eastAsia="zh-CN"/>
              </w:rPr>
              <w:t>的通知</w:t>
            </w:r>
            <w:r>
              <w:rPr>
                <w:color w:val="BF9000" w:themeColor="accent4" w:themeShade="BF"/>
                <w:sz w:val="24"/>
                <w:szCs w:val="24"/>
                <w:highlight w:val="none"/>
              </w:rPr>
              <w:t>中</w:t>
            </w:r>
            <w:r>
              <w:rPr>
                <w:rFonts w:hint="eastAsia"/>
                <w:color w:val="BF9000" w:themeColor="accent4" w:themeShade="BF"/>
                <w:sz w:val="24"/>
                <w:szCs w:val="24"/>
                <w:highlight w:val="none"/>
                <w:lang w:eastAsia="zh-CN"/>
              </w:rPr>
              <w:t>“</w:t>
            </w:r>
            <w:r>
              <w:rPr>
                <w:rFonts w:hint="eastAsia"/>
                <w:color w:val="BF9000" w:themeColor="accent4" w:themeShade="BF"/>
                <w:sz w:val="24"/>
                <w:szCs w:val="24"/>
                <w:highlight w:val="none"/>
                <w:lang w:val="en-US" w:eastAsia="zh-CN"/>
              </w:rPr>
              <w:t>附件2东江、沙河、公庄河46条主要支流控制断面2023年水质攻坚目标表</w:t>
            </w:r>
            <w:r>
              <w:rPr>
                <w:rFonts w:hint="eastAsia"/>
                <w:color w:val="BF9000" w:themeColor="accent4" w:themeShade="BF"/>
                <w:sz w:val="24"/>
                <w:szCs w:val="24"/>
                <w:highlight w:val="none"/>
                <w:lang w:eastAsia="zh-CN"/>
              </w:rPr>
              <w:t>”</w:t>
            </w:r>
            <w:r>
              <w:rPr>
                <w:color w:val="BF9000" w:themeColor="accent4" w:themeShade="BF"/>
                <w:sz w:val="24"/>
                <w:szCs w:val="24"/>
                <w:highlight w:val="none"/>
              </w:rPr>
              <w:t>，</w:t>
            </w:r>
            <w:r>
              <w:rPr>
                <w:rFonts w:hint="eastAsia"/>
                <w:color w:val="BF9000" w:themeColor="accent4" w:themeShade="BF"/>
                <w:sz w:val="24"/>
                <w:szCs w:val="24"/>
                <w:highlight w:val="none"/>
                <w:lang w:val="en-US" w:eastAsia="zh-CN"/>
              </w:rPr>
              <w:t>石湾镇中心排渠</w:t>
            </w:r>
            <w:r>
              <w:rPr>
                <w:color w:val="BF9000" w:themeColor="accent4" w:themeShade="BF"/>
                <w:sz w:val="24"/>
                <w:szCs w:val="24"/>
                <w:highlight w:val="none"/>
              </w:rPr>
              <w:t>202</w:t>
            </w:r>
            <w:r>
              <w:rPr>
                <w:rFonts w:hint="eastAsia"/>
                <w:color w:val="BF9000" w:themeColor="accent4" w:themeShade="BF"/>
                <w:sz w:val="24"/>
                <w:szCs w:val="24"/>
                <w:highlight w:val="none"/>
                <w:lang w:val="en-US" w:eastAsia="zh-CN"/>
              </w:rPr>
              <w:t>3</w:t>
            </w:r>
            <w:r>
              <w:rPr>
                <w:color w:val="BF9000" w:themeColor="accent4" w:themeShade="BF"/>
                <w:sz w:val="24"/>
                <w:szCs w:val="24"/>
                <w:highlight w:val="none"/>
              </w:rPr>
              <w:t>年水质目标为Ⅴ类，</w:t>
            </w:r>
            <w:r>
              <w:rPr>
                <w:rFonts w:hint="eastAsia"/>
                <w:color w:val="BF9000" w:themeColor="accent4" w:themeShade="BF"/>
                <w:sz w:val="24"/>
                <w:szCs w:val="24"/>
                <w:highlight w:val="none"/>
                <w:lang w:val="en-US" w:eastAsia="zh-CN"/>
              </w:rPr>
              <w:t>因此石湾镇中心排渠</w:t>
            </w:r>
            <w:r>
              <w:rPr>
                <w:color w:val="BF9000" w:themeColor="accent4" w:themeShade="BF"/>
                <w:sz w:val="24"/>
                <w:szCs w:val="24"/>
                <w:highlight w:val="none"/>
              </w:rPr>
              <w:t>水环境质量</w:t>
            </w:r>
            <w:r>
              <w:rPr>
                <w:rFonts w:hint="eastAsia"/>
                <w:color w:val="BF9000" w:themeColor="accent4" w:themeShade="BF"/>
                <w:sz w:val="24"/>
                <w:szCs w:val="24"/>
                <w:highlight w:val="none"/>
                <w:lang w:val="en-US" w:eastAsia="zh-CN"/>
              </w:rPr>
              <w:t>参照</w:t>
            </w:r>
            <w:r>
              <w:rPr>
                <w:color w:val="BF9000" w:themeColor="accent4" w:themeShade="BF"/>
                <w:sz w:val="24"/>
                <w:szCs w:val="24"/>
                <w:highlight w:val="none"/>
              </w:rPr>
              <w:t>执行《地表水环境质量标准》（GB3838-2002）Ⅴ类标准</w:t>
            </w:r>
            <w:r>
              <w:rPr>
                <w:rFonts w:hint="eastAsia"/>
                <w:b w:val="0"/>
                <w:bCs/>
                <w:color w:val="BF9000" w:themeColor="accent4" w:themeShade="BF"/>
                <w:sz w:val="24"/>
                <w:szCs w:val="24"/>
                <w:highlight w:val="none"/>
              </w:rPr>
              <w:t>。</w:t>
            </w:r>
          </w:p>
          <w:p>
            <w:pPr>
              <w:adjustRightInd w:val="0"/>
              <w:snapToGrid w:val="0"/>
              <w:spacing w:line="360" w:lineRule="auto"/>
              <w:ind w:firstLine="480" w:firstLineChars="200"/>
              <w:rPr>
                <w:rFonts w:hint="eastAsia"/>
                <w:b w:val="0"/>
                <w:bCs/>
                <w:color w:val="auto"/>
                <w:sz w:val="24"/>
                <w:szCs w:val="24"/>
                <w:highlight w:val="none"/>
                <w:lang w:eastAsia="zh-CN"/>
              </w:rPr>
            </w:pPr>
            <w:r>
              <w:rPr>
                <w:rFonts w:hint="eastAsia"/>
                <w:b w:val="0"/>
                <w:bCs/>
                <w:color w:val="auto"/>
                <w:sz w:val="24"/>
                <w:szCs w:val="24"/>
                <w:highlight w:val="none"/>
              </w:rPr>
              <w:t>根据《惠州市环境空气质量功能区划分方案》（2021年修订）（惠市环[2021]1号），本项目所在地属环境空气质量功能区的二类区，环境空气质量应执行《环境空气质量标准》（GB3095-2012）及其修改单中规定的二级标准</w:t>
            </w:r>
            <w:r>
              <w:rPr>
                <w:rFonts w:hint="eastAsia"/>
                <w:b w:val="0"/>
                <w:bCs/>
                <w:color w:val="auto"/>
                <w:sz w:val="24"/>
                <w:szCs w:val="24"/>
                <w:highlight w:val="none"/>
                <w:lang w:eastAsia="zh-CN"/>
              </w:rPr>
              <w:t>。</w:t>
            </w:r>
          </w:p>
          <w:p>
            <w:pPr>
              <w:autoSpaceDE w:val="0"/>
              <w:autoSpaceDN w:val="0"/>
              <w:adjustRightInd w:val="0"/>
              <w:snapToGrid w:val="0"/>
              <w:ind w:firstLine="480" w:firstLineChars="200"/>
              <w:jc w:val="left"/>
              <w:rPr>
                <w:rFonts w:hint="eastAsia"/>
                <w:b w:val="0"/>
                <w:bCs/>
                <w:color w:val="BF9000" w:themeColor="accent4" w:themeShade="BF"/>
                <w:sz w:val="24"/>
                <w:szCs w:val="24"/>
                <w:highlight w:val="none"/>
              </w:rPr>
            </w:pPr>
            <w:r>
              <w:rPr>
                <w:rFonts w:hint="eastAsia" w:ascii="Times New Roman" w:hAnsi="Times New Roman" w:cs="Times New Roman"/>
                <w:color w:val="BF9000" w:themeColor="accent4" w:themeShade="BF"/>
                <w:kern w:val="0"/>
                <w:sz w:val="24"/>
                <w:szCs w:val="24"/>
                <w:highlight w:val="none"/>
                <w:lang w:eastAsia="zh-CN"/>
              </w:rPr>
              <w:t>根据“惠州市生态环境局关于印发《惠州市声环境功能区划分方案（2022年）》的通知（惠市环[2022]33号）</w:t>
            </w:r>
            <w:r>
              <w:rPr>
                <w:rFonts w:hint="eastAsia"/>
                <w:color w:val="BF9000" w:themeColor="accent4" w:themeShade="BF"/>
                <w:lang w:val="en-US" w:eastAsia="zh-CN"/>
              </w:rPr>
              <w:t>，本项目所在地</w:t>
            </w:r>
            <w:r>
              <w:rPr>
                <w:rFonts w:hint="eastAsia"/>
                <w:b w:val="0"/>
                <w:bCs/>
                <w:color w:val="BF9000" w:themeColor="accent4" w:themeShade="BF"/>
                <w:sz w:val="24"/>
                <w:szCs w:val="24"/>
                <w:highlight w:val="none"/>
              </w:rPr>
              <w:t>声环境功能区规划为2类区。</w:t>
            </w:r>
          </w:p>
          <w:p>
            <w:pPr>
              <w:autoSpaceDE w:val="0"/>
              <w:autoSpaceDN w:val="0"/>
              <w:adjustRightInd w:val="0"/>
              <w:snapToGrid w:val="0"/>
              <w:ind w:firstLine="480" w:firstLineChars="200"/>
              <w:jc w:val="left"/>
              <w:rPr>
                <w:rFonts w:hint="eastAsia" w:eastAsia="宋体" w:cs="Times New Roman"/>
                <w:b/>
                <w:bCs/>
                <w:color w:val="auto"/>
                <w:kern w:val="0"/>
                <w:szCs w:val="21"/>
                <w:highlight w:val="none"/>
                <w:lang w:val="en-US" w:eastAsia="zh-CN"/>
              </w:rPr>
            </w:pPr>
            <w:r>
              <w:rPr>
                <w:rFonts w:hint="eastAsia"/>
                <w:b w:val="0"/>
                <w:bCs/>
                <w:color w:val="auto"/>
                <w:sz w:val="24"/>
                <w:szCs w:val="24"/>
                <w:highlight w:val="none"/>
              </w:rPr>
              <w:t>综上，项目与所在区域环境功能区划相符</w:t>
            </w:r>
            <w:r>
              <w:rPr>
                <w:rFonts w:hint="eastAsia"/>
                <w:b w:val="0"/>
                <w:bCs/>
                <w:color w:val="auto"/>
                <w:sz w:val="24"/>
                <w:szCs w:val="24"/>
                <w:highlight w:val="none"/>
                <w:lang w:eastAsia="zh-CN"/>
              </w:rPr>
              <w:t>。</w:t>
            </w:r>
          </w:p>
          <w:p>
            <w:pPr>
              <w:autoSpaceDE w:val="0"/>
              <w:autoSpaceDN w:val="0"/>
              <w:adjustRightInd w:val="0"/>
              <w:snapToGrid w:val="0"/>
              <w:ind w:firstLine="482" w:firstLineChars="200"/>
              <w:jc w:val="left"/>
              <w:rPr>
                <w:rFonts w:hint="default" w:ascii="Times New Roman" w:hAnsi="Times New Roman" w:eastAsia="宋体" w:cs="Times New Roman"/>
                <w:b/>
                <w:bCs/>
                <w:color w:val="auto"/>
                <w:kern w:val="0"/>
                <w:szCs w:val="21"/>
                <w:lang w:val="en-US" w:eastAsia="zh-CN"/>
              </w:rPr>
            </w:pPr>
            <w:r>
              <w:rPr>
                <w:rFonts w:hint="eastAsia" w:cs="Times New Roman"/>
                <w:b/>
                <w:bCs/>
                <w:color w:val="auto"/>
                <w:kern w:val="0"/>
                <w:szCs w:val="21"/>
                <w:lang w:val="en-US" w:eastAsia="zh-CN"/>
              </w:rPr>
              <w:t>6</w:t>
            </w:r>
            <w:r>
              <w:rPr>
                <w:rFonts w:hint="default" w:ascii="Times New Roman" w:hAnsi="Times New Roman" w:eastAsia="宋体" w:cs="Times New Roman"/>
                <w:b/>
                <w:bCs/>
                <w:color w:val="auto"/>
                <w:kern w:val="0"/>
                <w:szCs w:val="21"/>
                <w:lang w:val="en-US" w:eastAsia="zh-CN"/>
              </w:rPr>
              <w:t>、项目与《关于严格限制东江流域水污染项目建设进一步做好东江水质保护工作的通知》（粤府函〔2011〕339号）及其补充通知（粤府函〔2013〕231号）的相符性分析：</w:t>
            </w:r>
          </w:p>
          <w:p>
            <w:pPr>
              <w:autoSpaceDE w:val="0"/>
              <w:autoSpaceDN w:val="0"/>
              <w:adjustRightInd w:val="0"/>
              <w:snapToGrid w:val="0"/>
              <w:ind w:firstLine="480" w:firstLineChars="200"/>
              <w:jc w:val="left"/>
              <w:rPr>
                <w:rFonts w:hint="eastAsia"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①强化涉重金属污染项目管理：东江流域内停止审批向河流排放汞、砷、镉、铬、铅等重金属污染物和持久性有机污染物的项目。</w:t>
            </w:r>
            <w:r>
              <w:rPr>
                <w:rFonts w:hint="eastAsia" w:cs="Times New Roman"/>
                <w:color w:val="auto"/>
                <w:kern w:val="0"/>
                <w:szCs w:val="21"/>
                <w:lang w:val="en-US" w:eastAsia="zh-CN"/>
              </w:rPr>
              <w:t xml:space="preserve">    </w:t>
            </w:r>
          </w:p>
          <w:p>
            <w:pPr>
              <w:autoSpaceDE w:val="0"/>
              <w:autoSpaceDN w:val="0"/>
              <w:adjustRightInd w:val="0"/>
              <w:snapToGrid w:val="0"/>
              <w:ind w:firstLine="480" w:firstLineChars="200"/>
              <w:jc w:val="left"/>
              <w:rPr>
                <w:rFonts w:hint="eastAsia"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②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r>
              <w:rPr>
                <w:rFonts w:hint="eastAsia" w:cs="Times New Roman"/>
                <w:color w:val="auto"/>
                <w:kern w:val="0"/>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Times New Roman"/>
                <w:color w:val="auto"/>
                <w:highlight w:val="none"/>
                <w:lang w:eastAsia="zh-CN"/>
              </w:rPr>
            </w:pPr>
            <w:r>
              <w:rPr>
                <w:rFonts w:hint="default" w:ascii="Times New Roman" w:hAnsi="Times New Roman" w:eastAsia="宋体" w:cs="Times New Roman"/>
                <w:b/>
                <w:bCs/>
                <w:color w:val="auto"/>
                <w:kern w:val="0"/>
                <w:szCs w:val="21"/>
                <w:highlight w:val="none"/>
                <w:lang w:val="en-US" w:eastAsia="zh-CN"/>
              </w:rPr>
              <w:t>相符性分析：</w:t>
            </w:r>
            <w:r>
              <w:rPr>
                <w:rFonts w:hint="eastAsia" w:ascii="Times New Roman" w:hAnsi="Times New Roman" w:eastAsia="宋体" w:cs="Times New Roman"/>
                <w:color w:val="auto"/>
                <w:sz w:val="24"/>
                <w:szCs w:val="24"/>
                <w:highlight w:val="none"/>
                <w:lang w:val="en-US" w:eastAsia="zh-CN"/>
              </w:rPr>
              <w:t>本</w:t>
            </w:r>
            <w:r>
              <w:rPr>
                <w:rFonts w:hint="eastAsia" w:ascii="Times New Roman" w:hAnsi="Times New Roman" w:eastAsia="宋体" w:cs="Times New Roman"/>
                <w:color w:val="auto"/>
                <w:sz w:val="24"/>
                <w:szCs w:val="24"/>
                <w:highlight w:val="none"/>
                <w:lang w:eastAsia="zh-CN"/>
              </w:rPr>
              <w:t>项目</w:t>
            </w:r>
            <w:r>
              <w:rPr>
                <w:rFonts w:hint="eastAsia" w:cs="Times New Roman"/>
                <w:color w:val="auto"/>
                <w:sz w:val="24"/>
                <w:szCs w:val="24"/>
                <w:highlight w:val="none"/>
                <w:lang w:val="en-US" w:eastAsia="zh-CN"/>
              </w:rPr>
              <w:t>位</w:t>
            </w:r>
            <w:r>
              <w:rPr>
                <w:rFonts w:ascii="Times New Roman" w:hAnsi="Times New Roman" w:eastAsia="宋体" w:cs="Times New Roman"/>
                <w:color w:val="auto"/>
                <w:sz w:val="24"/>
                <w:szCs w:val="24"/>
                <w:highlight w:val="none"/>
              </w:rPr>
              <w:t>于</w:t>
            </w:r>
            <w:r>
              <w:rPr>
                <w:rFonts w:hint="eastAsia" w:ascii="Times New Roman" w:hAnsi="Times New Roman" w:eastAsia="宋体" w:cs="Times New Roman"/>
                <w:color w:val="auto"/>
                <w:sz w:val="24"/>
                <w:szCs w:val="24"/>
                <w:highlight w:val="none"/>
              </w:rPr>
              <w:t>广东省惠州市博罗县石湾镇南亚北路</w:t>
            </w:r>
            <w:r>
              <w:rPr>
                <w:rFonts w:ascii="Times New Roman" w:hAnsi="Times New Roman" w:eastAsia="宋体" w:cs="Times New Roman"/>
                <w:color w:val="auto"/>
                <w:sz w:val="24"/>
                <w:szCs w:val="24"/>
                <w:highlight w:val="none"/>
              </w:rPr>
              <w:t>，属于东江流域范围。项目</w:t>
            </w:r>
            <w:r>
              <w:rPr>
                <w:rFonts w:hint="eastAsia" w:ascii="Times New Roman" w:hAnsi="Times New Roman" w:eastAsia="宋体" w:cs="Times New Roman"/>
                <w:color w:val="auto"/>
                <w:sz w:val="24"/>
                <w:szCs w:val="24"/>
                <w:highlight w:val="none"/>
                <w:lang w:val="en-US" w:eastAsia="zh-CN"/>
              </w:rPr>
              <w:t>属于C2929塑料零件及其他塑料制品制造及C3525模具制造</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生产工艺不涉及酸洗、磷化、电镀、阳极氧化等工序，</w:t>
            </w:r>
            <w:r>
              <w:rPr>
                <w:rFonts w:ascii="Times New Roman" w:hAnsi="Times New Roman" w:eastAsia="宋体" w:cs="Times New Roman"/>
                <w:color w:val="auto"/>
                <w:sz w:val="24"/>
                <w:szCs w:val="24"/>
                <w:highlight w:val="none"/>
              </w:rPr>
              <w:t>无生产废水排放。</w:t>
            </w:r>
            <w:r>
              <w:rPr>
                <w:rFonts w:hint="eastAsia" w:ascii="Times New Roman" w:hAnsi="Times New Roman" w:eastAsia="宋体" w:cs="Times New Roman"/>
                <w:color w:val="auto"/>
                <w:sz w:val="24"/>
                <w:szCs w:val="24"/>
                <w:highlight w:val="none"/>
                <w:lang w:val="en-US" w:eastAsia="zh-CN"/>
              </w:rPr>
              <w:t>项目生活污水经三级化粪池处理达</w:t>
            </w:r>
            <w:r>
              <w:rPr>
                <w:rFonts w:hint="eastAsia" w:cs="Times New Roman"/>
                <w:color w:val="auto"/>
                <w:sz w:val="24"/>
                <w:szCs w:val="24"/>
                <w:highlight w:val="none"/>
                <w:lang w:val="en-US" w:eastAsia="zh-CN"/>
              </w:rPr>
              <w:t>到</w:t>
            </w:r>
            <w:r>
              <w:rPr>
                <w:rFonts w:hint="default" w:ascii="Times New Roman" w:hAnsi="Times New Roman" w:eastAsia="宋体" w:cs="Times New Roman"/>
                <w:color w:val="auto"/>
                <w:sz w:val="24"/>
                <w:szCs w:val="24"/>
                <w:highlight w:val="none"/>
                <w:lang w:val="en-US" w:eastAsia="zh-CN"/>
              </w:rPr>
              <w:t>广东省</w:t>
            </w:r>
            <w:r>
              <w:rPr>
                <w:rFonts w:hint="eastAsia" w:ascii="Times New Roman" w:hAnsi="Times New Roman" w:eastAsia="宋体" w:cs="Times New Roman"/>
                <w:color w:val="auto"/>
                <w:sz w:val="24"/>
                <w:szCs w:val="24"/>
                <w:highlight w:val="none"/>
                <w:lang w:val="en-US" w:eastAsia="zh-CN"/>
              </w:rPr>
              <w:t>《水污染物排放限值》（DB44/26-2001）第二时段三级标准后</w:t>
            </w:r>
            <w:r>
              <w:rPr>
                <w:rFonts w:hint="default" w:ascii="Times New Roman" w:hAnsi="Times New Roman" w:eastAsia="宋体" w:cs="Times New Roman"/>
                <w:color w:val="auto"/>
                <w:sz w:val="24"/>
                <w:szCs w:val="24"/>
                <w:highlight w:val="none"/>
                <w:lang w:val="en-US" w:eastAsia="zh-CN"/>
              </w:rPr>
              <w:t>，通过市政管网，进入</w:t>
            </w:r>
            <w:r>
              <w:rPr>
                <w:rFonts w:hint="eastAsia" w:cs="Times New Roman"/>
                <w:color w:val="auto"/>
                <w:sz w:val="24"/>
                <w:szCs w:val="24"/>
                <w:highlight w:val="none"/>
                <w:lang w:val="en-US" w:eastAsia="zh-CN"/>
              </w:rPr>
              <w:t>博罗县石湾镇大牛垒生活污水处理厂</w:t>
            </w:r>
            <w:r>
              <w:rPr>
                <w:rFonts w:hint="default" w:ascii="Times New Roman" w:hAnsi="Times New Roman" w:eastAsia="宋体" w:cs="Times New Roman"/>
                <w:color w:val="auto"/>
                <w:sz w:val="24"/>
                <w:szCs w:val="24"/>
                <w:highlight w:val="none"/>
                <w:lang w:val="en-US" w:eastAsia="zh-CN"/>
              </w:rPr>
              <w:t>处理</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本项目不属于以上禁批或限批行业，因此，项目选址符合流域限批政策要求。因此，本项目污水的排放符合《关于严格限制东江流域水污染项目建设进</w:t>
            </w:r>
            <w:r>
              <w:rPr>
                <w:color w:val="auto"/>
                <w:sz w:val="24"/>
                <w:szCs w:val="24"/>
                <w:highlight w:val="none"/>
              </w:rPr>
              <w:t>一步做好东江水质保护工作的通知》（粤府[2011]339号）及补充文件的相关规定</w:t>
            </w:r>
            <w:r>
              <w:rPr>
                <w:rFonts w:hint="eastAsia" w:cs="Times New Roman"/>
                <w:color w:val="auto"/>
                <w:highlight w:val="none"/>
                <w:lang w:eastAsia="zh-CN"/>
              </w:rPr>
              <w:t>。</w:t>
            </w:r>
          </w:p>
          <w:p>
            <w:pPr>
              <w:autoSpaceDE w:val="0"/>
              <w:autoSpaceDN w:val="0"/>
              <w:adjustRightInd w:val="0"/>
              <w:snapToGrid w:val="0"/>
              <w:ind w:firstLine="482" w:firstLineChars="200"/>
              <w:jc w:val="left"/>
              <w:rPr>
                <w:rFonts w:hint="eastAsia" w:ascii="Times New Roman" w:hAnsi="Times New Roman" w:eastAsia="宋体" w:cs="Times New Roman"/>
                <w:b/>
                <w:bCs/>
                <w:color w:val="auto"/>
                <w:kern w:val="0"/>
                <w:szCs w:val="21"/>
                <w:lang w:val="en-US" w:eastAsia="zh-CN"/>
              </w:rPr>
            </w:pPr>
            <w:r>
              <w:rPr>
                <w:rFonts w:hint="eastAsia" w:ascii="Times New Roman" w:hAnsi="Times New Roman" w:eastAsia="宋体" w:cs="Times New Roman"/>
                <w:b/>
                <w:bCs/>
                <w:color w:val="auto"/>
                <w:kern w:val="0"/>
                <w:szCs w:val="21"/>
                <w:lang w:val="en-US" w:eastAsia="zh-CN"/>
              </w:rPr>
              <w:t>7</w:t>
            </w:r>
            <w:r>
              <w:rPr>
                <w:rFonts w:hint="default" w:ascii="Times New Roman" w:hAnsi="Times New Roman" w:eastAsia="宋体" w:cs="Times New Roman"/>
                <w:b/>
                <w:bCs/>
                <w:color w:val="auto"/>
                <w:kern w:val="0"/>
                <w:szCs w:val="21"/>
                <w:lang w:val="en-US" w:eastAsia="zh-CN"/>
              </w:rPr>
              <w:t>、</w:t>
            </w:r>
            <w:r>
              <w:rPr>
                <w:rFonts w:hint="eastAsia" w:ascii="Times New Roman" w:hAnsi="Times New Roman" w:eastAsia="宋体" w:cs="Times New Roman"/>
                <w:b/>
                <w:bCs/>
                <w:color w:val="auto"/>
                <w:kern w:val="0"/>
                <w:szCs w:val="21"/>
                <w:lang w:val="en-US" w:eastAsia="zh-CN"/>
              </w:rPr>
              <w:t>项目与《广东省水污染防治条例》相符性分析</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color w:val="auto"/>
                <w:sz w:val="24"/>
                <w:szCs w:val="24"/>
              </w:rPr>
            </w:pPr>
            <w:r>
              <w:rPr>
                <w:rFonts w:hint="eastAsia"/>
                <w:color w:val="auto"/>
                <w:sz w:val="24"/>
                <w:szCs w:val="24"/>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第二十九条</w:t>
            </w:r>
            <w:r>
              <w:rPr>
                <w:rFonts w:hint="default" w:ascii="Times New Roman" w:hAnsi="Times New Roman" w:eastAsia="宋体" w:cs="Times New Roman"/>
                <w:color w:val="auto"/>
                <w:kern w:val="0"/>
                <w:sz w:val="24"/>
                <w:szCs w:val="24"/>
                <w:lang w:val="en-US" w:eastAsia="zh-CN" w:bidi="ar"/>
              </w:rPr>
              <w:t xml:space="preserve"> </w:t>
            </w:r>
            <w:r>
              <w:rPr>
                <w:rFonts w:hint="eastAsia" w:ascii="宋体" w:hAnsi="宋体" w:eastAsia="宋体" w:cs="宋体"/>
                <w:color w:val="auto"/>
                <w:kern w:val="0"/>
                <w:sz w:val="24"/>
                <w:szCs w:val="24"/>
                <w:lang w:val="en-US" w:eastAsia="zh-CN" w:bidi="ar"/>
              </w:rPr>
              <w:t xml:space="preserve">企业应当采用原材料利用效率高、污染物排放量少的清洁工艺，并加强管理，按照规定实施清洁生产审核，从源头上减少水污染物的产生。 </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第三十一条</w:t>
            </w:r>
            <w:r>
              <w:rPr>
                <w:rFonts w:hint="default" w:ascii="Times New Roman" w:hAnsi="Times New Roman" w:eastAsia="宋体" w:cs="Times New Roman"/>
                <w:color w:val="auto"/>
                <w:kern w:val="0"/>
                <w:sz w:val="24"/>
                <w:szCs w:val="24"/>
                <w:lang w:val="en-US" w:eastAsia="zh-CN" w:bidi="ar"/>
              </w:rPr>
              <w:t xml:space="preserve"> </w:t>
            </w:r>
            <w:r>
              <w:rPr>
                <w:rFonts w:hint="eastAsia" w:ascii="宋体" w:hAnsi="宋体" w:eastAsia="宋体" w:cs="宋体"/>
                <w:color w:val="auto"/>
                <w:kern w:val="0"/>
                <w:sz w:val="24"/>
                <w:szCs w:val="24"/>
                <w:lang w:val="en-US" w:eastAsia="zh-CN" w:bidi="ar"/>
              </w:rPr>
              <w:t xml:space="preserve">新区建设和旧城区改造，应当同步规划建设污水、雨水收集管 </w:t>
            </w:r>
          </w:p>
          <w:p>
            <w:pPr>
              <w:keepNext w:val="0"/>
              <w:keepLines w:val="0"/>
              <w:pageBreakBefore w:val="0"/>
              <w:widowControl/>
              <w:suppressLineNumbers w:val="0"/>
              <w:kinsoku/>
              <w:wordWrap/>
              <w:overflowPunct/>
              <w:topLinePunct w:val="0"/>
              <w:autoSpaceDE/>
              <w:autoSpaceDN/>
              <w:bidi w:val="0"/>
              <w:spacing w:line="360" w:lineRule="auto"/>
              <w:jc w:val="left"/>
              <w:textAlignment w:val="auto"/>
              <w:rPr>
                <w:color w:val="auto"/>
                <w:sz w:val="24"/>
                <w:szCs w:val="24"/>
              </w:rPr>
            </w:pPr>
            <w:r>
              <w:rPr>
                <w:rFonts w:hint="eastAsia" w:ascii="宋体" w:hAnsi="宋体" w:eastAsia="宋体" w:cs="宋体"/>
                <w:color w:val="auto"/>
                <w:kern w:val="0"/>
                <w:sz w:val="24"/>
                <w:szCs w:val="24"/>
                <w:lang w:val="en-US" w:eastAsia="zh-CN" w:bidi="ar"/>
              </w:rPr>
              <w:t>网，实行雨污分流。在有条件的地区，应当逐步推进初期雨水调蓄处理和利用， 减少水污染。</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第三十二条</w:t>
            </w:r>
            <w:r>
              <w:rPr>
                <w:rFonts w:hint="default" w:ascii="Times New Roman" w:hAnsi="Times New Roman" w:eastAsia="宋体" w:cs="Times New Roman"/>
                <w:color w:val="auto"/>
                <w:kern w:val="0"/>
                <w:sz w:val="24"/>
                <w:szCs w:val="24"/>
                <w:lang w:val="en-US" w:eastAsia="zh-CN" w:bidi="ar"/>
              </w:rPr>
              <w:t xml:space="preserve"> </w:t>
            </w:r>
            <w:r>
              <w:rPr>
                <w:rFonts w:hint="eastAsia" w:ascii="宋体" w:hAnsi="宋体" w:eastAsia="宋体" w:cs="宋体"/>
                <w:color w:val="auto"/>
                <w:kern w:val="0"/>
                <w:sz w:val="24"/>
                <w:szCs w:val="24"/>
                <w:lang w:val="en-US" w:eastAsia="zh-CN" w:bidi="ar"/>
              </w:rPr>
              <w:t xml:space="preserve">向城镇污水集中处理设施排放水污染物，应当符合国家或者地 </w:t>
            </w:r>
          </w:p>
          <w:p>
            <w:pPr>
              <w:keepNext w:val="0"/>
              <w:keepLines w:val="0"/>
              <w:pageBreakBefore w:val="0"/>
              <w:widowControl/>
              <w:suppressLineNumbers w:val="0"/>
              <w:kinsoku/>
              <w:wordWrap/>
              <w:overflowPunct/>
              <w:topLinePunct w:val="0"/>
              <w:autoSpaceDE/>
              <w:autoSpaceDN/>
              <w:bidi w:val="0"/>
              <w:spacing w:line="360" w:lineRule="auto"/>
              <w:jc w:val="left"/>
              <w:textAlignment w:val="auto"/>
              <w:rPr>
                <w:color w:val="auto"/>
                <w:sz w:val="24"/>
                <w:szCs w:val="24"/>
              </w:rPr>
            </w:pPr>
            <w:r>
              <w:rPr>
                <w:rFonts w:hint="eastAsia" w:ascii="宋体" w:hAnsi="宋体" w:eastAsia="宋体" w:cs="宋体"/>
                <w:color w:val="auto"/>
                <w:kern w:val="0"/>
                <w:sz w:val="24"/>
                <w:szCs w:val="24"/>
                <w:lang w:val="en-US" w:eastAsia="zh-CN" w:bidi="ar"/>
              </w:rPr>
              <w:t>方规定的水污染物排放标准。县级以上人民政府城镇排水主管部门应当加强对排水户的排放口设置、连接管网、预处理设施和水质、水量监测设施建设和运行的指导和监督。城镇排水主管部门委托的排水监测机构应当对排水户排放污水的水质和水量进行监测，并建立排水监测档案。</w:t>
            </w:r>
          </w:p>
          <w:p>
            <w:pPr>
              <w:widowControl/>
              <w:adjustRightInd w:val="0"/>
              <w:snapToGrid w:val="0"/>
              <w:spacing w:line="360" w:lineRule="auto"/>
              <w:ind w:firstLine="480" w:firstLineChars="200"/>
              <w:rPr>
                <w:rFonts w:hint="eastAsia"/>
                <w:color w:val="auto"/>
                <w:sz w:val="24"/>
                <w:szCs w:val="24"/>
              </w:rPr>
            </w:pPr>
            <w:r>
              <w:rPr>
                <w:rFonts w:hint="eastAsia"/>
                <w:color w:val="auto"/>
                <w:lang w:val="en-US" w:eastAsia="zh-CN"/>
              </w:rPr>
              <w:t xml:space="preserve"> </w:t>
            </w:r>
            <w:r>
              <w:rPr>
                <w:rFonts w:hint="eastAsia"/>
                <w:color w:val="auto"/>
                <w:sz w:val="24"/>
                <w:szCs w:val="24"/>
              </w:rPr>
              <w:t>第五十条</w:t>
            </w:r>
            <w:r>
              <w:rPr>
                <w:rFonts w:hint="eastAsia"/>
                <w:color w:val="auto"/>
                <w:sz w:val="24"/>
                <w:szCs w:val="24"/>
                <w:lang w:eastAsia="zh-CN"/>
              </w:rPr>
              <w:t>：</w:t>
            </w:r>
            <w:r>
              <w:rPr>
                <w:rFonts w:hint="eastAsia"/>
                <w:color w:val="auto"/>
                <w:sz w:val="24"/>
                <w:szCs w:val="24"/>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0"/>
                <w:szCs w:val="21"/>
                <w:highlight w:val="none"/>
                <w:lang w:val="en-US" w:eastAsia="zh-CN"/>
              </w:rPr>
            </w:pPr>
            <w:r>
              <w:rPr>
                <w:rFonts w:hint="eastAsia" w:ascii="Times New Roman" w:hAnsi="Times New Roman" w:eastAsia="宋体" w:cs="Times New Roman"/>
                <w:b/>
                <w:bCs/>
                <w:color w:val="auto"/>
                <w:sz w:val="24"/>
                <w:szCs w:val="24"/>
                <w:highlight w:val="none"/>
              </w:rPr>
              <w:t>相符性分析</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本</w:t>
            </w:r>
            <w:r>
              <w:rPr>
                <w:rFonts w:hint="eastAsia" w:ascii="Times New Roman" w:hAnsi="Times New Roman" w:eastAsia="宋体" w:cs="Times New Roman"/>
                <w:color w:val="auto"/>
                <w:sz w:val="24"/>
                <w:szCs w:val="24"/>
                <w:highlight w:val="none"/>
              </w:rPr>
              <w:t>项目属于C2929塑料零件及其他塑料制品制造及C3525模具制造</w:t>
            </w:r>
            <w:r>
              <w:rPr>
                <w:rFonts w:hint="eastAsia"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生产工艺不涉及酸洗、磷化、电镀、阳极氧化等工序。项目生活污水经三级化粪池处理达</w:t>
            </w:r>
            <w:r>
              <w:rPr>
                <w:rFonts w:hint="eastAsia" w:cs="Times New Roman"/>
                <w:color w:val="auto"/>
                <w:sz w:val="24"/>
                <w:szCs w:val="24"/>
                <w:highlight w:val="none"/>
                <w:lang w:val="en-US" w:eastAsia="zh-CN"/>
              </w:rPr>
              <w:t>到</w:t>
            </w:r>
            <w:r>
              <w:rPr>
                <w:rFonts w:hint="default" w:ascii="Times New Roman" w:hAnsi="Times New Roman" w:eastAsia="宋体" w:cs="Times New Roman"/>
                <w:color w:val="auto"/>
                <w:sz w:val="24"/>
                <w:szCs w:val="24"/>
                <w:highlight w:val="none"/>
                <w:lang w:val="en-US" w:eastAsia="zh-CN"/>
              </w:rPr>
              <w:t>广东省</w:t>
            </w:r>
            <w:r>
              <w:rPr>
                <w:rFonts w:hint="eastAsia" w:ascii="Times New Roman" w:hAnsi="Times New Roman" w:eastAsia="宋体" w:cs="Times New Roman"/>
                <w:color w:val="auto"/>
                <w:sz w:val="24"/>
                <w:szCs w:val="24"/>
                <w:highlight w:val="none"/>
                <w:lang w:val="en-US" w:eastAsia="zh-CN"/>
              </w:rPr>
              <w:t>《水污染物排放限值》（DB44/26-2001）第二时段三级标准后</w:t>
            </w:r>
            <w:r>
              <w:rPr>
                <w:rFonts w:hint="default" w:ascii="Times New Roman" w:hAnsi="Times New Roman" w:eastAsia="宋体" w:cs="Times New Roman"/>
                <w:color w:val="auto"/>
                <w:sz w:val="24"/>
                <w:szCs w:val="24"/>
                <w:highlight w:val="none"/>
                <w:lang w:val="en-US" w:eastAsia="zh-CN"/>
              </w:rPr>
              <w:t>，通过市政管网，进入</w:t>
            </w:r>
            <w:r>
              <w:rPr>
                <w:rFonts w:hint="eastAsia" w:cs="Times New Roman"/>
                <w:color w:val="auto"/>
                <w:sz w:val="24"/>
                <w:szCs w:val="24"/>
                <w:highlight w:val="none"/>
                <w:lang w:val="en-US" w:eastAsia="zh-CN"/>
              </w:rPr>
              <w:t>博罗县石湾镇大牛垒生活污水处理厂</w:t>
            </w:r>
            <w:r>
              <w:rPr>
                <w:rFonts w:hint="default" w:ascii="Times New Roman" w:hAnsi="Times New Roman" w:eastAsia="宋体" w:cs="Times New Roman"/>
                <w:color w:val="auto"/>
                <w:sz w:val="24"/>
                <w:szCs w:val="24"/>
                <w:highlight w:val="none"/>
                <w:lang w:val="en-US" w:eastAsia="zh-CN"/>
              </w:rPr>
              <w:t>处理</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rPr>
              <w:t>生产过程中不使用汞、砷、镉等原辅料，不属于铬盐</w:t>
            </w:r>
            <w:r>
              <w:rPr>
                <w:rFonts w:hint="eastAsia"/>
                <w:color w:val="auto"/>
                <w:sz w:val="24"/>
                <w:szCs w:val="24"/>
                <w:highlight w:val="none"/>
              </w:rPr>
              <w:t>、钛白粉、炼铍、纸浆制造等严重污染水环境的项目。因此，建设项目符合《广东省水污染防治条例》的要求</w:t>
            </w:r>
            <w:r>
              <w:rPr>
                <w:rFonts w:hint="eastAsia"/>
                <w:color w:val="auto"/>
                <w:sz w:val="24"/>
                <w:szCs w:val="24"/>
                <w:highlight w:val="none"/>
                <w:lang w:eastAsia="zh-CN"/>
              </w:rPr>
              <w:t>。</w:t>
            </w:r>
          </w:p>
          <w:p>
            <w:pPr>
              <w:autoSpaceDE w:val="0"/>
              <w:autoSpaceDN w:val="0"/>
              <w:adjustRightInd w:val="0"/>
              <w:snapToGrid w:val="0"/>
              <w:ind w:firstLine="482" w:firstLineChars="200"/>
              <w:jc w:val="left"/>
              <w:rPr>
                <w:rFonts w:hint="eastAsia" w:ascii="Times New Roman" w:hAnsi="Times New Roman" w:eastAsia="宋体" w:cs="Times New Roman"/>
                <w:b/>
                <w:bCs/>
                <w:color w:val="auto"/>
                <w:kern w:val="0"/>
                <w:szCs w:val="21"/>
                <w:lang w:val="en-US" w:eastAsia="zh-CN"/>
              </w:rPr>
            </w:pPr>
            <w:r>
              <w:rPr>
                <w:rFonts w:hint="eastAsia" w:ascii="Times New Roman" w:hAnsi="Times New Roman" w:eastAsia="宋体" w:cs="Times New Roman"/>
                <w:b/>
                <w:bCs/>
                <w:color w:val="auto"/>
                <w:kern w:val="0"/>
                <w:szCs w:val="21"/>
                <w:lang w:val="en-US" w:eastAsia="zh-CN"/>
              </w:rPr>
              <w:t>8、与</w:t>
            </w:r>
            <w:r>
              <w:rPr>
                <w:rFonts w:hint="eastAsia" w:cs="Times New Roman"/>
                <w:b/>
                <w:bCs/>
                <w:color w:val="auto"/>
                <w:kern w:val="0"/>
                <w:szCs w:val="21"/>
                <w:lang w:val="en-US" w:eastAsia="zh-CN"/>
              </w:rPr>
              <w:t>《</w:t>
            </w:r>
            <w:r>
              <w:rPr>
                <w:rFonts w:hint="eastAsia" w:ascii="Times New Roman" w:hAnsi="Times New Roman" w:eastAsia="宋体" w:cs="Times New Roman"/>
                <w:b/>
                <w:bCs/>
                <w:color w:val="auto"/>
                <w:kern w:val="0"/>
                <w:szCs w:val="21"/>
                <w:lang w:val="en-US" w:eastAsia="zh-CN"/>
              </w:rPr>
              <w:t>关于</w:t>
            </w:r>
            <w:r>
              <w:rPr>
                <w:rFonts w:hint="eastAsia" w:cs="Times New Roman"/>
                <w:b/>
                <w:bCs/>
                <w:color w:val="auto"/>
                <w:kern w:val="0"/>
                <w:szCs w:val="21"/>
                <w:lang w:val="en-US" w:eastAsia="zh-CN"/>
              </w:rPr>
              <w:t>&lt;</w:t>
            </w:r>
            <w:r>
              <w:rPr>
                <w:rFonts w:hint="eastAsia" w:ascii="Times New Roman" w:hAnsi="Times New Roman" w:eastAsia="宋体" w:cs="Times New Roman"/>
                <w:b/>
                <w:bCs/>
                <w:color w:val="auto"/>
                <w:kern w:val="0"/>
                <w:szCs w:val="21"/>
                <w:lang w:val="en-US" w:eastAsia="zh-CN"/>
              </w:rPr>
              <w:t>印发《重点行业挥发性有机物综合治理方案</w:t>
            </w:r>
            <w:r>
              <w:rPr>
                <w:rFonts w:hint="eastAsia" w:cs="Times New Roman"/>
                <w:b/>
                <w:bCs/>
                <w:color w:val="auto"/>
                <w:kern w:val="0"/>
                <w:szCs w:val="21"/>
                <w:lang w:val="en-US" w:eastAsia="zh-CN"/>
              </w:rPr>
              <w:t>&gt;</w:t>
            </w:r>
            <w:r>
              <w:rPr>
                <w:rFonts w:hint="eastAsia" w:ascii="Times New Roman" w:hAnsi="Times New Roman" w:eastAsia="宋体" w:cs="Times New Roman"/>
                <w:b/>
                <w:bCs/>
                <w:color w:val="auto"/>
                <w:kern w:val="0"/>
                <w:szCs w:val="21"/>
                <w:lang w:val="en-US" w:eastAsia="zh-CN"/>
              </w:rPr>
              <w:t>的通知</w:t>
            </w:r>
            <w:r>
              <w:rPr>
                <w:rFonts w:hint="eastAsia" w:cs="Times New Roman"/>
                <w:b/>
                <w:bCs/>
                <w:color w:val="auto"/>
                <w:kern w:val="0"/>
                <w:szCs w:val="21"/>
                <w:lang w:val="en-US" w:eastAsia="zh-CN"/>
              </w:rPr>
              <w:t>》</w:t>
            </w:r>
            <w:r>
              <w:rPr>
                <w:rFonts w:hint="eastAsia" w:ascii="Times New Roman" w:hAnsi="Times New Roman" w:eastAsia="宋体" w:cs="Times New Roman"/>
                <w:b/>
                <w:bCs/>
                <w:color w:val="auto"/>
                <w:kern w:val="0"/>
                <w:szCs w:val="21"/>
                <w:lang w:val="en-US" w:eastAsia="zh-CN"/>
              </w:rPr>
              <w:t>（环大气[2019]53号）的相符性分析</w:t>
            </w:r>
          </w:p>
          <w:p>
            <w:pPr>
              <w:adjustRightInd w:val="0"/>
              <w:snapToGrid w:val="0"/>
              <w:spacing w:line="360" w:lineRule="auto"/>
              <w:ind w:firstLine="480" w:firstLineChars="200"/>
              <w:rPr>
                <w:rFonts w:hint="eastAsia"/>
                <w:color w:val="auto"/>
                <w:sz w:val="24"/>
                <w:szCs w:val="24"/>
              </w:rPr>
            </w:pPr>
            <w:r>
              <w:rPr>
                <w:rFonts w:hint="eastAsia"/>
                <w:color w:val="auto"/>
                <w:sz w:val="24"/>
                <w:szCs w:val="24"/>
              </w:rPr>
              <w:t>（一）大力推进源头替代。通过使用水性、粉末、高固体分、无溶剂、辐射固化等低VOCs含量的涂胶，水性、辐射固化、植物基等低VOCs含量的油墨，水基、热熔、无溶剂、辐射固化、改性、生物降解等低VOCs含量的胶粘剂，以及低VOCs含量、低反应活性的清洗剂等，替代溶剂型涂胶、油墨、胶粘剂、清洗剂等，从源头减少VOCs产生。</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eastAsia="zh-CN"/>
              </w:rPr>
            </w:pPr>
            <w:r>
              <w:rPr>
                <w:rFonts w:hint="eastAsia"/>
                <w:color w:val="auto"/>
                <w:sz w:val="24"/>
                <w:szCs w:val="24"/>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 活性炭吸附、</w:t>
            </w:r>
            <w:r>
              <w:rPr>
                <w:rFonts w:hint="eastAsia" w:ascii="Times New Roman" w:hAnsi="Times New Roman" w:eastAsia="宋体" w:cs="Times New Roman"/>
                <w:color w:val="auto"/>
                <w:sz w:val="24"/>
                <w:szCs w:val="24"/>
              </w:rPr>
              <w:t>减风增浓等浓缩技术，提高VOCs浓度后净化处理</w:t>
            </w:r>
            <w:r>
              <w:rPr>
                <w:rFonts w:hint="eastAsia" w:ascii="Times New Roman" w:hAnsi="Times New Roman" w:eastAsia="宋体" w:cs="Times New Roman"/>
                <w:color w:val="auto"/>
                <w:sz w:val="24"/>
                <w:szCs w:val="24"/>
                <w:lang w:eastAsia="zh-CN"/>
              </w:rPr>
              <w:t>。</w:t>
            </w:r>
          </w:p>
          <w:p>
            <w:pPr>
              <w:adjustRightInd w:val="0"/>
              <w:snapToGrid w:val="0"/>
              <w:spacing w:line="360" w:lineRule="auto"/>
              <w:ind w:firstLine="482" w:firstLineChars="200"/>
              <w:rPr>
                <w:rFonts w:hint="eastAsia" w:ascii="Times New Roman" w:hAnsi="Times New Roman" w:eastAsia="宋体" w:cs="Times New Roman"/>
                <w:b/>
                <w:bCs/>
                <w:color w:val="auto"/>
                <w:kern w:val="0"/>
                <w:szCs w:val="21"/>
                <w:highlight w:val="none"/>
                <w:lang w:val="en-US" w:eastAsia="zh-CN"/>
              </w:rPr>
            </w:pPr>
            <w:r>
              <w:rPr>
                <w:rFonts w:hint="eastAsia" w:ascii="Times New Roman" w:hAnsi="Times New Roman" w:eastAsia="宋体" w:cs="Times New Roman"/>
                <w:b/>
                <w:bCs/>
                <w:color w:val="auto"/>
                <w:sz w:val="24"/>
                <w:szCs w:val="24"/>
                <w:highlight w:val="none"/>
              </w:rPr>
              <w:t>相符性分析：</w:t>
            </w:r>
            <w:r>
              <w:rPr>
                <w:rFonts w:hint="eastAsia" w:ascii="Times New Roman" w:hAnsi="Times New Roman" w:eastAsia="宋体" w:cs="Times New Roman"/>
                <w:color w:val="auto"/>
                <w:sz w:val="24"/>
                <w:szCs w:val="24"/>
                <w:highlight w:val="none"/>
              </w:rPr>
              <w:t>本项目属于C2929塑料零件及其他塑料制品制造及C3525模具制造，</w:t>
            </w:r>
            <w:r>
              <w:rPr>
                <w:rFonts w:hint="eastAsia" w:ascii="Times New Roman" w:hAnsi="Times New Roman" w:eastAsia="宋体" w:cs="Times New Roman"/>
                <w:color w:val="auto"/>
                <w:sz w:val="24"/>
                <w:szCs w:val="24"/>
                <w:highlight w:val="none"/>
                <w:lang w:val="en-US" w:eastAsia="zh-CN"/>
              </w:rPr>
              <w:t>生产过程</w:t>
            </w:r>
            <w:r>
              <w:rPr>
                <w:rFonts w:hint="eastAsia" w:cs="Times New Roman"/>
                <w:color w:val="auto"/>
                <w:sz w:val="24"/>
                <w:szCs w:val="24"/>
                <w:highlight w:val="none"/>
                <w:lang w:val="en-US" w:eastAsia="zh-CN"/>
              </w:rPr>
              <w:t>使用的水性油漆VOC含量为11.33g/L≤420g/L，满足《低挥发性有机化合物含量涂料产品技术要求》（GB/T 38597-2020）中表1水性涂料中包装涂料-底漆VOCs含量的要求；水性油墨VOC含量为11.3%≤30%，满足《油墨中可挥发性有机化合物（VOCs）含量的限值》（GB 38507-2020）表1“水性油墨--网印油墨”的限值要求，</w:t>
            </w:r>
            <w:r>
              <w:rPr>
                <w:rFonts w:hint="eastAsia" w:ascii="Times New Roman" w:hAnsi="Times New Roman" w:eastAsia="宋体" w:cs="Times New Roman"/>
                <w:color w:val="auto"/>
                <w:sz w:val="24"/>
                <w:szCs w:val="24"/>
                <w:highlight w:val="none"/>
              </w:rPr>
              <w:t>不</w:t>
            </w:r>
            <w:r>
              <w:rPr>
                <w:rFonts w:hint="eastAsia" w:cs="Times New Roman"/>
                <w:color w:val="auto"/>
                <w:sz w:val="24"/>
                <w:szCs w:val="24"/>
                <w:highlight w:val="none"/>
                <w:lang w:val="en-US" w:eastAsia="zh-CN"/>
              </w:rPr>
              <w:t>属于</w:t>
            </w:r>
            <w:r>
              <w:rPr>
                <w:rFonts w:hint="eastAsia" w:ascii="Times New Roman" w:hAnsi="Times New Roman" w:eastAsia="宋体" w:cs="Times New Roman"/>
                <w:color w:val="auto"/>
                <w:sz w:val="24"/>
                <w:szCs w:val="24"/>
                <w:highlight w:val="none"/>
              </w:rPr>
              <w:t>高VOCs含量的溶剂型涂料、油墨</w:t>
            </w:r>
            <w:r>
              <w:rPr>
                <w:rFonts w:hint="eastAsia" w:ascii="Times New Roman" w:hAnsi="Times New Roman" w:eastAsia="宋体" w:cs="Times New Roman"/>
                <w:color w:val="auto"/>
                <w:sz w:val="24"/>
                <w:szCs w:val="24"/>
                <w:highlight w:val="none"/>
                <w:lang w:eastAsia="zh-CN"/>
              </w:rPr>
              <w:t>；</w:t>
            </w:r>
            <w:r>
              <w:rPr>
                <w:rFonts w:hint="eastAsia" w:cs="Times New Roman"/>
                <w:color w:val="BF9000" w:themeColor="accent4" w:themeShade="BF"/>
                <w:sz w:val="24"/>
                <w:szCs w:val="24"/>
                <w:highlight w:val="none"/>
                <w:lang w:val="en-US" w:eastAsia="zh-CN"/>
              </w:rPr>
              <w:t>扩建项目注塑废气经一套“水喷淋+干式过滤器+二级活性炭吸附装置”处理后经1根15m高的排气筒DA001排放；混料及破碎产生的粉尘经一套“布袋除尘器”处理后经1根15m高的排气筒DA002排放；喷漆及烘烤、丝印及烘烤工序产生的废气经一套“水喷淋+干式过滤器+二级活性炭吸附装置”处理后经1根15m高的排气筒DA003排放；机加工及打磨工序产生的粉尘经一套“布袋除尘器”处理后经1根15m高的排气筒DA004排放；</w:t>
            </w:r>
            <w:r>
              <w:rPr>
                <w:rFonts w:hint="eastAsia" w:ascii="Times New Roman" w:hAnsi="Times New Roman" w:eastAsia="宋体" w:cs="Times New Roman"/>
                <w:color w:val="auto"/>
                <w:sz w:val="24"/>
                <w:szCs w:val="24"/>
                <w:highlight w:val="none"/>
                <w:lang w:val="en-US" w:eastAsia="zh-CN"/>
              </w:rPr>
              <w:t>对周边环境影响较小。因此，</w:t>
            </w:r>
            <w:r>
              <w:rPr>
                <w:rFonts w:hint="eastAsia" w:ascii="Times New Roman" w:hAnsi="Times New Roman" w:eastAsia="宋体" w:cs="Times New Roman"/>
                <w:color w:val="auto"/>
                <w:sz w:val="24"/>
                <w:szCs w:val="24"/>
                <w:highlight w:val="none"/>
              </w:rPr>
              <w:t>本项目符合</w:t>
            </w:r>
            <w:r>
              <w:rPr>
                <w:rFonts w:hint="eastAsia" w:cs="Times New Roman"/>
                <w:color w:val="auto"/>
                <w:sz w:val="24"/>
                <w:szCs w:val="24"/>
                <w:highlight w:val="none"/>
                <w:lang w:eastAsia="zh-CN"/>
              </w:rPr>
              <w:t>《关于印发&lt;重点行业挥发性有机物综合治理方案&gt;的通知》</w:t>
            </w:r>
            <w:r>
              <w:rPr>
                <w:rFonts w:hint="eastAsia" w:ascii="Times New Roman" w:hAnsi="Times New Roman" w:eastAsia="宋体" w:cs="Times New Roman"/>
                <w:color w:val="auto"/>
                <w:sz w:val="24"/>
                <w:szCs w:val="24"/>
                <w:highlight w:val="none"/>
              </w:rPr>
              <w:t>（环大气[2019]53号）的相关要求</w:t>
            </w:r>
            <w:r>
              <w:rPr>
                <w:rFonts w:hint="eastAsia" w:ascii="Times New Roman" w:hAnsi="Times New Roman" w:eastAsia="宋体" w:cs="Times New Roman"/>
                <w:color w:val="auto"/>
                <w:sz w:val="24"/>
                <w:szCs w:val="24"/>
                <w:highlight w:val="none"/>
                <w:lang w:eastAsia="zh-CN"/>
              </w:rPr>
              <w:t>。</w:t>
            </w:r>
          </w:p>
          <w:p>
            <w:pPr>
              <w:pStyle w:val="101"/>
              <w:numPr>
                <w:ilvl w:val="0"/>
                <w:numId w:val="10"/>
              </w:numPr>
              <w:adjustRightInd w:val="0"/>
              <w:snapToGrid w:val="0"/>
              <w:spacing w:line="360" w:lineRule="auto"/>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highlight w:val="none"/>
              </w:rPr>
              <w:t>与《关于印发〈广东省涉VOCs重点行业</w:t>
            </w:r>
            <w:r>
              <w:rPr>
                <w:rFonts w:hint="eastAsia" w:ascii="Times New Roman" w:hAnsi="Times New Roman" w:eastAsia="宋体"/>
                <w:b/>
                <w:color w:val="auto"/>
                <w:sz w:val="24"/>
                <w:szCs w:val="24"/>
              </w:rPr>
              <w:t>治理指引〉的通知》（粤环办〔2021〕43号）的相符性分析</w:t>
            </w:r>
          </w:p>
          <w:p>
            <w:pPr>
              <w:pStyle w:val="101"/>
              <w:numPr>
                <w:ilvl w:val="0"/>
                <w:numId w:val="0"/>
              </w:numPr>
              <w:adjustRightInd w:val="0"/>
              <w:snapToGrid w:val="0"/>
              <w:spacing w:line="360" w:lineRule="auto"/>
              <w:ind w:firstLine="480" w:firstLineChars="200"/>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适用范围：适用于轮胎制造（C2911）、橡胶板、管、带制造（C2912）、橡胶零件制造（C2913）、再生橡胶制造（C2914）、日用及医用橡胶制品制造（C2915）、运动场地用塑胶制造（C2916）、其他橡胶制品制造（C2919）、塑料薄膜制造（C2921）、塑料板、管、型材制造（C2922）、塑料丝、绳及编织品制造（C2923）、泡沫塑料制造（C2924）、塑料人造革、合成革制造（C2925）、塑料包装箱及容器制造（C2926）、日用塑料制品制造（C2927）、人造草坪制造（C2928）、塑料零件及其他塑料制品制造（C2929）工业企业或生产设施。</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项目与广东省涉VOCs重点行业治理指引相符性一览表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35"/>
              <w:gridCol w:w="3100"/>
              <w:gridCol w:w="3463"/>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4"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环节</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控制要求</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相符性分析</w:t>
                  </w:r>
                </w:p>
              </w:tc>
              <w:tc>
                <w:tcPr>
                  <w:tcW w:w="64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eastAsia" w:cs="Times New Roman"/>
                      <w:b/>
                      <w:bCs/>
                      <w:color w:val="auto"/>
                      <w:kern w:val="0"/>
                      <w:sz w:val="21"/>
                      <w:szCs w:val="21"/>
                      <w:lang w:val="en-US" w:eastAsia="zh-CN"/>
                    </w:rPr>
                    <w:t>是否相符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9" w:hRule="atLeast"/>
              </w:trPr>
              <w:tc>
                <w:tcPr>
                  <w:tcW w:w="4354"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源头削减</w:t>
                  </w: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61"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b w:val="0"/>
                      <w:bCs w:val="0"/>
                      <w:color w:val="auto"/>
                      <w:sz w:val="21"/>
                      <w:szCs w:val="21"/>
                      <w:lang w:val="en-US" w:eastAsia="zh-CN"/>
                    </w:rPr>
                    <w:t>VOCs物料使用</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工程机械企业生产过程中使用的涂料</w:t>
                  </w:r>
                  <w:r>
                    <w:rPr>
                      <w:rFonts w:hint="default" w:ascii="Times New Roman" w:hAnsi="Times New Roman" w:eastAsia="宋体" w:cs="Times New Roman"/>
                      <w:b w:val="0"/>
                      <w:bCs w:val="0"/>
                      <w:color w:val="auto"/>
                      <w:sz w:val="21"/>
                      <w:szCs w:val="21"/>
                      <w:highlight w:val="none"/>
                      <w:lang w:val="en-US" w:eastAsia="zh-CN"/>
                    </w:rPr>
                    <w:t>VOCs</w:t>
                  </w:r>
                  <w:r>
                    <w:rPr>
                      <w:rFonts w:hint="eastAsia" w:ascii="Times New Roman" w:hAnsi="Times New Roman" w:eastAsia="宋体" w:cs="Times New Roman"/>
                      <w:b w:val="0"/>
                      <w:bCs w:val="0"/>
                      <w:color w:val="auto"/>
                      <w:sz w:val="21"/>
                      <w:szCs w:val="21"/>
                      <w:highlight w:val="none"/>
                      <w:lang w:val="en-US" w:eastAsia="zh-CN"/>
                    </w:rPr>
                    <w:t>含量应符合</w:t>
                  </w:r>
                  <w:r>
                    <w:rPr>
                      <w:rFonts w:hint="default" w:ascii="Times New Roman" w:hAnsi="Times New Roman" w:eastAsia="宋体" w:cs="Times New Roman"/>
                      <w:b w:val="0"/>
                      <w:bCs w:val="0"/>
                      <w:color w:val="auto"/>
                      <w:sz w:val="21"/>
                      <w:szCs w:val="21"/>
                      <w:highlight w:val="none"/>
                      <w:lang w:val="en-US" w:eastAsia="zh-CN"/>
                    </w:rPr>
                    <w:t>GB 30981-2020</w:t>
                  </w:r>
                  <w:r>
                    <w:rPr>
                      <w:rFonts w:hint="eastAsia" w:ascii="Times New Roman" w:hAnsi="Times New Roman" w:eastAsia="宋体" w:cs="Times New Roman"/>
                      <w:b w:val="0"/>
                      <w:bCs w:val="0"/>
                      <w:color w:val="auto"/>
                      <w:sz w:val="21"/>
                      <w:szCs w:val="21"/>
                      <w:highlight w:val="none"/>
                      <w:lang w:val="en-US" w:eastAsia="zh-CN"/>
                    </w:rPr>
                    <w:t>中的规定。</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项目使用的水性漆的VOC含量为</w:t>
                  </w:r>
                  <w:r>
                    <w:rPr>
                      <w:rFonts w:hint="eastAsia" w:cs="Times New Roman"/>
                      <w:b w:val="0"/>
                      <w:bCs w:val="0"/>
                      <w:color w:val="auto"/>
                      <w:sz w:val="21"/>
                      <w:szCs w:val="21"/>
                      <w:highlight w:val="none"/>
                      <w:lang w:val="en-US" w:eastAsia="zh-CN"/>
                    </w:rPr>
                    <w:t>11.33</w:t>
                  </w:r>
                  <w:r>
                    <w:rPr>
                      <w:rFonts w:hint="eastAsia" w:ascii="Times New Roman" w:hAnsi="Times New Roman" w:eastAsia="宋体" w:cs="Times New Roman"/>
                      <w:b w:val="0"/>
                      <w:bCs w:val="0"/>
                      <w:color w:val="auto"/>
                      <w:sz w:val="21"/>
                      <w:szCs w:val="21"/>
                      <w:highlight w:val="none"/>
                      <w:lang w:val="en-US" w:eastAsia="zh-CN"/>
                    </w:rPr>
                    <w:t>g/L，满足《工业防护涂料中有害物质限量》（</w:t>
                  </w:r>
                  <w:r>
                    <w:rPr>
                      <w:rFonts w:hint="default" w:ascii="Times New Roman" w:hAnsi="Times New Roman" w:eastAsia="宋体" w:cs="Times New Roman"/>
                      <w:b w:val="0"/>
                      <w:bCs w:val="0"/>
                      <w:color w:val="auto"/>
                      <w:sz w:val="21"/>
                      <w:szCs w:val="21"/>
                      <w:highlight w:val="none"/>
                      <w:lang w:val="en-US" w:eastAsia="zh-CN"/>
                    </w:rPr>
                    <w:t>GB 30981-2020</w:t>
                  </w:r>
                  <w:r>
                    <w:rPr>
                      <w:rFonts w:hint="eastAsia" w:ascii="Times New Roman" w:hAnsi="Times New Roman" w:eastAsia="宋体" w:cs="Times New Roman"/>
                      <w:b w:val="0"/>
                      <w:bCs w:val="0"/>
                      <w:color w:val="auto"/>
                      <w:sz w:val="21"/>
                      <w:szCs w:val="21"/>
                      <w:highlight w:val="none"/>
                      <w:lang w:val="en-US" w:eastAsia="zh-CN"/>
                    </w:rPr>
                    <w:t>）中表1水性涂料中VOC含量的要求“型材涂料--其他≤250g/L”</w:t>
                  </w:r>
                  <w:r>
                    <w:rPr>
                      <w:rFonts w:hint="eastAsia" w:cs="Times New Roman"/>
                      <w:b w:val="0"/>
                      <w:bCs w:val="0"/>
                      <w:color w:val="auto"/>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水性油墨的VOC含量为</w:t>
                  </w:r>
                  <w:r>
                    <w:rPr>
                      <w:rFonts w:hint="eastAsia" w:cs="Times New Roman"/>
                      <w:b w:val="0"/>
                      <w:bCs w:val="0"/>
                      <w:color w:val="auto"/>
                      <w:sz w:val="21"/>
                      <w:szCs w:val="21"/>
                      <w:highlight w:val="none"/>
                      <w:lang w:val="en-US" w:eastAsia="zh-CN"/>
                    </w:rPr>
                    <w:t>11.3%</w:t>
                  </w:r>
                  <w:r>
                    <w:rPr>
                      <w:rFonts w:hint="eastAsia" w:ascii="Times New Roman" w:hAnsi="Times New Roman" w:eastAsia="宋体" w:cs="Times New Roman"/>
                      <w:b w:val="0"/>
                      <w:bCs w:val="0"/>
                      <w:color w:val="auto"/>
                      <w:sz w:val="21"/>
                      <w:szCs w:val="21"/>
                      <w:highlight w:val="none"/>
                      <w:lang w:val="en-US" w:eastAsia="zh-CN"/>
                    </w:rPr>
                    <w:t>，</w:t>
                  </w:r>
                  <w:r>
                    <w:rPr>
                      <w:rFonts w:hint="eastAsia" w:cs="Times New Roman"/>
                      <w:b w:val="0"/>
                      <w:bCs w:val="0"/>
                      <w:color w:val="auto"/>
                      <w:sz w:val="21"/>
                      <w:szCs w:val="21"/>
                      <w:highlight w:val="none"/>
                      <w:lang w:val="en-US" w:eastAsia="zh-CN"/>
                    </w:rPr>
                    <w:t>满足《油墨中可挥发性有机化合物(VOCs)含量的限值》（GB 38507-2020）的水性油墨-网印油墨VOCs限值要求（VOC≤30%）。</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eastAsia" w:ascii="Times New Roman"/>
                      <w:b w:val="0"/>
                      <w:bCs w:val="0"/>
                      <w:color w:val="auto"/>
                      <w:sz w:val="21"/>
                      <w:szCs w:val="21"/>
                      <w:lang w:val="en-US" w:eastAsia="zh-CN"/>
                    </w:rPr>
                    <w:t>VOCs物料储存</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VOCs物料应储存于密闭的容器、包装袋、储罐、储库、料仓中。</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本项目使用的</w:t>
                  </w:r>
                  <w:r>
                    <w:rPr>
                      <w:rFonts w:hint="eastAsia" w:ascii="Times New Roman" w:hAnsi="Times New Roman" w:eastAsia="宋体" w:cs="Times New Roman"/>
                      <w:color w:val="auto"/>
                      <w:kern w:val="0"/>
                      <w:sz w:val="21"/>
                      <w:szCs w:val="21"/>
                      <w:highlight w:val="none"/>
                      <w:lang w:val="en-US" w:eastAsia="zh-CN"/>
                    </w:rPr>
                    <w:t>水性油墨、水性漆</w:t>
                  </w:r>
                  <w:r>
                    <w:rPr>
                      <w:rFonts w:hint="default" w:ascii="Times New Roman" w:hAnsi="Times New Roman" w:eastAsia="宋体" w:cs="Times New Roman"/>
                      <w:color w:val="auto"/>
                      <w:kern w:val="0"/>
                      <w:sz w:val="21"/>
                      <w:szCs w:val="21"/>
                      <w:highlight w:val="none"/>
                    </w:rPr>
                    <w:t>采用桶装密闭的容器方式储存，</w:t>
                  </w:r>
                  <w:r>
                    <w:rPr>
                      <w:rFonts w:hint="eastAsia" w:ascii="Times New Roman" w:hAnsi="Times New Roman" w:eastAsia="宋体" w:cs="Times New Roman"/>
                      <w:color w:val="auto"/>
                      <w:kern w:val="0"/>
                      <w:sz w:val="21"/>
                      <w:szCs w:val="21"/>
                      <w:highlight w:val="none"/>
                      <w:lang w:val="en-US" w:eastAsia="zh-CN"/>
                    </w:rPr>
                    <w:t>塑料粒采用密封袋储存，</w:t>
                  </w:r>
                  <w:r>
                    <w:rPr>
                      <w:rFonts w:hint="default" w:ascii="Times New Roman" w:hAnsi="Times New Roman" w:eastAsia="宋体" w:cs="Times New Roman"/>
                      <w:color w:val="auto"/>
                      <w:kern w:val="0"/>
                      <w:sz w:val="21"/>
                      <w:szCs w:val="21"/>
                      <w:highlight w:val="none"/>
                    </w:rPr>
                    <w:t>放于室内，非取用状态时保持密闭。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5" w:hRule="atLeast"/>
              </w:trPr>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盛装VOCs物料的容器是否存放于室内，或存放于设置有雨棚、遮阳和防渗设施的专用场地。盛装VOCs物料的容器在非取用状态时应加盖、封口，保持密闭。</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38"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VOCs物料转移和输送</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液体VOCs物料应采用管道密闭输送。采用非管道输送方式转移液态VOCs物料时，应采用密闭容器或罐车。</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w:t>
                  </w:r>
                  <w:r>
                    <w:rPr>
                      <w:rFonts w:hint="eastAsia" w:cs="Times New Roman"/>
                      <w:color w:val="auto"/>
                      <w:kern w:val="0"/>
                      <w:sz w:val="21"/>
                      <w:szCs w:val="21"/>
                      <w:highlight w:val="none"/>
                      <w:lang w:val="en-US" w:eastAsia="zh-CN"/>
                    </w:rPr>
                    <w:t>水性油墨、水性油漆</w:t>
                  </w:r>
                  <w:r>
                    <w:rPr>
                      <w:rFonts w:hint="default" w:ascii="Times New Roman" w:hAnsi="Times New Roman" w:eastAsia="宋体" w:cs="Times New Roman"/>
                      <w:color w:val="auto"/>
                      <w:kern w:val="0"/>
                      <w:sz w:val="21"/>
                      <w:szCs w:val="21"/>
                      <w:highlight w:val="none"/>
                    </w:rPr>
                    <w:t>在转移时采用密闭容器</w:t>
                  </w:r>
                  <w:r>
                    <w:rPr>
                      <w:rFonts w:hint="eastAsia" w:cs="Times New Roman"/>
                      <w:color w:val="auto"/>
                      <w:kern w:val="0"/>
                      <w:sz w:val="21"/>
                      <w:szCs w:val="21"/>
                      <w:highlight w:val="none"/>
                      <w:lang w:eastAsia="zh-CN"/>
                    </w:rPr>
                    <w:t>，</w:t>
                  </w:r>
                  <w:r>
                    <w:rPr>
                      <w:rFonts w:hint="eastAsia" w:ascii="Times New Roman" w:hAnsi="Times New Roman" w:eastAsia="宋体" w:cs="Times New Roman"/>
                      <w:color w:val="auto"/>
                      <w:kern w:val="0"/>
                      <w:sz w:val="21"/>
                      <w:szCs w:val="21"/>
                      <w:highlight w:val="none"/>
                      <w:lang w:val="en-US" w:eastAsia="zh-CN"/>
                    </w:rPr>
                    <w:t>塑料粒采用密闭包装袋</w:t>
                  </w:r>
                  <w:r>
                    <w:rPr>
                      <w:rFonts w:hint="default" w:ascii="Times New Roman" w:hAnsi="Times New Roman" w:eastAsia="宋体" w:cs="Times New Roman"/>
                      <w:color w:val="auto"/>
                      <w:kern w:val="0"/>
                      <w:sz w:val="21"/>
                      <w:szCs w:val="21"/>
                      <w:highlight w:val="none"/>
                    </w:rPr>
                    <w:t>。</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工艺过程</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液态VOCs物料采用密闭管道输送方式或采用高位槽（罐）、桶泵等给料方式密闭投加无法密闭投加的，在密闭空间内操作，或进行局部气体收集，废气排至VOCs废气收集处理系统。</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本项目使用低VOCs原辅材料，在各设备安装集气罩收集废气，汇总后通过相应的废气处理措施处理，达标后排放。</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浸胶、胶浆喷涂、涂胶、喷漆、印刷、清洗等工序使用VOCs质量占比大于等于10%的原辅材料时，其使用过程应采用密闭设备或在密闭空间内操作，废气应排至VOCs废气收集处理系统；无法密闭的，应采取局部气体收集措施，废气应排至VOCs废气收集处理系统。</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非正常排放</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本项目各原料随取随用，不在设备内储存。</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废气收集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采用外部集气罩的，距集气罩开口面最远处的VOCs无组织排放位置，控制风速不低于0.3m/s。</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本项目外部集气罩控制风速为0.</w:t>
                  </w:r>
                  <w:r>
                    <w:rPr>
                      <w:rFonts w:hint="eastAsia" w:ascii="Times New Roman" w:hAnsi="Times New Roman" w:eastAsia="宋体" w:cs="Times New Roman"/>
                      <w:color w:val="auto"/>
                      <w:kern w:val="0"/>
                      <w:sz w:val="21"/>
                      <w:szCs w:val="21"/>
                      <w:highlight w:val="none"/>
                      <w:lang w:val="en-US" w:eastAsia="zh-CN"/>
                    </w:rPr>
                    <w:t>5</w:t>
                  </w:r>
                  <w:r>
                    <w:rPr>
                      <w:rFonts w:hint="default" w:ascii="Times New Roman" w:hAnsi="Times New Roman" w:eastAsia="宋体" w:cs="Times New Roman"/>
                      <w:color w:val="auto"/>
                      <w:kern w:val="0"/>
                      <w:sz w:val="21"/>
                      <w:szCs w:val="21"/>
                      <w:highlight w:val="none"/>
                    </w:rPr>
                    <w:t>m/s。</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废气收集系统的输送管道应密闭。废气收集系统应在负压下运行，若处于正压状态，应对管道组件的密封点进行泄漏检测，泄漏检测值不应超500μmol/mol，亦不应有感官可察觉泄漏。</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本项目废气收集系统的输送管道密闭。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排放水平</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塑料制品行业：a）有机废气排气筒排放浓度不高于广东省《大气污染物排放限值》（DB4427-2001）第Ⅱ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NMHC初始排放速率≥3 kg/h时，建设VOCs处理设施且处理效率≥80%；b）厂区内无组织排放监控点NMHC的小时平均浓度值不超过6 mg/m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，任意一次浓度值不超过</w:t>
                  </w:r>
                  <w:r>
                    <w:rPr>
                      <w:rFonts w:hint="eastAsia" w:cs="Times New Roman"/>
                      <w:color w:val="auto"/>
                      <w:kern w:val="0"/>
                      <w:sz w:val="21"/>
                      <w:szCs w:val="21"/>
                      <w:lang w:eastAsia="zh-CN"/>
                    </w:rPr>
                    <w:t>15m</w:t>
                  </w:r>
                  <w:r>
                    <w:rPr>
                      <w:rFonts w:hint="default" w:ascii="Times New Roman" w:hAnsi="Times New Roman" w:eastAsia="宋体" w:cs="Times New Roman"/>
                      <w:color w:val="auto"/>
                      <w:kern w:val="0"/>
                      <w:sz w:val="21"/>
                      <w:szCs w:val="21"/>
                    </w:rPr>
                    <w:t>g/m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w:t>
                  </w:r>
                </w:p>
              </w:tc>
              <w:tc>
                <w:tcPr>
                  <w:tcW w:w="2094" w:type="pct"/>
                  <w:noWrap w:val="0"/>
                  <w:vAlign w:val="center"/>
                </w:tcPr>
                <w:p>
                  <w:pPr>
                    <w:keepNext w:val="0"/>
                    <w:keepLines w:val="0"/>
                    <w:pageBreakBefore w:val="0"/>
                    <w:widowControl w:val="0"/>
                    <w:kinsoku/>
                    <w:wordWrap/>
                    <w:overflowPunct/>
                    <w:topLinePunct w:val="0"/>
                    <w:autoSpaceDE/>
                    <w:autoSpaceDN/>
                    <w:bidi w:val="0"/>
                    <w:snapToGrid/>
                    <w:spacing w:line="240" w:lineRule="auto"/>
                    <w:rPr>
                      <w:rFonts w:hint="default" w:eastAsia="宋体" w:cs="Times New Roman"/>
                      <w:color w:val="BF9000" w:themeColor="accent4" w:themeShade="BF"/>
                      <w:kern w:val="0"/>
                      <w:sz w:val="21"/>
                      <w:szCs w:val="21"/>
                      <w:highlight w:val="none"/>
                      <w:lang w:val="en-US" w:eastAsia="zh-CN" w:bidi="ar-SA"/>
                    </w:rPr>
                  </w:pPr>
                  <w:r>
                    <w:rPr>
                      <w:rFonts w:hint="eastAsia" w:eastAsia="宋体" w:cs="Times New Roman"/>
                      <w:color w:val="BF9000" w:themeColor="accent4" w:themeShade="BF"/>
                      <w:kern w:val="0"/>
                      <w:sz w:val="21"/>
                      <w:szCs w:val="21"/>
                      <w:highlight w:val="none"/>
                      <w:lang w:val="en-US" w:eastAsia="zh-CN" w:bidi="ar-SA"/>
                    </w:rPr>
                    <w:t>a)</w:t>
                  </w:r>
                  <w:r>
                    <w:rPr>
                      <w:rFonts w:hint="eastAsia" w:cs="Times New Roman"/>
                      <w:color w:val="BF9000" w:themeColor="accent4" w:themeShade="BF"/>
                      <w:kern w:val="0"/>
                      <w:sz w:val="21"/>
                      <w:szCs w:val="21"/>
                      <w:highlight w:val="none"/>
                      <w:lang w:val="en-US" w:eastAsia="zh-CN" w:bidi="ar-SA"/>
                    </w:rPr>
                    <w:t>注塑成型工序产生的非甲烷总烃排放</w:t>
                  </w:r>
                  <w:r>
                    <w:rPr>
                      <w:rFonts w:hint="eastAsia" w:ascii="Times New Roman" w:hAnsi="Times New Roman" w:eastAsia="宋体" w:cs="Times New Roman"/>
                      <w:color w:val="BF9000" w:themeColor="accent4" w:themeShade="BF"/>
                      <w:kern w:val="0"/>
                      <w:sz w:val="21"/>
                      <w:szCs w:val="21"/>
                      <w:highlight w:val="none"/>
                      <w:lang w:val="en-US" w:eastAsia="zh-CN" w:bidi="ar-SA"/>
                    </w:rPr>
                    <w:t>执行《合成树脂工业污染物排放标准》（GB31572-2015）中表5污染物特别排放限值</w:t>
                  </w:r>
                  <w:r>
                    <w:rPr>
                      <w:rFonts w:hint="eastAsia" w:ascii="Times New Roman" w:hAnsi="Times New Roman" w:cs="Times New Roman"/>
                      <w:color w:val="BF9000" w:themeColor="accent4" w:themeShade="BF"/>
                      <w:kern w:val="0"/>
                      <w:sz w:val="21"/>
                      <w:szCs w:val="21"/>
                      <w:highlight w:val="none"/>
                      <w:lang w:val="en-US" w:eastAsia="zh-CN" w:bidi="ar-SA"/>
                    </w:rPr>
                    <w:t>及表9排放限值</w:t>
                  </w:r>
                  <w:r>
                    <w:rPr>
                      <w:rFonts w:hint="eastAsia" w:eastAsia="宋体" w:cs="Times New Roman"/>
                      <w:color w:val="BF9000" w:themeColor="accent4" w:themeShade="BF"/>
                      <w:kern w:val="0"/>
                      <w:sz w:val="21"/>
                      <w:szCs w:val="21"/>
                      <w:highlight w:val="none"/>
                      <w:lang w:val="en-US" w:eastAsia="zh-CN" w:bidi="ar-SA"/>
                    </w:rPr>
                    <w:t>；</w:t>
                  </w:r>
                </w:p>
                <w:p>
                  <w:pPr>
                    <w:keepNext w:val="0"/>
                    <w:keepLines w:val="0"/>
                    <w:pageBreakBefore w:val="0"/>
                    <w:widowControl w:val="0"/>
                    <w:kinsoku/>
                    <w:wordWrap/>
                    <w:overflowPunct/>
                    <w:topLinePunct w:val="0"/>
                    <w:autoSpaceDE/>
                    <w:autoSpaceDN/>
                    <w:bidi w:val="0"/>
                    <w:snapToGrid/>
                    <w:spacing w:line="240" w:lineRule="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eastAsia="宋体" w:cs="Times New Roman"/>
                      <w:color w:val="BF9000" w:themeColor="accent4" w:themeShade="BF"/>
                      <w:kern w:val="0"/>
                      <w:sz w:val="21"/>
                      <w:szCs w:val="21"/>
                      <w:highlight w:val="none"/>
                      <w:lang w:val="en-US" w:eastAsia="zh-CN" w:bidi="ar-SA"/>
                    </w:rPr>
                    <w:t>混料及破碎</w:t>
                  </w:r>
                  <w:r>
                    <w:rPr>
                      <w:rFonts w:hint="eastAsia" w:ascii="Times New Roman" w:hAnsi="Times New Roman" w:eastAsia="宋体" w:cs="Times New Roman"/>
                      <w:color w:val="BF9000" w:themeColor="accent4" w:themeShade="BF"/>
                      <w:kern w:val="0"/>
                      <w:sz w:val="21"/>
                      <w:szCs w:val="21"/>
                      <w:highlight w:val="none"/>
                      <w:lang w:val="en-US" w:eastAsia="zh-CN" w:bidi="ar-SA"/>
                    </w:rPr>
                    <w:t>工序产生的</w:t>
                  </w:r>
                  <w:r>
                    <w:rPr>
                      <w:rFonts w:hint="eastAsia" w:eastAsia="宋体" w:cs="Times New Roman"/>
                      <w:color w:val="BF9000" w:themeColor="accent4" w:themeShade="BF"/>
                      <w:kern w:val="0"/>
                      <w:sz w:val="21"/>
                      <w:szCs w:val="21"/>
                      <w:highlight w:val="none"/>
                      <w:lang w:val="en-US" w:eastAsia="zh-CN" w:bidi="ar-SA"/>
                    </w:rPr>
                    <w:t>粉尘</w:t>
                  </w:r>
                  <w:r>
                    <w:rPr>
                      <w:rFonts w:hint="eastAsia" w:cs="Times New Roman"/>
                      <w:color w:val="BF9000" w:themeColor="accent4" w:themeShade="BF"/>
                      <w:kern w:val="0"/>
                      <w:sz w:val="21"/>
                      <w:szCs w:val="21"/>
                      <w:highlight w:val="none"/>
                      <w:lang w:val="en-US" w:eastAsia="zh-CN" w:bidi="ar-SA"/>
                    </w:rPr>
                    <w:t>排放</w:t>
                  </w:r>
                  <w:r>
                    <w:rPr>
                      <w:rFonts w:hint="eastAsia" w:ascii="Times New Roman" w:hAnsi="Times New Roman" w:eastAsia="宋体" w:cs="Times New Roman"/>
                      <w:color w:val="BF9000" w:themeColor="accent4" w:themeShade="BF"/>
                      <w:kern w:val="0"/>
                      <w:sz w:val="21"/>
                      <w:szCs w:val="21"/>
                      <w:highlight w:val="none"/>
                      <w:lang w:val="en-US" w:eastAsia="zh-CN" w:bidi="ar-SA"/>
                    </w:rPr>
                    <w:t>执行《合成树脂工业污染物排放标准》（GB31572-2015）中表5污染物特别排放限值</w:t>
                  </w:r>
                  <w:r>
                    <w:rPr>
                      <w:rFonts w:hint="eastAsia" w:ascii="Times New Roman" w:hAnsi="Times New Roman" w:cs="Times New Roman"/>
                      <w:color w:val="BF9000" w:themeColor="accent4" w:themeShade="BF"/>
                      <w:kern w:val="0"/>
                      <w:sz w:val="21"/>
                      <w:szCs w:val="21"/>
                      <w:highlight w:val="none"/>
                      <w:lang w:val="en-US" w:eastAsia="zh-CN" w:bidi="ar-SA"/>
                    </w:rPr>
                    <w:t>及表9排放限值</w:t>
                  </w:r>
                  <w:r>
                    <w:rPr>
                      <w:rFonts w:hint="eastAsia" w:eastAsia="宋体" w:cs="Times New Roman"/>
                      <w:color w:val="BF9000" w:themeColor="accent4" w:themeShade="BF"/>
                      <w:kern w:val="0"/>
                      <w:sz w:val="21"/>
                      <w:szCs w:val="21"/>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cs="Times New Roman"/>
                      <w:color w:val="BF9000" w:themeColor="accent4" w:themeShade="BF"/>
                      <w:kern w:val="0"/>
                      <w:sz w:val="21"/>
                      <w:szCs w:val="21"/>
                      <w:highlight w:val="none"/>
                      <w:lang w:val="en-US" w:eastAsia="zh-CN"/>
                    </w:rPr>
                  </w:pPr>
                  <w:r>
                    <w:rPr>
                      <w:rFonts w:hint="default" w:ascii="Times New Roman" w:hAnsi="Times New Roman" w:eastAsia="宋体" w:cs="Times New Roman"/>
                      <w:b w:val="0"/>
                      <w:bCs/>
                      <w:color w:val="BF9000" w:themeColor="accent4" w:themeShade="BF"/>
                      <w:sz w:val="21"/>
                      <w:szCs w:val="21"/>
                      <w:lang w:val="en-US" w:eastAsia="zh-CN"/>
                    </w:rPr>
                    <w:t>喷漆</w:t>
                  </w:r>
                  <w:r>
                    <w:rPr>
                      <w:rFonts w:hint="eastAsia" w:cs="Times New Roman"/>
                      <w:color w:val="BF9000" w:themeColor="accent4" w:themeShade="BF"/>
                      <w:kern w:val="0"/>
                      <w:sz w:val="21"/>
                      <w:szCs w:val="21"/>
                      <w:highlight w:val="none"/>
                      <w:lang w:val="en-US" w:eastAsia="zh-CN"/>
                    </w:rPr>
                    <w:t>工序产生的漆雾</w:t>
                  </w:r>
                  <w:r>
                    <w:rPr>
                      <w:rFonts w:hint="eastAsia" w:cs="Times New Roman"/>
                      <w:color w:val="BF9000" w:themeColor="accent4" w:themeShade="BF"/>
                      <w:kern w:val="0"/>
                      <w:sz w:val="21"/>
                      <w:szCs w:val="21"/>
                      <w:highlight w:val="none"/>
                      <w:lang w:val="en-US" w:eastAsia="zh-CN" w:bidi="ar-SA"/>
                    </w:rPr>
                    <w:t>排放</w:t>
                  </w:r>
                  <w:r>
                    <w:rPr>
                      <w:rFonts w:hint="eastAsia" w:cs="Times New Roman"/>
                      <w:color w:val="BF9000" w:themeColor="accent4" w:themeShade="BF"/>
                      <w:kern w:val="0"/>
                      <w:sz w:val="21"/>
                      <w:szCs w:val="21"/>
                      <w:highlight w:val="none"/>
                      <w:lang w:val="en-US" w:eastAsia="zh-CN"/>
                    </w:rPr>
                    <w:t>执行《大气污染物排放限值》（DB44/27-2001）中第二时段二级标准限值及</w:t>
                  </w:r>
                  <w:r>
                    <w:rPr>
                      <w:rFonts w:hint="eastAsia" w:ascii="Times New Roman" w:hAnsi="Times New Roman" w:eastAsia="宋体" w:cs="Times New Roman"/>
                      <w:color w:val="BF9000" w:themeColor="accent4" w:themeShade="BF"/>
                      <w:kern w:val="0"/>
                      <w:sz w:val="21"/>
                      <w:szCs w:val="21"/>
                      <w:highlight w:val="none"/>
                      <w:lang w:val="en-US" w:eastAsia="zh-CN" w:bidi="ar-SA"/>
                    </w:rPr>
                    <w:t>无组织排放监控浓度限值</w:t>
                  </w:r>
                  <w:r>
                    <w:rPr>
                      <w:rFonts w:hint="eastAsia" w:cs="Times New Roman"/>
                      <w:color w:val="BF9000" w:themeColor="accent4" w:themeShade="BF"/>
                      <w:kern w:val="0"/>
                      <w:sz w:val="21"/>
                      <w:szCs w:val="21"/>
                      <w:highlight w:val="none"/>
                      <w:lang w:val="en-US" w:eastAsia="zh-CN"/>
                    </w:rPr>
                    <w:t>；</w:t>
                  </w:r>
                </w:p>
                <w:p>
                  <w:pPr>
                    <w:pStyle w:val="2"/>
                    <w:keepNext w:val="0"/>
                    <w:keepLines w:val="0"/>
                    <w:pageBreakBefore w:val="0"/>
                    <w:widowControl w:val="0"/>
                    <w:kinsoku/>
                    <w:wordWrap/>
                    <w:overflowPunct/>
                    <w:topLinePunct w:val="0"/>
                    <w:autoSpaceDE/>
                    <w:autoSpaceDN/>
                    <w:bidi w:val="0"/>
                    <w:snapToGrid/>
                    <w:spacing w:line="240" w:lineRule="auto"/>
                    <w:ind w:left="0" w:leftChars="0" w:firstLine="0" w:firstLineChars="0"/>
                    <w:rPr>
                      <w:rFonts w:hint="eastAsia" w:cs="Times New Roman"/>
                      <w:color w:val="BF9000" w:themeColor="accent4" w:themeShade="BF"/>
                      <w:kern w:val="0"/>
                      <w:sz w:val="21"/>
                      <w:szCs w:val="21"/>
                      <w:highlight w:val="none"/>
                      <w:lang w:val="en-US" w:eastAsia="zh-CN"/>
                    </w:rPr>
                  </w:pPr>
                  <w:r>
                    <w:rPr>
                      <w:rFonts w:hint="default" w:ascii="Times New Roman" w:hAnsi="Times New Roman" w:eastAsia="宋体" w:cs="Times New Roman"/>
                      <w:b w:val="0"/>
                      <w:bCs/>
                      <w:color w:val="BF9000" w:themeColor="accent4" w:themeShade="BF"/>
                      <w:sz w:val="21"/>
                      <w:szCs w:val="21"/>
                      <w:lang w:val="en-US" w:eastAsia="zh-CN"/>
                    </w:rPr>
                    <w:t>喷漆</w:t>
                  </w:r>
                  <w:r>
                    <w:rPr>
                      <w:rFonts w:hint="eastAsia" w:cs="Times New Roman"/>
                      <w:color w:val="BF9000" w:themeColor="accent4" w:themeShade="BF"/>
                      <w:kern w:val="0"/>
                      <w:sz w:val="21"/>
                      <w:szCs w:val="21"/>
                      <w:highlight w:val="none"/>
                      <w:lang w:val="en-US" w:eastAsia="zh-CN"/>
                    </w:rPr>
                    <w:t>工序产生的总VOCs</w:t>
                  </w:r>
                  <w:r>
                    <w:rPr>
                      <w:rFonts w:hint="eastAsia" w:cs="Times New Roman"/>
                      <w:color w:val="BF9000" w:themeColor="accent4" w:themeShade="BF"/>
                      <w:kern w:val="0"/>
                      <w:sz w:val="21"/>
                      <w:szCs w:val="21"/>
                      <w:highlight w:val="none"/>
                      <w:lang w:val="en-US" w:eastAsia="zh-CN" w:bidi="ar-SA"/>
                    </w:rPr>
                    <w:t>排放</w:t>
                  </w:r>
                  <w:r>
                    <w:rPr>
                      <w:rFonts w:hint="eastAsia" w:cs="Times New Roman"/>
                      <w:color w:val="BF9000" w:themeColor="accent4" w:themeShade="BF"/>
                      <w:kern w:val="0"/>
                      <w:sz w:val="21"/>
                      <w:szCs w:val="21"/>
                      <w:highlight w:val="none"/>
                      <w:lang w:val="en-US" w:eastAsia="zh-CN"/>
                    </w:rPr>
                    <w:t>执行广东省《固定污染源挥发性有机物综合排放标准》（DB44/2367—2022）表1挥发性有机物排放限值排放限值及广东省地方标准《家具制造行业挥发性有机化合物排放标准》（DB44/814-2010）中的表2无组织排放监控点浓度限值；</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s="Times New Roman"/>
                      <w:color w:val="auto"/>
                      <w:kern w:val="0"/>
                      <w:sz w:val="21"/>
                      <w:szCs w:val="21"/>
                      <w:highlight w:val="none"/>
                      <w:lang w:val="en-US" w:eastAsia="zh-CN" w:bidi="ar-SA"/>
                    </w:rPr>
                  </w:pPr>
                  <w:r>
                    <w:rPr>
                      <w:rFonts w:hint="default" w:ascii="Times New Roman" w:hAnsi="Times New Roman" w:eastAsia="宋体" w:cs="Times New Roman"/>
                      <w:color w:val="BF9000" w:themeColor="accent4" w:themeShade="BF"/>
                      <w:kern w:val="0"/>
                      <w:sz w:val="21"/>
                      <w:szCs w:val="21"/>
                      <w:highlight w:val="none"/>
                      <w:lang w:val="en-US" w:eastAsia="zh-CN" w:bidi="ar-SA"/>
                    </w:rPr>
                    <w:t>丝印</w:t>
                  </w:r>
                  <w:r>
                    <w:rPr>
                      <w:rFonts w:hint="eastAsia" w:cs="Times New Roman"/>
                      <w:color w:val="BF9000" w:themeColor="accent4" w:themeShade="BF"/>
                      <w:kern w:val="0"/>
                      <w:sz w:val="21"/>
                      <w:szCs w:val="21"/>
                      <w:highlight w:val="none"/>
                      <w:lang w:val="en-US" w:eastAsia="zh-CN" w:bidi="ar-SA"/>
                    </w:rPr>
                    <w:t>及烘烤</w:t>
                  </w:r>
                  <w:r>
                    <w:rPr>
                      <w:rFonts w:hint="default" w:ascii="Times New Roman" w:hAnsi="Times New Roman" w:eastAsia="宋体" w:cs="Times New Roman"/>
                      <w:color w:val="BF9000" w:themeColor="accent4" w:themeShade="BF"/>
                      <w:kern w:val="0"/>
                      <w:sz w:val="21"/>
                      <w:szCs w:val="21"/>
                      <w:highlight w:val="none"/>
                      <w:lang w:val="en-US" w:eastAsia="zh-CN" w:bidi="ar-SA"/>
                    </w:rPr>
                    <w:t>工序产生的</w:t>
                  </w:r>
                  <w:r>
                    <w:rPr>
                      <w:rFonts w:hint="eastAsia"/>
                      <w:color w:val="BF9000" w:themeColor="accent4" w:themeShade="BF"/>
                      <w:sz w:val="21"/>
                      <w:szCs w:val="21"/>
                      <w:lang w:val="en-US" w:eastAsia="zh-CN"/>
                    </w:rPr>
                    <w:t>非甲烷总烃有组织废气排放执行</w:t>
                  </w:r>
                  <w:r>
                    <w:rPr>
                      <w:bCs/>
                      <w:color w:val="BF9000" w:themeColor="accent4" w:themeShade="BF"/>
                      <w:sz w:val="21"/>
                      <w:szCs w:val="21"/>
                    </w:rPr>
                    <w:t>《</w:t>
                  </w:r>
                  <w:r>
                    <w:rPr>
                      <w:bCs/>
                      <w:color w:val="BF9000" w:themeColor="accent4" w:themeShade="BF"/>
                      <w:kern w:val="0"/>
                      <w:sz w:val="21"/>
                      <w:szCs w:val="21"/>
                    </w:rPr>
                    <w:t>印刷工业大气污染物排放标准</w:t>
                  </w:r>
                  <w:r>
                    <w:rPr>
                      <w:bCs/>
                      <w:color w:val="BF9000" w:themeColor="accent4" w:themeShade="BF"/>
                      <w:sz w:val="21"/>
                      <w:szCs w:val="21"/>
                    </w:rPr>
                    <w:t>》</w:t>
                  </w:r>
                  <w:r>
                    <w:rPr>
                      <w:bCs/>
                      <w:color w:val="BF9000" w:themeColor="accent4" w:themeShade="BF"/>
                      <w:kern w:val="0"/>
                      <w:sz w:val="21"/>
                      <w:szCs w:val="21"/>
                    </w:rPr>
                    <w:t>（GB 41616—2022）</w:t>
                  </w:r>
                  <w:r>
                    <w:rPr>
                      <w:rFonts w:hint="eastAsia"/>
                      <w:bCs/>
                      <w:color w:val="BF9000" w:themeColor="accent4" w:themeShade="BF"/>
                      <w:kern w:val="0"/>
                      <w:sz w:val="21"/>
                      <w:szCs w:val="21"/>
                      <w:lang w:val="en-US" w:eastAsia="zh-CN"/>
                    </w:rPr>
                    <w:t>表1排放限值要求</w:t>
                  </w:r>
                  <w:r>
                    <w:rPr>
                      <w:rFonts w:hint="eastAsia"/>
                      <w:color w:val="BF9000" w:themeColor="accent4" w:themeShade="BF"/>
                      <w:sz w:val="21"/>
                      <w:szCs w:val="21"/>
                      <w:lang w:val="en-US" w:eastAsia="zh-CN"/>
                    </w:rPr>
                    <w:t>，总VOCs有组织废气排放执行</w:t>
                  </w:r>
                  <w:r>
                    <w:rPr>
                      <w:bCs/>
                      <w:color w:val="BF9000" w:themeColor="accent4" w:themeShade="BF"/>
                      <w:kern w:val="0"/>
                      <w:sz w:val="21"/>
                      <w:szCs w:val="21"/>
                    </w:rPr>
                    <w:t>《印刷行业挥发性有机化合物排放标准》（DB44/815-2010）</w:t>
                  </w:r>
                  <w:r>
                    <w:rPr>
                      <w:rFonts w:hint="eastAsia"/>
                      <w:bCs/>
                      <w:color w:val="BF9000" w:themeColor="accent4" w:themeShade="BF"/>
                      <w:kern w:val="0"/>
                      <w:sz w:val="21"/>
                      <w:szCs w:val="21"/>
                      <w:lang w:val="en-US" w:eastAsia="zh-CN"/>
                    </w:rPr>
                    <w:t>表2中Ⅱ时段要求</w:t>
                  </w:r>
                  <w:r>
                    <w:rPr>
                      <w:rFonts w:hint="eastAsia"/>
                      <w:color w:val="BF9000" w:themeColor="accent4" w:themeShade="BF"/>
                      <w:sz w:val="21"/>
                      <w:szCs w:val="21"/>
                      <w:lang w:val="en-US" w:eastAsia="zh-CN"/>
                    </w:rPr>
                    <w:t>，厂界总VOCs无组织废气排放执行</w:t>
                  </w:r>
                  <w:r>
                    <w:rPr>
                      <w:bCs/>
                      <w:color w:val="BF9000" w:themeColor="accent4" w:themeShade="BF"/>
                      <w:kern w:val="0"/>
                      <w:sz w:val="21"/>
                      <w:szCs w:val="21"/>
                    </w:rPr>
                    <w:t>《印刷行业挥发性有机化合物排放标准》（DB44/815-2010）</w:t>
                  </w:r>
                  <w:r>
                    <w:rPr>
                      <w:rFonts w:hint="eastAsia"/>
                      <w:bCs/>
                      <w:color w:val="BF9000" w:themeColor="accent4" w:themeShade="BF"/>
                      <w:kern w:val="0"/>
                      <w:sz w:val="21"/>
                      <w:szCs w:val="21"/>
                      <w:lang w:val="en-US" w:eastAsia="zh-CN"/>
                    </w:rPr>
                    <w:t>表3排放限制要求</w:t>
                  </w:r>
                  <w:r>
                    <w:rPr>
                      <w:rFonts w:hint="eastAsia" w:eastAsia="宋体" w:cs="Times New Roman"/>
                      <w:color w:val="auto"/>
                      <w:kern w:val="0"/>
                      <w:sz w:val="21"/>
                      <w:szCs w:val="21"/>
                      <w:highlight w:val="none"/>
                      <w:lang w:val="en-US" w:eastAsia="zh-CN" w:bidi="ar-SA"/>
                    </w:rPr>
                    <w:t>；</w:t>
                  </w:r>
                </w:p>
                <w:p>
                  <w:pPr>
                    <w:pStyle w:val="2"/>
                    <w:keepNext w:val="0"/>
                    <w:keepLines w:val="0"/>
                    <w:pageBreakBefore w:val="0"/>
                    <w:widowControl w:val="0"/>
                    <w:kinsoku/>
                    <w:wordWrap/>
                    <w:overflowPunct/>
                    <w:topLinePunct w:val="0"/>
                    <w:autoSpaceDE/>
                    <w:autoSpaceDN/>
                    <w:bidi w:val="0"/>
                    <w:snapToGrid/>
                    <w:spacing w:line="240" w:lineRule="auto"/>
                    <w:ind w:left="0" w:leftChars="0" w:firstLine="0" w:firstLineChars="0"/>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雕刻、电火花</w:t>
                  </w:r>
                  <w:r>
                    <w:rPr>
                      <w:rFonts w:hint="eastAsia" w:cs="Times New Roman"/>
                      <w:color w:val="BF9000" w:themeColor="accent4" w:themeShade="BF"/>
                      <w:kern w:val="0"/>
                      <w:sz w:val="21"/>
                      <w:szCs w:val="21"/>
                      <w:highlight w:val="none"/>
                      <w:lang w:val="en-US" w:eastAsia="zh-CN" w:bidi="ar-SA"/>
                    </w:rPr>
                    <w:t>工序</w:t>
                  </w:r>
                  <w:r>
                    <w:rPr>
                      <w:rFonts w:hint="eastAsia" w:ascii="Times New Roman" w:hAnsi="Times New Roman" w:eastAsia="宋体" w:cs="Times New Roman"/>
                      <w:color w:val="BF9000" w:themeColor="accent4" w:themeShade="BF"/>
                      <w:kern w:val="0"/>
                      <w:sz w:val="21"/>
                      <w:szCs w:val="21"/>
                      <w:highlight w:val="none"/>
                      <w:lang w:val="en-US" w:eastAsia="zh-CN" w:bidi="ar-SA"/>
                    </w:rPr>
                    <w:t>产生的非甲烷总烃无组织排放执行广东省地方标准《大气污染物排放限值》（DB44/27-2001）中第二时段无组织排放监控浓度限值；</w:t>
                  </w:r>
                </w:p>
                <w:p>
                  <w:pPr>
                    <w:keepNext w:val="0"/>
                    <w:keepLines w:val="0"/>
                    <w:pageBreakBefore w:val="0"/>
                    <w:widowControl w:val="0"/>
                    <w:kinsoku/>
                    <w:wordWrap/>
                    <w:overflowPunct/>
                    <w:topLinePunct w:val="0"/>
                    <w:autoSpaceDE/>
                    <w:autoSpaceDN/>
                    <w:bidi w:val="0"/>
                    <w:snapToGrid/>
                    <w:spacing w:line="240" w:lineRule="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机加工、打磨过程产生的颗粒物排放执行广东省地方标准《大气污染物排放限值》（DB44/27-2001）中第二时段</w:t>
                  </w:r>
                  <w:r>
                    <w:rPr>
                      <w:rFonts w:hint="eastAsia" w:cs="Times New Roman"/>
                      <w:color w:val="BF9000" w:themeColor="accent4" w:themeShade="BF"/>
                      <w:kern w:val="0"/>
                      <w:sz w:val="21"/>
                      <w:szCs w:val="21"/>
                      <w:highlight w:val="none"/>
                      <w:lang w:val="en-US" w:eastAsia="zh-CN" w:bidi="ar-SA"/>
                    </w:rPr>
                    <w:t>二级标准及</w:t>
                  </w:r>
                  <w:r>
                    <w:rPr>
                      <w:rFonts w:hint="eastAsia" w:ascii="Times New Roman" w:hAnsi="Times New Roman" w:eastAsia="宋体" w:cs="Times New Roman"/>
                      <w:color w:val="BF9000" w:themeColor="accent4" w:themeShade="BF"/>
                      <w:kern w:val="0"/>
                      <w:sz w:val="21"/>
                      <w:szCs w:val="21"/>
                      <w:highlight w:val="none"/>
                      <w:lang w:val="en-US" w:eastAsia="zh-CN" w:bidi="ar-SA"/>
                    </w:rPr>
                    <w:t>无组织排放监控浓度限值。</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highlight w:val="none"/>
                    </w:rPr>
                    <w:t>b)厂区内无组织排放监控点NMHC的小时平均浓度值不超过6mg/m</w:t>
                  </w:r>
                  <w:r>
                    <w:rPr>
                      <w:rFonts w:hint="default" w:ascii="Times New Roman" w:hAnsi="Times New Roman" w:eastAsia="宋体" w:cs="Times New Roman"/>
                      <w:color w:val="auto"/>
                      <w:kern w:val="0"/>
                      <w:sz w:val="21"/>
                      <w:szCs w:val="21"/>
                      <w:highlight w:val="none"/>
                      <w:vertAlign w:val="superscript"/>
                    </w:rPr>
                    <w:t>3</w:t>
                  </w:r>
                  <w:r>
                    <w:rPr>
                      <w:rFonts w:hint="default" w:ascii="Times New Roman" w:hAnsi="Times New Roman" w:eastAsia="宋体" w:cs="Times New Roman"/>
                      <w:color w:val="auto"/>
                      <w:kern w:val="0"/>
                      <w:sz w:val="21"/>
                      <w:szCs w:val="21"/>
                      <w:highlight w:val="none"/>
                    </w:rPr>
                    <w:t>，任意一次浓度值不超</w:t>
                  </w:r>
                  <w:r>
                    <w:rPr>
                      <w:rFonts w:hint="eastAsia" w:cs="Times New Roman"/>
                      <w:color w:val="auto"/>
                      <w:kern w:val="0"/>
                      <w:sz w:val="21"/>
                      <w:szCs w:val="21"/>
                      <w:highlight w:val="none"/>
                      <w:lang w:eastAsia="zh-CN"/>
                    </w:rPr>
                    <w:t>15m</w:t>
                  </w:r>
                  <w:r>
                    <w:rPr>
                      <w:rFonts w:hint="default" w:ascii="Times New Roman" w:hAnsi="Times New Roman" w:eastAsia="宋体" w:cs="Times New Roman"/>
                      <w:color w:val="auto"/>
                      <w:kern w:val="0"/>
                      <w:sz w:val="21"/>
                      <w:szCs w:val="21"/>
                      <w:highlight w:val="none"/>
                    </w:rPr>
                    <w:t>g/m</w:t>
                  </w:r>
                  <w:r>
                    <w:rPr>
                      <w:rFonts w:hint="default" w:ascii="Times New Roman" w:hAnsi="Times New Roman" w:eastAsia="宋体" w:cs="Times New Roman"/>
                      <w:color w:val="auto"/>
                      <w:kern w:val="0"/>
                      <w:sz w:val="21"/>
                      <w:szCs w:val="21"/>
                      <w:highlight w:val="none"/>
                      <w:vertAlign w:val="superscript"/>
                    </w:rPr>
                    <w:t>3</w:t>
                  </w:r>
                  <w:r>
                    <w:rPr>
                      <w:rFonts w:hint="default" w:ascii="Times New Roman" w:hAnsi="Times New Roman" w:eastAsia="宋体" w:cs="Times New Roman"/>
                      <w:color w:val="auto"/>
                      <w:kern w:val="0"/>
                      <w:sz w:val="21"/>
                      <w:szCs w:val="21"/>
                      <w:highlight w:val="none"/>
                    </w:rPr>
                    <w:t>。</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治理设施设计与运 行管理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本项目有机废气采用活性炭吸附装置进行处理，</w:t>
                  </w:r>
                  <w:r>
                    <w:rPr>
                      <w:rFonts w:hint="default" w:ascii="Times New Roman" w:hAnsi="Times New Roman" w:eastAsia="宋体" w:cs="Times New Roman"/>
                      <w:color w:val="FF0000"/>
                      <w:kern w:val="0"/>
                      <w:sz w:val="21"/>
                      <w:szCs w:val="21"/>
                      <w:highlight w:val="none"/>
                    </w:rPr>
                    <w:t>活性炭</w:t>
                  </w:r>
                  <w:r>
                    <w:rPr>
                      <w:rFonts w:hint="eastAsia" w:cs="Times New Roman"/>
                      <w:color w:val="FF0000"/>
                      <w:kern w:val="0"/>
                      <w:sz w:val="21"/>
                      <w:szCs w:val="21"/>
                      <w:highlight w:val="none"/>
                      <w:lang w:val="en-US" w:eastAsia="zh-CN"/>
                    </w:rPr>
                    <w:t>拟一年更换4次</w:t>
                  </w:r>
                  <w:r>
                    <w:rPr>
                      <w:rFonts w:hint="default" w:ascii="Times New Roman" w:hAnsi="Times New Roman" w:eastAsia="宋体" w:cs="Times New Roman"/>
                      <w:color w:val="FF0000"/>
                      <w:kern w:val="0"/>
                      <w:sz w:val="21"/>
                      <w:szCs w:val="21"/>
                      <w:highlight w:val="none"/>
                    </w:rPr>
                    <w:t>，</w:t>
                  </w:r>
                  <w:r>
                    <w:rPr>
                      <w:rFonts w:hint="default" w:ascii="Times New Roman" w:hAnsi="Times New Roman" w:eastAsia="宋体" w:cs="Times New Roman"/>
                      <w:color w:val="auto"/>
                      <w:kern w:val="0"/>
                      <w:sz w:val="21"/>
                      <w:szCs w:val="21"/>
                      <w:highlight w:val="none"/>
                    </w:rPr>
                    <w:t>废活性炭交由有危险废物处置资质单位处理。</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VOCs治理设施应与生产工艺设备同步运行，VOCs 治理设施发生故障或检修时，对应的生产工艺设备应停止运行，待检修完毕后同步投入使用；生产工艺设备不能停止运行或不能及时停止运行的，应设置废气应急处理设施或采取其他替代措施。</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建设单位严格按照文件的要求进行废气收集系统与生产工艺设备同步运行。</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管理台账</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建立含VOCs原辅材料台账，记录含VOCs原辅材料的名称及其VOCs含量、采购量、使用量、库存量、含VOCs原辅材料回收方式及回收量。</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本项目建成后建设单位</w:t>
                  </w:r>
                  <w:r>
                    <w:rPr>
                      <w:rFonts w:hint="eastAsia" w:cs="Times New Roman"/>
                      <w:color w:val="auto"/>
                      <w:kern w:val="0"/>
                      <w:sz w:val="21"/>
                      <w:szCs w:val="21"/>
                      <w:lang w:val="en-US" w:eastAsia="zh-CN"/>
                    </w:rPr>
                    <w:t>应</w:t>
                  </w:r>
                  <w:r>
                    <w:rPr>
                      <w:rFonts w:hint="default" w:ascii="Times New Roman" w:hAnsi="Times New Roman" w:eastAsia="宋体" w:cs="Times New Roman"/>
                      <w:color w:val="auto"/>
                      <w:kern w:val="0"/>
                      <w:sz w:val="21"/>
                      <w:szCs w:val="21"/>
                    </w:rPr>
                    <w:t>建立含VOCs原辅材料台账、废气收集处理设施台账、危废台账，并按相应要求管理台账。</w:t>
                  </w:r>
                </w:p>
              </w:tc>
              <w:tc>
                <w:tcPr>
                  <w:tcW w:w="64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建立废气收集处理设施台账，记录废气处理设施进出口的监测数据（废气量、浓度、温度、含氧量等）、废气收集与处理设施关键参数、废气处理设施相关耗材（吸收剂、吸附剂、催化剂等）购买和处理记录。</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建立危废台账，整理危废处置合同、转移联单及危废处理方资质佐证材料。</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台账保存期限不少于3年。</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自行监测</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塑料制品行业简化管理排污单位废气排放口及无组织排放每年一次。</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eastAsia" w:ascii="Times New Roman"/>
                      <w:color w:val="auto"/>
                      <w:sz w:val="21"/>
                      <w:szCs w:val="21"/>
                      <w:lang w:val="en-US" w:eastAsia="zh-CN"/>
                    </w:rPr>
                    <w:t>根据《固定污染源排污许可分类管理名录（2019年版）》，项目属于“</w:t>
                  </w:r>
                  <w:r>
                    <w:rPr>
                      <w:rFonts w:hint="eastAsia"/>
                      <w:color w:val="auto"/>
                      <w:sz w:val="21"/>
                      <w:szCs w:val="21"/>
                      <w:lang w:val="en-US" w:eastAsia="zh-CN"/>
                    </w:rPr>
                    <w:t>登记</w:t>
                  </w:r>
                  <w:r>
                    <w:rPr>
                      <w:rFonts w:hint="eastAsia" w:ascii="Times New Roman"/>
                      <w:color w:val="auto"/>
                      <w:sz w:val="21"/>
                      <w:szCs w:val="21"/>
                      <w:lang w:val="en-US" w:eastAsia="zh-CN"/>
                    </w:rPr>
                    <w:t>管理”，待项目建成投产可参照简化管理开展自行监测。</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color w:val="auto"/>
                      <w:sz w:val="21"/>
                      <w:szCs w:val="21"/>
                      <w:lang w:val="en-US" w:eastAsia="zh-CN"/>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4"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危废管理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工艺过程产生的含VOCs废料（渣、液）应按照相关要求进行储存、转移和输送。盛装过VOCs物料的废包装容器应加盖密闭。</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项目生产过程中产生的废活性炭按相关要求进行储存、转移和输送。盛装过VOCs物料的废包装容器加盖密闭。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是</w:t>
                  </w:r>
                </w:p>
              </w:tc>
            </w:tr>
          </w:tbl>
          <w:p>
            <w:pPr>
              <w:widowControl/>
              <w:numPr>
                <w:ilvl w:val="0"/>
                <w:numId w:val="0"/>
              </w:numPr>
              <w:adjustRightInd w:val="0"/>
              <w:snapToGrid w:val="0"/>
              <w:spacing w:line="360" w:lineRule="auto"/>
              <w:ind w:firstLine="482" w:firstLineChars="200"/>
              <w:jc w:val="left"/>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1</w:t>
            </w:r>
            <w:r>
              <w:rPr>
                <w:rFonts w:hint="eastAsia" w:cs="Times New Roman"/>
                <w:b/>
                <w:color w:val="auto"/>
                <w:kern w:val="2"/>
                <w:sz w:val="24"/>
                <w:szCs w:val="24"/>
                <w:lang w:val="en-US" w:eastAsia="zh-CN" w:bidi="ar-SA"/>
              </w:rPr>
              <w:t>0</w:t>
            </w:r>
            <w:r>
              <w:rPr>
                <w:rFonts w:hint="eastAsia" w:ascii="Times New Roman" w:hAnsi="Times New Roman" w:eastAsia="宋体" w:cs="Times New Roman"/>
                <w:b/>
                <w:color w:val="auto"/>
                <w:kern w:val="2"/>
                <w:sz w:val="24"/>
                <w:szCs w:val="24"/>
                <w:lang w:val="en-US" w:eastAsia="zh-CN" w:bidi="ar-SA"/>
              </w:rPr>
              <w:t>、与《广东省大气污染防治条例》相符性分析</w:t>
            </w:r>
          </w:p>
          <w:p>
            <w:pPr>
              <w:pStyle w:val="4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根据《广东省大气污染防治条例》：</w:t>
            </w:r>
          </w:p>
          <w:p>
            <w:pPr>
              <w:pStyle w:val="4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 ........................... </w:t>
            </w:r>
          </w:p>
          <w:p>
            <w:pPr>
              <w:pStyle w:val="42"/>
              <w:keepNext w:val="0"/>
              <w:keepLines w:val="0"/>
              <w:pageBreakBefore w:val="0"/>
              <w:widowControl w:val="0"/>
              <w:numPr>
                <w:ilvl w:val="0"/>
                <w:numId w:val="11"/>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新建、改建、扩建新增排放重点大气污染物的建设项目，建设单位应当在报批环境影响评价文件前按照规定向生态环境主管部门申请取得重点大气污染物排放总量控制指标。 </w:t>
            </w:r>
          </w:p>
          <w:p>
            <w:pPr>
              <w:pStyle w:val="4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生态环境主管部门按照等量或者减量替代的原则核定重点大气污染物排放总量控制指标。 </w:t>
            </w:r>
          </w:p>
          <w:p>
            <w:pPr>
              <w:pStyle w:val="4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新增重点大气污染物排放总量控制指标可以通过实施工程治理减排、结构调整减排项目或者排污权交易等方式取得。 </w:t>
            </w:r>
          </w:p>
          <w:p>
            <w:pPr>
              <w:pStyle w:val="4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珠江三角洲区域禁止新建、扩建燃煤燃油火电机组或者企业 燃煤燃油自备电站。 </w:t>
            </w:r>
          </w:p>
          <w:p>
            <w:pPr>
              <w:pStyle w:val="4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珠江三角洲区域禁止新建、扩建国家规划外的钢铁、原油加工、乙烯生产、造纸、水泥、平板玻璃、除特种陶瓷以外的陶瓷、有色金属冶炼等大气重污染项目。 </w:t>
            </w:r>
          </w:p>
          <w:p>
            <w:pPr>
              <w:spacing w:line="360" w:lineRule="auto"/>
              <w:ind w:firstLine="482" w:firstLineChars="200"/>
              <w:jc w:val="left"/>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相符性分析：</w:t>
            </w:r>
            <w:r>
              <w:rPr>
                <w:rFonts w:hint="eastAsia" w:ascii="Times New Roman" w:hAnsi="Times New Roman" w:eastAsia="宋体" w:cs="Times New Roman"/>
                <w:color w:val="auto"/>
                <w:kern w:val="2"/>
                <w:sz w:val="24"/>
                <w:szCs w:val="24"/>
                <w:highlight w:val="none"/>
                <w:lang w:val="en-US" w:eastAsia="zh-CN" w:bidi="ar-SA"/>
              </w:rPr>
              <w:t>本项目属于C2929塑料零件及其他塑料制品制造及C3525模具制造，不属于上述禁止行业，不属于大气重污染项目，项目运营期排放重点大气污染物（挥发性有机物），挥发性有机物总量按减量替代原则核定</w:t>
            </w:r>
            <w:r>
              <w:rPr>
                <w:rFonts w:hint="eastAsia" w:cs="Times New Roman"/>
                <w:color w:val="auto"/>
                <w:kern w:val="2"/>
                <w:sz w:val="24"/>
                <w:szCs w:val="24"/>
                <w:highlight w:val="none"/>
                <w:lang w:val="en-US" w:eastAsia="zh-CN" w:bidi="ar-SA"/>
              </w:rPr>
              <w:t>，</w:t>
            </w:r>
            <w:r>
              <w:rPr>
                <w:rFonts w:hint="eastAsia" w:cs="Times New Roman"/>
                <w:color w:val="FF0000"/>
                <w:kern w:val="2"/>
                <w:sz w:val="24"/>
                <w:szCs w:val="24"/>
                <w:highlight w:val="none"/>
                <w:lang w:val="en-US" w:eastAsia="zh-CN" w:bidi="ar-SA"/>
              </w:rPr>
              <w:t>由惠州市生态环境局博罗分局调配</w:t>
            </w:r>
            <w:r>
              <w:rPr>
                <w:rFonts w:hint="eastAsia" w:ascii="Times New Roman" w:hAnsi="Times New Roman" w:eastAsia="宋体" w:cs="Times New Roman"/>
                <w:color w:val="FF0000"/>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项目不设锅炉。因此，项目符合《广东省大气污染防治条例》的相关规定。</w:t>
            </w:r>
          </w:p>
          <w:p>
            <w:pPr>
              <w:spacing w:line="360" w:lineRule="auto"/>
              <w:ind w:firstLine="482" w:firstLineChars="200"/>
              <w:rPr>
                <w:rFonts w:hint="default"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szCs w:val="24"/>
                <w:lang w:val="en-US" w:eastAsia="zh-CN"/>
              </w:rPr>
              <w:t>1</w:t>
            </w:r>
            <w:r>
              <w:rPr>
                <w:rFonts w:hint="eastAsia"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与《关于印发惠州市2022年土壤与地下水污染防治工作方案的通知》</w:t>
            </w:r>
            <w:r>
              <w:rPr>
                <w:rFonts w:hint="default" w:ascii="Times New Roman" w:hAnsi="Times New Roman" w:eastAsia="宋体" w:cs="Times New Roman"/>
                <w:b/>
                <w:bCs/>
                <w:color w:val="auto"/>
                <w:sz w:val="24"/>
                <w:lang w:val="en-US" w:eastAsia="zh-CN"/>
              </w:rPr>
              <w:t>（惠市环〔2022〕16号）的相符性分析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三、加强土壤污染源头防控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一）加强涉重金属行业污染防治。持续更新涉镉等重金属重点行业污染源整治清单。按照省生态环境厅要求在矿产资源开发集中区域以及安全利用类、严格管控类耕地任务较重的区域，执行颗粒物和镉等重点重金属特别排放限值。依法依规将符合筛选条件的排放镉、汞、砷、铅、铬等有毒有害大气、水环境污染物的企业纳入重点排污单位名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六、推进地下水污染防治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一）强化地下水环境质量目标管理。按照“十四五”地下水国考点位规范化建设要求，进一步完善地下水环境质量考核点水质达标（或保持）方案。同时，加强地下水污染源头管控，强化监督管理，确保3个“十四五”国家地下水环境质量考核点水质，即惠城区鹅岭南路101号（GD-14-029）、龙门县龙田镇王宾村（GD-14-030）和博罗县横河办事处郭前村（GD-14-031）水质达到国家和省的考核要求。</w:t>
            </w:r>
          </w:p>
          <w:p>
            <w:pPr>
              <w:autoSpaceDE w:val="0"/>
              <w:autoSpaceDN w:val="0"/>
              <w:adjustRightInd w:val="0"/>
              <w:snapToGrid w:val="0"/>
              <w:ind w:firstLine="466" w:firstLineChars="200"/>
              <w:jc w:val="left"/>
              <w:rPr>
                <w:rFonts w:hint="default" w:ascii="Times New Roman" w:hAnsi="Times New Roman" w:eastAsia="宋体" w:cs="Times New Roman"/>
                <w:color w:val="auto"/>
                <w:sz w:val="24"/>
                <w:szCs w:val="32"/>
                <w:lang w:eastAsia="zh-CN"/>
              </w:rPr>
            </w:pPr>
            <w:r>
              <w:rPr>
                <w:rFonts w:hint="default" w:ascii="Times New Roman" w:hAnsi="Times New Roman" w:eastAsia="宋体" w:cs="Times New Roman"/>
                <w:b/>
                <w:bCs/>
                <w:color w:val="auto"/>
                <w:spacing w:val="-4"/>
                <w:sz w:val="24"/>
                <w:lang w:eastAsia="zh-CN"/>
              </w:rPr>
              <w:t>相符性分析：</w:t>
            </w:r>
            <w:r>
              <w:rPr>
                <w:rFonts w:hint="default" w:ascii="Times New Roman" w:hAnsi="Times New Roman" w:eastAsia="宋体" w:cs="Times New Roman"/>
                <w:b w:val="0"/>
                <w:bCs w:val="0"/>
                <w:color w:val="auto"/>
                <w:spacing w:val="-4"/>
                <w:sz w:val="24"/>
                <w:lang w:eastAsia="zh-CN"/>
              </w:rPr>
              <w:t>本</w:t>
            </w:r>
            <w:r>
              <w:rPr>
                <w:rFonts w:hint="default" w:ascii="Times New Roman" w:hAnsi="Times New Roman" w:eastAsia="宋体" w:cs="Times New Roman"/>
                <w:color w:val="auto"/>
                <w:spacing w:val="-4"/>
                <w:sz w:val="24"/>
                <w:lang w:eastAsia="zh-CN"/>
              </w:rPr>
              <w:t>项目不涉及重金属，不属于涉重金属重点行业企业，项目用地地面均硬底化处理，不属于</w:t>
            </w:r>
            <w:r>
              <w:rPr>
                <w:rFonts w:hint="default" w:ascii="Times New Roman" w:hAnsi="Times New Roman" w:eastAsia="宋体" w:cs="Times New Roman"/>
                <w:color w:val="auto"/>
                <w:sz w:val="24"/>
                <w:szCs w:val="32"/>
              </w:rPr>
              <w:t>排放镉、汞、砷、铅、铬等有毒有害大气、水环境污染物的企业</w:t>
            </w:r>
            <w:r>
              <w:rPr>
                <w:rFonts w:hint="default" w:ascii="Times New Roman" w:hAnsi="Times New Roman" w:eastAsia="宋体" w:cs="Times New Roman"/>
                <w:color w:val="auto"/>
                <w:sz w:val="24"/>
                <w:szCs w:val="32"/>
                <w:lang w:eastAsia="zh-CN"/>
              </w:rPr>
              <w:t>；项目不涉及生产废水排放，生活污水经三级化粪池预处理后排入市政污水管网，汇入</w:t>
            </w:r>
            <w:r>
              <w:rPr>
                <w:rFonts w:hint="eastAsia" w:ascii="Times New Roman" w:hAnsi="Times New Roman" w:eastAsia="宋体" w:cs="Times New Roman"/>
                <w:color w:val="auto"/>
                <w:sz w:val="24"/>
                <w:szCs w:val="32"/>
                <w:lang w:val="en-US" w:eastAsia="zh-CN"/>
              </w:rPr>
              <w:t>博罗县石湾镇大牛垒生活污水处理厂</w:t>
            </w:r>
            <w:r>
              <w:rPr>
                <w:rFonts w:hint="default" w:ascii="Times New Roman" w:hAnsi="Times New Roman" w:eastAsia="宋体" w:cs="Times New Roman"/>
                <w:color w:val="auto"/>
                <w:sz w:val="24"/>
                <w:szCs w:val="32"/>
                <w:lang w:eastAsia="zh-CN"/>
              </w:rPr>
              <w:t>进一步处理，处理达标后尾水排入</w:t>
            </w:r>
            <w:r>
              <w:rPr>
                <w:rFonts w:hint="eastAsia" w:ascii="Times New Roman" w:hAnsi="Times New Roman" w:eastAsia="宋体" w:cs="Times New Roman"/>
                <w:color w:val="FF0000"/>
                <w:sz w:val="24"/>
                <w:szCs w:val="32"/>
                <w:lang w:val="en-US" w:eastAsia="zh-CN"/>
              </w:rPr>
              <w:t>石湾镇中心排渠，再汇入联和排洪渠</w:t>
            </w:r>
            <w:r>
              <w:rPr>
                <w:rFonts w:hint="default" w:ascii="Times New Roman" w:hAnsi="Times New Roman" w:eastAsia="宋体" w:cs="Times New Roman"/>
                <w:color w:val="FF0000"/>
                <w:sz w:val="24"/>
                <w:szCs w:val="32"/>
                <w:lang w:eastAsia="zh-CN"/>
              </w:rPr>
              <w:t>，最后</w:t>
            </w:r>
            <w:r>
              <w:rPr>
                <w:rFonts w:hint="eastAsia" w:ascii="Times New Roman" w:hAnsi="Times New Roman" w:eastAsia="宋体" w:cs="Times New Roman"/>
                <w:color w:val="FF0000"/>
                <w:sz w:val="24"/>
                <w:szCs w:val="32"/>
                <w:lang w:val="en-US" w:eastAsia="zh-CN"/>
              </w:rPr>
              <w:t>进入</w:t>
            </w:r>
            <w:r>
              <w:rPr>
                <w:rFonts w:hint="eastAsia" w:cs="Times New Roman"/>
                <w:color w:val="FF0000"/>
                <w:sz w:val="24"/>
                <w:szCs w:val="32"/>
                <w:lang w:val="en-US" w:eastAsia="zh-CN"/>
              </w:rPr>
              <w:t>东江</w:t>
            </w:r>
            <w:r>
              <w:rPr>
                <w:rFonts w:hint="default" w:ascii="Times New Roman" w:hAnsi="Times New Roman" w:eastAsia="宋体" w:cs="Times New Roman"/>
                <w:color w:val="auto"/>
                <w:sz w:val="24"/>
                <w:szCs w:val="32"/>
                <w:lang w:eastAsia="zh-CN"/>
              </w:rPr>
              <w:t>，不会对地下水造成影响。因此，项目符合《关于印发惠州市2022年土壤与地下水污染防</w:t>
            </w:r>
          </w:p>
          <w:p>
            <w:pPr>
              <w:autoSpaceDE w:val="0"/>
              <w:autoSpaceDN w:val="0"/>
              <w:adjustRightInd w:val="0"/>
              <w:snapToGrid w:val="0"/>
              <w:jc w:val="both"/>
              <w:rPr>
                <w:rFonts w:hint="default" w:ascii="Times New Roman" w:hAnsi="Times New Roman" w:eastAsia="宋体" w:cs="Times New Roman"/>
                <w:b/>
                <w:bCs/>
                <w:color w:val="auto"/>
                <w:spacing w:val="-4"/>
                <w:sz w:val="24"/>
                <w:lang w:eastAsia="zh-CN"/>
              </w:rPr>
            </w:pPr>
            <w:r>
              <w:rPr>
                <w:rFonts w:hint="default" w:ascii="Times New Roman" w:hAnsi="Times New Roman" w:eastAsia="宋体" w:cs="Times New Roman"/>
                <w:color w:val="auto"/>
                <w:sz w:val="24"/>
                <w:szCs w:val="32"/>
                <w:lang w:eastAsia="zh-CN"/>
              </w:rPr>
              <w:t>治工作方案的通知》（惠市环〔2022〕16号）的要求。</w:t>
            </w:r>
          </w:p>
          <w:p>
            <w:pPr>
              <w:autoSpaceDE w:val="0"/>
              <w:autoSpaceDN w:val="0"/>
              <w:adjustRightInd w:val="0"/>
              <w:snapToGrid w:val="0"/>
              <w:jc w:val="both"/>
              <w:rPr>
                <w:rFonts w:hint="default" w:ascii="Times New Roman" w:hAnsi="Times New Roman" w:eastAsia="宋体" w:cs="Times New Roman"/>
                <w:b/>
                <w:bCs/>
                <w:color w:val="auto"/>
                <w:spacing w:val="-4"/>
                <w:sz w:val="24"/>
                <w:lang w:eastAsia="zh-CN"/>
              </w:rPr>
            </w:pPr>
            <w:r>
              <w:rPr>
                <w:rFonts w:hint="default" w:ascii="Times New Roman" w:hAnsi="Times New Roman" w:eastAsia="宋体" w:cs="Times New Roman"/>
                <w:b/>
                <w:bCs/>
                <w:color w:val="auto"/>
                <w:spacing w:val="-4"/>
                <w:sz w:val="24"/>
                <w:lang w:eastAsia="zh-CN"/>
              </w:rPr>
              <w:br w:type="textWrapping"/>
            </w:r>
            <w:r>
              <w:rPr>
                <w:rFonts w:hint="default" w:ascii="Times New Roman" w:hAnsi="Times New Roman" w:eastAsia="宋体" w:cs="Times New Roman"/>
                <w:b/>
                <w:bCs/>
                <w:color w:val="auto"/>
                <w:spacing w:val="-4"/>
                <w:sz w:val="24"/>
                <w:lang w:eastAsia="zh-CN"/>
              </w:rPr>
              <w:br w:type="textWrapping"/>
            </w:r>
            <w:r>
              <w:rPr>
                <w:rFonts w:hint="default" w:ascii="Times New Roman" w:hAnsi="Times New Roman" w:eastAsia="宋体" w:cs="Times New Roman"/>
                <w:b/>
                <w:bCs/>
                <w:color w:val="auto"/>
                <w:spacing w:val="-4"/>
                <w:sz w:val="24"/>
                <w:lang w:eastAsia="zh-CN"/>
              </w:rPr>
              <w:br w:type="textWrapping"/>
            </w:r>
            <w:r>
              <w:rPr>
                <w:rFonts w:hint="default" w:ascii="Times New Roman" w:hAnsi="Times New Roman" w:eastAsia="宋体" w:cs="Times New Roman"/>
                <w:b/>
                <w:bCs/>
                <w:color w:val="auto"/>
                <w:spacing w:val="-4"/>
                <w:sz w:val="24"/>
                <w:lang w:eastAsia="zh-CN"/>
              </w:rPr>
              <w:br w:type="textWrapping"/>
            </w: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jc w:val="left"/>
              <w:rPr>
                <w:rFonts w:ascii="宋体" w:hAnsi="宋体" w:cs="宋体"/>
                <w:color w:val="auto"/>
                <w:kern w:val="0"/>
                <w:szCs w:val="21"/>
              </w:rPr>
            </w:pPr>
          </w:p>
        </w:tc>
      </w:tr>
    </w:tbl>
    <w:p>
      <w:pPr>
        <w:rPr>
          <w:color w:val="auto"/>
        </w:rPr>
        <w:sectPr>
          <w:footerReference r:id="rId5" w:type="default"/>
          <w:pgSz w:w="11906" w:h="16838"/>
          <w:pgMar w:top="1247" w:right="1077" w:bottom="1247" w:left="1134"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3"/>
        <w:rPr>
          <w:color w:val="auto"/>
        </w:rPr>
      </w:pPr>
      <w:r>
        <w:rPr>
          <w:rFonts w:hint="eastAsia"/>
          <w:color w:val="auto"/>
        </w:rPr>
        <w:t>二、建设项目工程分析</w:t>
      </w:r>
    </w:p>
    <w:tbl>
      <w:tblPr>
        <w:tblStyle w:val="29"/>
        <w:tblW w:w="494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4"/>
        <w:gridCol w:w="92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79" w:hRule="atLeast"/>
          <w:jc w:val="center"/>
        </w:trPr>
        <w:tc>
          <w:tcPr>
            <w:tcW w:w="243" w:type="pct"/>
            <w:noWrap/>
            <w:vAlign w:val="center"/>
          </w:tcPr>
          <w:p>
            <w:pPr>
              <w:pStyle w:val="25"/>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建设</w:t>
            </w:r>
          </w:p>
          <w:p>
            <w:pPr>
              <w:pStyle w:val="25"/>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
                <w:bCs/>
                <w:color w:val="auto"/>
                <w:sz w:val="24"/>
                <w:szCs w:val="24"/>
              </w:rPr>
              <w:t>内容</w:t>
            </w:r>
          </w:p>
        </w:tc>
        <w:tc>
          <w:tcPr>
            <w:tcW w:w="4756" w:type="pct"/>
            <w:noWrap/>
          </w:tcPr>
          <w:p>
            <w:pPr>
              <w:numPr>
                <w:ilvl w:val="0"/>
                <w:numId w:val="0"/>
              </w:numPr>
              <w:adjustRightInd w:val="0"/>
              <w:snapToGrid w:val="0"/>
              <w:ind w:firstLine="482" w:firstLineChars="200"/>
              <w:rPr>
                <w:b/>
                <w:color w:val="auto"/>
                <w:szCs w:val="21"/>
              </w:rPr>
            </w:pPr>
            <w:r>
              <w:rPr>
                <w:rFonts w:hint="eastAsia"/>
                <w:b/>
                <w:color w:val="auto"/>
                <w:szCs w:val="21"/>
                <w:lang w:val="en-US" w:eastAsia="zh-CN"/>
              </w:rPr>
              <w:t>1、</w:t>
            </w:r>
            <w:r>
              <w:rPr>
                <w:rFonts w:hint="eastAsia"/>
                <w:b/>
                <w:color w:val="auto"/>
                <w:szCs w:val="21"/>
              </w:rPr>
              <w:t>项目由来</w:t>
            </w:r>
          </w:p>
          <w:p>
            <w:pPr>
              <w:adjustRightInd w:val="0"/>
              <w:snapToGrid w:val="0"/>
              <w:ind w:firstLine="480" w:firstLineChars="200"/>
              <w:rPr>
                <w:rFonts w:hint="eastAsia"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val="en-US" w:eastAsia="zh-CN"/>
              </w:rPr>
              <w:t>惠州冠联塑胶电子有限公司</w:t>
            </w:r>
            <w:r>
              <w:rPr>
                <w:rFonts w:hint="default" w:ascii="Times New Roman" w:hAnsi="Times New Roman" w:eastAsia="宋体" w:cs="Times New Roman"/>
                <w:color w:val="auto"/>
                <w:highlight w:val="none"/>
                <w:lang w:val="en-US" w:eastAsia="zh-CN"/>
              </w:rPr>
              <w:t>位于广东省惠州市博罗县石湾镇南亚北路，中心</w:t>
            </w:r>
            <w:r>
              <w:rPr>
                <w:rFonts w:hint="eastAsia" w:ascii="Times New Roman" w:hAnsi="Times New Roman" w:cs="Times New Roman"/>
                <w:color w:val="auto"/>
                <w:highlight w:val="none"/>
                <w:lang w:val="en-US" w:eastAsia="zh-CN"/>
              </w:rPr>
              <w:t>地理</w:t>
            </w:r>
            <w:r>
              <w:rPr>
                <w:rFonts w:hint="default" w:ascii="Times New Roman" w:hAnsi="Times New Roman" w:eastAsia="宋体" w:cs="Times New Roman"/>
                <w:color w:val="auto"/>
                <w:highlight w:val="none"/>
                <w:lang w:val="en-US" w:eastAsia="zh-CN"/>
              </w:rPr>
              <w:t>坐标为：</w:t>
            </w:r>
            <w:r>
              <w:rPr>
                <w:rFonts w:hint="default" w:ascii="Times New Roman" w:hAnsi="Times New Roman" w:eastAsia="宋体" w:cs="Times New Roman"/>
                <w:strike w:val="0"/>
                <w:dstrike w:val="0"/>
                <w:color w:val="auto"/>
                <w:highlight w:val="none"/>
                <w:u w:val="none"/>
                <w:lang w:val="en-US" w:eastAsia="zh-CN"/>
              </w:rPr>
              <w:t>E</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11</w:t>
            </w:r>
            <w:r>
              <w:rPr>
                <w:rFonts w:hint="default" w:ascii="Times New Roman" w:hAnsi="Times New Roman" w:cs="Times New Roman"/>
                <w:strike w:val="0"/>
                <w:dstrike w:val="0"/>
                <w:color w:val="auto"/>
                <w:sz w:val="24"/>
                <w:szCs w:val="24"/>
                <w:highlight w:val="none"/>
                <w:u w:val="none"/>
                <w:shd w:val="clear" w:color="auto" w:fill="auto"/>
                <w:lang w:val="en-US" w:eastAsia="zh-CN"/>
              </w:rPr>
              <w:t>3</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cs="Times New Roman"/>
                <w:strike w:val="0"/>
                <w:dstrike w:val="0"/>
                <w:color w:val="auto"/>
                <w:sz w:val="24"/>
                <w:szCs w:val="24"/>
                <w:highlight w:val="none"/>
                <w:u w:val="none"/>
                <w:shd w:val="clear" w:color="auto" w:fill="auto"/>
                <w:lang w:val="en-US" w:eastAsia="zh-CN"/>
              </w:rPr>
              <w:t>53</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sz w:val="24"/>
                <w:szCs w:val="24"/>
                <w:highlight w:val="none"/>
                <w:u w:val="none"/>
                <w:shd w:val="clear" w:color="auto" w:fill="auto"/>
              </w:rPr>
              <w:t xml:space="preserve"> 39.808 </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highlight w:val="none"/>
                <w:u w:val="none"/>
                <w:lang w:val="en-US" w:eastAsia="zh-CN"/>
              </w:rPr>
              <w:t>113.894391°</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cs="Times New Roman"/>
                <w:strike w:val="0"/>
                <w:dstrike w:val="0"/>
                <w:color w:val="auto"/>
                <w:sz w:val="24"/>
                <w:szCs w:val="24"/>
                <w:highlight w:val="none"/>
                <w:u w:val="none"/>
              </w:rPr>
              <w:t>，</w:t>
            </w:r>
            <w:r>
              <w:rPr>
                <w:rFonts w:hint="default" w:ascii="Times New Roman" w:hAnsi="Times New Roman" w:cs="Times New Roman"/>
                <w:strike w:val="0"/>
                <w:dstrike w:val="0"/>
                <w:color w:val="auto"/>
                <w:sz w:val="24"/>
                <w:szCs w:val="24"/>
                <w:highlight w:val="none"/>
                <w:u w:val="none"/>
                <w:lang w:val="en-US" w:eastAsia="zh-CN"/>
              </w:rPr>
              <w:t>N</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23</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eastAsia="宋体" w:cs="Times New Roman"/>
                <w:strike w:val="0"/>
                <w:dstrike w:val="0"/>
                <w:color w:val="auto"/>
                <w:highlight w:val="none"/>
                <w:u w:val="none"/>
                <w:lang w:val="en-US" w:eastAsia="zh-CN"/>
              </w:rPr>
              <w:t>°</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cs="Times New Roman"/>
                <w:strike w:val="0"/>
                <w:dstrike w:val="0"/>
                <w:color w:val="auto"/>
                <w:sz w:val="24"/>
                <w:szCs w:val="24"/>
                <w:highlight w:val="none"/>
                <w:u w:val="none"/>
                <w:shd w:val="clear" w:color="auto" w:fill="auto"/>
                <w:lang w:val="en-US" w:eastAsia="zh-CN"/>
              </w:rPr>
              <w:t>8</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cs="Times New Roman"/>
                <w:strike w:val="0"/>
                <w:dstrike w:val="0"/>
                <w:color w:val="auto"/>
                <w:szCs w:val="21"/>
                <w:highlight w:val="none"/>
                <w:u w:val="none"/>
              </w:rPr>
              <w:t>17.860</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highlight w:val="none"/>
                <w:u w:val="none"/>
                <w:lang w:val="en-US" w:eastAsia="zh-CN"/>
              </w:rPr>
              <w:t>23.138294°），</w:t>
            </w:r>
            <w:r>
              <w:rPr>
                <w:rFonts w:hint="eastAsia"/>
                <w:bCs/>
                <w:color w:val="auto"/>
                <w:kern w:val="0"/>
                <w:szCs w:val="21"/>
                <w:highlight w:val="none"/>
                <w:lang w:val="en-US" w:eastAsia="zh-CN"/>
              </w:rPr>
              <w:t>现有项目</w:t>
            </w:r>
            <w:r>
              <w:rPr>
                <w:rFonts w:hint="default" w:ascii="Times New Roman" w:hAnsi="Times New Roman" w:eastAsia="宋体" w:cs="Times New Roman"/>
                <w:strike w:val="0"/>
                <w:dstrike w:val="0"/>
                <w:color w:val="auto"/>
                <w:highlight w:val="none"/>
                <w:u w:val="none"/>
                <w:lang w:val="en-US" w:eastAsia="zh-CN"/>
              </w:rPr>
              <w:t>主要从事</w:t>
            </w:r>
            <w:r>
              <w:rPr>
                <w:rFonts w:hint="eastAsia" w:ascii="Times New Roman" w:hAnsi="Times New Roman" w:cs="Times New Roman"/>
                <w:strike w:val="0"/>
                <w:dstrike w:val="0"/>
                <w:color w:val="auto"/>
                <w:highlight w:val="none"/>
                <w:u w:val="none"/>
                <w:lang w:val="en-US" w:eastAsia="zh-CN"/>
              </w:rPr>
              <w:t>锂离子</w:t>
            </w:r>
            <w:r>
              <w:rPr>
                <w:rFonts w:hint="default" w:ascii="Times New Roman" w:hAnsi="Times New Roman" w:eastAsia="宋体" w:cs="Times New Roman"/>
                <w:strike w:val="0"/>
                <w:dstrike w:val="0"/>
                <w:color w:val="auto"/>
                <w:highlight w:val="none"/>
                <w:u w:val="none"/>
                <w:lang w:val="en-US" w:eastAsia="zh-CN"/>
              </w:rPr>
              <w:t>电池组（仅组装）、</w:t>
            </w:r>
            <w:r>
              <w:rPr>
                <w:rFonts w:hint="eastAsia" w:ascii="Times New Roman" w:hAnsi="Times New Roman" w:cs="Times New Roman"/>
                <w:strike w:val="0"/>
                <w:dstrike w:val="0"/>
                <w:color w:val="auto"/>
                <w:highlight w:val="none"/>
                <w:u w:val="none"/>
                <w:lang w:val="en-US" w:eastAsia="zh-CN"/>
              </w:rPr>
              <w:t>塑胶壳（</w:t>
            </w:r>
            <w:r>
              <w:rPr>
                <w:rFonts w:hint="eastAsia"/>
                <w:strike w:val="0"/>
                <w:dstrike w:val="0"/>
                <w:color w:val="auto"/>
                <w:highlight w:val="none"/>
                <w:u w:val="none"/>
                <w:lang w:val="en-US" w:eastAsia="zh-CN"/>
              </w:rPr>
              <w:t>应用领域为</w:t>
            </w:r>
            <w:r>
              <w:rPr>
                <w:rFonts w:hint="eastAsia"/>
                <w:bCs/>
                <w:strike w:val="0"/>
                <w:dstrike w:val="0"/>
                <w:color w:val="auto"/>
                <w:kern w:val="0"/>
                <w:szCs w:val="21"/>
                <w:highlight w:val="none"/>
                <w:u w:val="none"/>
              </w:rPr>
              <w:t>锂电池</w:t>
            </w:r>
            <w:r>
              <w:rPr>
                <w:rFonts w:hint="eastAsia"/>
                <w:bCs/>
                <w:strike w:val="0"/>
                <w:dstrike w:val="0"/>
                <w:color w:val="auto"/>
                <w:kern w:val="0"/>
                <w:szCs w:val="21"/>
                <w:highlight w:val="none"/>
                <w:u w:val="none"/>
                <w:lang w:eastAsia="zh-CN"/>
              </w:rPr>
              <w:t>、</w:t>
            </w:r>
            <w:r>
              <w:rPr>
                <w:rFonts w:hint="eastAsia"/>
                <w:bCs/>
                <w:strike w:val="0"/>
                <w:dstrike w:val="0"/>
                <w:color w:val="auto"/>
                <w:kern w:val="0"/>
                <w:szCs w:val="21"/>
                <w:highlight w:val="none"/>
                <w:u w:val="none"/>
              </w:rPr>
              <w:t>智能家居</w:t>
            </w:r>
            <w:r>
              <w:rPr>
                <w:rFonts w:hint="eastAsia"/>
                <w:bCs/>
                <w:strike w:val="0"/>
                <w:dstrike w:val="0"/>
                <w:color w:val="auto"/>
                <w:kern w:val="0"/>
                <w:szCs w:val="21"/>
                <w:highlight w:val="none"/>
                <w:u w:val="none"/>
                <w:lang w:eastAsia="zh-CN"/>
              </w:rPr>
              <w:t>、</w:t>
            </w:r>
            <w:r>
              <w:rPr>
                <w:rFonts w:hint="eastAsia"/>
                <w:bCs/>
                <w:strike w:val="0"/>
                <w:dstrike w:val="0"/>
                <w:color w:val="auto"/>
                <w:kern w:val="0"/>
                <w:szCs w:val="21"/>
                <w:highlight w:val="none"/>
                <w:u w:val="none"/>
              </w:rPr>
              <w:t>音频</w:t>
            </w:r>
            <w:r>
              <w:rPr>
                <w:rFonts w:hint="eastAsia" w:ascii="Times New Roman" w:hAnsi="Times New Roman" w:cs="Times New Roman"/>
                <w:strike w:val="0"/>
                <w:dstrike w:val="0"/>
                <w:color w:val="auto"/>
                <w:highlight w:val="none"/>
                <w:u w:val="none"/>
                <w:lang w:val="en-US" w:eastAsia="zh-CN"/>
              </w:rPr>
              <w:t>）的</w:t>
            </w:r>
            <w:r>
              <w:rPr>
                <w:rFonts w:hint="eastAsia" w:cs="Times New Roman"/>
                <w:strike w:val="0"/>
                <w:dstrike w:val="0"/>
                <w:color w:val="auto"/>
                <w:highlight w:val="none"/>
                <w:u w:val="none"/>
                <w:lang w:val="en-US" w:eastAsia="zh-CN"/>
              </w:rPr>
              <w:t>生产</w:t>
            </w:r>
            <w:r>
              <w:rPr>
                <w:rFonts w:hint="eastAsia"/>
                <w:bCs/>
                <w:strike w:val="0"/>
                <w:dstrike w:val="0"/>
                <w:color w:val="auto"/>
                <w:kern w:val="0"/>
                <w:szCs w:val="21"/>
                <w:highlight w:val="none"/>
                <w:u w:val="none"/>
                <w:lang w:eastAsia="zh-CN"/>
              </w:rPr>
              <w:t>，</w:t>
            </w:r>
            <w:r>
              <w:rPr>
                <w:rFonts w:hint="eastAsia"/>
                <w:color w:val="auto"/>
                <w:sz w:val="24"/>
                <w:highlight w:val="none"/>
              </w:rPr>
              <w:t>于2006年08月01日投产，年产</w:t>
            </w:r>
            <w:r>
              <w:rPr>
                <w:rFonts w:hint="eastAsia"/>
                <w:color w:val="auto"/>
                <w:sz w:val="24"/>
                <w:highlight w:val="none"/>
                <w:lang w:val="en-US" w:eastAsia="zh-CN"/>
              </w:rPr>
              <w:t>塑胶壳</w:t>
            </w:r>
            <w:r>
              <w:rPr>
                <w:rFonts w:hint="eastAsia"/>
                <w:color w:val="auto"/>
                <w:sz w:val="24"/>
                <w:highlight w:val="none"/>
              </w:rPr>
              <w:t>550吨</w:t>
            </w:r>
            <w:r>
              <w:rPr>
                <w:rFonts w:hint="eastAsia"/>
                <w:color w:val="auto"/>
                <w:sz w:val="24"/>
                <w:highlight w:val="none"/>
                <w:lang w:eastAsia="zh-CN"/>
              </w:rPr>
              <w:t>（</w:t>
            </w:r>
            <w:r>
              <w:rPr>
                <w:rFonts w:hint="eastAsia"/>
                <w:color w:val="auto"/>
                <w:sz w:val="24"/>
                <w:highlight w:val="none"/>
                <w:lang w:val="en-US" w:eastAsia="zh-CN"/>
              </w:rPr>
              <w:t>916.6667</w:t>
            </w:r>
            <w:r>
              <w:rPr>
                <w:rFonts w:hint="eastAsia"/>
                <w:color w:val="auto"/>
                <w:sz w:val="24"/>
                <w:highlight w:val="none"/>
                <w:lang w:eastAsia="zh-CN"/>
              </w:rPr>
              <w:t>万个/</w:t>
            </w:r>
            <w:r>
              <w:rPr>
                <w:rFonts w:hint="eastAsia"/>
                <w:color w:val="auto"/>
                <w:sz w:val="24"/>
                <w:highlight w:val="none"/>
                <w:lang w:val="en-US" w:eastAsia="zh-CN"/>
              </w:rPr>
              <w:t>年</w:t>
            </w:r>
            <w:r>
              <w:rPr>
                <w:rFonts w:hint="eastAsia"/>
                <w:color w:val="auto"/>
                <w:sz w:val="24"/>
                <w:highlight w:val="none"/>
                <w:lang w:eastAsia="zh-CN"/>
              </w:rPr>
              <w:t>）</w:t>
            </w:r>
            <w:r>
              <w:rPr>
                <w:rFonts w:hint="eastAsia"/>
                <w:color w:val="auto"/>
                <w:sz w:val="24"/>
                <w:highlight w:val="none"/>
              </w:rPr>
              <w:t>、锂电子电池</w:t>
            </w:r>
            <w:r>
              <w:rPr>
                <w:rFonts w:hint="default" w:ascii="Times New Roman" w:hAnsi="Times New Roman" w:eastAsia="宋体" w:cs="Times New Roman"/>
                <w:color w:val="auto"/>
                <w:highlight w:val="none"/>
                <w:lang w:val="en-US" w:eastAsia="zh-CN"/>
              </w:rPr>
              <w:t>组</w:t>
            </w:r>
            <w:r>
              <w:rPr>
                <w:rFonts w:hint="eastAsia"/>
                <w:color w:val="auto"/>
                <w:sz w:val="24"/>
                <w:highlight w:val="none"/>
              </w:rPr>
              <w:t>5000件</w:t>
            </w:r>
            <w:r>
              <w:rPr>
                <w:rFonts w:hint="eastAsia"/>
                <w:color w:val="auto"/>
                <w:sz w:val="24"/>
                <w:highlight w:val="none"/>
                <w:lang w:eastAsia="zh-CN"/>
              </w:rPr>
              <w:t>（</w:t>
            </w:r>
            <w:r>
              <w:rPr>
                <w:rFonts w:hint="eastAsia"/>
                <w:color w:val="auto"/>
                <w:sz w:val="24"/>
                <w:highlight w:val="none"/>
              </w:rPr>
              <w:t>共4700万Ah</w:t>
            </w:r>
            <w:r>
              <w:rPr>
                <w:rFonts w:hint="eastAsia"/>
                <w:color w:val="auto"/>
                <w:sz w:val="24"/>
                <w:highlight w:val="none"/>
                <w:lang w:eastAsia="zh-CN"/>
              </w:rPr>
              <w:t>）</w:t>
            </w:r>
            <w:r>
              <w:rPr>
                <w:rFonts w:hint="eastAsia"/>
                <w:bCs/>
                <w:color w:val="auto"/>
                <w:kern w:val="0"/>
                <w:szCs w:val="21"/>
                <w:highlight w:val="none"/>
                <w:lang w:val="en-US" w:eastAsia="zh-CN"/>
              </w:rPr>
              <w:t>。</w:t>
            </w:r>
            <w:r>
              <w:rPr>
                <w:rFonts w:hint="default" w:ascii="Times New Roman" w:hAnsi="Times New Roman" w:eastAsia="宋体" w:cs="Times New Roman"/>
                <w:color w:val="auto"/>
                <w:highlight w:val="none"/>
                <w:lang w:val="en-US" w:eastAsia="zh-CN"/>
              </w:rPr>
              <w:t>总投资为</w:t>
            </w:r>
            <w:r>
              <w:rPr>
                <w:rFonts w:hint="eastAsia" w:cs="Times New Roman"/>
                <w:color w:val="auto"/>
                <w:highlight w:val="none"/>
                <w:lang w:val="en-US" w:eastAsia="zh-CN"/>
              </w:rPr>
              <w:t>300</w:t>
            </w:r>
            <w:r>
              <w:rPr>
                <w:rFonts w:hint="default" w:ascii="Times New Roman" w:hAnsi="Times New Roman" w:eastAsia="宋体" w:cs="Times New Roman"/>
                <w:color w:val="auto"/>
                <w:highlight w:val="none"/>
                <w:lang w:val="en-US" w:eastAsia="zh-CN"/>
              </w:rPr>
              <w:t>万元，占地面积为</w:t>
            </w:r>
            <w:r>
              <w:rPr>
                <w:rFonts w:hint="eastAsia" w:cs="Times New Roman"/>
                <w:color w:val="auto"/>
                <w:highlight w:val="none"/>
                <w:lang w:val="en-US" w:eastAsia="zh-CN"/>
              </w:rPr>
              <w:t>3002</w:t>
            </w:r>
            <w:r>
              <w:rPr>
                <w:rFonts w:hint="default" w:ascii="Times New Roman" w:hAnsi="Times New Roman" w:eastAsia="宋体" w:cs="Times New Roman"/>
                <w:color w:val="auto"/>
                <w:highlight w:val="none"/>
                <w:lang w:val="en-US" w:eastAsia="zh-CN"/>
              </w:rPr>
              <w:t>平方米，建筑面积为</w:t>
            </w:r>
            <w:r>
              <w:rPr>
                <w:rFonts w:hint="eastAsia" w:cs="Times New Roman"/>
                <w:color w:val="auto"/>
                <w:highlight w:val="none"/>
                <w:lang w:val="en-US" w:eastAsia="zh-CN"/>
              </w:rPr>
              <w:t xml:space="preserve">6208.79 </w:t>
            </w:r>
            <w:r>
              <w:rPr>
                <w:rFonts w:hint="default" w:ascii="Times New Roman" w:hAnsi="Times New Roman" w:eastAsia="宋体" w:cs="Times New Roman"/>
                <w:color w:val="auto"/>
                <w:highlight w:val="none"/>
                <w:lang w:val="en-US" w:eastAsia="zh-CN"/>
              </w:rPr>
              <w:t>平方米；员工人数</w:t>
            </w:r>
            <w:r>
              <w:rPr>
                <w:rFonts w:hint="eastAsia" w:cs="Times New Roman"/>
                <w:color w:val="auto"/>
                <w:highlight w:val="none"/>
                <w:lang w:val="en-US" w:eastAsia="zh-CN"/>
              </w:rPr>
              <w:t>200</w:t>
            </w:r>
            <w:r>
              <w:rPr>
                <w:rFonts w:hint="default" w:ascii="Times New Roman" w:hAnsi="Times New Roman" w:eastAsia="宋体" w:cs="Times New Roman"/>
                <w:color w:val="auto"/>
                <w:highlight w:val="none"/>
                <w:lang w:val="en-US" w:eastAsia="zh-CN"/>
              </w:rPr>
              <w:t>人，</w:t>
            </w:r>
            <w:r>
              <w:rPr>
                <w:rFonts w:hint="eastAsia" w:cs="Times New Roman"/>
                <w:color w:val="auto"/>
                <w:highlight w:val="none"/>
                <w:lang w:val="en-US" w:eastAsia="zh-CN"/>
              </w:rPr>
              <w:t>均在厂区内食宿，</w:t>
            </w:r>
            <w:r>
              <w:rPr>
                <w:rFonts w:hint="eastAsia" w:ascii="Times New Roman" w:hAnsi="Times New Roman" w:eastAsia="宋体" w:cs="Times New Roman"/>
                <w:color w:val="auto"/>
                <w:highlight w:val="none"/>
                <w:lang w:val="en-US" w:eastAsia="zh-CN"/>
              </w:rPr>
              <w:t>8小时</w:t>
            </w:r>
            <w:r>
              <w:rPr>
                <w:rFonts w:hint="eastAsia"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班制，全年生产300天。</w:t>
            </w:r>
          </w:p>
          <w:p>
            <w:pPr>
              <w:adjustRightInd w:val="0"/>
              <w:snapToGrid w:val="0"/>
              <w:ind w:firstLine="480" w:firstLineChars="200"/>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惠州冠联塑胶电子有限公司于</w:t>
            </w:r>
            <w:r>
              <w:rPr>
                <w:rFonts w:hint="eastAsia" w:cs="Times New Roman"/>
                <w:bCs/>
                <w:color w:val="auto"/>
                <w:szCs w:val="21"/>
                <w:highlight w:val="none"/>
                <w:lang w:val="en-US" w:eastAsia="zh-CN"/>
              </w:rPr>
              <w:t>2006</w:t>
            </w:r>
            <w:r>
              <w:rPr>
                <w:rFonts w:hint="eastAsia" w:ascii="Times New Roman" w:hAnsi="Times New Roman" w:eastAsia="宋体" w:cs="Times New Roman"/>
                <w:bCs/>
                <w:color w:val="auto"/>
                <w:szCs w:val="21"/>
                <w:highlight w:val="none"/>
                <w:lang w:val="en-US" w:eastAsia="zh-CN"/>
              </w:rPr>
              <w:t>年</w:t>
            </w:r>
            <w:r>
              <w:rPr>
                <w:rFonts w:hint="eastAsia" w:cs="Times New Roman"/>
                <w:bCs/>
                <w:color w:val="auto"/>
                <w:szCs w:val="21"/>
                <w:highlight w:val="none"/>
                <w:lang w:val="en-US" w:eastAsia="zh-CN"/>
              </w:rPr>
              <w:t>6</w:t>
            </w:r>
            <w:r>
              <w:rPr>
                <w:rFonts w:hint="eastAsia" w:ascii="Times New Roman" w:hAnsi="Times New Roman" w:eastAsia="宋体" w:cs="Times New Roman"/>
                <w:bCs/>
                <w:color w:val="auto"/>
                <w:szCs w:val="21"/>
                <w:highlight w:val="none"/>
                <w:lang w:val="en-US" w:eastAsia="zh-CN"/>
              </w:rPr>
              <w:t>月</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博罗县环境科学研究所</w:t>
            </w:r>
            <w:r>
              <w:rPr>
                <w:rFonts w:hint="default" w:ascii="Times New Roman" w:hAnsi="Times New Roman" w:eastAsia="宋体" w:cs="Times New Roman"/>
                <w:color w:val="auto"/>
                <w:highlight w:val="none"/>
                <w:lang w:val="en-US" w:eastAsia="zh-CN"/>
              </w:rPr>
              <w:t>编制了《</w:t>
            </w:r>
            <w:r>
              <w:rPr>
                <w:rFonts w:hint="eastAsia" w:ascii="Times New Roman" w:hAnsi="Times New Roman" w:eastAsia="宋体" w:cs="Times New Roman"/>
                <w:bCs/>
                <w:color w:val="auto"/>
                <w:szCs w:val="21"/>
                <w:highlight w:val="none"/>
                <w:lang w:val="en-US" w:eastAsia="zh-CN"/>
              </w:rPr>
              <w:t>惠州冠联塑胶电子有限公司</w:t>
            </w:r>
            <w:r>
              <w:rPr>
                <w:rFonts w:hint="default" w:ascii="Times New Roman" w:hAnsi="Times New Roman" w:eastAsia="宋体" w:cs="Times New Roman"/>
                <w:color w:val="auto"/>
                <w:highlight w:val="none"/>
                <w:lang w:val="en-US" w:eastAsia="zh-CN"/>
              </w:rPr>
              <w:t>环境影响报告表》，于</w:t>
            </w:r>
            <w:r>
              <w:rPr>
                <w:rFonts w:hint="eastAsia" w:cs="Times New Roman"/>
                <w:color w:val="auto"/>
                <w:highlight w:val="none"/>
                <w:lang w:val="en-US" w:eastAsia="zh-CN"/>
              </w:rPr>
              <w:t>2006</w:t>
            </w:r>
            <w:r>
              <w:rPr>
                <w:rFonts w:hint="default" w:ascii="Times New Roman" w:hAnsi="Times New Roman" w:eastAsia="宋体" w:cs="Times New Roman"/>
                <w:color w:val="auto"/>
                <w:highlight w:val="none"/>
                <w:lang w:val="en-US" w:eastAsia="zh-CN"/>
              </w:rPr>
              <w:t>年</w:t>
            </w:r>
            <w:r>
              <w:rPr>
                <w:rFonts w:hint="eastAsia" w:cs="Times New Roman"/>
                <w:color w:val="auto"/>
                <w:highlight w:val="none"/>
                <w:lang w:val="en-US" w:eastAsia="zh-CN"/>
              </w:rPr>
              <w:t>7</w:t>
            </w:r>
            <w:r>
              <w:rPr>
                <w:rFonts w:hint="default" w:ascii="Times New Roman" w:hAnsi="Times New Roman" w:eastAsia="宋体" w:cs="Times New Roman"/>
                <w:color w:val="auto"/>
                <w:highlight w:val="none"/>
                <w:lang w:val="en-US" w:eastAsia="zh-CN"/>
              </w:rPr>
              <w:t>月</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val="en-US" w:eastAsia="zh-CN"/>
              </w:rPr>
              <w:t>日取</w:t>
            </w:r>
            <w:r>
              <w:rPr>
                <w:rFonts w:hint="eastAsia" w:cs="Times New Roman"/>
                <w:color w:val="auto"/>
                <w:highlight w:val="none"/>
                <w:lang w:val="en-US" w:eastAsia="zh-CN"/>
              </w:rPr>
              <w:t>得惠州市生态环境局博罗分局</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关于</w:t>
            </w:r>
            <w:r>
              <w:rPr>
                <w:rFonts w:hint="eastAsia"/>
                <w:bCs/>
                <w:color w:val="auto"/>
                <w:sz w:val="24"/>
                <w:highlight w:val="none"/>
                <w:u w:val="none"/>
                <w:shd w:val="clear" w:color="auto" w:fill="auto"/>
              </w:rPr>
              <w:t>惠州冠联塑胶电子有限公司</w:t>
            </w:r>
            <w:r>
              <w:rPr>
                <w:rFonts w:hint="eastAsia"/>
                <w:bCs/>
                <w:color w:val="auto"/>
                <w:sz w:val="24"/>
                <w:highlight w:val="none"/>
                <w:u w:val="none"/>
                <w:shd w:val="clear" w:color="auto" w:fill="auto"/>
                <w:lang w:val="en-US" w:eastAsia="zh-CN"/>
              </w:rPr>
              <w:t>环境影响报告表审批意见的函</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博环建〔2006〕123号</w:t>
            </w:r>
            <w:r>
              <w:rPr>
                <w:rFonts w:hint="default" w:ascii="Times New Roman" w:hAnsi="Times New Roman" w:eastAsia="宋体" w:cs="Times New Roman"/>
                <w:color w:val="auto"/>
                <w:highlight w:val="none"/>
                <w:lang w:val="en-US" w:eastAsia="zh-CN"/>
              </w:rPr>
              <w:t>，见附件</w:t>
            </w:r>
            <w:r>
              <w:rPr>
                <w:rFonts w:hint="eastAsia" w:cs="Times New Roman"/>
                <w:color w:val="auto"/>
                <w:highlight w:val="none"/>
                <w:lang w:val="en-US" w:eastAsia="zh-CN"/>
              </w:rPr>
              <w:t>4</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rPr>
              <w:t>20</w:t>
            </w:r>
            <w:r>
              <w:rPr>
                <w:rFonts w:hint="eastAsia" w:cs="Times New Roman"/>
                <w:color w:val="auto"/>
                <w:sz w:val="24"/>
                <w:szCs w:val="24"/>
                <w:highlight w:val="none"/>
                <w:lang w:val="en-US" w:eastAsia="zh-CN"/>
              </w:rPr>
              <w:t>07</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18日</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博罗县环境保护监测站</w:t>
            </w:r>
            <w:r>
              <w:rPr>
                <w:rFonts w:hint="default" w:ascii="Times New Roman" w:hAnsi="Times New Roman" w:eastAsia="宋体" w:cs="Times New Roman"/>
                <w:color w:val="auto"/>
                <w:highlight w:val="none"/>
                <w:lang w:val="en-US" w:eastAsia="zh-CN"/>
              </w:rPr>
              <w:t>编制了《</w:t>
            </w:r>
            <w:r>
              <w:rPr>
                <w:rFonts w:hint="eastAsia"/>
                <w:color w:val="auto"/>
                <w:highlight w:val="none"/>
              </w:rPr>
              <w:t>惠州冠联塑胶电子有限公司</w:t>
            </w:r>
            <w:r>
              <w:rPr>
                <w:rFonts w:hint="eastAsia"/>
                <w:color w:val="auto"/>
                <w:highlight w:val="none"/>
                <w:lang w:val="en-US" w:eastAsia="zh-CN"/>
              </w:rPr>
              <w:t>建设项目竣工环境保护验收监测表</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lang w:val="en-US" w:eastAsia="zh-CN"/>
              </w:rPr>
              <w:t>（</w:t>
            </w:r>
            <w:r>
              <w:rPr>
                <w:rFonts w:hint="eastAsia"/>
                <w:color w:val="auto"/>
                <w:highlight w:val="none"/>
                <w:lang w:val="en-US" w:eastAsia="zh-CN"/>
              </w:rPr>
              <w:t>博环监验字（2007）第035号</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详见附件5）</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于2020年</w:t>
            </w:r>
            <w:r>
              <w:rPr>
                <w:rFonts w:hint="eastAsia"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val="en-US" w:eastAsia="zh-CN"/>
              </w:rPr>
              <w:t>月取得</w:t>
            </w:r>
            <w:r>
              <w:rPr>
                <w:rFonts w:hint="eastAsia" w:cs="Times New Roman"/>
                <w:color w:val="auto"/>
                <w:sz w:val="24"/>
                <w:szCs w:val="24"/>
                <w:highlight w:val="none"/>
                <w:lang w:val="en-US" w:eastAsia="zh-CN"/>
              </w:rPr>
              <w:t>国家排污许可证</w:t>
            </w:r>
            <w:r>
              <w:rPr>
                <w:rFonts w:hint="default" w:ascii="Times New Roman" w:hAnsi="Times New Roman" w:eastAsia="宋体" w:cs="Times New Roman"/>
                <w:color w:val="auto"/>
                <w:sz w:val="24"/>
                <w:szCs w:val="24"/>
                <w:highlight w:val="none"/>
              </w:rPr>
              <w:t>（编号：</w:t>
            </w:r>
            <w:r>
              <w:rPr>
                <w:rFonts w:hint="eastAsia"/>
                <w:bCs/>
                <w:color w:val="auto"/>
                <w:sz w:val="24"/>
                <w:highlight w:val="none"/>
                <w:u w:val="none"/>
                <w:shd w:val="clear" w:color="auto" w:fill="auto"/>
                <w:lang w:val="en-US" w:eastAsia="zh-CN"/>
              </w:rPr>
              <w:t>91441322789499071R001X</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w:t>
            </w:r>
          </w:p>
          <w:p>
            <w:pPr>
              <w:pStyle w:val="14"/>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为提高产品的质量和市场竞争力，满足市场需求，促进公司发展，建设单位拟</w:t>
            </w:r>
            <w:r>
              <w:rPr>
                <w:rFonts w:hint="eastAsia" w:ascii="Times New Roman" w:hAnsi="Times New Roman" w:eastAsia="宋体" w:cs="Times New Roman"/>
                <w:color w:val="auto"/>
                <w:kern w:val="2"/>
                <w:sz w:val="24"/>
                <w:szCs w:val="24"/>
                <w:highlight w:val="none"/>
                <w:lang w:val="en-US" w:eastAsia="zh-CN" w:bidi="ar-SA"/>
              </w:rPr>
              <w:t>投资</w:t>
            </w:r>
            <w:r>
              <w:rPr>
                <w:rFonts w:hint="eastAsia" w:cs="Times New Roman"/>
                <w:color w:val="auto"/>
                <w:kern w:val="2"/>
                <w:sz w:val="24"/>
                <w:szCs w:val="24"/>
                <w:highlight w:val="none"/>
                <w:lang w:val="en-US" w:eastAsia="zh-CN" w:bidi="ar-SA"/>
              </w:rPr>
              <w:t>745.6万元</w:t>
            </w:r>
            <w:r>
              <w:rPr>
                <w:rFonts w:hint="eastAsia" w:ascii="Times New Roman" w:hAnsi="Times New Roman" w:eastAsia="宋体" w:cs="Times New Roman"/>
                <w:color w:val="auto"/>
                <w:kern w:val="2"/>
                <w:sz w:val="24"/>
                <w:szCs w:val="24"/>
                <w:highlight w:val="none"/>
                <w:lang w:val="en-US" w:eastAsia="zh-CN" w:bidi="ar-SA"/>
              </w:rPr>
              <w:t>建设“</w:t>
            </w:r>
            <w:r>
              <w:rPr>
                <w:rFonts w:hint="eastAsia" w:cs="Times New Roman"/>
                <w:color w:val="auto"/>
                <w:kern w:val="2"/>
                <w:sz w:val="24"/>
                <w:szCs w:val="24"/>
                <w:highlight w:val="none"/>
                <w:lang w:val="en-US" w:eastAsia="zh-CN" w:bidi="ar-SA"/>
              </w:rPr>
              <w:t>惠州冠联塑胶电子有限公司扩建项目</w:t>
            </w:r>
            <w:r>
              <w:rPr>
                <w:rFonts w:hint="eastAsia" w:ascii="Times New Roman" w:hAnsi="Times New Roman" w:eastAsia="宋体" w:cs="Times New Roman"/>
                <w:color w:val="auto"/>
                <w:kern w:val="2"/>
                <w:sz w:val="24"/>
                <w:szCs w:val="24"/>
                <w:highlight w:val="none"/>
                <w:lang w:val="en-US" w:eastAsia="zh-CN" w:bidi="ar-SA"/>
              </w:rPr>
              <w:t>”（以下简称“本项目”或“</w:t>
            </w:r>
            <w:r>
              <w:rPr>
                <w:rFonts w:hint="eastAsia" w:cs="Times New Roman"/>
                <w:color w:val="auto"/>
                <w:kern w:val="2"/>
                <w:sz w:val="24"/>
                <w:szCs w:val="24"/>
                <w:highlight w:val="none"/>
                <w:lang w:val="en-US" w:eastAsia="zh-CN" w:bidi="ar-SA"/>
              </w:rPr>
              <w:t>扩建</w:t>
            </w:r>
            <w:r>
              <w:rPr>
                <w:rFonts w:hint="eastAsia" w:ascii="Times New Roman" w:hAnsi="Times New Roman" w:eastAsia="宋体" w:cs="Times New Roman"/>
                <w:color w:val="auto"/>
                <w:kern w:val="2"/>
                <w:sz w:val="24"/>
                <w:szCs w:val="24"/>
                <w:highlight w:val="none"/>
                <w:lang w:val="en-US" w:eastAsia="zh-CN" w:bidi="ar-SA"/>
              </w:rPr>
              <w:t>项目”）</w:t>
            </w:r>
            <w:r>
              <w:rPr>
                <w:rFonts w:hint="default" w:ascii="Times New Roman" w:hAnsi="Times New Roman" w:eastAsia="宋体" w:cs="Times New Roman"/>
                <w:color w:val="auto"/>
                <w:kern w:val="2"/>
                <w:sz w:val="24"/>
                <w:szCs w:val="24"/>
                <w:highlight w:val="none"/>
                <w:lang w:val="en-US" w:eastAsia="zh-CN" w:bidi="ar-SA"/>
              </w:rPr>
              <w:t>。</w:t>
            </w:r>
            <w:r>
              <w:rPr>
                <w:rFonts w:hint="eastAsia" w:cs="Times New Roman"/>
                <w:color w:val="auto"/>
                <w:kern w:val="2"/>
                <w:sz w:val="24"/>
                <w:szCs w:val="24"/>
                <w:highlight w:val="none"/>
                <w:lang w:val="en-US" w:eastAsia="zh-CN" w:bidi="ar-SA"/>
              </w:rPr>
              <w:t>本次在</w:t>
            </w:r>
            <w:r>
              <w:rPr>
                <w:rFonts w:hint="eastAsia" w:cs="Times New Roman"/>
                <w:color w:val="FF0000"/>
                <w:kern w:val="2"/>
                <w:sz w:val="24"/>
                <w:szCs w:val="24"/>
                <w:highlight w:val="none"/>
                <w:lang w:val="en-US" w:eastAsia="zh-CN" w:bidi="ar-SA"/>
              </w:rPr>
              <w:t>现有厂房1F</w:t>
            </w:r>
            <w:r>
              <w:rPr>
                <w:rFonts w:hint="eastAsia" w:cs="Times New Roman"/>
                <w:color w:val="auto"/>
                <w:kern w:val="2"/>
                <w:sz w:val="24"/>
                <w:szCs w:val="24"/>
                <w:highlight w:val="none"/>
                <w:lang w:val="en-US" w:eastAsia="zh-CN" w:bidi="ar-SA"/>
              </w:rPr>
              <w:t>内增加注塑机，</w:t>
            </w:r>
            <w:r>
              <w:rPr>
                <w:rFonts w:hint="eastAsia" w:cs="Times New Roman"/>
                <w:color w:val="FF0000"/>
                <w:kern w:val="2"/>
                <w:sz w:val="24"/>
                <w:szCs w:val="24"/>
                <w:highlight w:val="none"/>
                <w:lang w:val="en-US" w:eastAsia="zh-CN" w:bidi="ar-SA"/>
              </w:rPr>
              <w:t>在3F增加</w:t>
            </w:r>
            <w:r>
              <w:rPr>
                <w:rFonts w:hint="eastAsia" w:cs="Times New Roman"/>
                <w:color w:val="auto"/>
                <w:kern w:val="2"/>
                <w:sz w:val="24"/>
                <w:szCs w:val="24"/>
                <w:highlight w:val="none"/>
                <w:lang w:val="en-US" w:eastAsia="zh-CN" w:bidi="ar-SA"/>
              </w:rPr>
              <w:t>喷漆房、丝印机及移印机、烘烤线，并新增一个模具制作车间（</w:t>
            </w:r>
            <w:r>
              <w:rPr>
                <w:rFonts w:hint="eastAsia" w:cs="Times New Roman"/>
                <w:color w:val="auto"/>
                <w:kern w:val="2"/>
                <w:sz w:val="24"/>
                <w:szCs w:val="24"/>
                <w:highlight w:val="magenta"/>
                <w:lang w:val="en-US" w:eastAsia="zh-CN" w:bidi="ar-SA"/>
              </w:rPr>
              <w:t>租赁位于本项目东面一栋厂房一楼的一半作为模具制作车间，该厂房属于博罗县石湾镇里波水村里波水股份经济合作社，</w:t>
            </w:r>
            <w:r>
              <w:rPr>
                <w:rFonts w:hint="eastAsia" w:cs="Times New Roman"/>
                <w:color w:val="auto"/>
                <w:kern w:val="2"/>
                <w:sz w:val="24"/>
                <w:szCs w:val="24"/>
                <w:highlight w:val="none"/>
                <w:lang w:val="en-US" w:eastAsia="zh-CN" w:bidi="ar-SA"/>
              </w:rPr>
              <w:t>占地面积625</w:t>
            </w:r>
            <w:r>
              <w:rPr>
                <w:rFonts w:hint="default" w:ascii="Times New Roman" w:hAnsi="Times New Roman" w:eastAsia="宋体" w:cs="Times New Roman"/>
                <w:color w:val="auto"/>
                <w:highlight w:val="none"/>
                <w:lang w:val="en-US" w:eastAsia="zh-CN"/>
              </w:rPr>
              <w:t>平方米</w:t>
            </w:r>
            <w:r>
              <w:rPr>
                <w:rFonts w:hint="eastAsia" w:cs="Times New Roman"/>
                <w:color w:val="auto"/>
                <w:kern w:val="2"/>
                <w:sz w:val="24"/>
                <w:szCs w:val="24"/>
                <w:highlight w:val="none"/>
                <w:lang w:val="en-US" w:eastAsia="zh-CN" w:bidi="ar-SA"/>
              </w:rPr>
              <w:t>，建筑面积625</w:t>
            </w:r>
            <w:r>
              <w:rPr>
                <w:rFonts w:hint="default" w:ascii="Times New Roman" w:hAnsi="Times New Roman" w:eastAsia="宋体" w:cs="Times New Roman"/>
                <w:color w:val="auto"/>
                <w:highlight w:val="none"/>
                <w:lang w:val="en-US" w:eastAsia="zh-CN"/>
              </w:rPr>
              <w:t>平方米</w:t>
            </w:r>
            <w:r>
              <w:rPr>
                <w:rFonts w:hint="eastAsia" w:cs="Times New Roman"/>
                <w:color w:val="auto"/>
                <w:kern w:val="2"/>
                <w:sz w:val="24"/>
                <w:szCs w:val="24"/>
                <w:highlight w:val="none"/>
                <w:lang w:val="en-US" w:eastAsia="zh-CN" w:bidi="ar-SA"/>
              </w:rPr>
              <w:t>），扩建项目员工在现有项目人数中调配，不新增员工。</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cs="Times New Roman"/>
                <w:color w:val="auto"/>
                <w:sz w:val="24"/>
                <w:szCs w:val="24"/>
                <w:highlight w:val="none"/>
                <w:shd w:val="clear" w:color="auto" w:fill="auto"/>
                <w:lang w:val="en-US" w:eastAsia="zh-CN"/>
              </w:rPr>
            </w:pPr>
            <w:r>
              <w:rPr>
                <w:rFonts w:hint="eastAsia" w:cs="Times New Roman"/>
                <w:color w:val="auto"/>
                <w:sz w:val="24"/>
                <w:szCs w:val="24"/>
                <w:highlight w:val="none"/>
                <w:shd w:val="clear" w:color="auto" w:fill="auto"/>
                <w:lang w:val="en-US" w:eastAsia="zh-CN"/>
              </w:rPr>
              <w:t>本次扩建内容如下：</w:t>
            </w:r>
          </w:p>
          <w:p>
            <w:pPr>
              <w:pStyle w:val="42"/>
              <w:keepNext w:val="0"/>
              <w:keepLines w:val="0"/>
              <w:pageBreakBefore w:val="0"/>
              <w:widowControl w:val="0"/>
              <w:kinsoku/>
              <w:wordWrap/>
              <w:overflowPunct/>
              <w:topLinePunct w:val="0"/>
              <w:bidi w:val="0"/>
              <w:ind w:firstLine="480" w:firstLineChars="200"/>
              <w:textAlignment w:val="auto"/>
              <w:rPr>
                <w:rFonts w:hint="default" w:ascii="Times New Roman" w:eastAsia="宋体" w:cs="Times New Roman"/>
                <w:color w:val="auto"/>
                <w:kern w:val="2"/>
                <w:sz w:val="24"/>
                <w:szCs w:val="24"/>
                <w:highlight w:val="none"/>
                <w:shd w:val="clear" w:color="auto" w:fill="auto"/>
                <w:lang w:val="en-US" w:eastAsia="zh-CN" w:bidi="ar-SA"/>
              </w:rPr>
            </w:pPr>
            <w:r>
              <w:rPr>
                <w:rFonts w:hint="default" w:ascii="Times New Roman" w:hAnsi="Times New Roman" w:eastAsia="宋体" w:cs="Times New Roman"/>
                <w:color w:val="auto"/>
                <w:kern w:val="2"/>
                <w:sz w:val="24"/>
                <w:szCs w:val="24"/>
                <w:highlight w:val="none"/>
                <w:shd w:val="clear" w:color="auto" w:fill="auto"/>
                <w:lang w:val="en-US" w:eastAsia="zh-CN" w:bidi="ar-SA"/>
              </w:rPr>
              <w:t>①</w:t>
            </w:r>
            <w:r>
              <w:rPr>
                <w:rFonts w:hint="eastAsia" w:ascii="Times New Roman" w:eastAsia="宋体" w:cs="Times New Roman"/>
                <w:color w:val="auto"/>
                <w:kern w:val="2"/>
                <w:sz w:val="24"/>
                <w:szCs w:val="24"/>
                <w:highlight w:val="none"/>
                <w:shd w:val="clear" w:color="auto" w:fill="auto"/>
                <w:lang w:val="en-US" w:eastAsia="zh-CN" w:bidi="ar-SA"/>
              </w:rPr>
              <w:t>增产塑胶壳</w:t>
            </w:r>
            <w:r>
              <w:rPr>
                <w:rFonts w:hint="eastAsia" w:ascii="Times New Roman" w:eastAsia="宋体" w:cs="Times New Roman"/>
                <w:color w:val="FF0000"/>
                <w:kern w:val="2"/>
                <w:sz w:val="24"/>
                <w:szCs w:val="24"/>
                <w:highlight w:val="none"/>
                <w:shd w:val="clear" w:color="auto" w:fill="auto"/>
                <w:lang w:val="en-US" w:eastAsia="zh-CN" w:bidi="ar-SA"/>
              </w:rPr>
              <w:t>1916.85万个/a</w:t>
            </w:r>
            <w:r>
              <w:rPr>
                <w:rFonts w:hint="eastAsia" w:ascii="Times New Roman" w:eastAsia="宋体" w:cs="Times New Roman"/>
                <w:color w:val="auto"/>
                <w:kern w:val="2"/>
                <w:sz w:val="24"/>
                <w:szCs w:val="24"/>
                <w:highlight w:val="none"/>
                <w:shd w:val="clear" w:color="auto" w:fill="auto"/>
                <w:lang w:val="en-US" w:eastAsia="zh-CN" w:bidi="ar-SA"/>
              </w:rPr>
              <w:t>（其中需喷漆的塑胶29万个/a，需丝印的塑胶46万个/a），五金模具100套/a</w:t>
            </w:r>
            <w:r>
              <w:rPr>
                <w:rFonts w:hint="eastAsia" w:ascii="Times New Roman" w:eastAsia="宋体" w:cs="Times New Roman"/>
                <w:color w:val="auto"/>
                <w:kern w:val="2"/>
                <w:sz w:val="24"/>
                <w:szCs w:val="24"/>
                <w:highlight w:val="magenta"/>
                <w:shd w:val="clear" w:color="auto" w:fill="auto"/>
                <w:lang w:val="en-US" w:eastAsia="zh-CN" w:bidi="ar-SA"/>
              </w:rPr>
              <w:t>（外售）</w:t>
            </w:r>
            <w:r>
              <w:rPr>
                <w:rFonts w:hint="eastAsia" w:ascii="Times New Roman" w:eastAsia="宋体" w:cs="Times New Roman"/>
                <w:color w:val="auto"/>
                <w:kern w:val="2"/>
                <w:sz w:val="24"/>
                <w:szCs w:val="24"/>
                <w:highlight w:val="none"/>
                <w:shd w:val="clear" w:color="auto" w:fill="auto"/>
                <w:lang w:val="en-US" w:eastAsia="zh-CN" w:bidi="ar-SA"/>
              </w:rPr>
              <w:t>。</w:t>
            </w:r>
          </w:p>
          <w:p>
            <w:pPr>
              <w:pStyle w:val="42"/>
              <w:keepNext w:val="0"/>
              <w:keepLines w:val="0"/>
              <w:pageBreakBefore w:val="0"/>
              <w:widowControl w:val="0"/>
              <w:kinsoku/>
              <w:wordWrap/>
              <w:overflowPunct/>
              <w:topLinePunct w:val="0"/>
              <w:bidi w:val="0"/>
              <w:ind w:firstLine="480" w:firstLineChars="200"/>
              <w:textAlignment w:val="auto"/>
              <w:rPr>
                <w:rFonts w:hint="default" w:ascii="Times New Roman" w:hAnsi="Times New Roman" w:eastAsia="宋体" w:cs="Times New Roman"/>
                <w:color w:val="auto"/>
                <w:kern w:val="2"/>
                <w:sz w:val="24"/>
                <w:szCs w:val="24"/>
                <w:highlight w:val="none"/>
                <w:shd w:val="clear" w:color="auto" w:fill="auto"/>
                <w:lang w:val="en-US" w:eastAsia="zh-CN" w:bidi="ar-SA"/>
              </w:rPr>
            </w:pPr>
            <w:r>
              <w:rPr>
                <w:rFonts w:hint="default" w:ascii="Times New Roman" w:hAnsi="Times New Roman" w:eastAsia="宋体" w:cs="Times New Roman"/>
                <w:color w:val="auto"/>
                <w:kern w:val="2"/>
                <w:sz w:val="24"/>
                <w:szCs w:val="24"/>
                <w:highlight w:val="none"/>
                <w:shd w:val="clear" w:color="auto" w:fill="auto"/>
                <w:lang w:val="en-US" w:eastAsia="zh-CN" w:bidi="ar-SA"/>
              </w:rPr>
              <w:t>②</w:t>
            </w:r>
            <w:r>
              <w:rPr>
                <w:rFonts w:hint="eastAsia" w:ascii="Times New Roman" w:eastAsia="宋体" w:cs="Times New Roman"/>
                <w:color w:val="auto"/>
                <w:kern w:val="2"/>
                <w:sz w:val="24"/>
                <w:szCs w:val="24"/>
                <w:highlight w:val="none"/>
                <w:shd w:val="clear" w:color="auto" w:fill="auto"/>
                <w:lang w:val="en-US" w:eastAsia="zh-CN" w:bidi="ar-SA"/>
              </w:rPr>
              <w:t>本次扩建新增喷漆及烘烤、丝印及烘烤工艺、五金模具制作工艺。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8"/>
                <w:kern w:val="0"/>
                <w:sz w:val="24"/>
                <w:szCs w:val="24"/>
                <w:highlight w:val="none"/>
                <w:shd w:val="clear" w:color="auto" w:fill="auto"/>
                <w:lang w:val="en-US" w:eastAsia="zh-CN" w:bidi="ar-SA"/>
              </w:rPr>
            </w:pPr>
            <w:r>
              <w:rPr>
                <w:rFonts w:hint="eastAsia" w:ascii="Times New Roman" w:hAnsi="Times New Roman" w:eastAsia="宋体" w:cs="Times New Roman"/>
                <w:color w:val="auto"/>
                <w:kern w:val="2"/>
                <w:sz w:val="24"/>
                <w:szCs w:val="24"/>
                <w:highlight w:val="none"/>
                <w:shd w:val="clear" w:color="auto" w:fill="auto"/>
                <w:lang w:val="en-US" w:eastAsia="zh-CN" w:bidi="ar-SA"/>
              </w:rPr>
              <w:t>扩建</w:t>
            </w:r>
            <w:r>
              <w:rPr>
                <w:rFonts w:hint="default" w:ascii="Times New Roman" w:hAnsi="Times New Roman" w:eastAsia="宋体" w:cs="Times New Roman"/>
                <w:color w:val="auto"/>
                <w:kern w:val="2"/>
                <w:sz w:val="24"/>
                <w:szCs w:val="24"/>
                <w:highlight w:val="none"/>
                <w:shd w:val="clear" w:color="auto" w:fill="auto"/>
                <w:lang w:val="en-US" w:eastAsia="zh-CN" w:bidi="ar-SA"/>
              </w:rPr>
              <w:t>完成后，项目总占地面积</w:t>
            </w:r>
            <w:r>
              <w:rPr>
                <w:rFonts w:hint="eastAsia" w:cs="Times New Roman"/>
                <w:color w:val="auto"/>
                <w:kern w:val="2"/>
                <w:sz w:val="24"/>
                <w:szCs w:val="24"/>
                <w:highlight w:val="none"/>
                <w:shd w:val="clear" w:color="auto" w:fill="auto"/>
                <w:lang w:val="en-US" w:eastAsia="zh-CN" w:bidi="ar-SA"/>
              </w:rPr>
              <w:t>3627</w:t>
            </w:r>
            <w:r>
              <w:rPr>
                <w:rFonts w:hint="default" w:ascii="Times New Roman" w:hAnsi="Times New Roman" w:eastAsia="宋体" w:cs="Times New Roman"/>
                <w:color w:val="auto"/>
                <w:kern w:val="2"/>
                <w:sz w:val="24"/>
                <w:szCs w:val="24"/>
                <w:highlight w:val="none"/>
                <w:shd w:val="clear" w:color="auto" w:fill="auto"/>
                <w:lang w:val="en-US" w:eastAsia="zh-CN" w:bidi="ar-SA"/>
              </w:rPr>
              <w:t>平方米，建筑面积</w:t>
            </w:r>
            <w:r>
              <w:rPr>
                <w:rFonts w:hint="eastAsia" w:cs="Times New Roman"/>
                <w:color w:val="auto"/>
                <w:kern w:val="2"/>
                <w:sz w:val="24"/>
                <w:szCs w:val="24"/>
                <w:highlight w:val="none"/>
                <w:shd w:val="clear" w:color="auto" w:fill="auto"/>
                <w:lang w:val="en-US" w:eastAsia="zh-CN" w:bidi="ar-SA"/>
              </w:rPr>
              <w:t>6833</w:t>
            </w:r>
            <w:r>
              <w:rPr>
                <w:rFonts w:hint="eastAsia" w:ascii="Times New Roman" w:hAnsi="Times New Roman" w:eastAsia="宋体" w:cs="Times New Roman"/>
                <w:color w:val="auto"/>
                <w:kern w:val="2"/>
                <w:sz w:val="24"/>
                <w:szCs w:val="24"/>
                <w:highlight w:val="none"/>
                <w:shd w:val="clear" w:color="auto" w:fill="auto"/>
                <w:lang w:val="en-US" w:eastAsia="zh-CN" w:bidi="ar-SA"/>
              </w:rPr>
              <w:t>.79</w:t>
            </w:r>
            <w:r>
              <w:rPr>
                <w:rFonts w:hint="default" w:ascii="Times New Roman" w:hAnsi="Times New Roman" w:eastAsia="宋体" w:cs="Times New Roman"/>
                <w:color w:val="auto"/>
                <w:kern w:val="2"/>
                <w:sz w:val="24"/>
                <w:szCs w:val="24"/>
                <w:highlight w:val="none"/>
                <w:shd w:val="clear" w:color="auto" w:fill="auto"/>
                <w:lang w:val="en-US" w:eastAsia="zh-CN" w:bidi="ar-SA"/>
              </w:rPr>
              <w:t>平方米，年</w:t>
            </w:r>
            <w:r>
              <w:rPr>
                <w:rFonts w:hint="eastAsia" w:ascii="Times New Roman" w:hAnsi="Times New Roman" w:eastAsia="宋体" w:cs="Times New Roman"/>
                <w:color w:val="auto"/>
                <w:kern w:val="2"/>
                <w:sz w:val="24"/>
                <w:szCs w:val="24"/>
                <w:highlight w:val="none"/>
                <w:shd w:val="clear" w:color="auto" w:fill="auto"/>
                <w:lang w:val="en-US" w:eastAsia="zh-CN" w:bidi="ar-SA"/>
              </w:rPr>
              <w:t>产塑胶壳</w:t>
            </w:r>
            <w:r>
              <w:rPr>
                <w:rFonts w:hint="eastAsia" w:cs="Times New Roman"/>
                <w:color w:val="FF0000"/>
                <w:kern w:val="2"/>
                <w:sz w:val="24"/>
                <w:szCs w:val="24"/>
                <w:highlight w:val="none"/>
                <w:shd w:val="clear" w:color="auto" w:fill="auto"/>
                <w:lang w:val="en-US" w:eastAsia="zh-CN" w:bidi="ar-SA"/>
              </w:rPr>
              <w:t>2833.5167万</w:t>
            </w:r>
            <w:r>
              <w:rPr>
                <w:rFonts w:hint="eastAsia" w:cs="Times New Roman"/>
                <w:color w:val="FF0000"/>
                <w:sz w:val="24"/>
                <w:szCs w:val="24"/>
                <w:highlight w:val="none"/>
                <w:shd w:val="clear" w:color="auto" w:fill="auto"/>
                <w:lang w:val="en-US" w:eastAsia="zh-CN"/>
              </w:rPr>
              <w:t>个</w:t>
            </w:r>
            <w:r>
              <w:rPr>
                <w:rFonts w:hint="eastAsia" w:cs="Times New Roman"/>
                <w:color w:val="auto"/>
                <w:sz w:val="24"/>
                <w:szCs w:val="24"/>
                <w:highlight w:val="none"/>
                <w:shd w:val="clear" w:color="auto" w:fill="auto"/>
                <w:lang w:val="en-US" w:eastAsia="zh-CN"/>
              </w:rPr>
              <w:t>（其中</w:t>
            </w:r>
            <w:r>
              <w:rPr>
                <w:rFonts w:hint="eastAsia" w:ascii="Times New Roman" w:eastAsia="宋体" w:cs="Times New Roman"/>
                <w:color w:val="auto"/>
                <w:kern w:val="2"/>
                <w:sz w:val="24"/>
                <w:szCs w:val="24"/>
                <w:highlight w:val="none"/>
                <w:shd w:val="clear" w:color="auto" w:fill="auto"/>
                <w:lang w:val="en-US" w:eastAsia="zh-CN" w:bidi="ar-SA"/>
              </w:rPr>
              <w:t>需要喷漆的塑胶29</w:t>
            </w:r>
            <w:r>
              <w:rPr>
                <w:rFonts w:hint="eastAsia" w:cs="Times New Roman"/>
                <w:color w:val="auto"/>
                <w:kern w:val="2"/>
                <w:sz w:val="24"/>
                <w:szCs w:val="24"/>
                <w:highlight w:val="none"/>
                <w:shd w:val="clear" w:color="auto" w:fill="auto"/>
                <w:lang w:val="en-US" w:eastAsia="zh-CN" w:bidi="ar-SA"/>
              </w:rPr>
              <w:t>万</w:t>
            </w:r>
            <w:r>
              <w:rPr>
                <w:rFonts w:hint="eastAsia" w:ascii="Times New Roman" w:eastAsia="宋体" w:cs="Times New Roman"/>
                <w:color w:val="auto"/>
                <w:kern w:val="2"/>
                <w:sz w:val="24"/>
                <w:szCs w:val="24"/>
                <w:highlight w:val="none"/>
                <w:shd w:val="clear" w:color="auto" w:fill="auto"/>
                <w:lang w:val="en-US" w:eastAsia="zh-CN" w:bidi="ar-SA"/>
              </w:rPr>
              <w:t>个/a，需要丝印的塑胶46</w:t>
            </w:r>
            <w:r>
              <w:rPr>
                <w:rFonts w:hint="eastAsia" w:cs="Times New Roman"/>
                <w:color w:val="auto"/>
                <w:kern w:val="2"/>
                <w:sz w:val="24"/>
                <w:szCs w:val="24"/>
                <w:highlight w:val="none"/>
                <w:shd w:val="clear" w:color="auto" w:fill="auto"/>
                <w:lang w:val="en-US" w:eastAsia="zh-CN" w:bidi="ar-SA"/>
              </w:rPr>
              <w:t>万</w:t>
            </w:r>
            <w:r>
              <w:rPr>
                <w:rFonts w:hint="eastAsia" w:ascii="Times New Roman" w:eastAsia="宋体" w:cs="Times New Roman"/>
                <w:color w:val="auto"/>
                <w:kern w:val="2"/>
                <w:sz w:val="24"/>
                <w:szCs w:val="24"/>
                <w:highlight w:val="none"/>
                <w:shd w:val="clear" w:color="auto" w:fill="auto"/>
                <w:lang w:val="en-US" w:eastAsia="zh-CN" w:bidi="ar-SA"/>
              </w:rPr>
              <w:t>个/a</w:t>
            </w:r>
            <w:r>
              <w:rPr>
                <w:rFonts w:hint="eastAsia" w:cs="Times New Roman"/>
                <w:color w:val="auto"/>
                <w:sz w:val="24"/>
                <w:szCs w:val="24"/>
                <w:highlight w:val="none"/>
                <w:shd w:val="clear" w:color="auto" w:fill="auto"/>
                <w:lang w:val="en-US" w:eastAsia="zh-CN"/>
              </w:rPr>
              <w:t>）</w:t>
            </w:r>
            <w:r>
              <w:rPr>
                <w:rFonts w:hint="eastAsia" w:ascii="Times New Roman" w:eastAsia="宋体" w:cs="Times New Roman"/>
                <w:color w:val="auto"/>
                <w:kern w:val="2"/>
                <w:sz w:val="24"/>
                <w:szCs w:val="24"/>
                <w:highlight w:val="none"/>
                <w:shd w:val="clear" w:color="auto" w:fill="auto"/>
                <w:lang w:val="en-US" w:eastAsia="zh-CN" w:bidi="ar-SA"/>
              </w:rPr>
              <w:t>，</w:t>
            </w:r>
            <w:r>
              <w:rPr>
                <w:rFonts w:hint="eastAsia"/>
                <w:color w:val="auto"/>
                <w:sz w:val="24"/>
                <w:highlight w:val="none"/>
              </w:rPr>
              <w:t>锂电子电池</w:t>
            </w:r>
            <w:r>
              <w:rPr>
                <w:rFonts w:hint="default" w:ascii="Times New Roman" w:hAnsi="Times New Roman" w:eastAsia="宋体" w:cs="Times New Roman"/>
                <w:color w:val="auto"/>
                <w:highlight w:val="none"/>
                <w:lang w:val="en-US" w:eastAsia="zh-CN"/>
              </w:rPr>
              <w:t>组</w:t>
            </w:r>
            <w:r>
              <w:rPr>
                <w:rFonts w:hint="eastAsia"/>
                <w:color w:val="auto"/>
                <w:sz w:val="24"/>
                <w:highlight w:val="none"/>
              </w:rPr>
              <w:t>5000件</w:t>
            </w:r>
            <w:r>
              <w:rPr>
                <w:rFonts w:hint="eastAsia"/>
                <w:color w:val="auto"/>
                <w:sz w:val="24"/>
                <w:highlight w:val="none"/>
                <w:lang w:eastAsia="zh-CN"/>
              </w:rPr>
              <w:t>（</w:t>
            </w:r>
            <w:r>
              <w:rPr>
                <w:rFonts w:hint="eastAsia"/>
                <w:color w:val="auto"/>
                <w:sz w:val="24"/>
                <w:highlight w:val="none"/>
              </w:rPr>
              <w:t>共4700万Ah</w:t>
            </w:r>
            <w:r>
              <w:rPr>
                <w:rFonts w:hint="eastAsia"/>
                <w:color w:val="auto"/>
                <w:sz w:val="24"/>
                <w:highlight w:val="none"/>
                <w:lang w:eastAsia="zh-CN"/>
              </w:rPr>
              <w:t>）、</w:t>
            </w:r>
            <w:r>
              <w:rPr>
                <w:rFonts w:hint="eastAsia" w:ascii="Times New Roman" w:eastAsia="宋体" w:cs="Times New Roman"/>
                <w:color w:val="auto"/>
                <w:kern w:val="2"/>
                <w:sz w:val="24"/>
                <w:szCs w:val="24"/>
                <w:highlight w:val="none"/>
                <w:shd w:val="clear" w:color="auto" w:fill="auto"/>
                <w:lang w:val="en-US" w:eastAsia="zh-CN" w:bidi="ar-SA"/>
              </w:rPr>
              <w:t>五金模具100套/a</w:t>
            </w:r>
            <w:r>
              <w:rPr>
                <w:rFonts w:hint="eastAsia" w:ascii="Times New Roman" w:eastAsia="宋体" w:cs="Times New Roman"/>
                <w:color w:val="auto"/>
                <w:kern w:val="2"/>
                <w:sz w:val="24"/>
                <w:szCs w:val="24"/>
                <w:highlight w:val="magenta"/>
                <w:shd w:val="clear" w:color="auto" w:fill="auto"/>
                <w:lang w:val="en-US" w:eastAsia="zh-CN" w:bidi="ar-SA"/>
              </w:rPr>
              <w:t>（外售）</w:t>
            </w:r>
            <w:r>
              <w:rPr>
                <w:rFonts w:hint="default" w:ascii="Times New Roman" w:hAnsi="Times New Roman" w:eastAsia="宋体" w:cs="Times New Roman"/>
                <w:color w:val="auto"/>
                <w:sz w:val="24"/>
                <w:szCs w:val="24"/>
                <w:highlight w:val="none"/>
                <w:shd w:val="clear" w:color="auto" w:fill="auto"/>
                <w:lang w:val="en-US" w:eastAsia="zh-CN"/>
              </w:rPr>
              <w:t>。总员工人数为</w:t>
            </w:r>
            <w:r>
              <w:rPr>
                <w:rFonts w:hint="eastAsia" w:cs="Times New Roman"/>
                <w:color w:val="auto"/>
                <w:sz w:val="24"/>
                <w:szCs w:val="24"/>
                <w:highlight w:val="none"/>
                <w:shd w:val="clear" w:color="auto" w:fill="auto"/>
                <w:lang w:val="en-US" w:eastAsia="zh-CN"/>
              </w:rPr>
              <w:t>200</w:t>
            </w:r>
            <w:r>
              <w:rPr>
                <w:rFonts w:hint="default" w:ascii="Times New Roman" w:hAnsi="Times New Roman" w:eastAsia="宋体" w:cs="Times New Roman"/>
                <w:color w:val="auto"/>
                <w:sz w:val="24"/>
                <w:szCs w:val="24"/>
                <w:highlight w:val="none"/>
                <w:shd w:val="clear" w:color="auto" w:fill="auto"/>
                <w:lang w:val="en-US" w:eastAsia="zh-CN"/>
              </w:rPr>
              <w:t>人</w:t>
            </w:r>
            <w:r>
              <w:rPr>
                <w:rFonts w:hint="eastAsia" w:cs="Times New Roman"/>
                <w:color w:val="auto"/>
                <w:sz w:val="24"/>
                <w:szCs w:val="24"/>
                <w:highlight w:val="none"/>
                <w:shd w:val="clear" w:color="auto" w:fill="auto"/>
                <w:lang w:val="en-US" w:eastAsia="zh-CN"/>
              </w:rPr>
              <w:t>，均在厂区内食宿，</w:t>
            </w:r>
            <w:r>
              <w:rPr>
                <w:rFonts w:hint="eastAsia" w:ascii="Times New Roman" w:hAnsi="Times New Roman" w:eastAsia="宋体" w:cs="Times New Roman"/>
                <w:color w:val="auto"/>
                <w:highlight w:val="none"/>
                <w:lang w:val="en-US" w:eastAsia="zh-CN"/>
              </w:rPr>
              <w:t>8小时</w:t>
            </w:r>
            <w:r>
              <w:rPr>
                <w:rFonts w:hint="eastAsia"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班制，</w:t>
            </w:r>
            <w:r>
              <w:rPr>
                <w:rFonts w:hint="default" w:ascii="Times New Roman" w:hAnsi="Times New Roman" w:eastAsia="宋体" w:cs="Times New Roman"/>
                <w:color w:val="auto"/>
                <w:sz w:val="24"/>
                <w:szCs w:val="24"/>
                <w:highlight w:val="none"/>
                <w:shd w:val="clear" w:color="auto" w:fill="auto"/>
                <w:lang w:val="en-US" w:eastAsia="zh-CN"/>
              </w:rPr>
              <w:t>年工作300天</w:t>
            </w:r>
            <w:r>
              <w:rPr>
                <w:rFonts w:hint="default" w:ascii="Times New Roman" w:hAnsi="Times New Roman" w:eastAsia="宋体" w:cs="Times New Roman"/>
                <w:color w:val="auto"/>
                <w:spacing w:val="-8"/>
                <w:kern w:val="0"/>
                <w:sz w:val="24"/>
                <w:szCs w:val="24"/>
                <w:highlight w:val="none"/>
                <w:shd w:val="clear" w:color="auto" w:fill="auto"/>
                <w:lang w:val="en-US" w:eastAsia="zh-CN" w:bidi="ar-SA"/>
              </w:rPr>
              <w:t>。</w:t>
            </w:r>
          </w:p>
          <w:p>
            <w:pPr>
              <w:adjustRightInd w:val="0"/>
              <w:snapToGrid w:val="0"/>
              <w:ind w:firstLine="482" w:firstLineChars="200"/>
              <w:rPr>
                <w:b/>
                <w:color w:val="auto"/>
                <w:szCs w:val="21"/>
              </w:rPr>
            </w:pPr>
            <w:r>
              <w:rPr>
                <w:rFonts w:hint="eastAsia"/>
                <w:b/>
                <w:color w:val="auto"/>
                <w:szCs w:val="21"/>
              </w:rPr>
              <w:t>2</w:t>
            </w:r>
            <w:r>
              <w:rPr>
                <w:b/>
                <w:color w:val="auto"/>
                <w:szCs w:val="21"/>
              </w:rPr>
              <w:t>、工程规模</w:t>
            </w:r>
          </w:p>
          <w:p>
            <w:pPr>
              <w:adjustRightInd w:val="0"/>
              <w:snapToGrid w:val="0"/>
              <w:ind w:firstLine="480" w:firstLineChars="200"/>
              <w:rPr>
                <w:bCs/>
                <w:color w:val="auto"/>
                <w:szCs w:val="21"/>
              </w:rPr>
            </w:pPr>
            <w:r>
              <w:rPr>
                <w:rFonts w:hint="eastAsia"/>
                <w:bCs/>
                <w:color w:val="auto"/>
                <w:szCs w:val="21"/>
              </w:rPr>
              <w:t>（1）</w:t>
            </w:r>
            <w:r>
              <w:rPr>
                <w:bCs/>
                <w:color w:val="auto"/>
                <w:szCs w:val="21"/>
              </w:rPr>
              <w:t>建设规模</w:t>
            </w:r>
          </w:p>
          <w:p>
            <w:pPr>
              <w:adjustRightInd w:val="0"/>
              <w:snapToGrid w:val="0"/>
              <w:ind w:firstLine="480" w:firstLineChars="200"/>
              <w:rPr>
                <w:color w:val="auto"/>
              </w:rPr>
            </w:pPr>
            <w:r>
              <w:rPr>
                <w:rFonts w:hint="eastAsia"/>
                <w:color w:val="auto"/>
                <w:lang w:eastAsia="zh-CN"/>
              </w:rPr>
              <w:t>扩建</w:t>
            </w:r>
            <w:r>
              <w:rPr>
                <w:rFonts w:hint="eastAsia"/>
                <w:color w:val="auto"/>
              </w:rPr>
              <w:t>前后主要建筑物以及工程组成如下表所示。</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项目工程组成</w:t>
            </w:r>
            <w:r>
              <w:rPr>
                <w:rFonts w:hint="eastAsia" w:ascii="Times New Roman" w:hAnsi="Times New Roman" w:eastAsia="宋体" w:cs="Times New Roman"/>
                <w:color w:val="auto"/>
                <w:sz w:val="22"/>
                <w:szCs w:val="22"/>
                <w:highlight w:val="none"/>
                <w:lang w:val="en-US" w:eastAsia="zh-CN"/>
              </w:rPr>
              <w:t>一览表</w:t>
            </w:r>
          </w:p>
          <w:tbl>
            <w:tblPr>
              <w:tblStyle w:val="29"/>
              <w:tblW w:w="499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701"/>
              <w:gridCol w:w="435"/>
              <w:gridCol w:w="688"/>
              <w:gridCol w:w="1543"/>
              <w:gridCol w:w="1940"/>
              <w:gridCol w:w="2020"/>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235"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388"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工程类别</w:t>
                  </w: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建设</w:t>
                  </w:r>
                </w:p>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内容</w:t>
                  </w:r>
                </w:p>
              </w:tc>
              <w:tc>
                <w:tcPr>
                  <w:tcW w:w="854"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rPr>
                    <w:t>前项目</w:t>
                  </w:r>
                </w:p>
              </w:tc>
              <w:tc>
                <w:tcPr>
                  <w:tcW w:w="1074"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eastAsia="zh-CN"/>
                    </w:rPr>
                  </w:pP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eastAsia="zh-CN"/>
                    </w:rPr>
                    <w:t>项目</w:t>
                  </w:r>
                </w:p>
              </w:tc>
              <w:tc>
                <w:tcPr>
                  <w:tcW w:w="1118"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val="en-US" w:eastAsia="zh-CN"/>
                    </w:rPr>
                    <w:t>后全厂</w:t>
                  </w:r>
                </w:p>
              </w:tc>
              <w:tc>
                <w:tcPr>
                  <w:tcW w:w="707"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235"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主体工程</w:t>
                  </w:r>
                </w:p>
              </w:tc>
              <w:tc>
                <w:tcPr>
                  <w:tcW w:w="240"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生产车间</w:t>
                  </w:r>
                </w:p>
              </w:tc>
              <w:tc>
                <w:tcPr>
                  <w:tcW w:w="3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shd w:val="clear" w:color="auto" w:fill="auto"/>
                      <w:lang w:val="en-US" w:eastAsia="zh-CN"/>
                    </w:rPr>
                    <w:t>1F</w:t>
                  </w:r>
                </w:p>
              </w:tc>
              <w:tc>
                <w:tcPr>
                  <w:tcW w:w="854"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层高5.2m，</w:t>
                  </w:r>
                </w:p>
                <w:p>
                  <w:pPr>
                    <w:spacing w:line="240" w:lineRule="auto"/>
                    <w:ind w:firstLine="0" w:firstLineChars="0"/>
                    <w:jc w:val="both"/>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建筑面积1560.33m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lang w:val="en-US" w:eastAsia="zh-CN"/>
                    </w:rPr>
                    <w:t>，</w:t>
                  </w:r>
                </w:p>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主要有注塑车间、焊接组装车间、原料暂存区及模具暂存区</w:t>
                  </w:r>
                </w:p>
              </w:tc>
              <w:tc>
                <w:tcPr>
                  <w:tcW w:w="10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在注塑车间内空位新增注塑机28台；</w:t>
                  </w:r>
                  <w:r>
                    <w:rPr>
                      <w:rFonts w:hint="eastAsia" w:cs="Times New Roman"/>
                      <w:color w:val="FF0000"/>
                      <w:kern w:val="2"/>
                      <w:sz w:val="21"/>
                      <w:szCs w:val="21"/>
                      <w:highlight w:val="none"/>
                      <w:lang w:val="en-US" w:eastAsia="zh-CN" w:bidi="ar-SA"/>
                    </w:rPr>
                    <w:t>新增一个模具制作车间，</w:t>
                  </w:r>
                  <w:r>
                    <w:rPr>
                      <w:rFonts w:hint="eastAsia" w:cs="Times New Roman"/>
                      <w:color w:val="auto"/>
                      <w:kern w:val="2"/>
                      <w:sz w:val="21"/>
                      <w:szCs w:val="21"/>
                      <w:highlight w:val="magenta"/>
                      <w:lang w:val="en-US" w:eastAsia="zh-CN" w:bidi="ar-SA"/>
                    </w:rPr>
                    <w:t>位于现有厂房东面一栋厂房一楼的一半</w:t>
                  </w:r>
                  <w:r>
                    <w:rPr>
                      <w:rFonts w:hint="eastAsia" w:cs="Times New Roman"/>
                      <w:color w:val="FF0000"/>
                      <w:kern w:val="2"/>
                      <w:sz w:val="21"/>
                      <w:szCs w:val="21"/>
                      <w:highlight w:val="none"/>
                      <w:lang w:val="en-US" w:eastAsia="zh-CN" w:bidi="ar-SA"/>
                    </w:rPr>
                    <w:t>，占地及建筑面积</w:t>
                  </w:r>
                  <w:r>
                    <w:rPr>
                      <w:rFonts w:hint="eastAsia" w:cs="Times New Roman"/>
                      <w:color w:val="auto"/>
                      <w:kern w:val="2"/>
                      <w:sz w:val="21"/>
                      <w:szCs w:val="21"/>
                      <w:highlight w:val="none"/>
                      <w:lang w:val="en-US" w:eastAsia="zh-CN" w:bidi="ar-SA"/>
                    </w:rPr>
                    <w:t>均为625</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p>
              </w:tc>
              <w:tc>
                <w:tcPr>
                  <w:tcW w:w="1118"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层高5.2m，</w:t>
                  </w:r>
                </w:p>
                <w:p>
                  <w:pPr>
                    <w:spacing w:line="240" w:lineRule="auto"/>
                    <w:ind w:firstLine="0" w:firstLineChars="0"/>
                    <w:jc w:val="center"/>
                    <w:rPr>
                      <w:rFonts w:hint="eastAsia" w:cs="Times New Roman"/>
                      <w:color w:val="auto"/>
                      <w:sz w:val="21"/>
                      <w:szCs w:val="21"/>
                      <w:highlight w:val="none"/>
                      <w:shd w:val="clear" w:color="auto" w:fill="auto"/>
                      <w:vertAlign w:val="baseline"/>
                      <w:lang w:val="en-US" w:eastAsia="zh-CN"/>
                    </w:rPr>
                  </w:pPr>
                  <w:r>
                    <w:rPr>
                      <w:rFonts w:hint="eastAsia" w:cs="Times New Roman"/>
                      <w:color w:val="auto"/>
                      <w:sz w:val="21"/>
                      <w:szCs w:val="21"/>
                      <w:highlight w:val="none"/>
                      <w:shd w:val="clear" w:color="auto" w:fill="auto"/>
                      <w:lang w:val="en-US" w:eastAsia="zh-CN"/>
                    </w:rPr>
                    <w:t>建筑面积1560.33m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vertAlign w:val="baseline"/>
                      <w:lang w:val="en-US" w:eastAsia="zh-CN"/>
                    </w:rPr>
                    <w:t>，</w:t>
                  </w:r>
                </w:p>
                <w:p>
                  <w:pPr>
                    <w:spacing w:line="240" w:lineRule="auto"/>
                    <w:ind w:firstLine="0" w:firstLineChars="0"/>
                    <w:jc w:val="center"/>
                    <w:rPr>
                      <w:rFonts w:hint="default"/>
                      <w:color w:val="auto"/>
                    </w:rPr>
                  </w:pPr>
                  <w:r>
                    <w:rPr>
                      <w:rFonts w:hint="eastAsia" w:cs="Times New Roman"/>
                      <w:color w:val="auto"/>
                      <w:sz w:val="21"/>
                      <w:szCs w:val="21"/>
                      <w:highlight w:val="none"/>
                      <w:shd w:val="clear" w:color="auto" w:fill="auto"/>
                      <w:lang w:val="en-US" w:eastAsia="zh-CN"/>
                    </w:rPr>
                    <w:t>主要有注塑车间、焊接组装车间、原料暂存区及模具暂存区；</w:t>
                  </w:r>
                  <w:r>
                    <w:rPr>
                      <w:rFonts w:hint="eastAsia" w:cs="Times New Roman"/>
                      <w:color w:val="auto"/>
                      <w:kern w:val="2"/>
                      <w:sz w:val="21"/>
                      <w:szCs w:val="21"/>
                      <w:highlight w:val="none"/>
                      <w:lang w:val="en-US" w:eastAsia="zh-CN" w:bidi="ar-SA"/>
                    </w:rPr>
                    <w:t>一个模具制作车间，</w:t>
                  </w:r>
                  <w:r>
                    <w:rPr>
                      <w:rFonts w:hint="eastAsia" w:cs="Times New Roman"/>
                      <w:color w:val="auto"/>
                      <w:kern w:val="2"/>
                      <w:sz w:val="21"/>
                      <w:szCs w:val="21"/>
                      <w:highlight w:val="magenta"/>
                      <w:lang w:val="en-US" w:eastAsia="zh-CN" w:bidi="ar-SA"/>
                    </w:rPr>
                    <w:t>位于现有厂房东面一栋厂房一楼的一半</w:t>
                  </w:r>
                  <w:r>
                    <w:rPr>
                      <w:rFonts w:hint="eastAsia" w:cs="Times New Roman"/>
                      <w:color w:val="auto"/>
                      <w:kern w:val="2"/>
                      <w:sz w:val="21"/>
                      <w:szCs w:val="21"/>
                      <w:highlight w:val="none"/>
                      <w:lang w:val="en-US" w:eastAsia="zh-CN" w:bidi="ar-SA"/>
                    </w:rPr>
                    <w:t>，</w:t>
                  </w:r>
                  <w:r>
                    <w:rPr>
                      <w:rFonts w:hint="eastAsia" w:cs="Times New Roman"/>
                      <w:color w:val="FF0000"/>
                      <w:kern w:val="2"/>
                      <w:sz w:val="21"/>
                      <w:szCs w:val="21"/>
                      <w:highlight w:val="none"/>
                      <w:lang w:val="en-US" w:eastAsia="zh-CN" w:bidi="ar-SA"/>
                    </w:rPr>
                    <w:t>层高5.2m，占地及建筑面积均</w:t>
                  </w:r>
                  <w:r>
                    <w:rPr>
                      <w:rFonts w:hint="eastAsia" w:cs="Times New Roman"/>
                      <w:color w:val="auto"/>
                      <w:kern w:val="2"/>
                      <w:sz w:val="21"/>
                      <w:szCs w:val="21"/>
                      <w:highlight w:val="none"/>
                      <w:lang w:val="en-US" w:eastAsia="zh-CN" w:bidi="ar-SA"/>
                    </w:rPr>
                    <w:t>为625</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p>
              </w:tc>
              <w:tc>
                <w:tcPr>
                  <w:tcW w:w="707" w:type="pct"/>
                  <w:noWrap w:val="0"/>
                  <w:vAlign w:val="center"/>
                </w:tcPr>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kern w:val="2"/>
                      <w:sz w:val="21"/>
                      <w:szCs w:val="21"/>
                      <w:highlight w:val="none"/>
                      <w:lang w:val="en-US" w:eastAsia="zh-CN" w:bidi="ar-SA"/>
                    </w:rPr>
                    <w:t>注塑车间新增注塑机28台；新增一个模具制作车间，</w:t>
                  </w:r>
                  <w:r>
                    <w:rPr>
                      <w:rFonts w:hint="eastAsia" w:cs="Times New Roman"/>
                      <w:color w:val="auto"/>
                      <w:kern w:val="2"/>
                      <w:sz w:val="21"/>
                      <w:szCs w:val="21"/>
                      <w:highlight w:val="magenta"/>
                      <w:lang w:val="en-US" w:eastAsia="zh-CN" w:bidi="ar-SA"/>
                    </w:rPr>
                    <w:t>位于现有厂房东面一栋厂房一楼的一半</w:t>
                  </w:r>
                  <w:r>
                    <w:rPr>
                      <w:rFonts w:hint="eastAsia" w:cs="Times New Roman"/>
                      <w:color w:val="auto"/>
                      <w:kern w:val="2"/>
                      <w:sz w:val="21"/>
                      <w:szCs w:val="21"/>
                      <w:highlight w:val="none"/>
                      <w:lang w:val="en-US" w:eastAsia="zh-CN" w:bidi="ar-SA"/>
                    </w:rPr>
                    <w:t>，</w:t>
                  </w:r>
                  <w:r>
                    <w:rPr>
                      <w:rFonts w:hint="eastAsia" w:cs="Times New Roman"/>
                      <w:color w:val="FF0000"/>
                      <w:kern w:val="2"/>
                      <w:sz w:val="21"/>
                      <w:szCs w:val="21"/>
                      <w:highlight w:val="none"/>
                      <w:lang w:val="en-US" w:eastAsia="zh-CN" w:bidi="ar-SA"/>
                    </w:rPr>
                    <w:t>占地及建筑面积均</w:t>
                  </w:r>
                  <w:r>
                    <w:rPr>
                      <w:rFonts w:hint="eastAsia" w:cs="Times New Roman"/>
                      <w:color w:val="auto"/>
                      <w:kern w:val="2"/>
                      <w:sz w:val="21"/>
                      <w:szCs w:val="21"/>
                      <w:highlight w:val="none"/>
                      <w:lang w:val="en-US" w:eastAsia="zh-CN" w:bidi="ar-SA"/>
                    </w:rPr>
                    <w:t>为625</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3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shd w:val="clear" w:color="auto" w:fill="auto"/>
                      <w:lang w:val="en-US" w:eastAsia="zh-CN"/>
                    </w:rPr>
                    <w:t>3F</w:t>
                  </w:r>
                </w:p>
              </w:tc>
              <w:tc>
                <w:tcPr>
                  <w:tcW w:w="854"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层高4m，</w:t>
                  </w:r>
                </w:p>
                <w:p>
                  <w:pPr>
                    <w:spacing w:line="240" w:lineRule="auto"/>
                    <w:ind w:firstLine="0" w:firstLineChars="0"/>
                    <w:jc w:val="center"/>
                    <w:rPr>
                      <w:rFonts w:hint="eastAsia" w:cs="Times New Roman"/>
                      <w:color w:val="auto"/>
                      <w:sz w:val="21"/>
                      <w:szCs w:val="21"/>
                      <w:highlight w:val="none"/>
                      <w:shd w:val="clear" w:color="auto" w:fill="auto"/>
                      <w:vertAlign w:val="baseline"/>
                      <w:lang w:val="en-US" w:eastAsia="zh-CN"/>
                    </w:rPr>
                  </w:pPr>
                  <w:r>
                    <w:rPr>
                      <w:rFonts w:hint="eastAsia" w:cs="Times New Roman"/>
                      <w:color w:val="auto"/>
                      <w:sz w:val="21"/>
                      <w:szCs w:val="21"/>
                      <w:highlight w:val="none"/>
                      <w:shd w:val="clear" w:color="auto" w:fill="auto"/>
                      <w:lang w:val="en-US" w:eastAsia="zh-CN"/>
                    </w:rPr>
                    <w:t>建筑面积1160.33m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vertAlign w:val="baseline"/>
                      <w:lang w:val="en-US" w:eastAsia="zh-CN"/>
                    </w:rPr>
                    <w:t>，</w:t>
                  </w:r>
                </w:p>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vertAlign w:val="baseline"/>
                      <w:lang w:val="en-US" w:eastAsia="zh-CN"/>
                    </w:rPr>
                    <w:t>主要有2条包装流水线、办公区</w:t>
                  </w:r>
                </w:p>
              </w:tc>
              <w:tc>
                <w:tcPr>
                  <w:tcW w:w="10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在3F新增一个喷漆房，面积约34.16</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kern w:val="2"/>
                      <w:sz w:val="21"/>
                      <w:szCs w:val="21"/>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新增一个丝印及烘烤车间，面积约70</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p>
              </w:tc>
              <w:tc>
                <w:tcPr>
                  <w:tcW w:w="1118"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层高4m，</w:t>
                  </w:r>
                </w:p>
                <w:p>
                  <w:pPr>
                    <w:spacing w:line="240" w:lineRule="auto"/>
                    <w:ind w:firstLine="0" w:firstLineChars="0"/>
                    <w:jc w:val="center"/>
                    <w:rPr>
                      <w:rFonts w:hint="eastAsia" w:cs="Times New Roman"/>
                      <w:color w:val="auto"/>
                      <w:sz w:val="21"/>
                      <w:szCs w:val="21"/>
                      <w:highlight w:val="none"/>
                      <w:shd w:val="clear" w:color="auto" w:fill="auto"/>
                      <w:vertAlign w:val="baseline"/>
                      <w:lang w:val="en-US" w:eastAsia="zh-CN"/>
                    </w:rPr>
                  </w:pPr>
                  <w:r>
                    <w:rPr>
                      <w:rFonts w:hint="eastAsia" w:cs="Times New Roman"/>
                      <w:color w:val="auto"/>
                      <w:sz w:val="21"/>
                      <w:szCs w:val="21"/>
                      <w:highlight w:val="none"/>
                      <w:shd w:val="clear" w:color="auto" w:fill="auto"/>
                      <w:lang w:val="en-US" w:eastAsia="zh-CN"/>
                    </w:rPr>
                    <w:t>建筑面积1160.33m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vertAlign w:val="baseline"/>
                      <w:lang w:val="en-US" w:eastAsia="zh-CN"/>
                    </w:rPr>
                    <w:t>，</w:t>
                  </w:r>
                </w:p>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shd w:val="clear" w:color="auto" w:fill="auto"/>
                      <w:vertAlign w:val="baseline"/>
                      <w:lang w:val="en-US" w:eastAsia="zh-CN"/>
                    </w:rPr>
                    <w:t>主要有2条包装流水线、办公区、</w:t>
                  </w:r>
                  <w:r>
                    <w:rPr>
                      <w:rFonts w:hint="eastAsia" w:cs="Times New Roman"/>
                      <w:color w:val="auto"/>
                      <w:kern w:val="2"/>
                      <w:sz w:val="21"/>
                      <w:szCs w:val="21"/>
                      <w:highlight w:val="none"/>
                      <w:lang w:val="en-US" w:eastAsia="zh-CN" w:bidi="ar-SA"/>
                    </w:rPr>
                    <w:t>一个喷漆房、一个丝印及烘烤车间</w:t>
                  </w:r>
                </w:p>
              </w:tc>
              <w:tc>
                <w:tcPr>
                  <w:tcW w:w="7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s="Times New Roman"/>
                      <w:color w:val="auto"/>
                      <w:sz w:val="21"/>
                      <w:szCs w:val="21"/>
                      <w:highlight w:val="none"/>
                      <w:shd w:val="clear" w:color="auto" w:fill="auto"/>
                      <w:lang w:val="en-US" w:eastAsia="zh-CN"/>
                    </w:rPr>
                  </w:pPr>
                  <w:r>
                    <w:rPr>
                      <w:rFonts w:hint="eastAsia" w:cs="Times New Roman"/>
                      <w:color w:val="auto"/>
                      <w:kern w:val="2"/>
                      <w:sz w:val="21"/>
                      <w:szCs w:val="21"/>
                      <w:highlight w:val="none"/>
                      <w:lang w:val="en-US" w:eastAsia="zh-CN" w:bidi="ar-SA"/>
                    </w:rPr>
                    <w:t>新增一个喷漆房、一个丝印及烘烤车间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380" w:type="pct"/>
                  <w:noWrap w:val="0"/>
                  <w:vAlign w:val="center"/>
                </w:tcPr>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合计</w:t>
                  </w:r>
                </w:p>
              </w:tc>
              <w:tc>
                <w:tcPr>
                  <w:tcW w:w="3754" w:type="pct"/>
                  <w:gridSpan w:val="4"/>
                  <w:noWrap w:val="0"/>
                  <w:vAlign w:val="center"/>
                </w:tcPr>
                <w:p>
                  <w:pPr>
                    <w:spacing w:line="240" w:lineRule="auto"/>
                    <w:ind w:firstLine="0" w:firstLineChars="0"/>
                    <w:jc w:val="center"/>
                    <w:rPr>
                      <w:rFonts w:hint="default" w:cs="Times New Roman"/>
                      <w:color w:val="auto"/>
                      <w:kern w:val="2"/>
                      <w:sz w:val="21"/>
                      <w:szCs w:val="21"/>
                      <w:highlight w:val="none"/>
                      <w:lang w:val="en-US" w:eastAsia="zh-CN" w:bidi="ar-SA"/>
                    </w:rPr>
                  </w:pPr>
                  <w:r>
                    <w:rPr>
                      <w:rFonts w:hint="eastAsia"/>
                      <w:b/>
                      <w:bCs/>
                      <w:color w:val="auto"/>
                      <w:sz w:val="21"/>
                      <w:szCs w:val="21"/>
                    </w:rPr>
                    <w:t>此建筑物</w:t>
                  </w:r>
                  <w:r>
                    <w:rPr>
                      <w:rFonts w:hint="eastAsia" w:cs="Times New Roman"/>
                      <w:b/>
                      <w:bCs/>
                      <w:color w:val="auto"/>
                      <w:kern w:val="2"/>
                      <w:sz w:val="21"/>
                      <w:szCs w:val="21"/>
                      <w:highlight w:val="none"/>
                      <w:lang w:val="en-US" w:eastAsia="zh-CN" w:bidi="ar-SA"/>
                    </w:rPr>
                    <w:t>共3层，其中2F为成品仓库、原料仓库及办公区，占地面积</w:t>
                  </w:r>
                  <w:r>
                    <w:rPr>
                      <w:rFonts w:hint="eastAsia" w:cs="Times New Roman"/>
                      <w:b/>
                      <w:bCs/>
                      <w:color w:val="auto"/>
                      <w:sz w:val="21"/>
                      <w:szCs w:val="21"/>
                      <w:highlight w:val="none"/>
                      <w:shd w:val="clear" w:color="auto" w:fill="auto"/>
                      <w:lang w:val="en-US" w:eastAsia="zh-CN"/>
                    </w:rPr>
                    <w:t>1560.33m</w:t>
                  </w:r>
                  <w:r>
                    <w:rPr>
                      <w:rFonts w:hint="eastAsia" w:cs="Times New Roman"/>
                      <w:b/>
                      <w:bCs/>
                      <w:color w:val="auto"/>
                      <w:sz w:val="21"/>
                      <w:szCs w:val="21"/>
                      <w:highlight w:val="none"/>
                      <w:shd w:val="clear" w:color="auto" w:fill="auto"/>
                      <w:vertAlign w:val="superscript"/>
                      <w:lang w:val="en-US" w:eastAsia="zh-CN"/>
                    </w:rPr>
                    <w:t>2</w:t>
                  </w:r>
                  <w:r>
                    <w:rPr>
                      <w:rFonts w:hint="eastAsia" w:cs="Times New Roman"/>
                      <w:b/>
                      <w:bCs/>
                      <w:color w:val="auto"/>
                      <w:sz w:val="21"/>
                      <w:szCs w:val="21"/>
                      <w:highlight w:val="none"/>
                      <w:shd w:val="clear" w:color="auto" w:fill="auto"/>
                      <w:lang w:val="en-US" w:eastAsia="zh-CN"/>
                    </w:rPr>
                    <w:t>，建筑面积3880.99m</w:t>
                  </w:r>
                  <w:r>
                    <w:rPr>
                      <w:rFonts w:hint="eastAsia" w:cs="Times New Roman"/>
                      <w:b/>
                      <w:bCs/>
                      <w:color w:val="auto"/>
                      <w:sz w:val="21"/>
                      <w:szCs w:val="21"/>
                      <w:highlight w:val="none"/>
                      <w:shd w:val="clear" w:color="auto" w:fill="auto"/>
                      <w:vertAlign w:val="superscript"/>
                      <w:lang w:val="en-US" w:eastAsia="zh-CN"/>
                    </w:rPr>
                    <w:t>2</w:t>
                  </w:r>
                  <w:r>
                    <w:rPr>
                      <w:rFonts w:hint="eastAsia" w:cs="Times New Roman"/>
                      <w:b/>
                      <w:bCs/>
                      <w:color w:val="auto"/>
                      <w:sz w:val="21"/>
                      <w:szCs w:val="21"/>
                      <w:highlight w:val="none"/>
                      <w:shd w:val="clear" w:color="auto" w:fill="auto"/>
                      <w:lang w:val="en-US" w:eastAsia="zh-CN"/>
                    </w:rPr>
                    <w:t>，总高13.2m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5" w:type="pct"/>
                  <w:vMerge w:val="restart"/>
                  <w:noWrap w:val="0"/>
                  <w:vAlign w:val="center"/>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储运工程</w:t>
                  </w:r>
                </w:p>
              </w:tc>
              <w:tc>
                <w:tcPr>
                  <w:tcW w:w="621" w:type="pct"/>
                  <w:gridSpan w:val="2"/>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2F（</w:t>
                  </w:r>
                  <w:r>
                    <w:rPr>
                      <w:rFonts w:hint="eastAsia" w:cs="Times New Roman"/>
                      <w:color w:val="auto"/>
                      <w:sz w:val="21"/>
                      <w:szCs w:val="21"/>
                      <w:highlight w:val="none"/>
                      <w:shd w:val="clear" w:color="auto" w:fill="auto"/>
                      <w:lang w:val="en-US" w:eastAsia="zh-CN"/>
                    </w:rPr>
                    <w:t>建筑面积1160.33m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lang w:val="en-US" w:eastAsia="zh-CN"/>
                    </w:rPr>
                    <w:t>）</w:t>
                  </w:r>
                </w:p>
              </w:tc>
              <w:tc>
                <w:tcPr>
                  <w:tcW w:w="854"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设有一个原料仓库，</w:t>
                  </w:r>
                </w:p>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1074"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依托现有</w:t>
                  </w:r>
                </w:p>
              </w:tc>
              <w:tc>
                <w:tcPr>
                  <w:tcW w:w="1118"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设有一个原料仓库，</w:t>
                  </w:r>
                </w:p>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5"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621"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854"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lang w:val="en-US" w:eastAsia="zh-CN"/>
                    </w:rPr>
                    <w:t>设有一个成品仓库，</w:t>
                  </w: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1074"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kern w:val="2"/>
                      <w:sz w:val="21"/>
                      <w:szCs w:val="21"/>
                      <w:highlight w:val="none"/>
                      <w:lang w:val="en-US" w:eastAsia="zh-CN" w:bidi="ar-SA"/>
                    </w:rPr>
                    <w:t>依托现有</w:t>
                  </w:r>
                </w:p>
              </w:tc>
              <w:tc>
                <w:tcPr>
                  <w:tcW w:w="1118"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shd w:val="clear" w:color="auto" w:fill="auto"/>
                      <w:lang w:val="en-US" w:eastAsia="zh-CN" w:bidi="ar-SA"/>
                    </w:rPr>
                  </w:pPr>
                  <w:r>
                    <w:rPr>
                      <w:rFonts w:hint="eastAsia" w:cs="Times New Roman"/>
                      <w:color w:val="auto"/>
                      <w:sz w:val="21"/>
                      <w:szCs w:val="21"/>
                      <w:highlight w:val="none"/>
                      <w:lang w:val="en-US" w:eastAsia="zh-CN"/>
                    </w:rPr>
                    <w:t>设有一个成品仓库，</w:t>
                  </w: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707"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5" w:type="pct"/>
                  <w:vMerge w:val="restart"/>
                  <w:noWrap w:val="0"/>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3</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辅助工程</w:t>
                  </w:r>
                </w:p>
              </w:tc>
              <w:tc>
                <w:tcPr>
                  <w:tcW w:w="621" w:type="pct"/>
                  <w:gridSpan w:val="2"/>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办公</w:t>
                  </w:r>
                  <w:r>
                    <w:rPr>
                      <w:rFonts w:hint="eastAsia" w:cs="Times New Roman"/>
                      <w:color w:val="auto"/>
                      <w:sz w:val="21"/>
                      <w:szCs w:val="21"/>
                      <w:highlight w:val="none"/>
                      <w:lang w:val="en-US" w:eastAsia="zh-CN"/>
                    </w:rPr>
                    <w:t>楼</w:t>
                  </w:r>
                </w:p>
              </w:tc>
              <w:tc>
                <w:tcPr>
                  <w:tcW w:w="85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1F，建筑面积80m</w:t>
                  </w:r>
                  <w:r>
                    <w:rPr>
                      <w:rFonts w:hint="eastAsia" w:cs="Times New Roman"/>
                      <w:color w:val="auto"/>
                      <w:sz w:val="21"/>
                      <w:szCs w:val="21"/>
                      <w:highlight w:val="none"/>
                      <w:shd w:val="clear" w:color="auto" w:fill="auto"/>
                      <w:vertAlign w:val="superscript"/>
                      <w:lang w:val="en-US" w:eastAsia="zh-CN"/>
                    </w:rPr>
                    <w:t>2</w:t>
                  </w:r>
                </w:p>
              </w:tc>
              <w:tc>
                <w:tcPr>
                  <w:tcW w:w="1074"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kern w:val="2"/>
                      <w:sz w:val="21"/>
                      <w:szCs w:val="21"/>
                      <w:highlight w:val="none"/>
                      <w:lang w:val="en-US" w:eastAsia="zh-CN" w:bidi="ar-SA"/>
                    </w:rPr>
                    <w:t>依托现有</w:t>
                  </w:r>
                </w:p>
              </w:tc>
              <w:tc>
                <w:tcPr>
                  <w:tcW w:w="1118"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1F，建筑面积80m</w:t>
                  </w:r>
                  <w:r>
                    <w:rPr>
                      <w:rFonts w:hint="eastAsia" w:cs="Times New Roman"/>
                      <w:color w:val="auto"/>
                      <w:sz w:val="21"/>
                      <w:szCs w:val="21"/>
                      <w:highlight w:val="none"/>
                      <w:shd w:val="clear" w:color="auto" w:fill="auto"/>
                      <w:vertAlign w:val="superscript"/>
                      <w:lang w:val="en-US" w:eastAsia="zh-CN"/>
                    </w:rPr>
                    <w:t>2</w:t>
                  </w:r>
                </w:p>
              </w:tc>
              <w:tc>
                <w:tcPr>
                  <w:tcW w:w="707"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5"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854"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2F，建筑面积160.33m</w:t>
                  </w:r>
                  <w:r>
                    <w:rPr>
                      <w:rFonts w:hint="eastAsia" w:cs="Times New Roman"/>
                      <w:color w:val="auto"/>
                      <w:sz w:val="21"/>
                      <w:szCs w:val="21"/>
                      <w:highlight w:val="none"/>
                      <w:shd w:val="clear" w:color="auto" w:fill="auto"/>
                      <w:vertAlign w:val="superscript"/>
                      <w:lang w:val="en-US" w:eastAsia="zh-CN"/>
                    </w:rPr>
                    <w:t>2</w:t>
                  </w:r>
                </w:p>
              </w:tc>
              <w:tc>
                <w:tcPr>
                  <w:tcW w:w="1074" w:type="pct"/>
                  <w:vMerge w:val="continue"/>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p>
              </w:tc>
              <w:tc>
                <w:tcPr>
                  <w:tcW w:w="1118"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shd w:val="clear" w:color="auto" w:fill="auto"/>
                      <w:lang w:val="en-US" w:eastAsia="zh-CN" w:bidi="ar-SA"/>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2F，建筑面积160.33m</w:t>
                  </w:r>
                  <w:r>
                    <w:rPr>
                      <w:rFonts w:hint="eastAsia" w:cs="Times New Roman"/>
                      <w:color w:val="auto"/>
                      <w:sz w:val="21"/>
                      <w:szCs w:val="21"/>
                      <w:highlight w:val="none"/>
                      <w:shd w:val="clear" w:color="auto" w:fill="auto"/>
                      <w:vertAlign w:val="superscript"/>
                      <w:lang w:val="en-US" w:eastAsia="zh-CN"/>
                    </w:rPr>
                    <w:t>2</w:t>
                  </w:r>
                </w:p>
              </w:tc>
              <w:tc>
                <w:tcPr>
                  <w:tcW w:w="707" w:type="pct"/>
                  <w:vMerge w:val="continue"/>
                  <w:noWrap w:val="0"/>
                  <w:vAlign w:val="center"/>
                </w:tcPr>
                <w:p>
                  <w:pPr>
                    <w:spacing w:line="240" w:lineRule="auto"/>
                    <w:ind w:firstLine="0" w:firstLineChars="0"/>
                    <w:jc w:val="center"/>
                    <w:rPr>
                      <w:rFonts w:hint="eastAsia"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5"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854"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3F，建筑面积50m</w:t>
                  </w:r>
                  <w:r>
                    <w:rPr>
                      <w:rFonts w:hint="eastAsia" w:cs="Times New Roman"/>
                      <w:color w:val="auto"/>
                      <w:sz w:val="21"/>
                      <w:szCs w:val="21"/>
                      <w:highlight w:val="none"/>
                      <w:shd w:val="clear" w:color="auto" w:fill="auto"/>
                      <w:vertAlign w:val="superscript"/>
                      <w:lang w:val="en-US" w:eastAsia="zh-CN"/>
                    </w:rPr>
                    <w:t>2</w:t>
                  </w:r>
                </w:p>
              </w:tc>
              <w:tc>
                <w:tcPr>
                  <w:tcW w:w="1074" w:type="pct"/>
                  <w:vMerge w:val="continue"/>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p>
              </w:tc>
              <w:tc>
                <w:tcPr>
                  <w:tcW w:w="1118"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shd w:val="clear" w:color="auto" w:fill="auto"/>
                      <w:lang w:val="en-US" w:eastAsia="zh-CN" w:bidi="ar-SA"/>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3F，建筑面积50m</w:t>
                  </w:r>
                  <w:r>
                    <w:rPr>
                      <w:rFonts w:hint="eastAsia" w:cs="Times New Roman"/>
                      <w:color w:val="auto"/>
                      <w:sz w:val="21"/>
                      <w:szCs w:val="21"/>
                      <w:highlight w:val="none"/>
                      <w:shd w:val="clear" w:color="auto" w:fill="auto"/>
                      <w:vertAlign w:val="superscript"/>
                      <w:lang w:val="en-US" w:eastAsia="zh-CN"/>
                    </w:rPr>
                    <w:t>2</w:t>
                  </w:r>
                </w:p>
              </w:tc>
              <w:tc>
                <w:tcPr>
                  <w:tcW w:w="707" w:type="pct"/>
                  <w:vMerge w:val="continue"/>
                  <w:noWrap w:val="0"/>
                  <w:vAlign w:val="center"/>
                </w:tcPr>
                <w:p>
                  <w:pPr>
                    <w:spacing w:line="240" w:lineRule="auto"/>
                    <w:ind w:firstLine="0" w:firstLineChars="0"/>
                    <w:jc w:val="center"/>
                    <w:rPr>
                      <w:rFonts w:hint="eastAsia"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5"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管理层宿舍</w:t>
                  </w:r>
                </w:p>
              </w:tc>
              <w:tc>
                <w:tcPr>
                  <w:tcW w:w="854"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b w:val="0"/>
                      <w:bCs w:val="0"/>
                      <w:color w:val="auto"/>
                      <w:kern w:val="2"/>
                      <w:sz w:val="21"/>
                      <w:szCs w:val="21"/>
                      <w:highlight w:val="none"/>
                      <w:lang w:val="en-US" w:eastAsia="zh-CN" w:bidi="ar-SA"/>
                    </w:rPr>
                    <w:t>共4层，占地面积</w:t>
                  </w:r>
                  <w:r>
                    <w:rPr>
                      <w:rFonts w:hint="eastAsia" w:cs="Times New Roman"/>
                      <w:b w:val="0"/>
                      <w:bCs w:val="0"/>
                      <w:color w:val="auto"/>
                      <w:sz w:val="21"/>
                      <w:szCs w:val="21"/>
                      <w:highlight w:val="none"/>
                      <w:shd w:val="clear" w:color="auto" w:fill="auto"/>
                      <w:lang w:val="en-US" w:eastAsia="zh-CN"/>
                    </w:rPr>
                    <w:t>128.39m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，建筑面积513.57m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，总高14.2m</w:t>
                  </w:r>
                </w:p>
              </w:tc>
              <w:tc>
                <w:tcPr>
                  <w:tcW w:w="1074"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依托现有</w:t>
                  </w:r>
                </w:p>
              </w:tc>
              <w:tc>
                <w:tcPr>
                  <w:tcW w:w="1118" w:type="pct"/>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b w:val="0"/>
                      <w:bCs w:val="0"/>
                      <w:color w:val="auto"/>
                      <w:kern w:val="2"/>
                      <w:sz w:val="21"/>
                      <w:szCs w:val="21"/>
                      <w:highlight w:val="none"/>
                      <w:lang w:val="en-US" w:eastAsia="zh-CN" w:bidi="ar-SA"/>
                    </w:rPr>
                    <w:t>共4层，占地面积</w:t>
                  </w:r>
                  <w:r>
                    <w:rPr>
                      <w:rFonts w:hint="eastAsia" w:cs="Times New Roman"/>
                      <w:b w:val="0"/>
                      <w:bCs w:val="0"/>
                      <w:color w:val="auto"/>
                      <w:sz w:val="21"/>
                      <w:szCs w:val="21"/>
                      <w:highlight w:val="none"/>
                      <w:shd w:val="clear" w:color="auto" w:fill="auto"/>
                      <w:lang w:val="en-US" w:eastAsia="zh-CN"/>
                    </w:rPr>
                    <w:t>128.39m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，建筑面积513.57m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，总高14.2m</w:t>
                  </w:r>
                </w:p>
              </w:tc>
              <w:tc>
                <w:tcPr>
                  <w:tcW w:w="707" w:type="pct"/>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5"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员工</w:t>
                  </w:r>
                  <w:r>
                    <w:rPr>
                      <w:rFonts w:hint="default" w:ascii="Times New Roman" w:hAnsi="Times New Roman" w:eastAsia="宋体" w:cs="Times New Roman"/>
                      <w:color w:val="auto"/>
                      <w:sz w:val="21"/>
                      <w:szCs w:val="21"/>
                      <w:highlight w:val="none"/>
                      <w:lang w:val="en-US" w:eastAsia="zh-CN"/>
                    </w:rPr>
                    <w:t>宿舍</w:t>
                  </w:r>
                </w:p>
              </w:tc>
              <w:tc>
                <w:tcPr>
                  <w:tcW w:w="854"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共5层，总占地面积350.55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w:t>
                  </w:r>
                  <w:r>
                    <w:rPr>
                      <w:rFonts w:hint="eastAsia" w:cs="Times New Roman"/>
                      <w:b w:val="0"/>
                      <w:bCs w:val="0"/>
                      <w:color w:val="auto"/>
                      <w:kern w:val="2"/>
                      <w:sz w:val="21"/>
                      <w:szCs w:val="21"/>
                      <w:highlight w:val="none"/>
                      <w:lang w:val="en-US" w:eastAsia="zh-CN" w:bidi="ar-SA"/>
                    </w:rPr>
                    <w:t>总</w:t>
                  </w:r>
                  <w:r>
                    <w:rPr>
                      <w:rFonts w:hint="eastAsia" w:cs="Times New Roman"/>
                      <w:b w:val="0"/>
                      <w:bCs w:val="0"/>
                      <w:color w:val="auto"/>
                      <w:sz w:val="21"/>
                      <w:szCs w:val="21"/>
                      <w:highlight w:val="none"/>
                      <w:shd w:val="clear" w:color="auto" w:fill="auto"/>
                      <w:lang w:val="en-US" w:eastAsia="zh-CN"/>
                    </w:rPr>
                    <w:t>建筑面积1752.75m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，总高17.3m</w:t>
                  </w:r>
                </w:p>
              </w:tc>
              <w:tc>
                <w:tcPr>
                  <w:tcW w:w="1074"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依托现有</w:t>
                  </w:r>
                </w:p>
              </w:tc>
              <w:tc>
                <w:tcPr>
                  <w:tcW w:w="1118"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共5层，总占地面积350.55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w:t>
                  </w:r>
                  <w:r>
                    <w:rPr>
                      <w:rFonts w:hint="eastAsia" w:cs="Times New Roman"/>
                      <w:b w:val="0"/>
                      <w:bCs w:val="0"/>
                      <w:color w:val="auto"/>
                      <w:kern w:val="2"/>
                      <w:sz w:val="21"/>
                      <w:szCs w:val="21"/>
                      <w:highlight w:val="none"/>
                      <w:lang w:val="en-US" w:eastAsia="zh-CN" w:bidi="ar-SA"/>
                    </w:rPr>
                    <w:t>总</w:t>
                  </w:r>
                  <w:r>
                    <w:rPr>
                      <w:rFonts w:hint="eastAsia" w:cs="Times New Roman"/>
                      <w:b w:val="0"/>
                      <w:bCs w:val="0"/>
                      <w:color w:val="auto"/>
                      <w:sz w:val="21"/>
                      <w:szCs w:val="21"/>
                      <w:highlight w:val="none"/>
                      <w:shd w:val="clear" w:color="auto" w:fill="auto"/>
                      <w:lang w:val="en-US" w:eastAsia="zh-CN"/>
                    </w:rPr>
                    <w:t>建筑面积1752.75m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，总高17.3m</w:t>
                  </w:r>
                </w:p>
              </w:tc>
              <w:tc>
                <w:tcPr>
                  <w:tcW w:w="707" w:type="pct"/>
                  <w:noWrap w:val="0"/>
                  <w:vAlign w:val="center"/>
                </w:tcPr>
                <w:p>
                  <w:pPr>
                    <w:spacing w:line="240" w:lineRule="auto"/>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5"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食堂</w:t>
                  </w:r>
                </w:p>
              </w:tc>
              <w:tc>
                <w:tcPr>
                  <w:tcW w:w="854" w:type="pct"/>
                  <w:noWrap w:val="0"/>
                  <w:vAlign w:val="center"/>
                </w:tcPr>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位于</w:t>
                  </w:r>
                  <w:r>
                    <w:rPr>
                      <w:rFonts w:hint="eastAsia" w:cs="Times New Roman"/>
                      <w:color w:val="auto"/>
                      <w:sz w:val="21"/>
                      <w:szCs w:val="21"/>
                      <w:highlight w:val="none"/>
                      <w:lang w:val="en-US" w:eastAsia="zh-CN"/>
                    </w:rPr>
                    <w:t>员工</w:t>
                  </w:r>
                  <w:r>
                    <w:rPr>
                      <w:rFonts w:hint="default" w:ascii="Times New Roman" w:hAnsi="Times New Roman" w:eastAsia="宋体" w:cs="Times New Roman"/>
                      <w:color w:val="auto"/>
                      <w:sz w:val="21"/>
                      <w:szCs w:val="21"/>
                      <w:highlight w:val="none"/>
                      <w:lang w:val="en-US" w:eastAsia="zh-CN"/>
                    </w:rPr>
                    <w:t>宿舍</w:t>
                  </w:r>
                  <w:r>
                    <w:rPr>
                      <w:rFonts w:hint="eastAsia" w:cs="Times New Roman"/>
                      <w:color w:val="auto"/>
                      <w:sz w:val="21"/>
                      <w:szCs w:val="21"/>
                      <w:highlight w:val="none"/>
                      <w:lang w:val="en-US" w:eastAsia="zh-CN"/>
                    </w:rPr>
                    <w:t>1F，</w:t>
                  </w:r>
                  <w:r>
                    <w:rPr>
                      <w:rFonts w:hint="eastAsia" w:cs="Times New Roman"/>
                      <w:b w:val="0"/>
                      <w:bCs w:val="0"/>
                      <w:color w:val="auto"/>
                      <w:sz w:val="21"/>
                      <w:szCs w:val="21"/>
                      <w:highlight w:val="none"/>
                      <w:shd w:val="clear" w:color="auto" w:fill="auto"/>
                      <w:lang w:val="en-US" w:eastAsia="zh-CN"/>
                    </w:rPr>
                    <w:t>建筑面积</w:t>
                  </w:r>
                  <w:r>
                    <w:rPr>
                      <w:rFonts w:hint="eastAsia" w:cs="Times New Roman"/>
                      <w:b w:val="0"/>
                      <w:bCs w:val="0"/>
                      <w:color w:val="auto"/>
                      <w:kern w:val="2"/>
                      <w:sz w:val="21"/>
                      <w:szCs w:val="21"/>
                      <w:highlight w:val="none"/>
                      <w:lang w:val="en-US" w:eastAsia="zh-CN" w:bidi="ar-SA"/>
                    </w:rPr>
                    <w:t>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p>
              </w:tc>
              <w:tc>
                <w:tcPr>
                  <w:tcW w:w="1074"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依托现有</w:t>
                  </w:r>
                </w:p>
              </w:tc>
              <w:tc>
                <w:tcPr>
                  <w:tcW w:w="1118" w:type="pct"/>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color w:val="auto"/>
                      <w:sz w:val="21"/>
                      <w:szCs w:val="21"/>
                      <w:highlight w:val="none"/>
                      <w:shd w:val="clear" w:color="auto" w:fill="auto"/>
                      <w:lang w:val="en-US" w:eastAsia="zh-CN"/>
                    </w:rPr>
                    <w:t>位于</w:t>
                  </w:r>
                  <w:r>
                    <w:rPr>
                      <w:rFonts w:hint="eastAsia" w:cs="Times New Roman"/>
                      <w:color w:val="auto"/>
                      <w:sz w:val="21"/>
                      <w:szCs w:val="21"/>
                      <w:highlight w:val="none"/>
                      <w:lang w:val="en-US" w:eastAsia="zh-CN"/>
                    </w:rPr>
                    <w:t>员工</w:t>
                  </w:r>
                  <w:r>
                    <w:rPr>
                      <w:rFonts w:hint="default" w:ascii="Times New Roman" w:hAnsi="Times New Roman" w:eastAsia="宋体" w:cs="Times New Roman"/>
                      <w:color w:val="auto"/>
                      <w:sz w:val="21"/>
                      <w:szCs w:val="21"/>
                      <w:highlight w:val="none"/>
                      <w:lang w:val="en-US" w:eastAsia="zh-CN"/>
                    </w:rPr>
                    <w:t>宿舍</w:t>
                  </w:r>
                  <w:r>
                    <w:rPr>
                      <w:rFonts w:hint="eastAsia" w:cs="Times New Roman"/>
                      <w:color w:val="auto"/>
                      <w:sz w:val="21"/>
                      <w:szCs w:val="21"/>
                      <w:highlight w:val="none"/>
                      <w:lang w:val="en-US" w:eastAsia="zh-CN"/>
                    </w:rPr>
                    <w:t>1F，</w:t>
                  </w:r>
                  <w:r>
                    <w:rPr>
                      <w:rFonts w:hint="eastAsia" w:cs="Times New Roman"/>
                      <w:b w:val="0"/>
                      <w:bCs w:val="0"/>
                      <w:color w:val="auto"/>
                      <w:sz w:val="21"/>
                      <w:szCs w:val="21"/>
                      <w:highlight w:val="none"/>
                      <w:shd w:val="clear" w:color="auto" w:fill="auto"/>
                      <w:lang w:val="en-US" w:eastAsia="zh-CN"/>
                    </w:rPr>
                    <w:t>建筑面积</w:t>
                  </w:r>
                  <w:r>
                    <w:rPr>
                      <w:rFonts w:hint="eastAsia" w:cs="Times New Roman"/>
                      <w:b w:val="0"/>
                      <w:bCs w:val="0"/>
                      <w:color w:val="auto"/>
                      <w:kern w:val="2"/>
                      <w:sz w:val="21"/>
                      <w:szCs w:val="21"/>
                      <w:highlight w:val="none"/>
                      <w:lang w:val="en-US" w:eastAsia="zh-CN" w:bidi="ar-SA"/>
                    </w:rPr>
                    <w:t>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p>
              </w:tc>
              <w:tc>
                <w:tcPr>
                  <w:tcW w:w="707" w:type="pct"/>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排水系统</w:t>
                  </w:r>
                </w:p>
              </w:tc>
              <w:tc>
                <w:tcPr>
                  <w:tcW w:w="85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雨污分流，生活污水经三级化粪池预处理后经市政管网排到</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，处理达标后排入</w:t>
                  </w:r>
                  <w:r>
                    <w:rPr>
                      <w:rFonts w:hint="eastAsia" w:cs="Times New Roman"/>
                      <w:color w:val="FF0000"/>
                      <w:sz w:val="21"/>
                      <w:szCs w:val="21"/>
                      <w:highlight w:val="none"/>
                      <w:lang w:val="en-US" w:eastAsia="zh-CN"/>
                    </w:rPr>
                    <w:t>石湾镇中心排渠，再汇入</w:t>
                  </w:r>
                  <w:r>
                    <w:rPr>
                      <w:rFonts w:hint="eastAsia"/>
                      <w:color w:val="FF0000"/>
                      <w:sz w:val="21"/>
                      <w:szCs w:val="21"/>
                      <w:lang w:val="en-US" w:eastAsia="zh-CN"/>
                    </w:rPr>
                    <w:t>联合排洪渠，</w:t>
                  </w:r>
                  <w:r>
                    <w:rPr>
                      <w:rFonts w:hint="default" w:ascii="Times New Roman" w:hAnsi="Times New Roman" w:eastAsia="宋体" w:cs="Times New Roman"/>
                      <w:color w:val="FF0000"/>
                      <w:sz w:val="21"/>
                      <w:szCs w:val="21"/>
                      <w:highlight w:val="none"/>
                      <w:lang w:val="en-US" w:eastAsia="zh-CN"/>
                    </w:rPr>
                    <w:t>汇入</w:t>
                  </w:r>
                  <w:r>
                    <w:rPr>
                      <w:rFonts w:hint="eastAsia"/>
                      <w:color w:val="FF0000"/>
                      <w:sz w:val="21"/>
                      <w:szCs w:val="21"/>
                      <w:lang w:val="en-US" w:eastAsia="zh-CN"/>
                    </w:rPr>
                    <w:t>东江</w:t>
                  </w:r>
                  <w:r>
                    <w:rPr>
                      <w:rFonts w:hint="default" w:ascii="Times New Roman" w:hAnsi="Times New Roman" w:eastAsia="宋体" w:cs="Times New Roman"/>
                      <w:color w:val="auto"/>
                      <w:sz w:val="21"/>
                      <w:szCs w:val="21"/>
                      <w:highlight w:val="none"/>
                      <w:lang w:val="en-US" w:eastAsia="zh-CN"/>
                    </w:rPr>
                    <w:t>。</w:t>
                  </w:r>
                </w:p>
              </w:tc>
              <w:tc>
                <w:tcPr>
                  <w:tcW w:w="107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雨污分流，生活污水经三级化粪池预处理后经市政管网排到</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，处理达标后排入</w:t>
                  </w:r>
                  <w:r>
                    <w:rPr>
                      <w:rFonts w:hint="eastAsia" w:cs="Times New Roman"/>
                      <w:color w:val="FF0000"/>
                      <w:sz w:val="21"/>
                      <w:szCs w:val="21"/>
                      <w:highlight w:val="none"/>
                      <w:lang w:val="en-US" w:eastAsia="zh-CN"/>
                    </w:rPr>
                    <w:t>石湾镇中心排渠，再汇入</w:t>
                  </w:r>
                  <w:r>
                    <w:rPr>
                      <w:rFonts w:hint="eastAsia"/>
                      <w:color w:val="FF0000"/>
                      <w:sz w:val="21"/>
                      <w:szCs w:val="21"/>
                      <w:lang w:val="en-US" w:eastAsia="zh-CN"/>
                    </w:rPr>
                    <w:t>联合排洪渠，</w:t>
                  </w:r>
                  <w:r>
                    <w:rPr>
                      <w:rFonts w:hint="default" w:ascii="Times New Roman" w:hAnsi="Times New Roman" w:eastAsia="宋体" w:cs="Times New Roman"/>
                      <w:color w:val="FF0000"/>
                      <w:sz w:val="21"/>
                      <w:szCs w:val="21"/>
                      <w:highlight w:val="none"/>
                      <w:lang w:val="en-US" w:eastAsia="zh-CN"/>
                    </w:rPr>
                    <w:t>汇入</w:t>
                  </w:r>
                  <w:r>
                    <w:rPr>
                      <w:rFonts w:hint="eastAsia"/>
                      <w:color w:val="FF0000"/>
                      <w:sz w:val="21"/>
                      <w:szCs w:val="21"/>
                      <w:lang w:val="en-US" w:eastAsia="zh-CN"/>
                    </w:rPr>
                    <w:t>东江。</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restart"/>
                  <w:noWrap w:val="0"/>
                  <w:vAlign w:val="center"/>
                </w:tcPr>
                <w:p>
                  <w:pPr>
                    <w:spacing w:line="240" w:lineRule="auto"/>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4</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公用工程</w:t>
                  </w: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给水系统</w:t>
                  </w:r>
                </w:p>
              </w:tc>
              <w:tc>
                <w:tcPr>
                  <w:tcW w:w="854"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市政水网供给</w:t>
                  </w:r>
                </w:p>
              </w:tc>
              <w:tc>
                <w:tcPr>
                  <w:tcW w:w="1074"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市政水网供给</w:t>
                  </w:r>
                </w:p>
              </w:tc>
              <w:tc>
                <w:tcPr>
                  <w:tcW w:w="707"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widowControl/>
                    <w:autoSpaceDE w:val="0"/>
                    <w:autoSpaceDN w:val="0"/>
                    <w:adjustRightInd w:val="0"/>
                    <w:spacing w:line="240" w:lineRule="auto"/>
                    <w:ind w:firstLine="0" w:firstLineChars="0"/>
                    <w:jc w:val="center"/>
                    <w:textAlignment w:val="baseline"/>
                    <w:rPr>
                      <w:rFonts w:hint="default"/>
                      <w:color w:val="auto"/>
                      <w:sz w:val="21"/>
                      <w:szCs w:val="21"/>
                    </w:rPr>
                  </w:pPr>
                  <w:r>
                    <w:rPr>
                      <w:rFonts w:hint="default"/>
                      <w:color w:val="auto"/>
                      <w:sz w:val="21"/>
                      <w:szCs w:val="21"/>
                    </w:rPr>
                    <w:t>供电</w:t>
                  </w:r>
                </w:p>
              </w:tc>
              <w:tc>
                <w:tcPr>
                  <w:tcW w:w="854" w:type="pct"/>
                  <w:noWrap w:val="0"/>
                  <w:vAlign w:val="center"/>
                </w:tcPr>
                <w:p>
                  <w:pPr>
                    <w:widowControl/>
                    <w:autoSpaceDE w:val="0"/>
                    <w:autoSpaceDN w:val="0"/>
                    <w:adjustRightInd w:val="0"/>
                    <w:spacing w:line="240" w:lineRule="auto"/>
                    <w:ind w:firstLine="0" w:firstLineChars="0"/>
                    <w:jc w:val="center"/>
                    <w:textAlignment w:val="baseline"/>
                    <w:rPr>
                      <w:rFonts w:hint="default"/>
                      <w:color w:val="auto"/>
                      <w:sz w:val="21"/>
                      <w:szCs w:val="21"/>
                      <w:lang w:val="en-US" w:eastAsia="zh-CN"/>
                    </w:rPr>
                  </w:pPr>
                  <w:r>
                    <w:rPr>
                      <w:rFonts w:hint="eastAsia"/>
                      <w:color w:val="auto"/>
                      <w:sz w:val="21"/>
                      <w:szCs w:val="21"/>
                      <w:lang w:val="en-US" w:eastAsia="zh-CN"/>
                    </w:rPr>
                    <w:t>变电房建筑面积61.49m</w:t>
                  </w:r>
                  <w:r>
                    <w:rPr>
                      <w:rFonts w:hint="eastAsia"/>
                      <w:color w:val="auto"/>
                      <w:sz w:val="21"/>
                      <w:szCs w:val="21"/>
                      <w:vertAlign w:val="superscript"/>
                      <w:lang w:val="en-US" w:eastAsia="zh-CN"/>
                    </w:rPr>
                    <w:t>2</w:t>
                  </w:r>
                  <w:r>
                    <w:rPr>
                      <w:rFonts w:hint="eastAsia"/>
                      <w:color w:val="auto"/>
                      <w:sz w:val="21"/>
                      <w:szCs w:val="21"/>
                      <w:lang w:eastAsia="zh-CN"/>
                    </w:rPr>
                    <w:t>，</w:t>
                  </w:r>
                  <w:r>
                    <w:rPr>
                      <w:rFonts w:hint="default"/>
                      <w:color w:val="auto"/>
                      <w:sz w:val="21"/>
                      <w:szCs w:val="21"/>
                    </w:rPr>
                    <w:t>市政电网供给，不设备用发电机</w:t>
                  </w:r>
                </w:p>
              </w:tc>
              <w:tc>
                <w:tcPr>
                  <w:tcW w:w="107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变电房建筑面积61.49m</w:t>
                  </w:r>
                  <w:r>
                    <w:rPr>
                      <w:rFonts w:hint="eastAsia" w:cs="Times New Roman"/>
                      <w:color w:val="auto"/>
                      <w:sz w:val="21"/>
                      <w:szCs w:val="21"/>
                      <w:highlight w:val="none"/>
                      <w:vertAlign w:val="superscript"/>
                      <w:lang w:val="en-US" w:eastAsia="zh-CN"/>
                    </w:rPr>
                    <w:t>2</w:t>
                  </w:r>
                  <w:r>
                    <w:rPr>
                      <w:rFonts w:hint="eastAsia"/>
                      <w:color w:val="auto"/>
                      <w:sz w:val="21"/>
                      <w:szCs w:val="21"/>
                      <w:lang w:eastAsia="zh-CN"/>
                    </w:rPr>
                    <w:t>，</w:t>
                  </w:r>
                  <w:r>
                    <w:rPr>
                      <w:rFonts w:hint="default" w:ascii="Times New Roman" w:hAnsi="Times New Roman" w:eastAsia="宋体" w:cs="Times New Roman"/>
                      <w:color w:val="auto"/>
                      <w:sz w:val="21"/>
                      <w:szCs w:val="21"/>
                      <w:highlight w:val="none"/>
                    </w:rPr>
                    <w:t>市政电网供给，不设备用发电机</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restart"/>
                  <w:noWrap w:val="0"/>
                  <w:vAlign w:val="center"/>
                </w:tcPr>
                <w:p>
                  <w:pPr>
                    <w:spacing w:line="240" w:lineRule="auto"/>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5</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环保工程</w:t>
                  </w:r>
                </w:p>
              </w:tc>
              <w:tc>
                <w:tcPr>
                  <w:tcW w:w="240" w:type="pct"/>
                  <w:vMerge w:val="restar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w:t>
                  </w:r>
                </w:p>
              </w:tc>
              <w:tc>
                <w:tcPr>
                  <w:tcW w:w="380"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生活污水</w:t>
                  </w:r>
                </w:p>
              </w:tc>
              <w:tc>
                <w:tcPr>
                  <w:tcW w:w="854"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生活污水经三级化粪池预处理后排入</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w:t>
                  </w:r>
                </w:p>
              </w:tc>
              <w:tc>
                <w:tcPr>
                  <w:tcW w:w="10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w:t>
                  </w:r>
                  <w:r>
                    <w:rPr>
                      <w:rFonts w:hint="eastAsia" w:ascii="Times New Roman" w:hAnsi="Times New Roman" w:eastAsia="宋体" w:cs="Times New Roman"/>
                      <w:color w:val="auto"/>
                      <w:sz w:val="21"/>
                      <w:szCs w:val="21"/>
                      <w:highlight w:val="none"/>
                      <w:lang w:val="en-US" w:eastAsia="zh-CN"/>
                    </w:rPr>
                    <w:t>现有</w:t>
                  </w:r>
                </w:p>
              </w:tc>
              <w:tc>
                <w:tcPr>
                  <w:tcW w:w="11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生活污水经三级化粪池预处理后排入</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380"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注塑冷却水</w:t>
                  </w:r>
                </w:p>
              </w:tc>
              <w:tc>
                <w:tcPr>
                  <w:tcW w:w="85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none"/>
                      <w:lang w:val="en-US" w:eastAsia="zh-CN"/>
                    </w:rPr>
                    <w:t>共计1个冷却塔，冷却水循环使用，不外排</w:t>
                  </w:r>
                </w:p>
              </w:tc>
              <w:tc>
                <w:tcPr>
                  <w:tcW w:w="1074" w:type="pct"/>
                  <w:noWrap w:val="0"/>
                  <w:vAlign w:val="center"/>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新增1个冷却塔</w:t>
                  </w:r>
                </w:p>
              </w:tc>
              <w:tc>
                <w:tcPr>
                  <w:tcW w:w="111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eastAsia" w:cs="Times New Roman"/>
                      <w:color w:val="FF0000"/>
                      <w:sz w:val="21"/>
                      <w:szCs w:val="21"/>
                      <w:highlight w:val="none"/>
                      <w:lang w:val="en-US" w:eastAsia="zh-CN"/>
                    </w:rPr>
                    <w:t>共计2个冷却塔，冷却水循环使用，不外排</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olor w:val="auto"/>
                      <w:sz w:val="21"/>
                      <w:szCs w:val="21"/>
                      <w:lang w:val="en-US" w:eastAsia="zh-CN"/>
                    </w:rPr>
                    <w:t>新增1个冷却塔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380" w:type="pct"/>
                  <w:noWrap w:val="0"/>
                  <w:vAlign w:val="center"/>
                </w:tcPr>
                <w:p>
                  <w:pPr>
                    <w:widowControl/>
                    <w:autoSpaceDE w:val="0"/>
                    <w:autoSpaceDN w:val="0"/>
                    <w:adjustRightInd w:val="0"/>
                    <w:spacing w:line="240" w:lineRule="auto"/>
                    <w:ind w:firstLine="0" w:firstLineChars="0"/>
                    <w:jc w:val="center"/>
                    <w:textAlignment w:val="baseline"/>
                    <w:rPr>
                      <w:rFonts w:hint="default"/>
                      <w:color w:val="auto"/>
                      <w:sz w:val="21"/>
                      <w:szCs w:val="21"/>
                      <w:lang w:val="en-US" w:eastAsia="zh-CN"/>
                    </w:rPr>
                  </w:pPr>
                  <w:r>
                    <w:rPr>
                      <w:rFonts w:hint="eastAsia"/>
                      <w:color w:val="auto"/>
                      <w:sz w:val="21"/>
                      <w:szCs w:val="21"/>
                      <w:lang w:val="en-US" w:eastAsia="zh-CN"/>
                    </w:rPr>
                    <w:t>水帘柜废水</w:t>
                  </w:r>
                </w:p>
              </w:tc>
              <w:tc>
                <w:tcPr>
                  <w:tcW w:w="854"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074"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每半年更换1次，经收集后委托有危险废物处置资质单位处理，不外排</w:t>
                  </w:r>
                </w:p>
              </w:tc>
              <w:tc>
                <w:tcPr>
                  <w:tcW w:w="1118"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olor w:val="auto"/>
                      <w:sz w:val="21"/>
                      <w:szCs w:val="21"/>
                      <w:lang w:val="en-US" w:eastAsia="zh-CN"/>
                    </w:rPr>
                    <w:t>每半年更换1次，经收集后委托有危险废物处置资质单位处理，不外排</w:t>
                  </w:r>
                </w:p>
              </w:tc>
              <w:tc>
                <w:tcPr>
                  <w:tcW w:w="707"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每半年更换1次，经收集后委托有危险废物处置资质单位处理，不外排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380" w:type="pct"/>
                  <w:noWrap w:val="0"/>
                  <w:vAlign w:val="center"/>
                </w:tcPr>
                <w:p>
                  <w:pPr>
                    <w:widowControl/>
                    <w:autoSpaceDE w:val="0"/>
                    <w:autoSpaceDN w:val="0"/>
                    <w:adjustRightInd w:val="0"/>
                    <w:spacing w:line="240" w:lineRule="auto"/>
                    <w:ind w:firstLine="0" w:firstLineChars="0"/>
                    <w:jc w:val="center"/>
                    <w:textAlignment w:val="baseline"/>
                    <w:rPr>
                      <w:rFonts w:hint="eastAsia"/>
                      <w:color w:val="auto"/>
                      <w:sz w:val="21"/>
                      <w:szCs w:val="21"/>
                      <w:lang w:val="en-US" w:eastAsia="zh-CN"/>
                    </w:rPr>
                  </w:pPr>
                  <w:r>
                    <w:rPr>
                      <w:rFonts w:hint="eastAsia"/>
                      <w:color w:val="auto"/>
                      <w:sz w:val="21"/>
                      <w:szCs w:val="21"/>
                      <w:lang w:val="en-US" w:eastAsia="zh-CN"/>
                    </w:rPr>
                    <w:t>喷枪清洗废水</w:t>
                  </w:r>
                </w:p>
              </w:tc>
              <w:tc>
                <w:tcPr>
                  <w:tcW w:w="854"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074"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每天清洗1次，经收集后委托有危险废物处置资质单位处理，不外排</w:t>
                  </w:r>
                </w:p>
              </w:tc>
              <w:tc>
                <w:tcPr>
                  <w:tcW w:w="1118"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每天清洗1次，经收集后委托有危险废物处置资质单位处理，不外排</w:t>
                  </w:r>
                </w:p>
              </w:tc>
              <w:tc>
                <w:tcPr>
                  <w:tcW w:w="707"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每天清洗1次，经收集后委托有危险废物处置资质单位处理，不外排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380" w:type="pct"/>
                  <w:noWrap w:val="0"/>
                  <w:vAlign w:val="center"/>
                </w:tcPr>
                <w:p>
                  <w:pPr>
                    <w:widowControl/>
                    <w:autoSpaceDE w:val="0"/>
                    <w:autoSpaceDN w:val="0"/>
                    <w:adjustRightInd w:val="0"/>
                    <w:spacing w:line="240" w:lineRule="auto"/>
                    <w:ind w:firstLine="0" w:firstLineChars="0"/>
                    <w:jc w:val="center"/>
                    <w:textAlignment w:val="baseline"/>
                    <w:rPr>
                      <w:rFonts w:hint="default" w:cs="Times New Roman"/>
                      <w:color w:val="4F0FBD"/>
                      <w:sz w:val="21"/>
                      <w:szCs w:val="21"/>
                      <w:highlight w:val="none"/>
                      <w:lang w:val="en-US" w:eastAsia="zh-CN"/>
                    </w:rPr>
                  </w:pPr>
                  <w:r>
                    <w:rPr>
                      <w:rFonts w:hint="eastAsia" w:cs="Times New Roman"/>
                      <w:color w:val="4F0FBD"/>
                      <w:sz w:val="21"/>
                      <w:szCs w:val="21"/>
                      <w:highlight w:val="none"/>
                      <w:lang w:val="en-US" w:eastAsia="zh-CN"/>
                    </w:rPr>
                    <w:t>喷漆及丝印喷淋废水</w:t>
                  </w:r>
                </w:p>
              </w:tc>
              <w:tc>
                <w:tcPr>
                  <w:tcW w:w="854" w:type="pct"/>
                  <w:noWrap w:val="0"/>
                  <w:vAlign w:val="center"/>
                </w:tcPr>
                <w:p>
                  <w:pPr>
                    <w:spacing w:line="240" w:lineRule="auto"/>
                    <w:ind w:firstLine="0" w:firstLineChars="0"/>
                    <w:jc w:val="center"/>
                    <w:rPr>
                      <w:rFonts w:hint="default" w:cs="Times New Roman"/>
                      <w:color w:val="4F0FBD"/>
                      <w:sz w:val="21"/>
                      <w:szCs w:val="21"/>
                      <w:highlight w:val="none"/>
                      <w:lang w:val="en-US" w:eastAsia="zh-CN"/>
                    </w:rPr>
                  </w:pPr>
                  <w:r>
                    <w:rPr>
                      <w:rFonts w:hint="eastAsia" w:cs="Times New Roman"/>
                      <w:color w:val="4F0FBD"/>
                      <w:sz w:val="21"/>
                      <w:szCs w:val="21"/>
                      <w:highlight w:val="none"/>
                      <w:lang w:val="en-US" w:eastAsia="zh-CN"/>
                    </w:rPr>
                    <w:t>/</w:t>
                  </w:r>
                </w:p>
              </w:tc>
              <w:tc>
                <w:tcPr>
                  <w:tcW w:w="1074" w:type="pct"/>
                  <w:noWrap w:val="0"/>
                  <w:vAlign w:val="center"/>
                </w:tcPr>
                <w:p>
                  <w:pPr>
                    <w:spacing w:line="240" w:lineRule="auto"/>
                    <w:ind w:firstLine="0" w:firstLineChars="0"/>
                    <w:jc w:val="center"/>
                    <w:rPr>
                      <w:rFonts w:hint="eastAsia"/>
                      <w:color w:val="4F0FBD"/>
                      <w:sz w:val="21"/>
                      <w:szCs w:val="21"/>
                      <w:lang w:val="en-US" w:eastAsia="zh-CN"/>
                    </w:rPr>
                  </w:pPr>
                  <w:r>
                    <w:rPr>
                      <w:rFonts w:hint="eastAsia"/>
                      <w:color w:val="4F0FBD"/>
                      <w:sz w:val="21"/>
                      <w:szCs w:val="21"/>
                      <w:lang w:val="en-US" w:eastAsia="zh-CN"/>
                    </w:rPr>
                    <w:t>每半年更换1次，经收集后委托有危险废物处置资质单位处理，不外排</w:t>
                  </w:r>
                </w:p>
              </w:tc>
              <w:tc>
                <w:tcPr>
                  <w:tcW w:w="1118" w:type="pct"/>
                  <w:noWrap w:val="0"/>
                  <w:vAlign w:val="center"/>
                </w:tcPr>
                <w:p>
                  <w:pPr>
                    <w:spacing w:line="240" w:lineRule="auto"/>
                    <w:ind w:firstLine="0" w:firstLineChars="0"/>
                    <w:jc w:val="center"/>
                    <w:rPr>
                      <w:rFonts w:hint="eastAsia" w:cs="Times New Roman"/>
                      <w:color w:val="4F0FBD"/>
                      <w:sz w:val="21"/>
                      <w:szCs w:val="21"/>
                      <w:highlight w:val="none"/>
                      <w:lang w:val="en-US" w:eastAsia="zh-CN"/>
                    </w:rPr>
                  </w:pPr>
                  <w:r>
                    <w:rPr>
                      <w:rFonts w:hint="eastAsia"/>
                      <w:color w:val="4F0FBD"/>
                      <w:sz w:val="21"/>
                      <w:szCs w:val="21"/>
                      <w:lang w:val="en-US" w:eastAsia="zh-CN"/>
                    </w:rPr>
                    <w:t>每半年更换1次，经收集后委托有危险废物处置资质单位处理，不外排</w:t>
                  </w:r>
                </w:p>
              </w:tc>
              <w:tc>
                <w:tcPr>
                  <w:tcW w:w="707" w:type="pct"/>
                  <w:noWrap w:val="0"/>
                  <w:vAlign w:val="center"/>
                </w:tcPr>
                <w:p>
                  <w:pPr>
                    <w:spacing w:line="240" w:lineRule="auto"/>
                    <w:ind w:firstLine="0" w:firstLineChars="0"/>
                    <w:jc w:val="center"/>
                    <w:rPr>
                      <w:rFonts w:hint="eastAsia"/>
                      <w:color w:val="4F0FBD"/>
                      <w:sz w:val="21"/>
                      <w:szCs w:val="21"/>
                      <w:lang w:val="en-US" w:eastAsia="zh-CN"/>
                    </w:rPr>
                  </w:pPr>
                  <w:r>
                    <w:rPr>
                      <w:rFonts w:hint="eastAsia"/>
                      <w:color w:val="4F0FBD"/>
                      <w:sz w:val="21"/>
                      <w:szCs w:val="21"/>
                      <w:lang w:val="en-US" w:eastAsia="zh-CN"/>
                    </w:rPr>
                    <w:t>每半年更换1次，经收集后委托有危险废物处置资质单位处理，不外排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380" w:type="pct"/>
                  <w:noWrap w:val="0"/>
                  <w:vAlign w:val="center"/>
                </w:tcPr>
                <w:p>
                  <w:pPr>
                    <w:widowControl/>
                    <w:autoSpaceDE w:val="0"/>
                    <w:autoSpaceDN w:val="0"/>
                    <w:adjustRightInd w:val="0"/>
                    <w:spacing w:line="240" w:lineRule="auto"/>
                    <w:ind w:firstLine="0" w:firstLineChars="0"/>
                    <w:jc w:val="center"/>
                    <w:textAlignment w:val="baseline"/>
                    <w:rPr>
                      <w:rFonts w:hint="default" w:cs="Times New Roman"/>
                      <w:color w:val="4F0FBD"/>
                      <w:sz w:val="21"/>
                      <w:szCs w:val="21"/>
                      <w:highlight w:val="none"/>
                      <w:lang w:val="en-US" w:eastAsia="zh-CN"/>
                    </w:rPr>
                  </w:pPr>
                  <w:r>
                    <w:rPr>
                      <w:rFonts w:hint="eastAsia" w:cs="Times New Roman"/>
                      <w:color w:val="4F0FBD"/>
                      <w:sz w:val="21"/>
                      <w:szCs w:val="21"/>
                      <w:highlight w:val="none"/>
                      <w:lang w:val="en-US" w:eastAsia="zh-CN"/>
                    </w:rPr>
                    <w:t>注塑喷淋废水</w:t>
                  </w:r>
                </w:p>
              </w:tc>
              <w:tc>
                <w:tcPr>
                  <w:tcW w:w="854" w:type="pct"/>
                  <w:noWrap w:val="0"/>
                  <w:vAlign w:val="center"/>
                </w:tcPr>
                <w:p>
                  <w:pPr>
                    <w:spacing w:line="240" w:lineRule="auto"/>
                    <w:ind w:firstLine="0" w:firstLineChars="0"/>
                    <w:jc w:val="center"/>
                    <w:rPr>
                      <w:rFonts w:hint="default" w:cs="Times New Roman"/>
                      <w:color w:val="4F0FBD"/>
                      <w:sz w:val="21"/>
                      <w:szCs w:val="21"/>
                      <w:highlight w:val="none"/>
                      <w:lang w:val="en-US" w:eastAsia="zh-CN"/>
                    </w:rPr>
                  </w:pPr>
                  <w:r>
                    <w:rPr>
                      <w:rFonts w:hint="eastAsia" w:cs="Times New Roman"/>
                      <w:color w:val="4F0FBD"/>
                      <w:sz w:val="21"/>
                      <w:szCs w:val="21"/>
                      <w:highlight w:val="none"/>
                      <w:lang w:val="en-US" w:eastAsia="zh-CN"/>
                    </w:rPr>
                    <w:t>/</w:t>
                  </w:r>
                </w:p>
              </w:tc>
              <w:tc>
                <w:tcPr>
                  <w:tcW w:w="1074" w:type="pct"/>
                  <w:noWrap w:val="0"/>
                  <w:vAlign w:val="center"/>
                </w:tcPr>
                <w:p>
                  <w:pPr>
                    <w:spacing w:line="240" w:lineRule="auto"/>
                    <w:ind w:firstLine="0" w:firstLineChars="0"/>
                    <w:jc w:val="center"/>
                    <w:rPr>
                      <w:rFonts w:hint="default"/>
                      <w:color w:val="FF0000"/>
                      <w:sz w:val="21"/>
                      <w:szCs w:val="21"/>
                      <w:highlight w:val="green"/>
                      <w:lang w:val="en-US" w:eastAsia="zh-CN"/>
                    </w:rPr>
                  </w:pPr>
                  <w:r>
                    <w:rPr>
                      <w:rFonts w:hint="eastAsia"/>
                      <w:color w:val="FF0000"/>
                      <w:sz w:val="21"/>
                      <w:szCs w:val="21"/>
                      <w:highlight w:val="green"/>
                      <w:lang w:val="en-US" w:eastAsia="zh-CN"/>
                    </w:rPr>
                    <w:t>每半年更换1次，经收集后委托有危险废物处置资质单位处理，不外排</w:t>
                  </w:r>
                </w:p>
              </w:tc>
              <w:tc>
                <w:tcPr>
                  <w:tcW w:w="1118" w:type="pct"/>
                  <w:noWrap w:val="0"/>
                  <w:vAlign w:val="center"/>
                </w:tcPr>
                <w:p>
                  <w:pPr>
                    <w:spacing w:line="240" w:lineRule="auto"/>
                    <w:ind w:firstLine="0" w:firstLineChars="0"/>
                    <w:jc w:val="center"/>
                    <w:rPr>
                      <w:rFonts w:hint="eastAsia"/>
                      <w:color w:val="FF0000"/>
                      <w:sz w:val="21"/>
                      <w:szCs w:val="21"/>
                      <w:highlight w:val="green"/>
                      <w:lang w:val="en-US" w:eastAsia="zh-CN"/>
                    </w:rPr>
                  </w:pPr>
                  <w:r>
                    <w:rPr>
                      <w:rFonts w:hint="eastAsia"/>
                      <w:color w:val="FF0000"/>
                      <w:sz w:val="21"/>
                      <w:szCs w:val="21"/>
                      <w:highlight w:val="green"/>
                      <w:lang w:val="en-US" w:eastAsia="zh-CN"/>
                    </w:rPr>
                    <w:t>每半年更换1次，经收集后委托有危险废物处置资质单位处理，不外排</w:t>
                  </w:r>
                </w:p>
              </w:tc>
              <w:tc>
                <w:tcPr>
                  <w:tcW w:w="707" w:type="pct"/>
                  <w:noWrap w:val="0"/>
                  <w:vAlign w:val="center"/>
                </w:tcPr>
                <w:p>
                  <w:pPr>
                    <w:spacing w:line="240" w:lineRule="auto"/>
                    <w:ind w:firstLine="0" w:firstLineChars="0"/>
                    <w:jc w:val="center"/>
                    <w:rPr>
                      <w:rFonts w:hint="eastAsia"/>
                      <w:color w:val="FF0000"/>
                      <w:sz w:val="21"/>
                      <w:szCs w:val="21"/>
                      <w:highlight w:val="green"/>
                      <w:lang w:val="en-US" w:eastAsia="zh-CN"/>
                    </w:rPr>
                  </w:pPr>
                  <w:r>
                    <w:rPr>
                      <w:rFonts w:hint="eastAsia"/>
                      <w:color w:val="FF0000"/>
                      <w:sz w:val="21"/>
                      <w:szCs w:val="21"/>
                      <w:highlight w:val="green"/>
                      <w:lang w:val="en-US" w:eastAsia="zh-CN"/>
                    </w:rPr>
                    <w:t>每半年更换1次，经收集后委托有危险废物处置资质单位处理，不外排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3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焊接</w:t>
                  </w:r>
                </w:p>
              </w:tc>
              <w:tc>
                <w:tcPr>
                  <w:tcW w:w="854"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现有项目注塑及焊接废气经一套“活性炭吸附装置”处理达标后经1根15m高的排气筒DA001高空排放</w:t>
                  </w:r>
                </w:p>
              </w:tc>
              <w:tc>
                <w:tcPr>
                  <w:tcW w:w="1074"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现有项目废气处理设施整改为“水喷淋+干式过滤器+二级活性炭吸附装置”，新增的注塑废气依托整改后的废气处理措施处理达标后经1根15m高的排气筒DA001高空排放</w:t>
                  </w:r>
                </w:p>
              </w:tc>
              <w:tc>
                <w:tcPr>
                  <w:tcW w:w="111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扩建后注塑及焊接废气经一套“水喷淋+干式过滤器+二级活性炭吸附装置”处理达标后经1根15m高的排气筒DA001高空排放</w:t>
                  </w:r>
                </w:p>
              </w:tc>
              <w:tc>
                <w:tcPr>
                  <w:tcW w:w="707"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新增的注塑废气依托整改后的废气处理措施处理达标后经1根15m高的排气筒DA001高空排放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注塑</w:t>
                  </w:r>
                </w:p>
              </w:tc>
              <w:tc>
                <w:tcPr>
                  <w:tcW w:w="854"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074"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11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707"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0"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混料及破碎</w:t>
                  </w:r>
                </w:p>
              </w:tc>
              <w:tc>
                <w:tcPr>
                  <w:tcW w:w="85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07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green"/>
                      <w:lang w:val="en-US" w:eastAsia="zh-CN"/>
                    </w:rPr>
                    <w:t>混料及破碎工序产生的废气经一套“布袋除尘器置”处理达标后经1根15m高的排气筒DA002高空排放</w:t>
                  </w:r>
                </w:p>
              </w:tc>
              <w:tc>
                <w:tcPr>
                  <w:tcW w:w="111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FF0000"/>
                      <w:sz w:val="21"/>
                      <w:szCs w:val="21"/>
                      <w:highlight w:val="green"/>
                      <w:lang w:val="en-US" w:eastAsia="zh-CN"/>
                    </w:rPr>
                    <w:t>混料及破碎工序产生的废气经一套“布袋除尘器置”处理达标后经1根15m高的排气筒DA002高空排放</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green"/>
                      <w:lang w:val="en-US" w:eastAsia="zh-CN"/>
                    </w:rPr>
                    <w:t>混料及破碎工序产生的废气经一套“布袋除尘器置”处理达标后经1根15m高的排气筒DA002高空排放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0"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FF0000"/>
                      <w:sz w:val="21"/>
                      <w:szCs w:val="21"/>
                      <w:highlight w:val="none"/>
                      <w:lang w:val="en-US" w:eastAsia="zh-CN"/>
                    </w:rPr>
                    <w:t>机加工及打磨</w:t>
                  </w:r>
                </w:p>
              </w:tc>
              <w:tc>
                <w:tcPr>
                  <w:tcW w:w="854"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074"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FF0000"/>
                      <w:sz w:val="21"/>
                      <w:szCs w:val="21"/>
                      <w:highlight w:val="green"/>
                      <w:lang w:val="en-US" w:eastAsia="zh-CN"/>
                    </w:rPr>
                    <w:t>机加工及打磨工序产生的废气经一套“布袋除尘器置”处理达标后经1根15m高的排气筒DA004高空排放</w:t>
                  </w:r>
                </w:p>
              </w:tc>
              <w:tc>
                <w:tcPr>
                  <w:tcW w:w="1118"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FF0000"/>
                      <w:sz w:val="21"/>
                      <w:szCs w:val="21"/>
                      <w:highlight w:val="green"/>
                      <w:lang w:val="en-US" w:eastAsia="zh-CN"/>
                    </w:rPr>
                    <w:t>机加工及打磨工序产生的废气经一套“布袋除尘器置”处理达标后经1根15m高的排气筒DA004高空排放</w:t>
                  </w:r>
                </w:p>
              </w:tc>
              <w:tc>
                <w:tcPr>
                  <w:tcW w:w="707"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FF0000"/>
                      <w:sz w:val="21"/>
                      <w:szCs w:val="21"/>
                      <w:highlight w:val="green"/>
                      <w:lang w:val="en-US" w:eastAsia="zh-CN"/>
                    </w:rPr>
                    <w:t>机加工及打磨工序产生的废气经一套“布袋除尘器置”处理达标后经1根15m高的排气筒DA004高空排放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喷漆及烘烤</w:t>
                  </w:r>
                </w:p>
              </w:tc>
              <w:tc>
                <w:tcPr>
                  <w:tcW w:w="85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074"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none"/>
                      <w:lang w:val="en-US" w:eastAsia="zh-CN"/>
                    </w:rPr>
                    <w:t>漆雾经水帘柜预处理后与喷漆及烘烤、丝印及烘烤产生的有机废气</w:t>
                  </w:r>
                  <w:r>
                    <w:rPr>
                      <w:rFonts w:hint="eastAsia" w:cs="Times New Roman"/>
                      <w:color w:val="auto"/>
                      <w:sz w:val="21"/>
                      <w:szCs w:val="21"/>
                      <w:highlight w:val="none"/>
                      <w:lang w:val="en-US" w:eastAsia="zh-CN"/>
                    </w:rPr>
                    <w:t>一并经一套“</w:t>
                  </w:r>
                  <w:r>
                    <w:rPr>
                      <w:rFonts w:hint="eastAsia" w:ascii="Times New Roman" w:hAnsi="Times New Roman" w:eastAsia="宋体" w:cs="Times New Roman"/>
                      <w:color w:val="auto"/>
                      <w:sz w:val="21"/>
                      <w:szCs w:val="21"/>
                    </w:rPr>
                    <w:t>水喷淋+干式过滤</w:t>
                  </w:r>
                  <w:r>
                    <w:rPr>
                      <w:rFonts w:hint="eastAsia" w:cs="Times New Roman"/>
                      <w:color w:val="auto"/>
                      <w:sz w:val="21"/>
                      <w:szCs w:val="21"/>
                      <w:lang w:val="en-US" w:eastAsia="zh-CN"/>
                    </w:rPr>
                    <w:t>器</w:t>
                  </w:r>
                  <w:r>
                    <w:rPr>
                      <w:rFonts w:hint="eastAsia" w:ascii="Times New Roman" w:hAnsi="Times New Roman" w:eastAsia="宋体" w:cs="Times New Roman"/>
                      <w:color w:val="auto"/>
                      <w:sz w:val="21"/>
                      <w:szCs w:val="21"/>
                    </w:rPr>
                    <w:t>+二级活性炭</w:t>
                  </w:r>
                  <w:r>
                    <w:rPr>
                      <w:rFonts w:hint="eastAsia" w:ascii="Times New Roman" w:hAnsi="Times New Roman" w:eastAsia="宋体" w:cs="Times New Roman"/>
                      <w:color w:val="auto"/>
                      <w:sz w:val="21"/>
                      <w:szCs w:val="21"/>
                      <w:lang w:val="en-US" w:eastAsia="zh-CN"/>
                    </w:rPr>
                    <w:t>装置</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处理后</w:t>
                  </w:r>
                  <w:r>
                    <w:rPr>
                      <w:rFonts w:hint="eastAsia" w:ascii="Times New Roman" w:hAnsi="Times New Roman" w:cs="Times New Roman"/>
                      <w:color w:val="auto"/>
                      <w:sz w:val="21"/>
                      <w:szCs w:val="21"/>
                      <w:lang w:val="en-US" w:eastAsia="zh-CN"/>
                    </w:rPr>
                    <w:t>经</w:t>
                  </w:r>
                  <w:r>
                    <w:rPr>
                      <w:rFonts w:hint="eastAsia" w:ascii="Times New Roman" w:hAnsi="Times New Roman" w:eastAsia="宋体" w:cs="Times New Roman"/>
                      <w:color w:val="auto"/>
                      <w:sz w:val="21"/>
                      <w:szCs w:val="21"/>
                      <w:lang w:val="en-US" w:eastAsia="zh-CN"/>
                    </w:rPr>
                    <w:t>1根</w:t>
                  </w:r>
                  <w:r>
                    <w:rPr>
                      <w:rFonts w:hint="eastAsia" w:cs="Times New Roman"/>
                      <w:color w:val="auto"/>
                      <w:sz w:val="21"/>
                      <w:szCs w:val="21"/>
                      <w:lang w:val="en-US" w:eastAsia="zh-CN"/>
                    </w:rPr>
                    <w:t>15m</w:t>
                  </w:r>
                  <w:r>
                    <w:rPr>
                      <w:rFonts w:hint="eastAsia" w:ascii="Times New Roman" w:hAnsi="Times New Roman" w:eastAsia="宋体" w:cs="Times New Roman"/>
                      <w:color w:val="auto"/>
                      <w:sz w:val="21"/>
                      <w:szCs w:val="21"/>
                      <w:lang w:val="en-US" w:eastAsia="zh-CN"/>
                    </w:rPr>
                    <w:t>高</w:t>
                  </w:r>
                  <w:r>
                    <w:rPr>
                      <w:rFonts w:hint="eastAsia" w:ascii="Times New Roman" w:hAnsi="Times New Roman" w:cs="Times New Roman"/>
                      <w:color w:val="auto"/>
                      <w:sz w:val="21"/>
                      <w:szCs w:val="21"/>
                      <w:lang w:val="en-US" w:eastAsia="zh-CN"/>
                    </w:rPr>
                    <w:t>的</w:t>
                  </w:r>
                  <w:r>
                    <w:rPr>
                      <w:rFonts w:hint="eastAsia" w:ascii="Times New Roman" w:hAnsi="Times New Roman" w:eastAsia="宋体" w:cs="Times New Roman"/>
                      <w:color w:val="auto"/>
                      <w:sz w:val="21"/>
                      <w:szCs w:val="21"/>
                    </w:rPr>
                    <w:t>排气筒DA00</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高空</w:t>
                  </w:r>
                  <w:r>
                    <w:rPr>
                      <w:rFonts w:hint="eastAsia" w:ascii="Times New Roman" w:hAnsi="Times New Roman" w:eastAsia="宋体" w:cs="Times New Roman"/>
                      <w:color w:val="auto"/>
                      <w:sz w:val="21"/>
                      <w:szCs w:val="21"/>
                      <w:lang w:val="en-US" w:eastAsia="zh-CN"/>
                    </w:rPr>
                    <w:t>排放</w:t>
                  </w:r>
                </w:p>
              </w:tc>
              <w:tc>
                <w:tcPr>
                  <w:tcW w:w="111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FF0000"/>
                      <w:sz w:val="21"/>
                      <w:szCs w:val="21"/>
                      <w:highlight w:val="none"/>
                      <w:lang w:val="en-US" w:eastAsia="zh-CN"/>
                    </w:rPr>
                    <w:t>漆雾经水帘柜预处理后与喷漆及烘烤、丝印及烘烤产生的有机废气</w:t>
                  </w:r>
                  <w:r>
                    <w:rPr>
                      <w:rFonts w:hint="eastAsia" w:cs="Times New Roman"/>
                      <w:color w:val="auto"/>
                      <w:sz w:val="21"/>
                      <w:szCs w:val="21"/>
                      <w:highlight w:val="none"/>
                      <w:lang w:val="en-US" w:eastAsia="zh-CN"/>
                    </w:rPr>
                    <w:t>一并经一套“</w:t>
                  </w:r>
                  <w:r>
                    <w:rPr>
                      <w:rFonts w:hint="eastAsia" w:ascii="Times New Roman" w:hAnsi="Times New Roman" w:eastAsia="宋体" w:cs="Times New Roman"/>
                      <w:color w:val="auto"/>
                      <w:sz w:val="21"/>
                      <w:szCs w:val="21"/>
                    </w:rPr>
                    <w:t>水喷淋+干式过滤</w:t>
                  </w:r>
                  <w:r>
                    <w:rPr>
                      <w:rFonts w:hint="eastAsia" w:cs="Times New Roman"/>
                      <w:color w:val="auto"/>
                      <w:sz w:val="21"/>
                      <w:szCs w:val="21"/>
                      <w:lang w:val="en-US" w:eastAsia="zh-CN"/>
                    </w:rPr>
                    <w:t>器</w:t>
                  </w:r>
                  <w:r>
                    <w:rPr>
                      <w:rFonts w:hint="eastAsia" w:ascii="Times New Roman" w:hAnsi="Times New Roman" w:eastAsia="宋体" w:cs="Times New Roman"/>
                      <w:color w:val="auto"/>
                      <w:sz w:val="21"/>
                      <w:szCs w:val="21"/>
                    </w:rPr>
                    <w:t>+二级活性炭</w:t>
                  </w:r>
                  <w:r>
                    <w:rPr>
                      <w:rFonts w:hint="eastAsia" w:ascii="Times New Roman" w:hAnsi="Times New Roman" w:eastAsia="宋体" w:cs="Times New Roman"/>
                      <w:color w:val="auto"/>
                      <w:sz w:val="21"/>
                      <w:szCs w:val="21"/>
                      <w:lang w:val="en-US" w:eastAsia="zh-CN"/>
                    </w:rPr>
                    <w:t>装置</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处理后</w:t>
                  </w:r>
                  <w:r>
                    <w:rPr>
                      <w:rFonts w:hint="eastAsia" w:ascii="Times New Roman" w:hAnsi="Times New Roman" w:cs="Times New Roman"/>
                      <w:color w:val="auto"/>
                      <w:sz w:val="21"/>
                      <w:szCs w:val="21"/>
                      <w:lang w:val="en-US" w:eastAsia="zh-CN"/>
                    </w:rPr>
                    <w:t>经</w:t>
                  </w:r>
                  <w:r>
                    <w:rPr>
                      <w:rFonts w:hint="eastAsia" w:ascii="Times New Roman" w:hAnsi="Times New Roman" w:eastAsia="宋体" w:cs="Times New Roman"/>
                      <w:color w:val="auto"/>
                      <w:sz w:val="21"/>
                      <w:szCs w:val="21"/>
                      <w:lang w:val="en-US" w:eastAsia="zh-CN"/>
                    </w:rPr>
                    <w:t>1根</w:t>
                  </w:r>
                  <w:r>
                    <w:rPr>
                      <w:rFonts w:hint="eastAsia" w:cs="Times New Roman"/>
                      <w:color w:val="auto"/>
                      <w:sz w:val="21"/>
                      <w:szCs w:val="21"/>
                      <w:lang w:val="en-US" w:eastAsia="zh-CN"/>
                    </w:rPr>
                    <w:t>15m</w:t>
                  </w:r>
                  <w:r>
                    <w:rPr>
                      <w:rFonts w:hint="eastAsia" w:ascii="Times New Roman" w:hAnsi="Times New Roman" w:eastAsia="宋体" w:cs="Times New Roman"/>
                      <w:color w:val="auto"/>
                      <w:sz w:val="21"/>
                      <w:szCs w:val="21"/>
                      <w:lang w:val="en-US" w:eastAsia="zh-CN"/>
                    </w:rPr>
                    <w:t>高</w:t>
                  </w:r>
                  <w:r>
                    <w:rPr>
                      <w:rFonts w:hint="eastAsia" w:ascii="Times New Roman" w:hAnsi="Times New Roman" w:cs="Times New Roman"/>
                      <w:color w:val="auto"/>
                      <w:sz w:val="21"/>
                      <w:szCs w:val="21"/>
                      <w:lang w:val="en-US" w:eastAsia="zh-CN"/>
                    </w:rPr>
                    <w:t>的</w:t>
                  </w:r>
                  <w:r>
                    <w:rPr>
                      <w:rFonts w:hint="eastAsia" w:ascii="Times New Roman" w:hAnsi="Times New Roman" w:eastAsia="宋体" w:cs="Times New Roman"/>
                      <w:color w:val="auto"/>
                      <w:sz w:val="21"/>
                      <w:szCs w:val="21"/>
                    </w:rPr>
                    <w:t>排气筒DA00</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高空</w:t>
                  </w:r>
                  <w:r>
                    <w:rPr>
                      <w:rFonts w:hint="eastAsia" w:ascii="Times New Roman" w:hAnsi="Times New Roman" w:eastAsia="宋体" w:cs="Times New Roman"/>
                      <w:color w:val="auto"/>
                      <w:sz w:val="21"/>
                      <w:szCs w:val="21"/>
                      <w:lang w:val="en-US" w:eastAsia="zh-CN"/>
                    </w:rPr>
                    <w:t>排放</w:t>
                  </w:r>
                </w:p>
              </w:tc>
              <w:tc>
                <w:tcPr>
                  <w:tcW w:w="707"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none"/>
                      <w:lang w:val="en-US" w:eastAsia="zh-CN"/>
                    </w:rPr>
                    <w:t>漆雾经水帘柜预处理后与喷漆及烘烤、丝印及烘烤产生的有机废气</w:t>
                  </w:r>
                  <w:r>
                    <w:rPr>
                      <w:rFonts w:hint="eastAsia" w:cs="Times New Roman"/>
                      <w:color w:val="auto"/>
                      <w:sz w:val="21"/>
                      <w:szCs w:val="21"/>
                      <w:highlight w:val="none"/>
                      <w:lang w:val="en-US" w:eastAsia="zh-CN"/>
                    </w:rPr>
                    <w:t>一并经一套“</w:t>
                  </w:r>
                  <w:r>
                    <w:rPr>
                      <w:rFonts w:hint="eastAsia" w:ascii="Times New Roman" w:hAnsi="Times New Roman" w:eastAsia="宋体" w:cs="Times New Roman"/>
                      <w:color w:val="auto"/>
                      <w:sz w:val="21"/>
                      <w:szCs w:val="21"/>
                    </w:rPr>
                    <w:t>水喷淋+干式过滤</w:t>
                  </w:r>
                  <w:r>
                    <w:rPr>
                      <w:rFonts w:hint="eastAsia" w:cs="Times New Roman"/>
                      <w:color w:val="auto"/>
                      <w:sz w:val="21"/>
                      <w:szCs w:val="21"/>
                      <w:lang w:val="en-US" w:eastAsia="zh-CN"/>
                    </w:rPr>
                    <w:t>器</w:t>
                  </w:r>
                  <w:r>
                    <w:rPr>
                      <w:rFonts w:hint="eastAsia" w:ascii="Times New Roman" w:hAnsi="Times New Roman" w:eastAsia="宋体" w:cs="Times New Roman"/>
                      <w:color w:val="auto"/>
                      <w:sz w:val="21"/>
                      <w:szCs w:val="21"/>
                    </w:rPr>
                    <w:t>+二级活性炭</w:t>
                  </w:r>
                  <w:r>
                    <w:rPr>
                      <w:rFonts w:hint="eastAsia" w:ascii="Times New Roman" w:hAnsi="Times New Roman" w:eastAsia="宋体" w:cs="Times New Roman"/>
                      <w:color w:val="auto"/>
                      <w:sz w:val="21"/>
                      <w:szCs w:val="21"/>
                      <w:lang w:val="en-US" w:eastAsia="zh-CN"/>
                    </w:rPr>
                    <w:t>装置</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处理后</w:t>
                  </w:r>
                  <w:r>
                    <w:rPr>
                      <w:rFonts w:hint="eastAsia" w:ascii="Times New Roman" w:hAnsi="Times New Roman" w:cs="Times New Roman"/>
                      <w:color w:val="auto"/>
                      <w:sz w:val="21"/>
                      <w:szCs w:val="21"/>
                      <w:lang w:val="en-US" w:eastAsia="zh-CN"/>
                    </w:rPr>
                    <w:t>经</w:t>
                  </w:r>
                  <w:r>
                    <w:rPr>
                      <w:rFonts w:hint="eastAsia" w:ascii="Times New Roman" w:hAnsi="Times New Roman" w:eastAsia="宋体" w:cs="Times New Roman"/>
                      <w:color w:val="auto"/>
                      <w:sz w:val="21"/>
                      <w:szCs w:val="21"/>
                      <w:lang w:val="en-US" w:eastAsia="zh-CN"/>
                    </w:rPr>
                    <w:t>1根</w:t>
                  </w:r>
                  <w:r>
                    <w:rPr>
                      <w:rFonts w:hint="eastAsia" w:cs="Times New Roman"/>
                      <w:color w:val="auto"/>
                      <w:sz w:val="21"/>
                      <w:szCs w:val="21"/>
                      <w:lang w:val="en-US" w:eastAsia="zh-CN"/>
                    </w:rPr>
                    <w:t>15m</w:t>
                  </w:r>
                  <w:r>
                    <w:rPr>
                      <w:rFonts w:hint="eastAsia" w:ascii="Times New Roman" w:hAnsi="Times New Roman" w:eastAsia="宋体" w:cs="Times New Roman"/>
                      <w:color w:val="auto"/>
                      <w:sz w:val="21"/>
                      <w:szCs w:val="21"/>
                      <w:lang w:val="en-US" w:eastAsia="zh-CN"/>
                    </w:rPr>
                    <w:t>高</w:t>
                  </w:r>
                  <w:r>
                    <w:rPr>
                      <w:rFonts w:hint="eastAsia" w:ascii="Times New Roman" w:hAnsi="Times New Roman" w:cs="Times New Roman"/>
                      <w:color w:val="auto"/>
                      <w:sz w:val="21"/>
                      <w:szCs w:val="21"/>
                      <w:lang w:val="en-US" w:eastAsia="zh-CN"/>
                    </w:rPr>
                    <w:t>的</w:t>
                  </w:r>
                  <w:r>
                    <w:rPr>
                      <w:rFonts w:hint="eastAsia" w:ascii="Times New Roman" w:hAnsi="Times New Roman" w:eastAsia="宋体" w:cs="Times New Roman"/>
                      <w:color w:val="auto"/>
                      <w:sz w:val="21"/>
                      <w:szCs w:val="21"/>
                    </w:rPr>
                    <w:t>排气筒DA00</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高空</w:t>
                  </w:r>
                  <w:r>
                    <w:rPr>
                      <w:rFonts w:hint="eastAsia" w:ascii="Times New Roman" w:hAnsi="Times New Roman" w:eastAsia="宋体" w:cs="Times New Roman"/>
                      <w:color w:val="auto"/>
                      <w:sz w:val="21"/>
                      <w:szCs w:val="21"/>
                      <w:lang w:val="en-US" w:eastAsia="zh-CN"/>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丝印及烘烤</w:t>
                  </w:r>
                </w:p>
              </w:tc>
              <w:tc>
                <w:tcPr>
                  <w:tcW w:w="85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074"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11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707"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0"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雕刻及电火花</w:t>
                  </w:r>
                </w:p>
              </w:tc>
              <w:tc>
                <w:tcPr>
                  <w:tcW w:w="85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07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油雾经油雾净化器处理后无组织排放</w:t>
                  </w:r>
                </w:p>
              </w:tc>
              <w:tc>
                <w:tcPr>
                  <w:tcW w:w="111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油雾经油雾净化器处理后无组织排放</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油雾经油雾净化器处理后无组织排放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85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合理布局，采取隔声、减振等降噪措施</w:t>
                  </w:r>
                </w:p>
              </w:tc>
              <w:tc>
                <w:tcPr>
                  <w:tcW w:w="107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合理布局，采取隔声、减振等降噪措施</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固体废物</w:t>
                  </w:r>
                </w:p>
              </w:tc>
              <w:tc>
                <w:tcPr>
                  <w:tcW w:w="380" w:type="pct"/>
                  <w:noWrap w:val="0"/>
                  <w:vAlign w:val="center"/>
                </w:tcPr>
                <w:p>
                  <w:pPr>
                    <w:adjustRightInd w:val="0"/>
                    <w:snapToGrid w:val="0"/>
                    <w:spacing w:line="240" w:lineRule="auto"/>
                    <w:jc w:val="center"/>
                    <w:rPr>
                      <w:rFonts w:hint="eastAsia"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bCs/>
                      <w:color w:val="FF0000"/>
                      <w:sz w:val="21"/>
                      <w:szCs w:val="21"/>
                      <w:highlight w:val="none"/>
                    </w:rPr>
                    <w:t>一般固废</w:t>
                  </w:r>
                </w:p>
              </w:tc>
              <w:tc>
                <w:tcPr>
                  <w:tcW w:w="854" w:type="pct"/>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eastAsia" w:cs="Times New Roman"/>
                      <w:color w:val="FF0000"/>
                      <w:sz w:val="21"/>
                      <w:szCs w:val="21"/>
                      <w:lang w:val="en-US" w:eastAsia="zh-CN"/>
                    </w:rPr>
                    <w:t>设有1个一般固废仓库，</w:t>
                  </w:r>
                  <w:r>
                    <w:rPr>
                      <w:rFonts w:hint="default" w:ascii="Times New Roman" w:hAnsi="Times New Roman" w:eastAsia="宋体" w:cs="Times New Roman"/>
                      <w:color w:val="auto"/>
                      <w:sz w:val="21"/>
                      <w:szCs w:val="21"/>
                      <w:lang w:val="en-US" w:eastAsia="zh-CN"/>
                    </w:rPr>
                    <w:t>建筑面积</w:t>
                  </w:r>
                  <w:r>
                    <w:rPr>
                      <w:rFonts w:hint="eastAsia" w:cs="Times New Roman"/>
                      <w:color w:val="auto"/>
                      <w:sz w:val="21"/>
                      <w:szCs w:val="21"/>
                      <w:lang w:val="en-US" w:eastAsia="zh-CN"/>
                    </w:rPr>
                    <w:t>15m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w:t>
                  </w:r>
                </w:p>
              </w:tc>
              <w:tc>
                <w:tcPr>
                  <w:tcW w:w="1074"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lang w:val="en-US" w:eastAsia="zh-CN"/>
                    </w:rPr>
                    <w:t>设有1个一般固废仓库，</w:t>
                  </w:r>
                  <w:r>
                    <w:rPr>
                      <w:rFonts w:hint="default" w:ascii="Times New Roman" w:hAnsi="Times New Roman" w:eastAsia="宋体" w:cs="Times New Roman"/>
                      <w:color w:val="auto"/>
                      <w:sz w:val="21"/>
                      <w:szCs w:val="21"/>
                      <w:lang w:val="en-US" w:eastAsia="zh-CN"/>
                    </w:rPr>
                    <w:t>建筑面积</w:t>
                  </w:r>
                  <w:r>
                    <w:rPr>
                      <w:rFonts w:hint="eastAsia" w:cs="Times New Roman"/>
                      <w:color w:val="auto"/>
                      <w:sz w:val="21"/>
                      <w:szCs w:val="21"/>
                      <w:lang w:val="en-US" w:eastAsia="zh-CN"/>
                    </w:rPr>
                    <w:t>15m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0" w:type="pct"/>
                  <w:noWrap w:val="0"/>
                  <w:vAlign w:val="center"/>
                </w:tcPr>
                <w:p>
                  <w:pPr>
                    <w:spacing w:line="240" w:lineRule="auto"/>
                    <w:ind w:firstLine="0" w:firstLineChars="0"/>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bCs/>
                      <w:color w:val="FF0000"/>
                      <w:sz w:val="21"/>
                      <w:szCs w:val="21"/>
                      <w:highlight w:val="none"/>
                    </w:rPr>
                    <w:t>危</w:t>
                  </w:r>
                  <w:r>
                    <w:rPr>
                      <w:rFonts w:hint="eastAsia" w:cs="Times New Roman"/>
                      <w:bCs/>
                      <w:color w:val="FF0000"/>
                      <w:sz w:val="21"/>
                      <w:szCs w:val="21"/>
                      <w:highlight w:val="none"/>
                      <w:lang w:val="en-US" w:eastAsia="zh-CN"/>
                    </w:rPr>
                    <w:t>废</w:t>
                  </w:r>
                </w:p>
              </w:tc>
              <w:tc>
                <w:tcPr>
                  <w:tcW w:w="854" w:type="pct"/>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eastAsia" w:cs="Times New Roman"/>
                      <w:color w:val="FF0000"/>
                      <w:sz w:val="21"/>
                      <w:szCs w:val="21"/>
                      <w:lang w:val="en-US" w:eastAsia="zh-CN"/>
                    </w:rPr>
                    <w:t>设有1个危废仓库，</w:t>
                  </w:r>
                  <w:r>
                    <w:rPr>
                      <w:rFonts w:hint="default" w:ascii="Times New Roman" w:hAnsi="Times New Roman" w:eastAsia="宋体" w:cs="Times New Roman"/>
                      <w:color w:val="auto"/>
                      <w:sz w:val="21"/>
                      <w:szCs w:val="21"/>
                      <w:highlight w:val="none"/>
                    </w:rPr>
                    <w:t>建筑面积</w:t>
                  </w:r>
                  <w:r>
                    <w:rPr>
                      <w:rFonts w:hint="eastAsia" w:cs="Times New Roman"/>
                      <w:color w:val="auto"/>
                      <w:sz w:val="21"/>
                      <w:szCs w:val="21"/>
                      <w:highlight w:val="none"/>
                      <w:lang w:val="en-US" w:eastAsia="zh-CN"/>
                    </w:rPr>
                    <w:t>10m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w:t>
                  </w:r>
                </w:p>
              </w:tc>
              <w:tc>
                <w:tcPr>
                  <w:tcW w:w="1074"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FF0000"/>
                      <w:sz w:val="21"/>
                      <w:szCs w:val="21"/>
                      <w:lang w:val="en-US" w:eastAsia="zh-CN"/>
                    </w:rPr>
                    <w:t>设有1个危废仓库，</w:t>
                  </w:r>
                  <w:r>
                    <w:rPr>
                      <w:rFonts w:hint="default" w:ascii="Times New Roman" w:hAnsi="Times New Roman" w:eastAsia="宋体" w:cs="Times New Roman"/>
                      <w:color w:val="auto"/>
                      <w:sz w:val="21"/>
                      <w:szCs w:val="21"/>
                      <w:highlight w:val="none"/>
                    </w:rPr>
                    <w:t>建筑面积</w:t>
                  </w:r>
                  <w:r>
                    <w:rPr>
                      <w:rFonts w:hint="eastAsia" w:cs="Times New Roman"/>
                      <w:color w:val="auto"/>
                      <w:sz w:val="21"/>
                      <w:szCs w:val="21"/>
                      <w:highlight w:val="none"/>
                      <w:lang w:val="en-US" w:eastAsia="zh-CN"/>
                    </w:rPr>
                    <w:t>10m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FF0000"/>
                      <w:sz w:val="21"/>
                      <w:szCs w:val="21"/>
                      <w:highlight w:val="none"/>
                    </w:rPr>
                    <w:t>生活垃圾</w:t>
                  </w:r>
                </w:p>
              </w:tc>
              <w:tc>
                <w:tcPr>
                  <w:tcW w:w="854" w:type="pct"/>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由环卫部门统一处理</w:t>
                  </w:r>
                </w:p>
              </w:tc>
              <w:tc>
                <w:tcPr>
                  <w:tcW w:w="1074"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由环卫部门统一处理</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38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依托工程</w:t>
                  </w: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污水处理厂</w:t>
                  </w:r>
                </w:p>
              </w:tc>
              <w:tc>
                <w:tcPr>
                  <w:tcW w:w="3754" w:type="pct"/>
                  <w:gridSpan w:val="4"/>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博罗县石湾镇大牛垒生活污水处理厂</w:t>
                  </w:r>
                </w:p>
              </w:tc>
            </w:tr>
          </w:tbl>
          <w:p>
            <w:pPr>
              <w:adjustRightInd w:val="0"/>
              <w:snapToGrid w:val="0"/>
              <w:ind w:firstLine="482" w:firstLineChars="200"/>
              <w:rPr>
                <w:b/>
                <w:color w:val="auto"/>
                <w:szCs w:val="21"/>
              </w:rPr>
            </w:pPr>
            <w:r>
              <w:rPr>
                <w:rFonts w:hint="eastAsia"/>
                <w:b/>
                <w:color w:val="auto"/>
                <w:szCs w:val="21"/>
              </w:rPr>
              <w:t>3</w:t>
            </w:r>
            <w:r>
              <w:rPr>
                <w:b/>
                <w:color w:val="auto"/>
                <w:szCs w:val="21"/>
              </w:rPr>
              <w:t>、</w:t>
            </w:r>
            <w:r>
              <w:rPr>
                <w:rFonts w:hint="eastAsia"/>
                <w:b/>
                <w:color w:val="auto"/>
                <w:szCs w:val="21"/>
              </w:rPr>
              <w:t>项目主要产品及产能</w:t>
            </w:r>
          </w:p>
          <w:p>
            <w:pPr>
              <w:adjustRightInd w:val="0"/>
              <w:snapToGrid w:val="0"/>
              <w:ind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扩建前后项目产品方案见下表。</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扩建前后产品方案一览表</w:t>
            </w:r>
          </w:p>
          <w:tbl>
            <w:tblPr>
              <w:tblStyle w:val="2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1519"/>
              <w:gridCol w:w="936"/>
              <w:gridCol w:w="936"/>
              <w:gridCol w:w="936"/>
              <w:gridCol w:w="1030"/>
              <w:gridCol w:w="1510"/>
              <w:gridCol w:w="1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66" w:type="pct"/>
                  <w:noWrap w:val="0"/>
                  <w:vAlign w:val="center"/>
                </w:tcPr>
                <w:p>
                  <w:pPr>
                    <w:spacing w:line="240" w:lineRule="auto"/>
                    <w:jc w:val="center"/>
                    <w:rPr>
                      <w:rFonts w:eastAsia="Times New Roman"/>
                      <w:b/>
                      <w:bCs/>
                      <w:color w:val="auto"/>
                      <w:sz w:val="21"/>
                      <w:szCs w:val="21"/>
                      <w:highlight w:val="none"/>
                      <w:shd w:val="clear" w:color="auto" w:fill="auto"/>
                    </w:rPr>
                  </w:pPr>
                  <w:r>
                    <w:rPr>
                      <w:rFonts w:hint="eastAsia" w:ascii="宋体" w:hAnsi="宋体" w:cs="宋体"/>
                      <w:b/>
                      <w:bCs/>
                      <w:color w:val="auto"/>
                      <w:sz w:val="21"/>
                      <w:szCs w:val="21"/>
                      <w:highlight w:val="none"/>
                      <w:shd w:val="clear" w:color="auto" w:fill="auto"/>
                    </w:rPr>
                    <w:t>序号</w:t>
                  </w:r>
                </w:p>
              </w:tc>
              <w:tc>
                <w:tcPr>
                  <w:tcW w:w="840" w:type="pct"/>
                  <w:noWrap w:val="0"/>
                  <w:vAlign w:val="center"/>
                </w:tcPr>
                <w:p>
                  <w:pPr>
                    <w:spacing w:line="240" w:lineRule="auto"/>
                    <w:jc w:val="center"/>
                    <w:rPr>
                      <w:rFonts w:hint="eastAsia" w:eastAsia="宋体"/>
                      <w:b/>
                      <w:bCs/>
                      <w:color w:val="auto"/>
                      <w:sz w:val="21"/>
                      <w:szCs w:val="21"/>
                      <w:highlight w:val="none"/>
                      <w:shd w:val="clear" w:color="auto" w:fill="auto"/>
                      <w:lang w:eastAsia="zh-CN"/>
                    </w:rPr>
                  </w:pPr>
                  <w:r>
                    <w:rPr>
                      <w:rFonts w:hint="eastAsia" w:ascii="宋体" w:hAnsi="宋体" w:cs="宋体"/>
                      <w:b/>
                      <w:bCs/>
                      <w:color w:val="auto"/>
                      <w:sz w:val="21"/>
                      <w:szCs w:val="21"/>
                      <w:highlight w:val="none"/>
                      <w:shd w:val="clear" w:color="auto" w:fill="auto"/>
                    </w:rPr>
                    <w:t>产品</w:t>
                  </w:r>
                  <w:r>
                    <w:rPr>
                      <w:rFonts w:hint="eastAsia" w:ascii="宋体" w:hAnsi="宋体" w:cs="宋体"/>
                      <w:b/>
                      <w:bCs/>
                      <w:color w:val="auto"/>
                      <w:sz w:val="21"/>
                      <w:szCs w:val="21"/>
                      <w:highlight w:val="none"/>
                      <w:shd w:val="clear" w:color="auto" w:fill="auto"/>
                      <w:lang w:val="en-US" w:eastAsia="zh-CN"/>
                    </w:rPr>
                    <w:t>类别</w:t>
                  </w:r>
                </w:p>
              </w:tc>
              <w:tc>
                <w:tcPr>
                  <w:tcW w:w="518" w:type="pct"/>
                  <w:noWrap w:val="0"/>
                  <w:vAlign w:val="center"/>
                </w:tcPr>
                <w:p>
                  <w:pPr>
                    <w:spacing w:line="240" w:lineRule="auto"/>
                    <w:jc w:val="center"/>
                    <w:rPr>
                      <w:rFonts w:hint="default"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现有项目年产量</w:t>
                  </w:r>
                </w:p>
              </w:tc>
              <w:tc>
                <w:tcPr>
                  <w:tcW w:w="518"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扩建项目年产量</w:t>
                  </w:r>
                </w:p>
              </w:tc>
              <w:tc>
                <w:tcPr>
                  <w:tcW w:w="518"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扩建后项目年产量</w:t>
                  </w:r>
                </w:p>
              </w:tc>
              <w:tc>
                <w:tcPr>
                  <w:tcW w:w="570"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增减量</w:t>
                  </w:r>
                </w:p>
              </w:tc>
              <w:tc>
                <w:tcPr>
                  <w:tcW w:w="835" w:type="pct"/>
                  <w:noWrap w:val="0"/>
                  <w:vAlign w:val="center"/>
                </w:tcPr>
                <w:p>
                  <w:pPr>
                    <w:spacing w:line="240" w:lineRule="auto"/>
                    <w:jc w:val="center"/>
                    <w:rPr>
                      <w:rFonts w:hint="default" w:ascii="宋体" w:hAnsi="宋体" w:eastAsia="宋体" w:cs="宋体"/>
                      <w:b/>
                      <w:bCs/>
                      <w:color w:val="auto"/>
                      <w:sz w:val="21"/>
                      <w:szCs w:val="21"/>
                      <w:highlight w:val="none"/>
                      <w:shd w:val="clear" w:color="auto" w:fill="auto"/>
                      <w:lang w:val="en-US" w:eastAsia="zh-CN"/>
                    </w:rPr>
                  </w:pPr>
                  <w:r>
                    <w:rPr>
                      <w:rFonts w:hint="eastAsia"/>
                      <w:b/>
                      <w:bCs/>
                      <w:color w:val="auto"/>
                      <w:lang w:val="en-US" w:eastAsia="zh-CN"/>
                    </w:rPr>
                    <w:t>单个产品重量</w:t>
                  </w:r>
                </w:p>
              </w:tc>
              <w:tc>
                <w:tcPr>
                  <w:tcW w:w="932"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产品主要用途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66" w:type="pct"/>
                  <w:vMerge w:val="restart"/>
                  <w:noWrap w:val="0"/>
                  <w:vAlign w:val="center"/>
                </w:tcPr>
                <w:p>
                  <w:pPr>
                    <w:adjustRightInd w:val="0"/>
                    <w:spacing w:line="300" w:lineRule="exact"/>
                    <w:jc w:val="center"/>
                    <w:rPr>
                      <w:color w:val="auto"/>
                      <w:sz w:val="21"/>
                      <w:szCs w:val="21"/>
                      <w:highlight w:val="none"/>
                      <w:shd w:val="clear" w:color="auto" w:fill="auto"/>
                    </w:rPr>
                  </w:pPr>
                  <w:r>
                    <w:rPr>
                      <w:rFonts w:ascii="Times New Roman" w:hAnsi="Times New Roman" w:eastAsia="宋体" w:cs="Times New Roman"/>
                      <w:color w:val="auto"/>
                      <w:szCs w:val="21"/>
                    </w:rPr>
                    <w:t>1</w:t>
                  </w:r>
                </w:p>
              </w:tc>
              <w:tc>
                <w:tcPr>
                  <w:tcW w:w="840" w:type="pct"/>
                  <w:vMerge w:val="restart"/>
                  <w:noWrap w:val="0"/>
                  <w:vAlign w:val="center"/>
                </w:tcPr>
                <w:p>
                  <w:pPr>
                    <w:spacing w:line="240" w:lineRule="auto"/>
                    <w:jc w:val="center"/>
                    <w:rPr>
                      <w:rFonts w:hint="default" w:eastAsia="宋体"/>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塑胶壳（不需要喷漆或丝印）</w:t>
                  </w:r>
                </w:p>
              </w:tc>
              <w:tc>
                <w:tcPr>
                  <w:tcW w:w="518" w:type="pct"/>
                  <w:noWrap w:val="0"/>
                  <w:vAlign w:val="center"/>
                </w:tcPr>
                <w:p>
                  <w:pPr>
                    <w:spacing w:line="240" w:lineRule="auto"/>
                    <w:jc w:val="center"/>
                    <w:rPr>
                      <w:rFonts w:hint="default" w:eastAsia="宋体"/>
                      <w:color w:val="FF0000"/>
                      <w:sz w:val="21"/>
                      <w:szCs w:val="21"/>
                      <w:highlight w:val="none"/>
                      <w:shd w:val="clear" w:color="auto" w:fill="auto"/>
                      <w:lang w:val="en-US" w:eastAsia="zh-CN"/>
                    </w:rPr>
                  </w:pPr>
                  <w:r>
                    <w:rPr>
                      <w:rFonts w:hint="eastAsia"/>
                      <w:color w:val="FF0000"/>
                      <w:sz w:val="21"/>
                      <w:szCs w:val="21"/>
                      <w:highlight w:val="none"/>
                      <w:shd w:val="clear" w:color="auto" w:fill="auto"/>
                      <w:lang w:val="en-US" w:eastAsia="zh-CN"/>
                    </w:rPr>
                    <w:t>916.6667万个</w:t>
                  </w:r>
                </w:p>
              </w:tc>
              <w:tc>
                <w:tcPr>
                  <w:tcW w:w="518" w:type="pct"/>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1840万个</w:t>
                  </w:r>
                </w:p>
              </w:tc>
              <w:tc>
                <w:tcPr>
                  <w:tcW w:w="518" w:type="pct"/>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kern w:val="2"/>
                      <w:sz w:val="21"/>
                      <w:szCs w:val="21"/>
                      <w:highlight w:val="none"/>
                      <w:shd w:val="clear" w:color="auto" w:fill="auto"/>
                      <w:lang w:val="en-US" w:eastAsia="zh-CN" w:bidi="ar-SA"/>
                    </w:rPr>
                    <w:t>2756.6667</w:t>
                  </w:r>
                  <w:r>
                    <w:rPr>
                      <w:rFonts w:hint="eastAsia"/>
                      <w:color w:val="FF0000"/>
                      <w:sz w:val="21"/>
                      <w:szCs w:val="21"/>
                      <w:highlight w:val="none"/>
                      <w:shd w:val="clear" w:color="auto" w:fill="auto"/>
                      <w:lang w:val="en-US" w:eastAsia="zh-CN"/>
                    </w:rPr>
                    <w:t>万个</w:t>
                  </w:r>
                </w:p>
              </w:tc>
              <w:tc>
                <w:tcPr>
                  <w:tcW w:w="570" w:type="pct"/>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+1840万个</w:t>
                  </w:r>
                </w:p>
              </w:tc>
              <w:tc>
                <w:tcPr>
                  <w:tcW w:w="835" w:type="pct"/>
                  <w:vMerge w:val="restart"/>
                  <w:noWrap w:val="0"/>
                  <w:vAlign w:val="center"/>
                </w:tcPr>
                <w:p>
                  <w:pPr>
                    <w:pStyle w:val="91"/>
                    <w:spacing w:line="240" w:lineRule="auto"/>
                    <w:rPr>
                      <w:rFonts w:hint="eastAsia" w:cs="Times New Roman"/>
                      <w:snapToGrid w:val="0"/>
                      <w:color w:val="auto"/>
                      <w:kern w:val="0"/>
                      <w:sz w:val="21"/>
                      <w:szCs w:val="21"/>
                      <w:highlight w:val="none"/>
                      <w:shd w:val="clear" w:color="auto" w:fill="auto"/>
                      <w:lang w:val="en-US" w:eastAsia="zh-CN" w:bidi="ar-SA"/>
                    </w:rPr>
                  </w:pPr>
                  <w:r>
                    <w:rPr>
                      <w:rFonts w:hint="eastAsia" w:cs="Times New Roman"/>
                      <w:snapToGrid w:val="0"/>
                      <w:color w:val="auto"/>
                      <w:kern w:val="0"/>
                      <w:sz w:val="21"/>
                      <w:szCs w:val="21"/>
                      <w:highlight w:val="none"/>
                      <w:shd w:val="clear" w:color="auto" w:fill="auto"/>
                      <w:lang w:val="en-US" w:eastAsia="zh-CN" w:bidi="ar-SA"/>
                    </w:rPr>
                    <w:t>现有：60g/个</w:t>
                  </w:r>
                </w:p>
                <w:p>
                  <w:pPr>
                    <w:pStyle w:val="91"/>
                    <w:spacing w:line="240" w:lineRule="auto"/>
                    <w:rPr>
                      <w:rFonts w:hint="default" w:cs="Times New Roman"/>
                      <w:snapToGrid w:val="0"/>
                      <w:color w:val="auto"/>
                      <w:kern w:val="0"/>
                      <w:sz w:val="21"/>
                      <w:szCs w:val="21"/>
                      <w:highlight w:val="none"/>
                      <w:shd w:val="clear" w:color="auto" w:fill="auto"/>
                      <w:lang w:val="en-US" w:eastAsia="zh-CN" w:bidi="ar-SA"/>
                    </w:rPr>
                  </w:pPr>
                  <w:r>
                    <w:rPr>
                      <w:rFonts w:hint="eastAsia" w:cs="Times New Roman"/>
                      <w:snapToGrid w:val="0"/>
                      <w:color w:val="auto"/>
                      <w:kern w:val="0"/>
                      <w:sz w:val="21"/>
                      <w:szCs w:val="21"/>
                      <w:highlight w:val="none"/>
                      <w:shd w:val="clear" w:color="auto" w:fill="auto"/>
                      <w:lang w:val="en-US" w:eastAsia="zh-CN" w:bidi="ar-SA"/>
                    </w:rPr>
                    <w:t>扩建：20g/个</w:t>
                  </w:r>
                </w:p>
              </w:tc>
              <w:tc>
                <w:tcPr>
                  <w:tcW w:w="932" w:type="pct"/>
                  <w:vMerge w:val="restart"/>
                  <w:noWrap w:val="0"/>
                  <w:vAlign w:val="center"/>
                </w:tcPr>
                <w:p>
                  <w:pPr>
                    <w:pStyle w:val="91"/>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ascii="Times New Roman" w:hAnsi="Times New Roman" w:eastAsia="宋体" w:cs="Times New Roman"/>
                      <w:snapToGrid w:val="0"/>
                      <w:color w:val="auto"/>
                      <w:kern w:val="0"/>
                      <w:sz w:val="21"/>
                      <w:szCs w:val="21"/>
                      <w:highlight w:val="none"/>
                      <w:shd w:val="clear" w:color="auto" w:fill="auto"/>
                      <w:lang w:val="en-US" w:eastAsia="zh-CN" w:bidi="ar-SA"/>
                    </w:rPr>
                    <w:t>锂电池</w:t>
                  </w:r>
                  <w:r>
                    <w:rPr>
                      <w:rFonts w:hint="eastAsia" w:cs="Times New Roman"/>
                      <w:snapToGrid w:val="0"/>
                      <w:color w:val="auto"/>
                      <w:kern w:val="0"/>
                      <w:sz w:val="21"/>
                      <w:szCs w:val="21"/>
                      <w:highlight w:val="none"/>
                      <w:shd w:val="clear" w:color="auto" w:fill="auto"/>
                      <w:lang w:val="en-US" w:eastAsia="zh-CN" w:bidi="ar-SA"/>
                    </w:rPr>
                    <w:t>、</w:t>
                  </w:r>
                  <w:r>
                    <w:rPr>
                      <w:rFonts w:hint="eastAsia" w:ascii="Times New Roman" w:hAnsi="Times New Roman" w:eastAsia="宋体" w:cs="Times New Roman"/>
                      <w:snapToGrid w:val="0"/>
                      <w:color w:val="auto"/>
                      <w:kern w:val="0"/>
                      <w:sz w:val="21"/>
                      <w:szCs w:val="21"/>
                      <w:highlight w:val="none"/>
                      <w:shd w:val="clear" w:color="auto" w:fill="auto"/>
                      <w:lang w:val="en-US" w:eastAsia="zh-CN" w:bidi="ar-SA"/>
                    </w:rPr>
                    <w:t>智能家居</w:t>
                  </w:r>
                  <w:r>
                    <w:rPr>
                      <w:rFonts w:hint="eastAsia" w:cs="Times New Roman"/>
                      <w:snapToGrid w:val="0"/>
                      <w:color w:val="auto"/>
                      <w:kern w:val="0"/>
                      <w:sz w:val="21"/>
                      <w:szCs w:val="21"/>
                      <w:highlight w:val="none"/>
                      <w:shd w:val="clear" w:color="auto" w:fill="auto"/>
                      <w:lang w:val="en-US" w:eastAsia="zh-CN" w:bidi="ar-SA"/>
                    </w:rPr>
                    <w:t>、</w:t>
                  </w:r>
                  <w:r>
                    <w:rPr>
                      <w:rFonts w:hint="eastAsia" w:ascii="Times New Roman" w:hAnsi="Times New Roman" w:eastAsia="宋体" w:cs="Times New Roman"/>
                      <w:snapToGrid w:val="0"/>
                      <w:color w:val="auto"/>
                      <w:kern w:val="0"/>
                      <w:sz w:val="21"/>
                      <w:szCs w:val="21"/>
                      <w:highlight w:val="none"/>
                      <w:shd w:val="clear" w:color="auto" w:fill="auto"/>
                      <w:lang w:val="en-US" w:eastAsia="zh-CN" w:bidi="ar-SA"/>
                    </w:rPr>
                    <w:t>音频</w:t>
                  </w:r>
                  <w:r>
                    <w:rPr>
                      <w:rFonts w:hint="eastAsia" w:cs="Times New Roman"/>
                      <w:snapToGrid w:val="0"/>
                      <w:color w:val="auto"/>
                      <w:kern w:val="0"/>
                      <w:sz w:val="21"/>
                      <w:szCs w:val="21"/>
                      <w:highlight w:val="none"/>
                      <w:shd w:val="clear" w:color="auto" w:fill="auto"/>
                      <w:lang w:val="en-US" w:eastAsia="zh-CN" w:bidi="ar-SA"/>
                    </w:rPr>
                    <w:t>等的配件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66" w:type="pct"/>
                  <w:vMerge w:val="continue"/>
                  <w:noWrap w:val="0"/>
                  <w:vAlign w:val="center"/>
                </w:tcPr>
                <w:p>
                  <w:pPr>
                    <w:adjustRightInd w:val="0"/>
                    <w:spacing w:line="300" w:lineRule="exact"/>
                    <w:jc w:val="center"/>
                    <w:rPr>
                      <w:rFonts w:ascii="Times New Roman" w:hAnsi="Times New Roman" w:eastAsia="宋体" w:cs="Times New Roman"/>
                      <w:color w:val="auto"/>
                      <w:szCs w:val="21"/>
                    </w:rPr>
                  </w:pPr>
                </w:p>
              </w:tc>
              <w:tc>
                <w:tcPr>
                  <w:tcW w:w="840" w:type="pct"/>
                  <w:vMerge w:val="continue"/>
                  <w:noWrap w:val="0"/>
                  <w:vAlign w:val="center"/>
                </w:tcPr>
                <w:p>
                  <w:pPr>
                    <w:spacing w:line="240" w:lineRule="auto"/>
                    <w:jc w:val="center"/>
                    <w:rPr>
                      <w:rFonts w:hint="eastAsia"/>
                      <w:color w:val="auto"/>
                      <w:sz w:val="21"/>
                      <w:szCs w:val="21"/>
                      <w:highlight w:val="none"/>
                      <w:shd w:val="clear" w:color="auto" w:fill="auto"/>
                      <w:lang w:val="en-US" w:eastAsia="zh-CN"/>
                    </w:rPr>
                  </w:pPr>
                </w:p>
              </w:tc>
              <w:tc>
                <w:tcPr>
                  <w:tcW w:w="518" w:type="pct"/>
                  <w:noWrap w:val="0"/>
                  <w:vAlign w:val="center"/>
                </w:tcPr>
                <w:p>
                  <w:pPr>
                    <w:spacing w:line="240" w:lineRule="auto"/>
                    <w:jc w:val="center"/>
                    <w:rPr>
                      <w:rFonts w:hint="default"/>
                      <w:color w:val="FF0000"/>
                      <w:sz w:val="21"/>
                      <w:szCs w:val="21"/>
                      <w:highlight w:val="none"/>
                      <w:shd w:val="clear" w:color="auto" w:fill="auto"/>
                      <w:lang w:val="en-US" w:eastAsia="zh-CN"/>
                    </w:rPr>
                  </w:pPr>
                  <w:r>
                    <w:rPr>
                      <w:rFonts w:hint="eastAsia"/>
                      <w:color w:val="FF0000"/>
                      <w:sz w:val="21"/>
                      <w:szCs w:val="21"/>
                      <w:highlight w:val="none"/>
                      <w:shd w:val="clear" w:color="auto" w:fill="auto"/>
                      <w:lang w:val="en-US" w:eastAsia="zh-CN"/>
                    </w:rPr>
                    <w:t>合计550t</w:t>
                  </w:r>
                </w:p>
              </w:tc>
              <w:tc>
                <w:tcPr>
                  <w:tcW w:w="518" w:type="pct"/>
                  <w:noWrap w:val="0"/>
                  <w:vAlign w:val="center"/>
                </w:tcPr>
                <w:p>
                  <w:pPr>
                    <w:spacing w:line="240" w:lineRule="auto"/>
                    <w:jc w:val="center"/>
                    <w:rPr>
                      <w:rFonts w:hint="default"/>
                      <w:color w:val="FF0000"/>
                      <w:sz w:val="21"/>
                      <w:szCs w:val="21"/>
                      <w:highlight w:val="none"/>
                      <w:shd w:val="clear" w:color="auto" w:fill="auto"/>
                      <w:lang w:val="en-US" w:eastAsia="zh-CN"/>
                    </w:rPr>
                  </w:pPr>
                  <w:r>
                    <w:rPr>
                      <w:rFonts w:hint="eastAsia"/>
                      <w:color w:val="FF0000"/>
                      <w:sz w:val="21"/>
                      <w:szCs w:val="21"/>
                      <w:highlight w:val="none"/>
                      <w:shd w:val="clear" w:color="auto" w:fill="auto"/>
                      <w:lang w:val="en-US" w:eastAsia="zh-CN"/>
                    </w:rPr>
                    <w:t>368t</w:t>
                  </w:r>
                </w:p>
              </w:tc>
              <w:tc>
                <w:tcPr>
                  <w:tcW w:w="518" w:type="pct"/>
                  <w:noWrap w:val="0"/>
                  <w:vAlign w:val="center"/>
                </w:tcPr>
                <w:p>
                  <w:pPr>
                    <w:spacing w:line="240" w:lineRule="auto"/>
                    <w:jc w:val="center"/>
                    <w:rPr>
                      <w:rFonts w:hint="default"/>
                      <w:color w:val="FF0000"/>
                      <w:sz w:val="21"/>
                      <w:szCs w:val="21"/>
                      <w:highlight w:val="none"/>
                      <w:shd w:val="clear" w:color="auto" w:fill="auto"/>
                      <w:lang w:val="en-US" w:eastAsia="zh-CN"/>
                    </w:rPr>
                  </w:pPr>
                  <w:r>
                    <w:rPr>
                      <w:rFonts w:hint="eastAsia"/>
                      <w:color w:val="FF0000"/>
                      <w:sz w:val="21"/>
                      <w:szCs w:val="21"/>
                      <w:highlight w:val="none"/>
                      <w:shd w:val="clear" w:color="auto" w:fill="auto"/>
                      <w:lang w:val="en-US" w:eastAsia="zh-CN"/>
                    </w:rPr>
                    <w:t>918t</w:t>
                  </w:r>
                </w:p>
              </w:tc>
              <w:tc>
                <w:tcPr>
                  <w:tcW w:w="570" w:type="pct"/>
                  <w:noWrap w:val="0"/>
                  <w:vAlign w:val="center"/>
                </w:tcPr>
                <w:p>
                  <w:pPr>
                    <w:spacing w:line="240" w:lineRule="auto"/>
                    <w:jc w:val="center"/>
                    <w:rPr>
                      <w:rFonts w:hint="eastAsia"/>
                      <w:color w:val="FF0000"/>
                      <w:sz w:val="21"/>
                      <w:szCs w:val="21"/>
                      <w:highlight w:val="none"/>
                      <w:shd w:val="clear" w:color="auto" w:fill="auto"/>
                      <w:lang w:val="en-US" w:eastAsia="zh-CN"/>
                    </w:rPr>
                  </w:pPr>
                  <w:r>
                    <w:rPr>
                      <w:rFonts w:hint="eastAsia"/>
                      <w:color w:val="FF0000"/>
                      <w:sz w:val="21"/>
                      <w:szCs w:val="21"/>
                      <w:highlight w:val="none"/>
                      <w:shd w:val="clear" w:color="auto" w:fill="auto"/>
                      <w:lang w:val="en-US" w:eastAsia="zh-CN"/>
                    </w:rPr>
                    <w:t>+368t</w:t>
                  </w:r>
                </w:p>
              </w:tc>
              <w:tc>
                <w:tcPr>
                  <w:tcW w:w="835" w:type="pct"/>
                  <w:vMerge w:val="continue"/>
                  <w:noWrap w:val="0"/>
                  <w:vAlign w:val="center"/>
                </w:tcPr>
                <w:p>
                  <w:pPr>
                    <w:pStyle w:val="91"/>
                    <w:spacing w:line="240" w:lineRule="auto"/>
                    <w:rPr>
                      <w:rFonts w:hint="eastAsia" w:cs="Times New Roman"/>
                      <w:snapToGrid w:val="0"/>
                      <w:color w:val="auto"/>
                      <w:kern w:val="0"/>
                      <w:sz w:val="21"/>
                      <w:szCs w:val="21"/>
                      <w:highlight w:val="none"/>
                      <w:shd w:val="clear" w:color="auto" w:fill="auto"/>
                      <w:lang w:val="en-US" w:eastAsia="zh-CN" w:bidi="ar-SA"/>
                    </w:rPr>
                  </w:pPr>
                </w:p>
              </w:tc>
              <w:tc>
                <w:tcPr>
                  <w:tcW w:w="932" w:type="pct"/>
                  <w:vMerge w:val="continue"/>
                  <w:noWrap w:val="0"/>
                  <w:vAlign w:val="center"/>
                </w:tcPr>
                <w:p>
                  <w:pPr>
                    <w:pStyle w:val="91"/>
                    <w:spacing w:line="240" w:lineRule="auto"/>
                    <w:rPr>
                      <w:rFonts w:hint="eastAsia" w:ascii="Times New Roman" w:hAnsi="Times New Roman" w:eastAsia="宋体" w:cs="Times New Roman"/>
                      <w:snapToGrid w:val="0"/>
                      <w:color w:val="auto"/>
                      <w:kern w:val="0"/>
                      <w:sz w:val="21"/>
                      <w:szCs w:val="21"/>
                      <w:highlight w:val="none"/>
                      <w:shd w:val="clear" w:color="auto" w:fill="auto"/>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6" w:type="pct"/>
                  <w:vMerge w:val="restart"/>
                  <w:noWrap w:val="0"/>
                  <w:vAlign w:val="center"/>
                </w:tcPr>
                <w:p>
                  <w:pPr>
                    <w:adjustRightInd w:val="0"/>
                    <w:spacing w:line="300" w:lineRule="exact"/>
                    <w:jc w:val="center"/>
                    <w:rPr>
                      <w:color w:val="auto"/>
                      <w:sz w:val="21"/>
                      <w:szCs w:val="21"/>
                      <w:highlight w:val="none"/>
                      <w:shd w:val="clear" w:color="auto" w:fill="auto"/>
                    </w:rPr>
                  </w:pPr>
                  <w:r>
                    <w:rPr>
                      <w:rFonts w:hint="eastAsia" w:ascii="Times New Roman" w:hAnsi="Times New Roman" w:eastAsia="宋体" w:cs="Times New Roman"/>
                      <w:color w:val="auto"/>
                      <w:szCs w:val="21"/>
                    </w:rPr>
                    <w:t>2</w:t>
                  </w:r>
                </w:p>
              </w:tc>
              <w:tc>
                <w:tcPr>
                  <w:tcW w:w="840" w:type="pct"/>
                  <w:vMerge w:val="restart"/>
                  <w:noWrap w:val="0"/>
                  <w:vAlign w:val="center"/>
                </w:tcPr>
                <w:p>
                  <w:pPr>
                    <w:spacing w:line="240" w:lineRule="auto"/>
                    <w:jc w:val="center"/>
                    <w:rPr>
                      <w:rFonts w:hint="eastAsia" w:ascii="Times New Roman" w:hAnsi="Times New Roman" w:eastAsia="宋体" w:cs="Times New Roman"/>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塑胶壳</w:t>
                  </w:r>
                  <w:r>
                    <w:rPr>
                      <w:rFonts w:hint="eastAsia" w:ascii="Times New Roman" w:hAnsi="Times New Roman" w:eastAsia="宋体" w:cs="Times New Roman"/>
                      <w:color w:val="auto"/>
                      <w:sz w:val="21"/>
                      <w:szCs w:val="21"/>
                      <w:highlight w:val="none"/>
                      <w:shd w:val="clear" w:color="auto" w:fill="auto"/>
                      <w:lang w:val="en-US" w:eastAsia="zh-CN"/>
                    </w:rPr>
                    <w:t>（仅需要喷漆）</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29</w:t>
                  </w:r>
                  <w:r>
                    <w:rPr>
                      <w:rFonts w:hint="eastAsia"/>
                      <w:color w:val="FF0000"/>
                      <w:sz w:val="21"/>
                      <w:szCs w:val="21"/>
                      <w:highlight w:val="none"/>
                      <w:shd w:val="clear" w:color="auto" w:fill="auto"/>
                      <w:lang w:val="en-US" w:eastAsia="zh-CN"/>
                    </w:rPr>
                    <w:t>万个</w:t>
                  </w:r>
                </w:p>
              </w:tc>
              <w:tc>
                <w:tcPr>
                  <w:tcW w:w="518" w:type="pct"/>
                  <w:noWrap w:val="0"/>
                  <w:vAlign w:val="center"/>
                </w:tcPr>
                <w:p>
                  <w:pPr>
                    <w:spacing w:line="240" w:lineRule="auto"/>
                    <w:jc w:val="center"/>
                    <w:rPr>
                      <w:rFonts w:hint="eastAsia" w:ascii="Times New Roman" w:hAnsi="Times New Roman" w:eastAsia="宋体"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29</w:t>
                  </w:r>
                  <w:r>
                    <w:rPr>
                      <w:rFonts w:hint="eastAsia"/>
                      <w:color w:val="FF0000"/>
                      <w:sz w:val="21"/>
                      <w:szCs w:val="21"/>
                      <w:highlight w:val="none"/>
                      <w:shd w:val="clear" w:color="auto" w:fill="auto"/>
                      <w:lang w:val="en-US" w:eastAsia="zh-CN"/>
                    </w:rPr>
                    <w:t>万个</w:t>
                  </w:r>
                </w:p>
              </w:tc>
              <w:tc>
                <w:tcPr>
                  <w:tcW w:w="570" w:type="pct"/>
                  <w:noWrap w:val="0"/>
                  <w:vAlign w:val="center"/>
                </w:tcPr>
                <w:p>
                  <w:pPr>
                    <w:spacing w:line="240" w:lineRule="auto"/>
                    <w:jc w:val="center"/>
                    <w:rPr>
                      <w:rFonts w:hint="default" w:ascii="Times New Roman" w:hAnsi="Times New Roman" w:eastAsia="宋体"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+29</w:t>
                  </w:r>
                  <w:r>
                    <w:rPr>
                      <w:rFonts w:hint="eastAsia"/>
                      <w:color w:val="FF0000"/>
                      <w:sz w:val="21"/>
                      <w:szCs w:val="21"/>
                      <w:highlight w:val="none"/>
                      <w:shd w:val="clear" w:color="auto" w:fill="auto"/>
                      <w:lang w:val="en-US" w:eastAsia="zh-CN"/>
                    </w:rPr>
                    <w:t>万个</w:t>
                  </w:r>
                </w:p>
              </w:tc>
              <w:tc>
                <w:tcPr>
                  <w:tcW w:w="835" w:type="pct"/>
                  <w:vMerge w:val="restart"/>
                  <w:noWrap w:val="0"/>
                  <w:vAlign w:val="center"/>
                </w:tcPr>
                <w:p>
                  <w:pPr>
                    <w:pStyle w:val="91"/>
                    <w:spacing w:line="240" w:lineRule="auto"/>
                    <w:rPr>
                      <w:rFonts w:hint="default" w:eastAsia="宋体"/>
                      <w:color w:val="auto"/>
                      <w:sz w:val="21"/>
                      <w:szCs w:val="21"/>
                      <w:highlight w:val="none"/>
                      <w:shd w:val="clear" w:color="auto" w:fill="auto"/>
                      <w:lang w:val="en-US" w:eastAsia="zh-CN"/>
                    </w:rPr>
                  </w:pPr>
                  <w:r>
                    <w:rPr>
                      <w:rFonts w:hint="eastAsia" w:cs="Times New Roman"/>
                      <w:snapToGrid w:val="0"/>
                      <w:color w:val="auto"/>
                      <w:kern w:val="0"/>
                      <w:sz w:val="21"/>
                      <w:szCs w:val="21"/>
                      <w:highlight w:val="none"/>
                      <w:shd w:val="clear" w:color="auto" w:fill="auto"/>
                      <w:lang w:val="en-US" w:eastAsia="zh-CN" w:bidi="ar-SA"/>
                    </w:rPr>
                    <w:t>20g/个</w:t>
                  </w: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6" w:type="pct"/>
                  <w:vMerge w:val="continue"/>
                  <w:noWrap w:val="0"/>
                  <w:vAlign w:val="center"/>
                </w:tcPr>
                <w:p>
                  <w:pPr>
                    <w:adjustRightInd w:val="0"/>
                    <w:spacing w:line="300" w:lineRule="exact"/>
                    <w:jc w:val="center"/>
                    <w:rPr>
                      <w:rFonts w:hint="eastAsia" w:ascii="Times New Roman" w:hAnsi="Times New Roman" w:eastAsia="宋体" w:cs="Times New Roman"/>
                      <w:color w:val="auto"/>
                      <w:szCs w:val="21"/>
                    </w:rPr>
                  </w:pPr>
                </w:p>
              </w:tc>
              <w:tc>
                <w:tcPr>
                  <w:tcW w:w="840" w:type="pct"/>
                  <w:vMerge w:val="continue"/>
                  <w:noWrap w:val="0"/>
                  <w:vAlign w:val="center"/>
                </w:tcPr>
                <w:p>
                  <w:pPr>
                    <w:spacing w:line="240" w:lineRule="auto"/>
                    <w:jc w:val="center"/>
                    <w:rPr>
                      <w:rFonts w:hint="eastAsia"/>
                      <w:color w:val="auto"/>
                      <w:sz w:val="21"/>
                      <w:szCs w:val="21"/>
                      <w:highlight w:val="none"/>
                      <w:shd w:val="clear" w:color="auto" w:fill="auto"/>
                      <w:lang w:val="en-US" w:eastAsia="zh-CN"/>
                    </w:rPr>
                  </w:pP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5.8t</w:t>
                  </w:r>
                </w:p>
              </w:tc>
              <w:tc>
                <w:tcPr>
                  <w:tcW w:w="518" w:type="pct"/>
                  <w:noWrap w:val="0"/>
                  <w:vAlign w:val="center"/>
                </w:tcPr>
                <w:p>
                  <w:pPr>
                    <w:spacing w:line="240" w:lineRule="auto"/>
                    <w:jc w:val="center"/>
                    <w:rPr>
                      <w:rFonts w:hint="eastAsia"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5.8t</w:t>
                  </w:r>
                </w:p>
              </w:tc>
              <w:tc>
                <w:tcPr>
                  <w:tcW w:w="570" w:type="pct"/>
                  <w:noWrap w:val="0"/>
                  <w:vAlign w:val="center"/>
                </w:tcPr>
                <w:p>
                  <w:pPr>
                    <w:spacing w:line="240" w:lineRule="auto"/>
                    <w:jc w:val="center"/>
                    <w:rPr>
                      <w:rFonts w:hint="eastAsia"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+5.8t</w:t>
                  </w:r>
                </w:p>
              </w:tc>
              <w:tc>
                <w:tcPr>
                  <w:tcW w:w="835" w:type="pct"/>
                  <w:vMerge w:val="continue"/>
                  <w:noWrap w:val="0"/>
                  <w:vAlign w:val="center"/>
                </w:tcPr>
                <w:p>
                  <w:pPr>
                    <w:pStyle w:val="91"/>
                    <w:spacing w:line="240" w:lineRule="auto"/>
                    <w:rPr>
                      <w:rFonts w:hint="eastAsia" w:cs="Times New Roman"/>
                      <w:snapToGrid w:val="0"/>
                      <w:color w:val="auto"/>
                      <w:kern w:val="0"/>
                      <w:sz w:val="21"/>
                      <w:szCs w:val="21"/>
                      <w:highlight w:val="none"/>
                      <w:shd w:val="clear" w:color="auto" w:fill="auto"/>
                      <w:lang w:val="en-US" w:eastAsia="zh-CN" w:bidi="ar-SA"/>
                    </w:rPr>
                  </w:pP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6" w:type="pct"/>
                  <w:vMerge w:val="restart"/>
                  <w:noWrap w:val="0"/>
                  <w:vAlign w:val="center"/>
                </w:tcPr>
                <w:p>
                  <w:pPr>
                    <w:adjustRightInd w:val="0"/>
                    <w:spacing w:line="300" w:lineRule="exact"/>
                    <w:jc w:val="center"/>
                    <w:rPr>
                      <w:color w:val="auto"/>
                      <w:sz w:val="21"/>
                      <w:szCs w:val="21"/>
                      <w:highlight w:val="none"/>
                      <w:shd w:val="clear" w:color="auto" w:fill="auto"/>
                    </w:rPr>
                  </w:pPr>
                  <w:r>
                    <w:rPr>
                      <w:rFonts w:hint="eastAsia" w:ascii="Times New Roman" w:hAnsi="Times New Roman" w:eastAsia="宋体" w:cs="Times New Roman"/>
                      <w:color w:val="auto"/>
                      <w:szCs w:val="21"/>
                      <w:lang w:val="en-US" w:eastAsia="zh-CN"/>
                    </w:rPr>
                    <w:t>3</w:t>
                  </w:r>
                </w:p>
              </w:tc>
              <w:tc>
                <w:tcPr>
                  <w:tcW w:w="840" w:type="pct"/>
                  <w:vMerge w:val="restart"/>
                  <w:noWrap w:val="0"/>
                  <w:vAlign w:val="center"/>
                </w:tcPr>
                <w:p>
                  <w:pPr>
                    <w:spacing w:line="240" w:lineRule="auto"/>
                    <w:jc w:val="center"/>
                    <w:rPr>
                      <w:rFonts w:hint="eastAsia" w:ascii="Times New Roman" w:hAnsi="Times New Roman" w:eastAsia="宋体" w:cs="Times New Roman"/>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塑胶壳</w:t>
                  </w:r>
                  <w:r>
                    <w:rPr>
                      <w:rFonts w:hint="eastAsia" w:ascii="Times New Roman" w:hAnsi="Times New Roman" w:eastAsia="宋体" w:cs="Times New Roman"/>
                      <w:color w:val="auto"/>
                      <w:sz w:val="21"/>
                      <w:szCs w:val="21"/>
                      <w:highlight w:val="none"/>
                      <w:shd w:val="clear" w:color="auto" w:fill="auto"/>
                      <w:lang w:val="en-US" w:eastAsia="zh-CN"/>
                    </w:rPr>
                    <w:t>（仅需要丝印）</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46</w:t>
                  </w:r>
                  <w:r>
                    <w:rPr>
                      <w:rFonts w:hint="eastAsia"/>
                      <w:color w:val="FF0000"/>
                      <w:sz w:val="21"/>
                      <w:szCs w:val="21"/>
                      <w:highlight w:val="none"/>
                      <w:shd w:val="clear" w:color="auto" w:fill="auto"/>
                      <w:lang w:val="en-US" w:eastAsia="zh-CN"/>
                    </w:rPr>
                    <w:t>万个</w:t>
                  </w:r>
                </w:p>
              </w:tc>
              <w:tc>
                <w:tcPr>
                  <w:tcW w:w="518" w:type="pct"/>
                  <w:noWrap w:val="0"/>
                  <w:vAlign w:val="center"/>
                </w:tcPr>
                <w:p>
                  <w:pPr>
                    <w:spacing w:line="240" w:lineRule="auto"/>
                    <w:jc w:val="center"/>
                    <w:rPr>
                      <w:rFonts w:hint="eastAsia" w:ascii="Times New Roman" w:hAnsi="Times New Roman" w:eastAsia="宋体"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46</w:t>
                  </w:r>
                  <w:r>
                    <w:rPr>
                      <w:rFonts w:hint="eastAsia"/>
                      <w:color w:val="FF0000"/>
                      <w:sz w:val="21"/>
                      <w:szCs w:val="21"/>
                      <w:highlight w:val="none"/>
                      <w:shd w:val="clear" w:color="auto" w:fill="auto"/>
                      <w:lang w:val="en-US" w:eastAsia="zh-CN"/>
                    </w:rPr>
                    <w:t>万个</w:t>
                  </w:r>
                </w:p>
              </w:tc>
              <w:tc>
                <w:tcPr>
                  <w:tcW w:w="570" w:type="pct"/>
                  <w:noWrap w:val="0"/>
                  <w:vAlign w:val="center"/>
                </w:tcPr>
                <w:p>
                  <w:pPr>
                    <w:spacing w:line="240" w:lineRule="auto"/>
                    <w:jc w:val="center"/>
                    <w:rPr>
                      <w:rFonts w:hint="default" w:ascii="Times New Roman" w:hAnsi="Times New Roman" w:eastAsia="宋体"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+46</w:t>
                  </w:r>
                  <w:r>
                    <w:rPr>
                      <w:rFonts w:hint="eastAsia"/>
                      <w:color w:val="FF0000"/>
                      <w:sz w:val="21"/>
                      <w:szCs w:val="21"/>
                      <w:highlight w:val="none"/>
                      <w:shd w:val="clear" w:color="auto" w:fill="auto"/>
                      <w:lang w:val="en-US" w:eastAsia="zh-CN"/>
                    </w:rPr>
                    <w:t>万个</w:t>
                  </w:r>
                </w:p>
              </w:tc>
              <w:tc>
                <w:tcPr>
                  <w:tcW w:w="835" w:type="pct"/>
                  <w:vMerge w:val="restart"/>
                  <w:noWrap w:val="0"/>
                  <w:vAlign w:val="center"/>
                </w:tcPr>
                <w:p>
                  <w:pPr>
                    <w:pStyle w:val="91"/>
                    <w:spacing w:line="240" w:lineRule="auto"/>
                    <w:rPr>
                      <w:rFonts w:hint="default" w:eastAsia="宋体"/>
                      <w:color w:val="auto"/>
                      <w:sz w:val="21"/>
                      <w:szCs w:val="21"/>
                      <w:highlight w:val="none"/>
                      <w:shd w:val="clear" w:color="auto" w:fill="auto"/>
                      <w:lang w:val="en-US" w:eastAsia="zh-CN"/>
                    </w:rPr>
                  </w:pPr>
                  <w:r>
                    <w:rPr>
                      <w:rFonts w:hint="eastAsia" w:cs="Times New Roman"/>
                      <w:snapToGrid w:val="0"/>
                      <w:color w:val="auto"/>
                      <w:kern w:val="0"/>
                      <w:sz w:val="21"/>
                      <w:szCs w:val="21"/>
                      <w:highlight w:val="none"/>
                      <w:shd w:val="clear" w:color="auto" w:fill="auto"/>
                      <w:lang w:val="en-US" w:eastAsia="zh-CN" w:bidi="ar-SA"/>
                    </w:rPr>
                    <w:t>20g/个</w:t>
                  </w: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6" w:type="pct"/>
                  <w:vMerge w:val="continue"/>
                  <w:noWrap w:val="0"/>
                  <w:vAlign w:val="center"/>
                </w:tcPr>
                <w:p>
                  <w:pPr>
                    <w:adjustRightInd w:val="0"/>
                    <w:spacing w:line="300" w:lineRule="exact"/>
                    <w:jc w:val="center"/>
                    <w:rPr>
                      <w:rFonts w:hint="eastAsia" w:ascii="Times New Roman" w:hAnsi="Times New Roman" w:eastAsia="宋体" w:cs="Times New Roman"/>
                      <w:color w:val="auto"/>
                      <w:szCs w:val="21"/>
                      <w:lang w:val="en-US" w:eastAsia="zh-CN"/>
                    </w:rPr>
                  </w:pPr>
                </w:p>
              </w:tc>
              <w:tc>
                <w:tcPr>
                  <w:tcW w:w="840" w:type="pct"/>
                  <w:vMerge w:val="continue"/>
                  <w:noWrap w:val="0"/>
                  <w:vAlign w:val="center"/>
                </w:tcPr>
                <w:p>
                  <w:pPr>
                    <w:spacing w:line="240" w:lineRule="auto"/>
                    <w:jc w:val="center"/>
                    <w:rPr>
                      <w:rFonts w:hint="eastAsia"/>
                      <w:color w:val="auto"/>
                      <w:sz w:val="21"/>
                      <w:szCs w:val="21"/>
                      <w:highlight w:val="none"/>
                      <w:shd w:val="clear" w:color="auto" w:fill="auto"/>
                      <w:lang w:val="en-US" w:eastAsia="zh-CN"/>
                    </w:rPr>
                  </w:pP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9.2t</w:t>
                  </w:r>
                </w:p>
              </w:tc>
              <w:tc>
                <w:tcPr>
                  <w:tcW w:w="518" w:type="pct"/>
                  <w:noWrap w:val="0"/>
                  <w:vAlign w:val="center"/>
                </w:tcPr>
                <w:p>
                  <w:pPr>
                    <w:spacing w:line="240" w:lineRule="auto"/>
                    <w:jc w:val="center"/>
                    <w:rPr>
                      <w:rFonts w:hint="eastAsia"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9.2t</w:t>
                  </w:r>
                </w:p>
              </w:tc>
              <w:tc>
                <w:tcPr>
                  <w:tcW w:w="570"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+9.2t</w:t>
                  </w:r>
                </w:p>
              </w:tc>
              <w:tc>
                <w:tcPr>
                  <w:tcW w:w="835" w:type="pct"/>
                  <w:vMerge w:val="continue"/>
                  <w:noWrap w:val="0"/>
                  <w:vAlign w:val="center"/>
                </w:tcPr>
                <w:p>
                  <w:pPr>
                    <w:pStyle w:val="91"/>
                    <w:spacing w:line="240" w:lineRule="auto"/>
                    <w:rPr>
                      <w:rFonts w:hint="eastAsia" w:cs="Times New Roman"/>
                      <w:snapToGrid w:val="0"/>
                      <w:color w:val="auto"/>
                      <w:kern w:val="0"/>
                      <w:sz w:val="21"/>
                      <w:szCs w:val="21"/>
                      <w:highlight w:val="none"/>
                      <w:shd w:val="clear" w:color="auto" w:fill="auto"/>
                      <w:lang w:val="en-US" w:eastAsia="zh-CN" w:bidi="ar-SA"/>
                    </w:rPr>
                  </w:pP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106" w:type="pct"/>
                  <w:gridSpan w:val="2"/>
                  <w:vMerge w:val="restart"/>
                  <w:noWrap w:val="0"/>
                  <w:vAlign w:val="center"/>
                </w:tcPr>
                <w:p>
                  <w:pPr>
                    <w:spacing w:line="240" w:lineRule="auto"/>
                    <w:jc w:val="center"/>
                    <w:rPr>
                      <w:rFonts w:hint="default"/>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塑胶壳合计</w:t>
                  </w:r>
                </w:p>
              </w:tc>
              <w:tc>
                <w:tcPr>
                  <w:tcW w:w="518" w:type="pct"/>
                  <w:noWrap w:val="0"/>
                  <w:vAlign w:val="center"/>
                </w:tcPr>
                <w:p>
                  <w:pPr>
                    <w:spacing w:line="240" w:lineRule="auto"/>
                    <w:jc w:val="center"/>
                    <w:rPr>
                      <w:rFonts w:hint="eastAsia" w:cs="Times New Roman"/>
                      <w:color w:val="FF0000"/>
                      <w:spacing w:val="-8"/>
                      <w:kern w:val="0"/>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916.6667万个</w:t>
                  </w:r>
                </w:p>
              </w:tc>
              <w:tc>
                <w:tcPr>
                  <w:tcW w:w="518" w:type="pct"/>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s="Times New Roman"/>
                      <w:color w:val="FF0000"/>
                      <w:kern w:val="2"/>
                      <w:sz w:val="21"/>
                      <w:szCs w:val="21"/>
                      <w:highlight w:val="none"/>
                      <w:shd w:val="clear" w:color="auto" w:fill="auto"/>
                      <w:lang w:val="en-US" w:eastAsia="zh-CN" w:bidi="ar-SA"/>
                    </w:rPr>
                    <w:t>1915</w:t>
                  </w:r>
                  <w:r>
                    <w:rPr>
                      <w:rFonts w:hint="eastAsia"/>
                      <w:color w:val="FF0000"/>
                      <w:sz w:val="21"/>
                      <w:szCs w:val="21"/>
                      <w:highlight w:val="none"/>
                      <w:shd w:val="clear" w:color="auto" w:fill="auto"/>
                      <w:lang w:val="en-US" w:eastAsia="zh-CN"/>
                    </w:rPr>
                    <w:t>万个</w:t>
                  </w:r>
                </w:p>
              </w:tc>
              <w:tc>
                <w:tcPr>
                  <w:tcW w:w="518" w:type="pct"/>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s="Times New Roman"/>
                      <w:color w:val="FF0000"/>
                      <w:kern w:val="2"/>
                      <w:sz w:val="21"/>
                      <w:szCs w:val="21"/>
                      <w:highlight w:val="none"/>
                      <w:shd w:val="clear" w:color="auto" w:fill="auto"/>
                      <w:lang w:val="en-US" w:eastAsia="zh-CN" w:bidi="ar-SA"/>
                    </w:rPr>
                    <w:t>2831.6667</w:t>
                  </w:r>
                  <w:r>
                    <w:rPr>
                      <w:rFonts w:hint="eastAsia"/>
                      <w:color w:val="FF0000"/>
                      <w:sz w:val="21"/>
                      <w:szCs w:val="21"/>
                      <w:highlight w:val="none"/>
                      <w:shd w:val="clear" w:color="auto" w:fill="auto"/>
                      <w:lang w:val="en-US" w:eastAsia="zh-CN"/>
                    </w:rPr>
                    <w:t>万个</w:t>
                  </w:r>
                </w:p>
              </w:tc>
              <w:tc>
                <w:tcPr>
                  <w:tcW w:w="1044" w:type="dxa"/>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s="Times New Roman"/>
                      <w:color w:val="FF0000"/>
                      <w:kern w:val="2"/>
                      <w:sz w:val="21"/>
                      <w:szCs w:val="21"/>
                      <w:highlight w:val="none"/>
                      <w:shd w:val="clear" w:color="auto" w:fill="auto"/>
                      <w:lang w:val="en-US" w:eastAsia="zh-CN" w:bidi="ar-SA"/>
                    </w:rPr>
                    <w:t>1915</w:t>
                  </w:r>
                  <w:r>
                    <w:rPr>
                      <w:rFonts w:hint="eastAsia"/>
                      <w:color w:val="FF0000"/>
                      <w:sz w:val="21"/>
                      <w:szCs w:val="21"/>
                      <w:highlight w:val="none"/>
                      <w:shd w:val="clear" w:color="auto" w:fill="auto"/>
                      <w:lang w:val="en-US" w:eastAsia="zh-CN"/>
                    </w:rPr>
                    <w:t>万个</w:t>
                  </w:r>
                </w:p>
              </w:tc>
              <w:tc>
                <w:tcPr>
                  <w:tcW w:w="835" w:type="pct"/>
                  <w:vMerge w:val="restart"/>
                  <w:noWrap w:val="0"/>
                  <w:vAlign w:val="center"/>
                </w:tcPr>
                <w:p>
                  <w:pPr>
                    <w:pStyle w:val="91"/>
                    <w:spacing w:line="240" w:lineRule="auto"/>
                    <w:rPr>
                      <w:rFonts w:hint="default"/>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w:t>
                  </w: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106" w:type="pct"/>
                  <w:gridSpan w:val="2"/>
                  <w:vMerge w:val="continue"/>
                  <w:noWrap w:val="0"/>
                  <w:vAlign w:val="center"/>
                </w:tcPr>
                <w:p>
                  <w:pPr>
                    <w:spacing w:line="240" w:lineRule="auto"/>
                    <w:jc w:val="center"/>
                    <w:rPr>
                      <w:rFonts w:hint="eastAsia"/>
                      <w:color w:val="auto"/>
                      <w:sz w:val="21"/>
                      <w:szCs w:val="21"/>
                      <w:highlight w:val="none"/>
                      <w:shd w:val="clear" w:color="auto" w:fill="auto"/>
                      <w:lang w:val="en-US" w:eastAsia="zh-CN"/>
                    </w:rPr>
                  </w:pPr>
                </w:p>
              </w:tc>
              <w:tc>
                <w:tcPr>
                  <w:tcW w:w="518" w:type="pct"/>
                  <w:noWrap w:val="0"/>
                  <w:vAlign w:val="center"/>
                </w:tcPr>
                <w:p>
                  <w:pPr>
                    <w:spacing w:line="240" w:lineRule="auto"/>
                    <w:jc w:val="center"/>
                    <w:rPr>
                      <w:rFonts w:hint="eastAsia"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合计550t</w:t>
                  </w:r>
                </w:p>
              </w:tc>
              <w:tc>
                <w:tcPr>
                  <w:tcW w:w="518" w:type="pct"/>
                  <w:noWrap w:val="0"/>
                  <w:vAlign w:val="center"/>
                </w:tcPr>
                <w:p>
                  <w:pPr>
                    <w:spacing w:line="240" w:lineRule="auto"/>
                    <w:jc w:val="center"/>
                    <w:rPr>
                      <w:rFonts w:hint="eastAsia"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合计383t</w:t>
                  </w:r>
                </w:p>
              </w:tc>
              <w:tc>
                <w:tcPr>
                  <w:tcW w:w="518" w:type="pct"/>
                  <w:noWrap w:val="0"/>
                  <w:vAlign w:val="center"/>
                </w:tcPr>
                <w:p>
                  <w:pPr>
                    <w:spacing w:line="240" w:lineRule="auto"/>
                    <w:jc w:val="center"/>
                    <w:rPr>
                      <w:rFonts w:hint="eastAsia"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合计933t</w:t>
                  </w:r>
                </w:p>
              </w:tc>
              <w:tc>
                <w:tcPr>
                  <w:tcW w:w="1044" w:type="dxa"/>
                  <w:noWrap w:val="0"/>
                  <w:vAlign w:val="center"/>
                </w:tcPr>
                <w:p>
                  <w:pPr>
                    <w:spacing w:line="240" w:lineRule="auto"/>
                    <w:jc w:val="center"/>
                    <w:rPr>
                      <w:rFonts w:hint="eastAsia"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+383t</w:t>
                  </w:r>
                </w:p>
              </w:tc>
              <w:tc>
                <w:tcPr>
                  <w:tcW w:w="835"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6" w:type="pct"/>
                  <w:noWrap w:val="0"/>
                  <w:vAlign w:val="center"/>
                </w:tcPr>
                <w:p>
                  <w:pPr>
                    <w:spacing w:line="240" w:lineRule="auto"/>
                    <w:jc w:val="center"/>
                    <w:rPr>
                      <w:rFonts w:hint="eastAsia" w:eastAsia="宋体"/>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4</w:t>
                  </w:r>
                </w:p>
              </w:tc>
              <w:tc>
                <w:tcPr>
                  <w:tcW w:w="1519" w:type="dxa"/>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五金模具</w:t>
                  </w:r>
                </w:p>
              </w:tc>
              <w:tc>
                <w:tcPr>
                  <w:tcW w:w="936" w:type="dxa"/>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0</w:t>
                  </w:r>
                </w:p>
              </w:tc>
              <w:tc>
                <w:tcPr>
                  <w:tcW w:w="936" w:type="dxa"/>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100套</w:t>
                  </w:r>
                </w:p>
              </w:tc>
              <w:tc>
                <w:tcPr>
                  <w:tcW w:w="936" w:type="dxa"/>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100套</w:t>
                  </w:r>
                </w:p>
              </w:tc>
              <w:tc>
                <w:tcPr>
                  <w:tcW w:w="1030" w:type="dxa"/>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+100套</w:t>
                  </w:r>
                </w:p>
              </w:tc>
              <w:tc>
                <w:tcPr>
                  <w:tcW w:w="1510" w:type="dxa"/>
                  <w:noWrap w:val="0"/>
                  <w:vAlign w:val="center"/>
                </w:tcPr>
                <w:p>
                  <w:pPr>
                    <w:pStyle w:val="91"/>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s="Times New Roman"/>
                      <w:snapToGrid w:val="0"/>
                      <w:color w:val="auto"/>
                      <w:kern w:val="0"/>
                      <w:sz w:val="21"/>
                      <w:szCs w:val="21"/>
                      <w:highlight w:val="none"/>
                      <w:shd w:val="clear" w:color="auto" w:fill="auto"/>
                      <w:lang w:val="en-US" w:eastAsia="zh-CN" w:bidi="ar-SA"/>
                    </w:rPr>
                    <w:t>/</w:t>
                  </w:r>
                </w:p>
              </w:tc>
              <w:tc>
                <w:tcPr>
                  <w:tcW w:w="1691" w:type="dxa"/>
                  <w:noWrap w:val="0"/>
                  <w:vAlign w:val="center"/>
                </w:tcPr>
                <w:p>
                  <w:pPr>
                    <w:pStyle w:val="91"/>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olor w:val="auto"/>
                      <w:sz w:val="21"/>
                      <w:szCs w:val="21"/>
                      <w:highlight w:val="magenta"/>
                      <w:shd w:val="clear" w:color="auto" w:fill="auto"/>
                      <w:lang w:val="en-US" w:eastAsia="zh-CN"/>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6" w:type="pct"/>
                  <w:noWrap w:val="0"/>
                  <w:vAlign w:val="center"/>
                </w:tcPr>
                <w:p>
                  <w:pPr>
                    <w:spacing w:line="240" w:lineRule="auto"/>
                    <w:jc w:val="center"/>
                    <w:rPr>
                      <w:rFonts w:hint="eastAsia"/>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5</w:t>
                  </w:r>
                </w:p>
              </w:tc>
              <w:tc>
                <w:tcPr>
                  <w:tcW w:w="840"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锂离子电池组</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5000件</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5000件</w:t>
                  </w:r>
                </w:p>
              </w:tc>
              <w:tc>
                <w:tcPr>
                  <w:tcW w:w="570"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0</w:t>
                  </w:r>
                </w:p>
              </w:tc>
              <w:tc>
                <w:tcPr>
                  <w:tcW w:w="835" w:type="pct"/>
                  <w:noWrap w:val="0"/>
                  <w:vAlign w:val="center"/>
                </w:tcPr>
                <w:p>
                  <w:pPr>
                    <w:pStyle w:val="91"/>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s="Times New Roman"/>
                      <w:snapToGrid w:val="0"/>
                      <w:color w:val="FF0000"/>
                      <w:kern w:val="0"/>
                      <w:sz w:val="21"/>
                      <w:szCs w:val="21"/>
                      <w:highlight w:val="none"/>
                      <w:shd w:val="clear" w:color="auto" w:fill="auto"/>
                      <w:lang w:val="en-US" w:eastAsia="zh-CN" w:bidi="ar-SA"/>
                    </w:rPr>
                    <w:t>锂离子电池组需现有项目塑胶壳共计40t</w:t>
                  </w:r>
                </w:p>
              </w:tc>
              <w:tc>
                <w:tcPr>
                  <w:tcW w:w="932" w:type="pct"/>
                  <w:noWrap w:val="0"/>
                  <w:vAlign w:val="center"/>
                </w:tcPr>
                <w:p>
                  <w:pPr>
                    <w:pStyle w:val="91"/>
                    <w:spacing w:line="240" w:lineRule="auto"/>
                    <w:rPr>
                      <w:rFonts w:hint="eastAsia"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锂离子电池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000" w:type="pct"/>
                  <w:gridSpan w:val="8"/>
                  <w:noWrap w:val="0"/>
                  <w:vAlign w:val="center"/>
                </w:tcPr>
                <w:p>
                  <w:pPr>
                    <w:pStyle w:val="91"/>
                    <w:spacing w:line="240" w:lineRule="auto"/>
                    <w:jc w:val="left"/>
                    <w:rPr>
                      <w:rFonts w:hint="default" w:cs="Times New Roman"/>
                      <w:b/>
                      <w:bCs/>
                      <w:snapToGrid w:val="0"/>
                      <w:color w:val="auto"/>
                      <w:kern w:val="0"/>
                      <w:sz w:val="21"/>
                      <w:szCs w:val="21"/>
                      <w:highlight w:val="none"/>
                      <w:shd w:val="clear" w:color="auto" w:fill="auto"/>
                      <w:lang w:val="en-US" w:eastAsia="zh-CN" w:bidi="ar-SA"/>
                    </w:rPr>
                  </w:pPr>
                  <w:r>
                    <w:rPr>
                      <w:rFonts w:hint="eastAsia"/>
                      <w:b/>
                      <w:bCs/>
                      <w:color w:val="auto"/>
                      <w:sz w:val="21"/>
                      <w:szCs w:val="21"/>
                      <w:highlight w:val="none"/>
                      <w:shd w:val="clear" w:color="auto" w:fill="auto"/>
                      <w:lang w:val="en-US" w:eastAsia="zh-CN"/>
                    </w:rPr>
                    <w:t>注：①现有项目单个产品尺寸较大，单个产品平均重量为</w:t>
                  </w:r>
                  <w:r>
                    <w:rPr>
                      <w:rFonts w:hint="eastAsia" w:cs="Times New Roman"/>
                      <w:b/>
                      <w:bCs/>
                      <w:snapToGrid w:val="0"/>
                      <w:color w:val="auto"/>
                      <w:kern w:val="0"/>
                      <w:sz w:val="21"/>
                      <w:szCs w:val="21"/>
                      <w:highlight w:val="none"/>
                      <w:shd w:val="clear" w:color="auto" w:fill="auto"/>
                      <w:lang w:val="en-US" w:eastAsia="zh-CN" w:bidi="ar-SA"/>
                    </w:rPr>
                    <w:t>60g/个，本次扩建新增的产品尺寸较小，</w:t>
                  </w:r>
                  <w:r>
                    <w:rPr>
                      <w:rFonts w:hint="eastAsia"/>
                      <w:b/>
                      <w:bCs/>
                      <w:color w:val="auto"/>
                      <w:sz w:val="21"/>
                      <w:szCs w:val="21"/>
                      <w:highlight w:val="none"/>
                      <w:shd w:val="clear" w:color="auto" w:fill="auto"/>
                      <w:lang w:val="en-US" w:eastAsia="zh-CN"/>
                    </w:rPr>
                    <w:t>单个产品平均重量为</w:t>
                  </w:r>
                  <w:r>
                    <w:rPr>
                      <w:rFonts w:hint="eastAsia" w:cs="Times New Roman"/>
                      <w:b/>
                      <w:bCs/>
                      <w:snapToGrid w:val="0"/>
                      <w:color w:val="auto"/>
                      <w:kern w:val="0"/>
                      <w:sz w:val="21"/>
                      <w:szCs w:val="21"/>
                      <w:highlight w:val="none"/>
                      <w:shd w:val="clear" w:color="auto" w:fill="auto"/>
                      <w:lang w:val="en-US" w:eastAsia="zh-CN" w:bidi="ar-SA"/>
                    </w:rPr>
                    <w:t>20g/个。</w:t>
                  </w:r>
                </w:p>
              </w:tc>
            </w:tr>
          </w:tbl>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b/>
                <w:bCs/>
                <w:color w:val="auto"/>
                <w:sz w:val="21"/>
                <w:szCs w:val="21"/>
              </w:rPr>
              <w:t>单个</w:t>
            </w:r>
            <w:r>
              <w:rPr>
                <w:rFonts w:hint="eastAsia" w:ascii="Times New Roman" w:hAnsi="Times New Roman" w:eastAsia="宋体" w:cs="Times New Roman"/>
                <w:color w:val="auto"/>
                <w:sz w:val="22"/>
                <w:szCs w:val="22"/>
                <w:highlight w:val="none"/>
                <w:lang w:val="en-US" w:eastAsia="zh-CN"/>
              </w:rPr>
              <w:t>产品需喷漆或丝印面积一览表</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1440"/>
              <w:gridCol w:w="2543"/>
              <w:gridCol w:w="3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b/>
                      <w:bCs/>
                      <w:color w:val="auto"/>
                      <w:kern w:val="2"/>
                      <w:sz w:val="21"/>
                      <w:szCs w:val="21"/>
                      <w:highlight w:val="none"/>
                      <w:shd w:val="clear" w:color="auto" w:fill="auto"/>
                      <w:lang w:val="en-US" w:eastAsia="zh-CN" w:bidi="ar-SA"/>
                    </w:rPr>
                  </w:pPr>
                  <w:r>
                    <w:rPr>
                      <w:rFonts w:hint="eastAsia" w:ascii="宋体" w:hAnsi="宋体" w:cs="宋体"/>
                      <w:b/>
                      <w:bCs/>
                      <w:color w:val="auto"/>
                      <w:sz w:val="21"/>
                      <w:szCs w:val="21"/>
                      <w:highlight w:val="none"/>
                      <w:shd w:val="clear" w:color="auto" w:fill="auto"/>
                    </w:rPr>
                    <w:t>产品</w:t>
                  </w:r>
                  <w:r>
                    <w:rPr>
                      <w:rFonts w:hint="eastAsia" w:ascii="宋体" w:hAnsi="宋体" w:cs="宋体"/>
                      <w:b/>
                      <w:bCs/>
                      <w:color w:val="auto"/>
                      <w:sz w:val="21"/>
                      <w:szCs w:val="21"/>
                      <w:highlight w:val="none"/>
                      <w:shd w:val="clear" w:color="auto" w:fill="auto"/>
                      <w:lang w:val="en-US" w:eastAsia="zh-CN"/>
                    </w:rPr>
                    <w:t>类别</w:t>
                  </w:r>
                </w:p>
              </w:tc>
              <w:tc>
                <w:tcPr>
                  <w:tcW w:w="79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b/>
                      <w:bCs/>
                      <w:color w:val="auto"/>
                      <w:sz w:val="21"/>
                      <w:szCs w:val="21"/>
                      <w:vertAlign w:val="baseline"/>
                      <w:lang w:val="en-US" w:eastAsia="zh-CN"/>
                    </w:rPr>
                  </w:pPr>
                  <w:r>
                    <w:rPr>
                      <w:rFonts w:hint="eastAsia"/>
                      <w:b/>
                      <w:bCs/>
                      <w:color w:val="auto"/>
                      <w:sz w:val="21"/>
                      <w:szCs w:val="21"/>
                      <w:vertAlign w:val="baseline"/>
                      <w:lang w:val="en-US" w:eastAsia="zh-CN"/>
                    </w:rPr>
                    <w:t>产品照片</w:t>
                  </w:r>
                </w:p>
              </w:tc>
              <w:tc>
                <w:tcPr>
                  <w:tcW w:w="140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bCs/>
                      <w:color w:val="auto"/>
                      <w:sz w:val="21"/>
                      <w:szCs w:val="21"/>
                      <w:vertAlign w:val="baseline"/>
                      <w:lang w:val="en-US" w:eastAsia="zh-CN"/>
                    </w:rPr>
                  </w:pPr>
                  <w:r>
                    <w:rPr>
                      <w:rFonts w:hint="eastAsia"/>
                      <w:b/>
                      <w:bCs/>
                      <w:color w:val="auto"/>
                      <w:sz w:val="21"/>
                      <w:szCs w:val="21"/>
                    </w:rPr>
                    <w:t>单个</w:t>
                  </w:r>
                  <w:r>
                    <w:rPr>
                      <w:rFonts w:hint="eastAsia"/>
                      <w:b/>
                      <w:bCs/>
                      <w:color w:val="auto"/>
                      <w:sz w:val="21"/>
                      <w:szCs w:val="21"/>
                      <w:vertAlign w:val="baseline"/>
                      <w:lang w:val="en-US" w:eastAsia="zh-CN"/>
                    </w:rPr>
                    <w:t>产品尺寸（mm）</w:t>
                  </w:r>
                </w:p>
              </w:tc>
              <w:tc>
                <w:tcPr>
                  <w:tcW w:w="20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单个产品需喷漆或者丝印面积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塑胶壳</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（不需要喷漆或丝印）</w:t>
                  </w:r>
                </w:p>
              </w:tc>
              <w:tc>
                <w:tcPr>
                  <w:tcW w:w="79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drawing>
                      <wp:inline distT="0" distB="0" distL="114300" distR="114300">
                        <wp:extent cx="826770" cy="751205"/>
                        <wp:effectExtent l="0" t="0" r="11430" b="10795"/>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10"/>
                                <a:stretch>
                                  <a:fillRect/>
                                </a:stretch>
                              </pic:blipFill>
                              <pic:spPr>
                                <a:xfrm>
                                  <a:off x="0" y="0"/>
                                  <a:ext cx="826770" cy="751205"/>
                                </a:xfrm>
                                <a:prstGeom prst="rect">
                                  <a:avLst/>
                                </a:prstGeom>
                                <a:noFill/>
                                <a:ln>
                                  <a:noFill/>
                                </a:ln>
                              </pic:spPr>
                            </pic:pic>
                          </a:graphicData>
                        </a:graphic>
                      </wp:inline>
                    </w:drawing>
                  </w:r>
                </w:p>
              </w:tc>
              <w:tc>
                <w:tcPr>
                  <w:tcW w:w="140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246mm*1306mm*66mm</w:t>
                  </w:r>
                </w:p>
              </w:tc>
              <w:tc>
                <w:tcPr>
                  <w:tcW w:w="206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塑胶壳</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（仅需要</w:t>
                  </w:r>
                  <w:r>
                    <w:rPr>
                      <w:rFonts w:hint="default" w:ascii="Times New Roman" w:hAnsi="Times New Roman" w:eastAsia="宋体" w:cs="Times New Roman"/>
                      <w:b w:val="0"/>
                      <w:bCs/>
                      <w:color w:val="auto"/>
                      <w:sz w:val="21"/>
                      <w:szCs w:val="21"/>
                      <w:lang w:val="en-US" w:eastAsia="zh-CN"/>
                    </w:rPr>
                    <w:t>喷漆</w:t>
                  </w:r>
                  <w:r>
                    <w:rPr>
                      <w:rFonts w:hint="eastAsia" w:ascii="Times New Roman" w:hAnsi="Times New Roman" w:eastAsia="宋体" w:cs="Times New Roman"/>
                      <w:color w:val="auto"/>
                      <w:sz w:val="21"/>
                      <w:szCs w:val="21"/>
                      <w:highlight w:val="none"/>
                      <w:shd w:val="clear" w:color="auto" w:fill="auto"/>
                      <w:lang w:val="en-US" w:eastAsia="zh-CN"/>
                    </w:rPr>
                    <w:t>）</w:t>
                  </w:r>
                </w:p>
              </w:tc>
              <w:tc>
                <w:tcPr>
                  <w:tcW w:w="79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drawing>
                      <wp:inline distT="0" distB="0" distL="114300" distR="114300">
                        <wp:extent cx="868680" cy="562610"/>
                        <wp:effectExtent l="0" t="0" r="7620" b="8890"/>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11"/>
                                <a:stretch>
                                  <a:fillRect/>
                                </a:stretch>
                              </pic:blipFill>
                              <pic:spPr>
                                <a:xfrm>
                                  <a:off x="0" y="0"/>
                                  <a:ext cx="868680" cy="562610"/>
                                </a:xfrm>
                                <a:prstGeom prst="rect">
                                  <a:avLst/>
                                </a:prstGeom>
                                <a:noFill/>
                                <a:ln>
                                  <a:noFill/>
                                </a:ln>
                              </pic:spPr>
                            </pic:pic>
                          </a:graphicData>
                        </a:graphic>
                      </wp:inline>
                    </w:drawing>
                  </w:r>
                </w:p>
              </w:tc>
              <w:tc>
                <w:tcPr>
                  <w:tcW w:w="140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整个产品尺寸300mm*210mm*40mm，其中凹槽尺寸长64mm*宽110mm*深25mm</w:t>
                  </w:r>
                </w:p>
              </w:tc>
              <w:tc>
                <w:tcPr>
                  <w:tcW w:w="2068" w:type="pct"/>
                  <w:vAlign w:val="center"/>
                </w:tcPr>
                <w:p>
                  <w:pPr>
                    <w:keepNext w:val="0"/>
                    <w:keepLines w:val="0"/>
                    <w:pageBreakBefore w:val="0"/>
                    <w:widowControl w:val="0"/>
                    <w:kinsoku/>
                    <w:wordWrap/>
                    <w:overflowPunct/>
                    <w:topLinePunct w:val="0"/>
                    <w:autoSpaceDE/>
                    <w:autoSpaceDN/>
                    <w:bidi w:val="0"/>
                    <w:spacing w:line="240" w:lineRule="auto"/>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需喷漆面积=（300mm×210mm×2+110mm×25mm×4+64mm×25mm×4）÷1000000=0.1434m</w:t>
                  </w:r>
                  <w:r>
                    <w:rPr>
                      <w:rFonts w:hint="eastAsia" w:ascii="Times New Roman" w:hAnsi="Times New Roman" w:eastAsia="宋体" w:cs="Times New Roman"/>
                      <w:color w:val="auto"/>
                      <w:sz w:val="21"/>
                      <w:szCs w:val="21"/>
                      <w:highlight w:val="none"/>
                      <w:shd w:val="clear" w:color="auto" w:fill="auto"/>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塑胶壳</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（仅需要丝印）</w:t>
                  </w:r>
                </w:p>
              </w:tc>
              <w:tc>
                <w:tcPr>
                  <w:tcW w:w="79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drawing>
                      <wp:inline distT="0" distB="0" distL="114300" distR="114300">
                        <wp:extent cx="850265" cy="670560"/>
                        <wp:effectExtent l="0" t="0" r="6985" b="15240"/>
                        <wp:docPr id="23" name="图片 12" descr="Silkscreen 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 descr="Silkscreen Sample"/>
                                <pic:cNvPicPr>
                                  <a:picLocks noChangeAspect="1"/>
                                </pic:cNvPicPr>
                              </pic:nvPicPr>
                              <pic:blipFill>
                                <a:blip r:embed="rId12"/>
                                <a:stretch>
                                  <a:fillRect/>
                                </a:stretch>
                              </pic:blipFill>
                              <pic:spPr>
                                <a:xfrm>
                                  <a:off x="0" y="0"/>
                                  <a:ext cx="850265" cy="670560"/>
                                </a:xfrm>
                                <a:prstGeom prst="rect">
                                  <a:avLst/>
                                </a:prstGeom>
                                <a:noFill/>
                                <a:ln>
                                  <a:noFill/>
                                </a:ln>
                              </pic:spPr>
                            </pic:pic>
                          </a:graphicData>
                        </a:graphic>
                      </wp:inline>
                    </w:drawing>
                  </w:r>
                </w:p>
              </w:tc>
              <w:tc>
                <w:tcPr>
                  <w:tcW w:w="140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200mm*100mm*90mm，</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其中丝印面积</w:t>
                  </w:r>
                  <w:r>
                    <w:rPr>
                      <w:rFonts w:hint="eastAsia" w:cs="Times New Roman"/>
                      <w:color w:val="auto"/>
                      <w:sz w:val="21"/>
                      <w:szCs w:val="21"/>
                      <w:highlight w:val="none"/>
                      <w:shd w:val="clear" w:color="auto" w:fill="auto"/>
                      <w:lang w:val="en-US" w:eastAsia="zh-CN"/>
                    </w:rPr>
                    <w:t>80</w:t>
                  </w:r>
                  <w:r>
                    <w:rPr>
                      <w:rFonts w:hint="eastAsia" w:ascii="Times New Roman" w:hAnsi="Times New Roman" w:eastAsia="宋体" w:cs="Times New Roman"/>
                      <w:color w:val="auto"/>
                      <w:sz w:val="21"/>
                      <w:szCs w:val="21"/>
                      <w:highlight w:val="none"/>
                      <w:shd w:val="clear" w:color="auto" w:fill="auto"/>
                      <w:lang w:val="en-US" w:eastAsia="zh-CN"/>
                    </w:rPr>
                    <w:t>mm*</w:t>
                  </w:r>
                  <w:r>
                    <w:rPr>
                      <w:rFonts w:hint="eastAsia" w:cs="Times New Roman"/>
                      <w:color w:val="auto"/>
                      <w:sz w:val="21"/>
                      <w:szCs w:val="21"/>
                      <w:highlight w:val="none"/>
                      <w:shd w:val="clear" w:color="auto" w:fill="auto"/>
                      <w:lang w:val="en-US" w:eastAsia="zh-CN"/>
                    </w:rPr>
                    <w:t>15m</w:t>
                  </w:r>
                  <w:r>
                    <w:rPr>
                      <w:rFonts w:hint="eastAsia" w:ascii="Times New Roman" w:hAnsi="Times New Roman" w:eastAsia="宋体" w:cs="Times New Roman"/>
                      <w:color w:val="auto"/>
                      <w:sz w:val="21"/>
                      <w:szCs w:val="21"/>
                      <w:highlight w:val="none"/>
                      <w:shd w:val="clear" w:color="auto" w:fill="auto"/>
                      <w:lang w:val="en-US" w:eastAsia="zh-CN"/>
                    </w:rPr>
                    <w:t>m</w:t>
                  </w:r>
                </w:p>
              </w:tc>
              <w:tc>
                <w:tcPr>
                  <w:tcW w:w="206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需丝印面积=（</w:t>
                  </w:r>
                  <w:r>
                    <w:rPr>
                      <w:rFonts w:hint="eastAsia" w:cs="Times New Roman"/>
                      <w:color w:val="auto"/>
                      <w:sz w:val="21"/>
                      <w:szCs w:val="21"/>
                      <w:highlight w:val="none"/>
                      <w:shd w:val="clear" w:color="auto" w:fill="auto"/>
                      <w:lang w:val="en-US" w:eastAsia="zh-CN"/>
                    </w:rPr>
                    <w:t>80</w:t>
                  </w:r>
                  <w:r>
                    <w:rPr>
                      <w:rFonts w:hint="eastAsia" w:ascii="Times New Roman" w:hAnsi="Times New Roman" w:eastAsia="宋体" w:cs="Times New Roman"/>
                      <w:color w:val="auto"/>
                      <w:sz w:val="21"/>
                      <w:szCs w:val="21"/>
                      <w:highlight w:val="none"/>
                      <w:shd w:val="clear" w:color="auto" w:fill="auto"/>
                      <w:lang w:val="en-US" w:eastAsia="zh-CN"/>
                    </w:rPr>
                    <w:t>mm×</w:t>
                  </w:r>
                  <w:r>
                    <w:rPr>
                      <w:rFonts w:hint="eastAsia" w:cs="Times New Roman"/>
                      <w:color w:val="auto"/>
                      <w:sz w:val="21"/>
                      <w:szCs w:val="21"/>
                      <w:highlight w:val="none"/>
                      <w:shd w:val="clear" w:color="auto" w:fill="auto"/>
                      <w:lang w:val="en-US" w:eastAsia="zh-CN"/>
                    </w:rPr>
                    <w:t>15m</w:t>
                  </w:r>
                  <w:r>
                    <w:rPr>
                      <w:rFonts w:hint="eastAsia" w:ascii="Times New Roman" w:hAnsi="Times New Roman" w:eastAsia="宋体" w:cs="Times New Roman"/>
                      <w:color w:val="auto"/>
                      <w:sz w:val="21"/>
                      <w:szCs w:val="21"/>
                      <w:highlight w:val="none"/>
                      <w:shd w:val="clear" w:color="auto" w:fill="auto"/>
                      <w:lang w:val="en-US" w:eastAsia="zh-CN"/>
                    </w:rPr>
                    <w:t>m）÷1000000=0.00</w:t>
                  </w:r>
                  <w:r>
                    <w:rPr>
                      <w:rFonts w:hint="eastAsia" w:cs="Times New Roman"/>
                      <w:color w:val="auto"/>
                      <w:sz w:val="21"/>
                      <w:szCs w:val="21"/>
                      <w:highlight w:val="none"/>
                      <w:shd w:val="clear" w:color="auto" w:fill="auto"/>
                      <w:lang w:val="en-US" w:eastAsia="zh-CN"/>
                    </w:rPr>
                    <w:t>16</w:t>
                  </w:r>
                  <w:r>
                    <w:rPr>
                      <w:rFonts w:hint="eastAsia" w:ascii="Times New Roman" w:hAnsi="Times New Roman" w:eastAsia="宋体" w:cs="Times New Roman"/>
                      <w:color w:val="auto"/>
                      <w:sz w:val="21"/>
                      <w:szCs w:val="21"/>
                      <w:highlight w:val="none"/>
                      <w:shd w:val="clear" w:color="auto" w:fill="auto"/>
                      <w:lang w:val="en-US" w:eastAsia="zh-CN"/>
                    </w:rPr>
                    <w:t>m</w:t>
                  </w:r>
                  <w:r>
                    <w:rPr>
                      <w:rFonts w:hint="eastAsia" w:ascii="Times New Roman" w:hAnsi="Times New Roman" w:eastAsia="宋体" w:cs="Times New Roman"/>
                      <w:color w:val="auto"/>
                      <w:sz w:val="21"/>
                      <w:szCs w:val="21"/>
                      <w:highlight w:val="none"/>
                      <w:shd w:val="clear" w:color="auto" w:fill="auto"/>
                      <w:vertAlign w:val="superscript"/>
                      <w:lang w:val="en-US" w:eastAsia="zh-CN"/>
                    </w:rPr>
                    <w:t>2</w:t>
                  </w:r>
                </w:p>
              </w:tc>
            </w:tr>
          </w:tbl>
          <w:p>
            <w:pPr>
              <w:adjustRightInd w:val="0"/>
              <w:snapToGrid w:val="0"/>
              <w:ind w:firstLine="480" w:firstLineChars="200"/>
              <w:rPr>
                <w:rFonts w:hint="eastAsia"/>
                <w:bCs/>
                <w:color w:val="auto"/>
                <w:szCs w:val="21"/>
              </w:rPr>
            </w:pPr>
            <w:r>
              <w:rPr>
                <w:rFonts w:hint="eastAsia"/>
                <w:bCs/>
                <w:color w:val="auto"/>
                <w:szCs w:val="21"/>
              </w:rPr>
              <w:t>根据建设单位提供的资料，</w:t>
            </w:r>
            <w:r>
              <w:rPr>
                <w:rFonts w:hint="eastAsia"/>
                <w:bCs/>
                <w:color w:val="auto"/>
                <w:szCs w:val="21"/>
                <w:lang w:eastAsia="zh-CN"/>
              </w:rPr>
              <w:t>扩建</w:t>
            </w:r>
            <w:r>
              <w:rPr>
                <w:rFonts w:hint="eastAsia"/>
                <w:bCs/>
                <w:color w:val="auto"/>
                <w:szCs w:val="21"/>
                <w:lang w:val="en-US" w:eastAsia="zh-CN"/>
              </w:rPr>
              <w:t>前后</w:t>
            </w:r>
            <w:r>
              <w:rPr>
                <w:rFonts w:hint="eastAsia"/>
                <w:bCs/>
                <w:color w:val="auto"/>
                <w:szCs w:val="21"/>
                <w:lang w:eastAsia="zh-CN"/>
              </w:rPr>
              <w:t>项目</w:t>
            </w:r>
            <w:r>
              <w:rPr>
                <w:rFonts w:hint="eastAsia"/>
                <w:bCs/>
                <w:color w:val="auto"/>
                <w:szCs w:val="21"/>
              </w:rPr>
              <w:t>设备如下表：</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扩建前后项目生产设备一览表</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46"/>
              <w:gridCol w:w="700"/>
              <w:gridCol w:w="944"/>
              <w:gridCol w:w="1335"/>
              <w:gridCol w:w="1827"/>
              <w:gridCol w:w="877"/>
              <w:gridCol w:w="1009"/>
              <w:gridCol w:w="937"/>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38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主要生产单元</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主要工艺</w:t>
                  </w:r>
                </w:p>
              </w:tc>
              <w:tc>
                <w:tcPr>
                  <w:tcW w:w="73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主要生产设施</w:t>
                  </w:r>
                </w:p>
              </w:tc>
              <w:tc>
                <w:tcPr>
                  <w:tcW w:w="1010"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设施参数</w:t>
                  </w:r>
                </w:p>
              </w:tc>
              <w:tc>
                <w:tcPr>
                  <w:tcW w:w="485"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现有项目数量/台</w:t>
                  </w:r>
                </w:p>
              </w:tc>
              <w:tc>
                <w:tcPr>
                  <w:tcW w:w="55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扩建项目数量/台</w:t>
                  </w:r>
                </w:p>
              </w:tc>
              <w:tc>
                <w:tcPr>
                  <w:tcW w:w="51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扩建</w:t>
                  </w:r>
                  <w:r>
                    <w:rPr>
                      <w:rFonts w:hint="default" w:ascii="Times New Roman" w:hAnsi="Times New Roman" w:eastAsia="宋体" w:cs="Times New Roman"/>
                      <w:b/>
                      <w:bCs/>
                      <w:color w:val="auto"/>
                      <w:sz w:val="21"/>
                      <w:szCs w:val="21"/>
                      <w:highlight w:val="none"/>
                      <w:lang w:eastAsia="zh-CN"/>
                    </w:rPr>
                    <w:t>后</w:t>
                  </w:r>
                  <w:r>
                    <w:rPr>
                      <w:rFonts w:hint="default" w:ascii="Times New Roman" w:hAnsi="Times New Roman" w:eastAsia="宋体" w:cs="Times New Roman"/>
                      <w:b/>
                      <w:bCs/>
                      <w:color w:val="auto"/>
                      <w:sz w:val="21"/>
                      <w:szCs w:val="21"/>
                      <w:highlight w:val="none"/>
                    </w:rPr>
                    <w:t>数量/台</w:t>
                  </w:r>
                </w:p>
              </w:tc>
              <w:tc>
                <w:tcPr>
                  <w:tcW w:w="533"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增减量/台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塑胶</w:t>
                  </w:r>
                  <w:r>
                    <w:rPr>
                      <w:rFonts w:hint="default" w:ascii="Times New Roman" w:hAnsi="Times New Roman" w:eastAsia="宋体" w:cs="Times New Roman"/>
                      <w:color w:val="auto"/>
                      <w:sz w:val="21"/>
                      <w:szCs w:val="21"/>
                      <w:highlight w:val="none"/>
                      <w:lang w:val="en-US" w:eastAsia="zh-CN"/>
                    </w:rPr>
                    <w:t>壳</w:t>
                  </w:r>
                  <w:r>
                    <w:rPr>
                      <w:rFonts w:hint="default" w:ascii="Times New Roman" w:hAnsi="Times New Roman" w:eastAsia="宋体" w:cs="Times New Roman"/>
                      <w:color w:val="auto"/>
                      <w:sz w:val="21"/>
                      <w:szCs w:val="21"/>
                      <w:highlight w:val="none"/>
                    </w:rPr>
                    <w:t>生产</w:t>
                  </w: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注塑</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注塑机</w:t>
                  </w:r>
                </w:p>
              </w:tc>
              <w:tc>
                <w:tcPr>
                  <w:tcW w:w="1010"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0.013t/h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rPr>
                  </w:pPr>
                  <w:r>
                    <w:rPr>
                      <w:rFonts w:hint="eastAsia" w:cs="Times New Roman"/>
                      <w:color w:val="auto"/>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0.003</w:t>
                  </w:r>
                  <w:r>
                    <w:rPr>
                      <w:rFonts w:hint="eastAsia" w:cs="Times New Roman"/>
                      <w:i w:val="0"/>
                      <w:iCs w:val="0"/>
                      <w:color w:val="auto"/>
                      <w:kern w:val="0"/>
                      <w:sz w:val="21"/>
                      <w:szCs w:val="21"/>
                      <w:highlight w:val="none"/>
                      <w:u w:val="none"/>
                      <w:lang w:val="en-US" w:eastAsia="zh-CN" w:bidi="ar"/>
                    </w:rPr>
                    <w:t>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28</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pStyle w:val="9"/>
                    <w:keepNext w:val="0"/>
                    <w:keepLines w:val="0"/>
                    <w:pageBreakBefore w:val="0"/>
                    <w:kinsoku/>
                    <w:wordWrap/>
                    <w:overflowPunct/>
                    <w:topLinePunct w:val="0"/>
                    <w:autoSpaceDE/>
                    <w:autoSpaceDN/>
                    <w:bidi w:val="0"/>
                    <w:snapToGrid/>
                    <w:spacing w:line="240" w:lineRule="auto"/>
                    <w:ind w:left="0" w:leftChars="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28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w:t>
                  </w:r>
                </w:p>
              </w:tc>
              <w:tc>
                <w:tcPr>
                  <w:tcW w:w="533" w:type="pct"/>
                  <w:noWrap w:val="0"/>
                  <w:vAlign w:val="center"/>
                </w:tcPr>
                <w:p>
                  <w:pPr>
                    <w:pStyle w:val="9"/>
                    <w:keepNext w:val="0"/>
                    <w:keepLines w:val="0"/>
                    <w:pageBreakBefore w:val="0"/>
                    <w:kinsoku/>
                    <w:wordWrap/>
                    <w:overflowPunct/>
                    <w:topLinePunct w:val="0"/>
                    <w:autoSpaceDE/>
                    <w:autoSpaceDN/>
                    <w:bidi w:val="0"/>
                    <w:snapToGrid/>
                    <w:spacing w:line="240" w:lineRule="auto"/>
                    <w:ind w:left="0" w:leftChars="0" w:firstLine="0" w:firstLineChars="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预热</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模温机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33.7kw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漏斗式干燥机</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漏斗式干燥机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3.0KW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 xml:space="preserve">4.5KW </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6.0KW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干燥除湿</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干燥除湿机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7.7KW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8.0KW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7"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辅助</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机械手</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0.25KW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27</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37</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破碎</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破碎机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7.5KW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18.5KW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混料</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混料机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4kw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注塑冷却</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冷却塔</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循环水量：24t/h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9</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冷却塔</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循环水量：</w:t>
                  </w:r>
                  <w:r>
                    <w:rPr>
                      <w:rFonts w:hint="eastAsia"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i w:val="0"/>
                      <w:iCs w:val="0"/>
                      <w:color w:val="auto"/>
                      <w:kern w:val="0"/>
                      <w:sz w:val="21"/>
                      <w:szCs w:val="21"/>
                      <w:highlight w:val="none"/>
                      <w:u w:val="none"/>
                      <w:lang w:val="en-US" w:eastAsia="zh-CN" w:bidi="ar"/>
                    </w:rPr>
                    <w:t>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10</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48" w:type="pct"/>
                  <w:gridSpan w:val="2"/>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11</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五金模具</w:t>
                  </w:r>
                  <w:r>
                    <w:rPr>
                      <w:rFonts w:hint="default" w:ascii="Times New Roman" w:hAnsi="Times New Roman" w:eastAsia="宋体" w:cs="Times New Roman"/>
                      <w:color w:val="auto"/>
                      <w:sz w:val="21"/>
                      <w:szCs w:val="21"/>
                      <w:highlight w:val="magenta"/>
                    </w:rPr>
                    <w:t>（外售）</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机加工</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车床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电火花</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火花机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3.5kW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雕刻</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数控高速雕铣机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4</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14</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锣床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4</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4"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15</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打磨</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5</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16</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手动磨床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3</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17</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钻孔</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钻床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5</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18</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辅助</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磨刀机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2</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19</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检测</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三坐标仪</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5</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二次元影像测量仪</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4</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21</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丝印单元</w:t>
                  </w: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丝印/移印</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丝印机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40个/h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移印机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80个/h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丝印/移印烘烤</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丝印烘烤线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1.5m*0.75m*0.4m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rPr>
                  </w:pPr>
                  <w:r>
                    <w:rPr>
                      <w:rFonts w:hint="default" w:ascii="Times New Roman" w:hAnsi="Times New Roman" w:cs="Times New Roman"/>
                      <w:bCs/>
                      <w:color w:val="auto"/>
                      <w:sz w:val="21"/>
                      <w:szCs w:val="21"/>
                      <w:highlight w:val="none"/>
                      <w:lang w:val="en-US" w:eastAsia="zh-CN"/>
                    </w:rPr>
                    <w:t>+</w:t>
                  </w:r>
                  <w:r>
                    <w:rPr>
                      <w:rFonts w:hint="eastAsia" w:cs="Times New Roman"/>
                      <w:bCs/>
                      <w:color w:val="auto"/>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24</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喷</w:t>
                  </w:r>
                  <w:r>
                    <w:rPr>
                      <w:rFonts w:hint="eastAsia"/>
                      <w:color w:val="FF0000"/>
                      <w:lang w:val="en-US" w:eastAsia="zh-CN"/>
                    </w:rPr>
                    <w:t>涂</w:t>
                  </w:r>
                  <w:r>
                    <w:rPr>
                      <w:rFonts w:hint="eastAsia" w:cs="Times New Roman"/>
                      <w:color w:val="FF0000"/>
                      <w:sz w:val="21"/>
                      <w:szCs w:val="21"/>
                      <w:highlight w:val="none"/>
                      <w:lang w:val="en-US" w:eastAsia="zh-CN"/>
                    </w:rPr>
                    <w:t>工序</w:t>
                  </w: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喷漆</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喷漆房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5.6</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rPr>
                    <w:t>*6.1</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rPr>
                    <w:t>*2.3</w:t>
                  </w:r>
                  <w:r>
                    <w:rPr>
                      <w:rFonts w:hint="default" w:ascii="Times New Roman" w:hAnsi="Times New Roman" w:cs="Times New Roman"/>
                      <w:color w:val="auto"/>
                      <w:sz w:val="21"/>
                      <w:szCs w:val="21"/>
                      <w:highlight w:val="none"/>
                      <w:lang w:val="en-US" w:eastAsia="zh-CN"/>
                    </w:rPr>
                    <w:t>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25</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喷漆水帘柜</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sz w:val="21"/>
                      <w:szCs w:val="21"/>
                      <w:highlight w:val="none"/>
                    </w:rPr>
                    <w:t>2.3m*1.1m*1.115m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26</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喷枪</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0.1-0.3mpa</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27</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喷漆烘烤</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喷漆烘烤线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kern w:val="0"/>
                      <w:sz w:val="21"/>
                      <w:szCs w:val="21"/>
                      <w:highlight w:val="none"/>
                      <w:lang w:eastAsia="zh-CN"/>
                    </w:rPr>
                    <w:t>2</w:t>
                  </w:r>
                  <w:r>
                    <w:rPr>
                      <w:rFonts w:hint="default" w:ascii="Times New Roman" w:hAnsi="Times New Roman" w:eastAsia="宋体" w:cs="Times New Roman"/>
                      <w:bCs/>
                      <w:color w:val="auto"/>
                      <w:kern w:val="0"/>
                      <w:sz w:val="21"/>
                      <w:szCs w:val="21"/>
                      <w:highlight w:val="none"/>
                      <w:lang w:val="en-US" w:eastAsia="zh-CN"/>
                    </w:rPr>
                    <w:t>.2m</w:t>
                  </w:r>
                  <w:r>
                    <w:rPr>
                      <w:rFonts w:hint="default" w:ascii="Times New Roman" w:hAnsi="Times New Roman" w:eastAsia="宋体" w:cs="Times New Roman"/>
                      <w:bCs/>
                      <w:color w:val="auto"/>
                      <w:kern w:val="0"/>
                      <w:sz w:val="21"/>
                      <w:szCs w:val="21"/>
                      <w:highlight w:val="none"/>
                      <w:lang w:eastAsia="zh-CN"/>
                    </w:rPr>
                    <w:t>*1</w:t>
                  </w:r>
                  <w:r>
                    <w:rPr>
                      <w:rFonts w:hint="default" w:ascii="Times New Roman" w:hAnsi="Times New Roman" w:eastAsia="宋体" w:cs="Times New Roman"/>
                      <w:bCs/>
                      <w:color w:val="auto"/>
                      <w:kern w:val="0"/>
                      <w:sz w:val="21"/>
                      <w:szCs w:val="21"/>
                      <w:highlight w:val="none"/>
                      <w:lang w:val="en-US" w:eastAsia="zh-CN"/>
                    </w:rPr>
                    <w:t>.5m</w:t>
                  </w:r>
                  <w:r>
                    <w:rPr>
                      <w:rFonts w:hint="default" w:ascii="Times New Roman" w:hAnsi="Times New Roman" w:eastAsia="宋体" w:cs="Times New Roman"/>
                      <w:bCs/>
                      <w:color w:val="auto"/>
                      <w:kern w:val="0"/>
                      <w:sz w:val="21"/>
                      <w:szCs w:val="21"/>
                      <w:highlight w:val="none"/>
                      <w:lang w:eastAsia="zh-CN"/>
                    </w:rPr>
                    <w:t>*</w:t>
                  </w:r>
                  <w:r>
                    <w:rPr>
                      <w:rFonts w:hint="default" w:ascii="Times New Roman" w:hAnsi="Times New Roman" w:eastAsia="宋体" w:cs="Times New Roman"/>
                      <w:bCs/>
                      <w:color w:val="auto"/>
                      <w:kern w:val="0"/>
                      <w:sz w:val="21"/>
                      <w:szCs w:val="21"/>
                      <w:highlight w:val="none"/>
                      <w:lang w:val="en-US" w:eastAsia="zh-CN"/>
                    </w:rPr>
                    <w:t>0.4</w:t>
                  </w:r>
                  <w:r>
                    <w:rPr>
                      <w:rFonts w:hint="default" w:ascii="Times New Roman" w:hAnsi="Times New Roman" w:eastAsia="宋体" w:cs="Times New Roman"/>
                      <w:bCs/>
                      <w:color w:val="auto"/>
                      <w:kern w:val="0"/>
                      <w:sz w:val="21"/>
                      <w:szCs w:val="21"/>
                      <w:highlight w:val="none"/>
                      <w:lang w:eastAsia="zh-CN"/>
                    </w:rPr>
                    <w:t>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28</w:t>
                  </w:r>
                </w:p>
              </w:tc>
              <w:tc>
                <w:tcPr>
                  <w:tcW w:w="38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辅助</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空压机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485"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5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51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33"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29</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锂离子电池组生产</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注塑</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啤机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30</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注塑后检测</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检测设备</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31</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组装</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组装线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32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电动锣丝批</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焊接</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电烙铁</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bl>
          <w:p>
            <w:pPr>
              <w:bidi w:val="0"/>
              <w:spacing w:line="240" w:lineRule="auto"/>
              <w:ind w:left="0" w:leftChars="0" w:firstLine="0" w:firstLineChars="0"/>
              <w:rPr>
                <w:rFonts w:hint="eastAsia"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注：现有项目环评中未明确</w:t>
            </w:r>
            <w:r>
              <w:rPr>
                <w:rFonts w:hint="eastAsia" w:cs="Times New Roman"/>
                <w:b/>
                <w:bCs/>
                <w:color w:val="auto"/>
                <w:sz w:val="21"/>
                <w:szCs w:val="21"/>
                <w:highlight w:val="none"/>
                <w:lang w:val="en-US" w:eastAsia="zh-CN"/>
              </w:rPr>
              <w:t>模温机、漏斗式干燥机、干燥除湿机、机械手、冷却塔及空压机</w:t>
            </w:r>
            <w:r>
              <w:rPr>
                <w:rFonts w:hint="eastAsia" w:ascii="Times New Roman" w:hAnsi="Times New Roman" w:eastAsia="宋体" w:cs="Times New Roman"/>
                <w:b/>
                <w:bCs/>
                <w:color w:val="auto"/>
                <w:sz w:val="21"/>
                <w:szCs w:val="21"/>
                <w:highlight w:val="none"/>
                <w:lang w:val="en-US" w:eastAsia="zh-CN"/>
              </w:rPr>
              <w:t>数量</w:t>
            </w:r>
            <w:r>
              <w:rPr>
                <w:rFonts w:hint="eastAsia" w:cs="Times New Roman"/>
                <w:b/>
                <w:bCs/>
                <w:color w:val="auto"/>
                <w:sz w:val="21"/>
                <w:szCs w:val="21"/>
                <w:highlight w:val="none"/>
                <w:lang w:val="en-US" w:eastAsia="zh-CN"/>
              </w:rPr>
              <w:t>，现根据现有项目实际生产情况予以明确。</w:t>
            </w:r>
          </w:p>
          <w:p>
            <w:pPr>
              <w:adjustRightInd w:val="0"/>
              <w:snapToGrid w:val="0"/>
              <w:ind w:firstLine="482" w:firstLineChars="200"/>
              <w:rPr>
                <w:rFonts w:hint="eastAsia"/>
                <w:b/>
                <w:color w:val="auto"/>
                <w:szCs w:val="21"/>
                <w:lang w:val="en-US" w:eastAsia="zh-CN"/>
              </w:rPr>
            </w:pPr>
            <w:r>
              <w:rPr>
                <w:rFonts w:hint="eastAsia"/>
                <w:b/>
                <w:color w:val="auto"/>
                <w:szCs w:val="21"/>
                <w:lang w:val="en-US" w:eastAsia="zh-CN"/>
              </w:rPr>
              <w:t>扩建项目产能匹配详见下表：</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项目注塑机产能匹配核算一览表</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661"/>
              <w:gridCol w:w="1529"/>
              <w:gridCol w:w="1622"/>
              <w:gridCol w:w="1549"/>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设备名称</w:t>
                  </w:r>
                </w:p>
              </w:tc>
              <w:tc>
                <w:tcPr>
                  <w:tcW w:w="9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单台设计处理能力（t/h）</w:t>
                  </w:r>
                </w:p>
              </w:tc>
              <w:tc>
                <w:tcPr>
                  <w:tcW w:w="8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设备数量（</w:t>
                  </w:r>
                  <w:r>
                    <w:rPr>
                      <w:rFonts w:hint="eastAsia" w:ascii="Times New Roman" w:hAnsi="Times New Roman" w:eastAsia="宋体" w:cs="Times New Roman"/>
                      <w:b/>
                      <w:bCs/>
                      <w:color w:val="auto"/>
                      <w:sz w:val="21"/>
                      <w:szCs w:val="21"/>
                      <w:lang w:val="en-US" w:eastAsia="zh-CN"/>
                    </w:rPr>
                    <w:t>台</w:t>
                  </w:r>
                  <w:r>
                    <w:rPr>
                      <w:rFonts w:hint="eastAsia" w:cs="Times New Roman"/>
                      <w:b/>
                      <w:bCs/>
                      <w:color w:val="auto"/>
                      <w:sz w:val="21"/>
                      <w:szCs w:val="21"/>
                      <w:lang w:val="en-US" w:eastAsia="zh-CN"/>
                    </w:rPr>
                    <w:t>）</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年加工时间</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h</w:t>
                  </w:r>
                  <w:r>
                    <w:rPr>
                      <w:rFonts w:hint="eastAsia" w:cs="Times New Roman"/>
                      <w:b/>
                      <w:bCs/>
                      <w:color w:val="auto"/>
                      <w:sz w:val="21"/>
                      <w:szCs w:val="21"/>
                      <w:lang w:val="en-US" w:eastAsia="zh-CN"/>
                    </w:rPr>
                    <w:t>）</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设备设计</w:t>
                  </w:r>
                  <w:r>
                    <w:rPr>
                      <w:rFonts w:hint="eastAsia" w:ascii="Times New Roman" w:hAnsi="Times New Roman" w:eastAsia="宋体" w:cs="Times New Roman"/>
                      <w:b/>
                      <w:bCs/>
                      <w:color w:val="auto"/>
                      <w:sz w:val="21"/>
                      <w:szCs w:val="21"/>
                      <w:lang w:val="en-US" w:eastAsia="zh-CN"/>
                    </w:rPr>
                    <w:t>产能</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t/a</w:t>
                  </w:r>
                  <w:r>
                    <w:rPr>
                      <w:rFonts w:hint="eastAsia" w:cs="Times New Roman"/>
                      <w:b/>
                      <w:bCs/>
                      <w:color w:val="auto"/>
                      <w:sz w:val="21"/>
                      <w:szCs w:val="21"/>
                      <w:lang w:val="en-US" w:eastAsia="zh-CN"/>
                    </w:rPr>
                    <w:t>）</w:t>
                  </w:r>
                </w:p>
              </w:tc>
              <w:tc>
                <w:tcPr>
                  <w:tcW w:w="8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本项目设计产能（</w:t>
                  </w:r>
                  <w:r>
                    <w:rPr>
                      <w:rFonts w:hint="eastAsia" w:ascii="Times New Roman" w:hAnsi="Times New Roman" w:eastAsia="宋体" w:cs="Times New Roman"/>
                      <w:b/>
                      <w:bCs/>
                      <w:color w:val="auto"/>
                      <w:sz w:val="21"/>
                      <w:szCs w:val="21"/>
                      <w:lang w:val="en-US" w:eastAsia="zh-CN"/>
                    </w:rPr>
                    <w:t>t/a</w:t>
                  </w:r>
                  <w:r>
                    <w:rPr>
                      <w:rFonts w:hint="eastAsia" w:cs="Times New Roman"/>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rPr>
                  </w:pPr>
                  <w:r>
                    <w:rPr>
                      <w:rFonts w:hint="eastAsia" w:ascii="宋体" w:hAnsi="宋体" w:eastAsia="宋体" w:cs="宋体"/>
                      <w:color w:val="auto"/>
                      <w:sz w:val="21"/>
                      <w:szCs w:val="21"/>
                    </w:rPr>
                    <w:t>注塑机</w:t>
                  </w:r>
                </w:p>
              </w:tc>
              <w:tc>
                <w:tcPr>
                  <w:tcW w:w="919"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0.013</w:t>
                  </w:r>
                </w:p>
              </w:tc>
              <w:tc>
                <w:tcPr>
                  <w:tcW w:w="8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10</w:t>
                  </w:r>
                </w:p>
              </w:tc>
              <w:tc>
                <w:tcPr>
                  <w:tcW w:w="8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4800</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624</w:t>
                  </w:r>
                </w:p>
              </w:tc>
              <w:tc>
                <w:tcPr>
                  <w:tcW w:w="8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rPr>
                  </w:pPr>
                </w:p>
              </w:tc>
              <w:tc>
                <w:tcPr>
                  <w:tcW w:w="919"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eastAsia" w:ascii="Times New Roman" w:hAnsi="Times New Roman" w:eastAsia="宋体" w:cs="Times New Roman"/>
                      <w:bCs/>
                      <w:color w:val="auto"/>
                      <w:kern w:val="2"/>
                      <w:sz w:val="21"/>
                      <w:szCs w:val="21"/>
                      <w:highlight w:val="none"/>
                      <w:lang w:val="en-US" w:eastAsia="zh-CN" w:bidi="ar-SA"/>
                    </w:rPr>
                  </w:pPr>
                  <w:r>
                    <w:rPr>
                      <w:rFonts w:hint="eastAsia" w:cs="Times New Roman"/>
                      <w:bCs/>
                      <w:color w:val="auto"/>
                      <w:sz w:val="21"/>
                      <w:szCs w:val="21"/>
                      <w:highlight w:val="none"/>
                      <w:lang w:val="en-US" w:eastAsia="zh-CN"/>
                    </w:rPr>
                    <w:t>0.003</w:t>
                  </w:r>
                </w:p>
              </w:tc>
              <w:tc>
                <w:tcPr>
                  <w:tcW w:w="8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28</w:t>
                  </w: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403.2</w:t>
                  </w:r>
                </w:p>
              </w:tc>
              <w:tc>
                <w:tcPr>
                  <w:tcW w:w="8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b/>
                      <w:bCs/>
                      <w:color w:val="auto"/>
                      <w:sz w:val="21"/>
                      <w:szCs w:val="18"/>
                    </w:rPr>
                    <w:t>备注：</w:t>
                  </w:r>
                  <w:r>
                    <w:rPr>
                      <w:rFonts w:hint="eastAsia" w:cs="Times New Roman"/>
                      <w:b/>
                      <w:bCs/>
                      <w:color w:val="auto"/>
                      <w:sz w:val="21"/>
                      <w:szCs w:val="18"/>
                      <w:lang w:val="en-US" w:eastAsia="zh-CN"/>
                    </w:rPr>
                    <w:t>现有项目注塑工件简单，注塑时间较短，扩建项目产品种类多样，工件变小，工件形状较为复杂，注塑时间较长。</w:t>
                  </w:r>
                </w:p>
              </w:tc>
            </w:tr>
          </w:tbl>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项目</w:t>
            </w:r>
            <w:r>
              <w:rPr>
                <w:rFonts w:hint="eastAsia" w:cs="Times New Roman"/>
                <w:color w:val="auto"/>
                <w:sz w:val="22"/>
                <w:szCs w:val="22"/>
                <w:highlight w:val="none"/>
                <w:lang w:val="en-US" w:eastAsia="zh-CN"/>
              </w:rPr>
              <w:t>喷漆及丝印设备</w:t>
            </w:r>
            <w:r>
              <w:rPr>
                <w:rFonts w:hint="eastAsia" w:ascii="Times New Roman" w:hAnsi="Times New Roman" w:eastAsia="宋体" w:cs="Times New Roman"/>
                <w:color w:val="auto"/>
                <w:sz w:val="22"/>
                <w:szCs w:val="22"/>
                <w:highlight w:val="none"/>
                <w:lang w:val="en-US" w:eastAsia="zh-CN"/>
              </w:rPr>
              <w:t>产能匹配核算一览表</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1564"/>
              <w:gridCol w:w="1452"/>
              <w:gridCol w:w="1600"/>
              <w:gridCol w:w="1492"/>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设备名称</w:t>
                  </w:r>
                </w:p>
              </w:tc>
              <w:tc>
                <w:tcPr>
                  <w:tcW w:w="8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单台设计处理能力（个/h）</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设备数量（</w:t>
                  </w:r>
                  <w:r>
                    <w:rPr>
                      <w:rFonts w:hint="eastAsia" w:ascii="Times New Roman" w:hAnsi="Times New Roman" w:eastAsia="宋体" w:cs="Times New Roman"/>
                      <w:b/>
                      <w:bCs/>
                      <w:color w:val="auto"/>
                      <w:sz w:val="21"/>
                      <w:szCs w:val="21"/>
                      <w:lang w:val="en-US" w:eastAsia="zh-CN"/>
                    </w:rPr>
                    <w:t>台</w:t>
                  </w:r>
                  <w:r>
                    <w:rPr>
                      <w:rFonts w:hint="eastAsia" w:cs="Times New Roman"/>
                      <w:b/>
                      <w:bCs/>
                      <w:color w:val="auto"/>
                      <w:sz w:val="21"/>
                      <w:szCs w:val="21"/>
                      <w:lang w:val="en-US" w:eastAsia="zh-CN"/>
                    </w:rPr>
                    <w:t>）</w:t>
                  </w:r>
                </w:p>
              </w:tc>
              <w:tc>
                <w:tcPr>
                  <w:tcW w:w="88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年加工时间</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h</w:t>
                  </w:r>
                  <w:r>
                    <w:rPr>
                      <w:rFonts w:hint="eastAsia" w:cs="Times New Roman"/>
                      <w:b/>
                      <w:bCs/>
                      <w:color w:val="auto"/>
                      <w:sz w:val="21"/>
                      <w:szCs w:val="21"/>
                      <w:lang w:val="en-US" w:eastAsia="zh-CN"/>
                    </w:rPr>
                    <w:t>）</w:t>
                  </w:r>
                </w:p>
              </w:tc>
              <w:tc>
                <w:tcPr>
                  <w:tcW w:w="8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设备设计</w:t>
                  </w:r>
                  <w:r>
                    <w:rPr>
                      <w:rFonts w:hint="eastAsia" w:ascii="Times New Roman" w:hAnsi="Times New Roman" w:eastAsia="宋体" w:cs="Times New Roman"/>
                      <w:b/>
                      <w:bCs/>
                      <w:color w:val="auto"/>
                      <w:sz w:val="21"/>
                      <w:szCs w:val="21"/>
                      <w:lang w:val="en-US" w:eastAsia="zh-CN"/>
                    </w:rPr>
                    <w:t>产能</w:t>
                  </w:r>
                  <w:r>
                    <w:rPr>
                      <w:rFonts w:hint="eastAsia" w:cs="Times New Roman"/>
                      <w:b/>
                      <w:bCs/>
                      <w:color w:val="auto"/>
                      <w:sz w:val="21"/>
                      <w:szCs w:val="21"/>
                      <w:lang w:val="en-US" w:eastAsia="zh-CN"/>
                    </w:rPr>
                    <w:t>（个</w:t>
                  </w:r>
                  <w:r>
                    <w:rPr>
                      <w:rFonts w:hint="eastAsia" w:ascii="Times New Roman" w:hAnsi="Times New Roman" w:eastAsia="宋体" w:cs="Times New Roman"/>
                      <w:b/>
                      <w:bCs/>
                      <w:color w:val="auto"/>
                      <w:sz w:val="21"/>
                      <w:szCs w:val="21"/>
                      <w:lang w:val="en-US" w:eastAsia="zh-CN"/>
                    </w:rPr>
                    <w:t>/a</w:t>
                  </w:r>
                  <w:r>
                    <w:rPr>
                      <w:rFonts w:hint="eastAsia" w:cs="Times New Roman"/>
                      <w:b/>
                      <w:bCs/>
                      <w:color w:val="auto"/>
                      <w:sz w:val="21"/>
                      <w:szCs w:val="21"/>
                      <w:lang w:val="en-US" w:eastAsia="zh-CN"/>
                    </w:rPr>
                    <w:t>）</w:t>
                  </w:r>
                </w:p>
              </w:tc>
              <w:tc>
                <w:tcPr>
                  <w:tcW w:w="8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本项目设计产能（个</w:t>
                  </w:r>
                  <w:r>
                    <w:rPr>
                      <w:rFonts w:hint="eastAsia" w:ascii="Times New Roman" w:hAnsi="Times New Roman" w:eastAsia="宋体" w:cs="Times New Roman"/>
                      <w:b/>
                      <w:bCs/>
                      <w:color w:val="auto"/>
                      <w:sz w:val="21"/>
                      <w:szCs w:val="21"/>
                      <w:lang w:val="en-US" w:eastAsia="zh-CN"/>
                    </w:rPr>
                    <w:t>/a</w:t>
                  </w:r>
                  <w:r>
                    <w:rPr>
                      <w:rFonts w:hint="eastAsia" w:cs="Times New Roman"/>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喷枪</w:t>
                  </w:r>
                </w:p>
              </w:tc>
              <w:tc>
                <w:tcPr>
                  <w:tcW w:w="86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FF0000"/>
                      <w:sz w:val="21"/>
                      <w:szCs w:val="21"/>
                      <w:lang w:val="en-US" w:eastAsia="zh-CN"/>
                    </w:rPr>
                    <w:t>60</w:t>
                  </w:r>
                </w:p>
              </w:tc>
              <w:tc>
                <w:tcPr>
                  <w:tcW w:w="80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4把</w:t>
                  </w:r>
                </w:p>
              </w:tc>
              <w:tc>
                <w:tcPr>
                  <w:tcW w:w="8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1500</w:t>
                  </w:r>
                </w:p>
              </w:tc>
              <w:tc>
                <w:tcPr>
                  <w:tcW w:w="8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360000</w:t>
                  </w:r>
                </w:p>
              </w:tc>
              <w:tc>
                <w:tcPr>
                  <w:tcW w:w="85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290000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喷漆烘烤线</w:t>
                  </w:r>
                </w:p>
              </w:tc>
              <w:tc>
                <w:tcPr>
                  <w:tcW w:w="86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FF0000"/>
                      <w:sz w:val="21"/>
                      <w:szCs w:val="21"/>
                      <w:lang w:val="en-US" w:eastAsia="zh-CN"/>
                    </w:rPr>
                    <w:t>48</w:t>
                  </w:r>
                </w:p>
              </w:tc>
              <w:tc>
                <w:tcPr>
                  <w:tcW w:w="80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8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FF0000"/>
                      <w:sz w:val="21"/>
                      <w:szCs w:val="21"/>
                      <w:lang w:val="en-US" w:eastAsia="zh-CN"/>
                    </w:rPr>
                    <w:t>2500</w:t>
                  </w:r>
                </w:p>
              </w:tc>
              <w:tc>
                <w:tcPr>
                  <w:tcW w:w="8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FF0000"/>
                      <w:sz w:val="21"/>
                      <w:szCs w:val="21"/>
                      <w:lang w:val="en-US" w:eastAsia="zh-CN"/>
                    </w:rPr>
                    <w:t>360000</w:t>
                  </w:r>
                </w:p>
              </w:tc>
              <w:tc>
                <w:tcPr>
                  <w:tcW w:w="85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290000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丝印机</w:t>
                  </w:r>
                </w:p>
              </w:tc>
              <w:tc>
                <w:tcPr>
                  <w:tcW w:w="86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eastAsia" w:cs="Times New Roman"/>
                      <w:i w:val="0"/>
                      <w:iCs w:val="0"/>
                      <w:color w:val="FF0000"/>
                      <w:kern w:val="0"/>
                      <w:sz w:val="21"/>
                      <w:szCs w:val="21"/>
                      <w:u w:val="none"/>
                      <w:lang w:val="en-US" w:eastAsia="zh-CN" w:bidi="ar"/>
                    </w:rPr>
                    <w:t>40</w:t>
                  </w:r>
                </w:p>
              </w:tc>
              <w:tc>
                <w:tcPr>
                  <w:tcW w:w="80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w:t>
                  </w:r>
                </w:p>
              </w:tc>
              <w:tc>
                <w:tcPr>
                  <w:tcW w:w="88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w:t>
                  </w:r>
                </w:p>
              </w:tc>
              <w:tc>
                <w:tcPr>
                  <w:tcW w:w="82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eastAsia" w:cs="Times New Roman"/>
                      <w:i w:val="0"/>
                      <w:iCs w:val="0"/>
                      <w:color w:val="FF0000"/>
                      <w:kern w:val="0"/>
                      <w:sz w:val="21"/>
                      <w:szCs w:val="21"/>
                      <w:u w:val="none"/>
                      <w:lang w:val="en-US" w:eastAsia="zh-CN" w:bidi="ar"/>
                    </w:rPr>
                    <w:t>324</w:t>
                  </w:r>
                  <w:r>
                    <w:rPr>
                      <w:rFonts w:hint="default" w:ascii="Times New Roman" w:hAnsi="Times New Roman" w:eastAsia="宋体" w:cs="Times New Roman"/>
                      <w:i w:val="0"/>
                      <w:iCs w:val="0"/>
                      <w:color w:val="FF0000"/>
                      <w:kern w:val="0"/>
                      <w:sz w:val="21"/>
                      <w:szCs w:val="21"/>
                      <w:u w:val="none"/>
                      <w:lang w:val="en-US" w:eastAsia="zh-CN" w:bidi="ar"/>
                    </w:rPr>
                    <w:t>000</w:t>
                  </w:r>
                </w:p>
              </w:tc>
              <w:tc>
                <w:tcPr>
                  <w:tcW w:w="852"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合计460000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移印机</w:t>
                  </w:r>
                </w:p>
              </w:tc>
              <w:tc>
                <w:tcPr>
                  <w:tcW w:w="86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80</w:t>
                  </w:r>
                </w:p>
              </w:tc>
              <w:tc>
                <w:tcPr>
                  <w:tcW w:w="80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2</w:t>
                  </w:r>
                </w:p>
              </w:tc>
              <w:tc>
                <w:tcPr>
                  <w:tcW w:w="88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w:t>
                  </w:r>
                </w:p>
              </w:tc>
              <w:tc>
                <w:tcPr>
                  <w:tcW w:w="82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144000</w:t>
                  </w:r>
                </w:p>
              </w:tc>
              <w:tc>
                <w:tcPr>
                  <w:tcW w:w="852"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2" w:type="pct"/>
                  <w:gridSpan w:val="4"/>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合计</w:t>
                  </w:r>
                </w:p>
              </w:tc>
              <w:tc>
                <w:tcPr>
                  <w:tcW w:w="82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468000</w:t>
                  </w:r>
                </w:p>
              </w:tc>
              <w:tc>
                <w:tcPr>
                  <w:tcW w:w="852"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丝印烘烤线</w:t>
                  </w:r>
                </w:p>
              </w:tc>
              <w:tc>
                <w:tcPr>
                  <w:tcW w:w="86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130</w:t>
                  </w:r>
                </w:p>
              </w:tc>
              <w:tc>
                <w:tcPr>
                  <w:tcW w:w="80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3</w:t>
                  </w:r>
                </w:p>
              </w:tc>
              <w:tc>
                <w:tcPr>
                  <w:tcW w:w="8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1200</w:t>
                  </w:r>
                </w:p>
              </w:tc>
              <w:tc>
                <w:tcPr>
                  <w:tcW w:w="8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468000</w:t>
                  </w:r>
                </w:p>
              </w:tc>
              <w:tc>
                <w:tcPr>
                  <w:tcW w:w="85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460000</w:t>
                  </w:r>
                </w:p>
              </w:tc>
            </w:tr>
          </w:tbl>
          <w:p>
            <w:pPr>
              <w:adjustRightInd w:val="0"/>
              <w:snapToGrid w:val="0"/>
              <w:ind w:firstLine="482" w:firstLineChars="200"/>
              <w:rPr>
                <w:b/>
                <w:color w:val="auto"/>
                <w:szCs w:val="21"/>
              </w:rPr>
            </w:pPr>
            <w:r>
              <w:rPr>
                <w:rFonts w:hint="eastAsia"/>
                <w:b/>
                <w:color w:val="auto"/>
                <w:szCs w:val="21"/>
              </w:rPr>
              <w:t>4</w:t>
            </w:r>
            <w:r>
              <w:rPr>
                <w:b/>
                <w:color w:val="auto"/>
                <w:szCs w:val="21"/>
              </w:rPr>
              <w:t>、主要原辅材料的种类和用量</w:t>
            </w:r>
          </w:p>
          <w:p>
            <w:pPr>
              <w:adjustRightInd w:val="0"/>
              <w:snapToGrid w:val="0"/>
              <w:ind w:firstLine="480" w:firstLineChars="200"/>
              <w:rPr>
                <w:color w:val="auto"/>
              </w:rPr>
            </w:pPr>
            <w:r>
              <w:rPr>
                <w:rFonts w:hint="eastAsia"/>
                <w:color w:val="auto"/>
                <w:lang w:eastAsia="zh-CN"/>
              </w:rPr>
              <w:t>扩建</w:t>
            </w:r>
            <w:r>
              <w:rPr>
                <w:rFonts w:hint="eastAsia"/>
                <w:color w:val="auto"/>
                <w:lang w:val="en-US" w:eastAsia="zh-CN"/>
              </w:rPr>
              <w:t>前后</w:t>
            </w:r>
            <w:r>
              <w:rPr>
                <w:rFonts w:hint="eastAsia"/>
                <w:color w:val="auto"/>
                <w:lang w:eastAsia="zh-CN"/>
              </w:rPr>
              <w:t>项目</w:t>
            </w:r>
            <w:r>
              <w:rPr>
                <w:color w:val="auto"/>
              </w:rPr>
              <w:t>主要原辅材料如下表所示：</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扩建前后项目主要原辅材料及用量</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87"/>
              <w:gridCol w:w="946"/>
              <w:gridCol w:w="872"/>
              <w:gridCol w:w="780"/>
              <w:gridCol w:w="794"/>
              <w:gridCol w:w="680"/>
              <w:gridCol w:w="890"/>
              <w:gridCol w:w="767"/>
              <w:gridCol w:w="974"/>
              <w:gridCol w:w="708"/>
              <w:gridCol w:w="505"/>
              <w:gridCol w:w="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原料、辅料名称</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现有项目年用量</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扩建项目年用量</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扩建后年用量</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增减量</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包装规格</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扩建后最大储存量</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使用工序</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物料形态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来源</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储存位置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PC</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204</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172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376</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+172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25</w:t>
                  </w:r>
                  <w:r>
                    <w:rPr>
                      <w:rFonts w:hint="default" w:ascii="Times New Roman" w:hAnsi="Times New Roman" w:eastAsia="宋体" w:cs="Times New Roman"/>
                      <w:color w:val="auto"/>
                      <w:sz w:val="21"/>
                      <w:szCs w:val="21"/>
                      <w:highlight w:val="none"/>
                      <w:lang w:val="en-US" w:eastAsia="zh-CN"/>
                    </w:rPr>
                    <w:t>kg/袋</w:t>
                  </w:r>
                </w:p>
              </w:tc>
              <w:tc>
                <w:tcPr>
                  <w:tcW w:w="424"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20t</w:t>
                  </w:r>
                </w:p>
              </w:tc>
              <w:tc>
                <w:tcPr>
                  <w:tcW w:w="538"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混料、注塑成型</w:t>
                  </w:r>
                </w:p>
              </w:tc>
              <w:tc>
                <w:tcPr>
                  <w:tcW w:w="391"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颗粒状</w:t>
                  </w:r>
                </w:p>
              </w:tc>
              <w:tc>
                <w:tcPr>
                  <w:tcW w:w="279"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c>
                <w:tcPr>
                  <w:tcW w:w="406"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ABS</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14t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2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27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PC</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ABS</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w:t>
                  </w:r>
                  <w:r>
                    <w:rPr>
                      <w:rFonts w:hint="eastAsia" w:cs="Times New Roman"/>
                      <w:i w:val="0"/>
                      <w:iCs w:val="0"/>
                      <w:color w:val="auto"/>
                      <w:kern w:val="0"/>
                      <w:sz w:val="21"/>
                      <w:szCs w:val="21"/>
                      <w:highlight w:val="none"/>
                      <w:u w:val="none"/>
                      <w:lang w:val="en-US" w:eastAsia="zh-CN" w:bidi="ar"/>
                    </w:rPr>
                    <w:t>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200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582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+200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2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27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合计</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600t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380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980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+380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2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27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4"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色粉</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kern w:val="2"/>
                      <w:sz w:val="21"/>
                      <w:szCs w:val="21"/>
                      <w:highlight w:val="none"/>
                      <w:lang w:val="en-US" w:eastAsia="zh-CN" w:bidi="ar-SA"/>
                    </w:rPr>
                    <w:t>10</w:t>
                  </w:r>
                  <w:r>
                    <w:rPr>
                      <w:rFonts w:hint="default" w:ascii="Times New Roman" w:hAnsi="Times New Roman" w:eastAsia="宋体" w:cs="Times New Roman"/>
                      <w:i w:val="0"/>
                      <w:iCs w:val="0"/>
                      <w:color w:val="FF0000"/>
                      <w:kern w:val="0"/>
                      <w:sz w:val="21"/>
                      <w:szCs w:val="21"/>
                      <w:highlight w:val="none"/>
                      <w:u w:val="none"/>
                      <w:lang w:val="en-US" w:eastAsia="zh-CN" w:bidi="ar"/>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10</w:t>
                  </w:r>
                  <w:r>
                    <w:rPr>
                      <w:rFonts w:hint="default" w:ascii="Times New Roman" w:hAnsi="Times New Roman" w:eastAsia="宋体" w:cs="Times New Roman"/>
                      <w:i w:val="0"/>
                      <w:iCs w:val="0"/>
                      <w:color w:val="FF0000"/>
                      <w:kern w:val="0"/>
                      <w:sz w:val="21"/>
                      <w:szCs w:val="21"/>
                      <w:highlight w:val="none"/>
                      <w:u w:val="none"/>
                      <w:lang w:val="en-US" w:eastAsia="zh-CN" w:bidi="ar"/>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sz w:val="21"/>
                      <w:szCs w:val="21"/>
                      <w:highlight w:val="none"/>
                      <w:lang w:val="en-US" w:eastAsia="zh-CN"/>
                    </w:rPr>
                    <w:t>+</w:t>
                  </w:r>
                  <w:r>
                    <w:rPr>
                      <w:rFonts w:hint="eastAsia" w:cs="Times New Roman"/>
                      <w:color w:val="FF0000"/>
                      <w:kern w:val="2"/>
                      <w:sz w:val="21"/>
                      <w:szCs w:val="21"/>
                      <w:highlight w:val="none"/>
                      <w:lang w:val="en-US" w:eastAsia="zh-CN" w:bidi="ar-SA"/>
                    </w:rPr>
                    <w:t>10</w:t>
                  </w:r>
                  <w:r>
                    <w:rPr>
                      <w:rFonts w:hint="default" w:ascii="Times New Roman" w:hAnsi="Times New Roman" w:eastAsia="宋体" w:cs="Times New Roman"/>
                      <w:i w:val="0"/>
                      <w:iCs w:val="0"/>
                      <w:color w:val="FF0000"/>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混料</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粉状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水性</w:t>
                  </w:r>
                  <w:r>
                    <w:rPr>
                      <w:rFonts w:hint="default" w:ascii="Times New Roman" w:hAnsi="Times New Roman" w:eastAsia="宋体" w:cs="Times New Roman"/>
                      <w:color w:val="auto"/>
                      <w:sz w:val="21"/>
                      <w:szCs w:val="21"/>
                      <w:highlight w:val="none"/>
                      <w:lang w:val="en-US" w:eastAsia="zh-CN"/>
                    </w:rPr>
                    <w:t>油漆</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0.48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sz w:val="21"/>
                      <w:szCs w:val="21"/>
                      <w:highlight w:val="none"/>
                      <w:lang w:val="en-US" w:eastAsia="zh-CN"/>
                    </w:rPr>
                    <w:t>5</w:t>
                  </w:r>
                  <w:r>
                    <w:rPr>
                      <w:rFonts w:hint="default" w:ascii="Times New Roman" w:hAnsi="Times New Roman" w:eastAsia="宋体" w:cs="Times New Roman"/>
                      <w:color w:val="FF0000"/>
                      <w:sz w:val="21"/>
                      <w:szCs w:val="21"/>
                      <w:highlight w:val="none"/>
                      <w:lang w:val="en-US" w:eastAsia="zh-CN"/>
                    </w:rPr>
                    <w:t>kg</w:t>
                  </w:r>
                  <w:r>
                    <w:rPr>
                      <w:rFonts w:hint="default" w:ascii="Times New Roman" w:hAnsi="Times New Roman" w:eastAsia="宋体" w:cs="Times New Roman"/>
                      <w:color w:val="FF0000"/>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喷漆</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水性</w:t>
                  </w:r>
                  <w:r>
                    <w:rPr>
                      <w:rFonts w:hint="default" w:ascii="Times New Roman" w:hAnsi="Times New Roman" w:eastAsia="宋体" w:cs="Times New Roman"/>
                      <w:color w:val="auto"/>
                      <w:sz w:val="21"/>
                      <w:szCs w:val="21"/>
                      <w:highlight w:val="none"/>
                    </w:rPr>
                    <w:t>油墨</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0.006</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0.006</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FF0000"/>
                      <w:sz w:val="21"/>
                      <w:szCs w:val="21"/>
                      <w:highlight w:val="none"/>
                      <w:lang w:val="en-US" w:eastAsia="zh-CN"/>
                    </w:rPr>
                    <w:t>+0.00</w:t>
                  </w:r>
                  <w:r>
                    <w:rPr>
                      <w:rFonts w:hint="eastAsia" w:cs="Times New Roman"/>
                      <w:color w:val="FF0000"/>
                      <w:sz w:val="21"/>
                      <w:szCs w:val="21"/>
                      <w:highlight w:val="none"/>
                      <w:lang w:val="en-US" w:eastAsia="zh-CN"/>
                    </w:rPr>
                    <w:t>6</w:t>
                  </w:r>
                  <w:r>
                    <w:rPr>
                      <w:rFonts w:hint="default" w:ascii="Times New Roman" w:hAnsi="Times New Roman" w:eastAsia="宋体" w:cs="Times New Roman"/>
                      <w:i w:val="0"/>
                      <w:iCs w:val="0"/>
                      <w:color w:val="FF0000"/>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5</w:t>
                  </w:r>
                  <w:r>
                    <w:rPr>
                      <w:rFonts w:hint="default" w:ascii="Times New Roman" w:hAnsi="Times New Roman" w:eastAsia="宋体" w:cs="Times New Roman"/>
                      <w:color w:val="FF0000"/>
                      <w:sz w:val="21"/>
                      <w:szCs w:val="21"/>
                      <w:highlight w:val="none"/>
                      <w:lang w:val="en-US" w:eastAsia="zh-CN"/>
                    </w:rPr>
                    <w:t>kg</w:t>
                  </w:r>
                  <w:r>
                    <w:rPr>
                      <w:rFonts w:hint="default" w:ascii="Times New Roman" w:hAnsi="Times New Roman" w:eastAsia="宋体" w:cs="Times New Roman"/>
                      <w:color w:val="FF0000"/>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0.</w:t>
                  </w:r>
                  <w:r>
                    <w:rPr>
                      <w:rFonts w:hint="eastAsia" w:cs="Times New Roman"/>
                      <w:i w:val="0"/>
                      <w:iCs w:val="0"/>
                      <w:color w:val="FF0000"/>
                      <w:kern w:val="0"/>
                      <w:sz w:val="21"/>
                      <w:szCs w:val="21"/>
                      <w:highlight w:val="none"/>
                      <w:u w:val="none"/>
                      <w:lang w:val="en-US" w:eastAsia="zh-CN" w:bidi="ar"/>
                    </w:rPr>
                    <w:t>006</w:t>
                  </w:r>
                  <w:r>
                    <w:rPr>
                      <w:rFonts w:hint="default" w:ascii="Times New Roman" w:hAnsi="Times New Roman" w:eastAsia="宋体" w:cs="Times New Roman"/>
                      <w:i w:val="0"/>
                      <w:iCs w:val="0"/>
                      <w:color w:val="FF0000"/>
                      <w:kern w:val="0"/>
                      <w:sz w:val="21"/>
                      <w:szCs w:val="21"/>
                      <w:highlight w:val="none"/>
                      <w:u w:val="none"/>
                      <w:lang w:val="en-US" w:eastAsia="zh-CN" w:bidi="ar"/>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丝印</w:t>
                  </w:r>
                  <w:r>
                    <w:rPr>
                      <w:rFonts w:hint="eastAsia" w:cs="Times New Roman"/>
                      <w:color w:val="auto"/>
                      <w:sz w:val="21"/>
                      <w:szCs w:val="21"/>
                      <w:highlight w:val="none"/>
                      <w:lang w:val="en-US" w:eastAsia="zh-CN"/>
                    </w:rPr>
                    <w:t>/移印</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5</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模具钢</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0</w:t>
                  </w:r>
                  <w:r>
                    <w:rPr>
                      <w:rFonts w:hint="eastAsia" w:cs="Times New Roman"/>
                      <w:color w:val="auto"/>
                      <w:sz w:val="21"/>
                      <w:szCs w:val="21"/>
                      <w:highlight w:val="none"/>
                      <w:lang w:val="en-US" w:eastAsia="zh-CN"/>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0</w:t>
                  </w:r>
                  <w:r>
                    <w:rPr>
                      <w:rFonts w:hint="eastAsia" w:cs="Times New Roman"/>
                      <w:color w:val="auto"/>
                      <w:sz w:val="21"/>
                      <w:szCs w:val="21"/>
                      <w:highlight w:val="none"/>
                      <w:lang w:val="en-US" w:eastAsia="zh-CN"/>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w:t>
                  </w:r>
                  <w:r>
                    <w:rPr>
                      <w:rFonts w:hint="eastAsia" w:cs="Times New Roman"/>
                      <w:color w:val="auto"/>
                      <w:sz w:val="21"/>
                      <w:szCs w:val="21"/>
                      <w:highlight w:val="none"/>
                      <w:lang w:val="en-US" w:eastAsia="zh-CN"/>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模具</w:t>
                  </w:r>
                  <w:r>
                    <w:rPr>
                      <w:rFonts w:hint="default" w:ascii="Times New Roman" w:hAnsi="Times New Roman" w:eastAsia="宋体" w:cs="Times New Roman"/>
                      <w:color w:val="auto"/>
                      <w:sz w:val="21"/>
                      <w:szCs w:val="21"/>
                      <w:highlight w:val="none"/>
                    </w:rPr>
                    <w:t>加工</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板状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五金模具车间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6</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水性切削液</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r>
                    <w:rPr>
                      <w:rFonts w:hint="eastAsia" w:cs="Times New Roman"/>
                      <w:color w:val="auto"/>
                      <w:sz w:val="21"/>
                      <w:szCs w:val="21"/>
                      <w:highlight w:val="none"/>
                      <w:lang w:val="en-US" w:eastAsia="zh-CN"/>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r>
                    <w:rPr>
                      <w:rFonts w:hint="eastAsia" w:cs="Times New Roman"/>
                      <w:color w:val="auto"/>
                      <w:sz w:val="21"/>
                      <w:szCs w:val="21"/>
                      <w:highlight w:val="none"/>
                      <w:lang w:val="en-US" w:eastAsia="zh-CN"/>
                    </w:rPr>
                    <w:t>t</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+0.1</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2</w:t>
                  </w:r>
                  <w:r>
                    <w:rPr>
                      <w:rFonts w:hint="eastAsia" w:cs="Times New Roman"/>
                      <w:color w:val="FF0000"/>
                      <w:sz w:val="21"/>
                      <w:szCs w:val="21"/>
                      <w:highlight w:val="none"/>
                      <w:lang w:val="en-US" w:eastAsia="zh-CN"/>
                    </w:rPr>
                    <w:t>0kg/</w:t>
                  </w:r>
                  <w:r>
                    <w:rPr>
                      <w:rFonts w:hint="default" w:ascii="Times New Roman" w:hAnsi="Times New Roman" w:eastAsia="宋体" w:cs="Times New Roman"/>
                      <w:color w:val="FF0000"/>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0.</w:t>
                  </w:r>
                  <w:r>
                    <w:rPr>
                      <w:rFonts w:hint="eastAsia" w:cs="Times New Roman"/>
                      <w:color w:val="FF0000"/>
                      <w:sz w:val="21"/>
                      <w:szCs w:val="21"/>
                      <w:highlight w:val="none"/>
                      <w:lang w:val="en-US" w:eastAsia="zh-CN"/>
                    </w:rPr>
                    <w:t>1</w:t>
                  </w:r>
                  <w:r>
                    <w:rPr>
                      <w:rFonts w:hint="default" w:ascii="Times New Roman" w:hAnsi="Times New Roman" w:eastAsia="宋体" w:cs="Times New Roman"/>
                      <w:color w:val="FF0000"/>
                      <w:sz w:val="21"/>
                      <w:szCs w:val="21"/>
                      <w:highlight w:val="none"/>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雕刻</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7</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火花油</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r>
                    <w:rPr>
                      <w:rFonts w:hint="eastAsia" w:cs="Times New Roman"/>
                      <w:color w:val="auto"/>
                      <w:sz w:val="21"/>
                      <w:szCs w:val="21"/>
                      <w:highlight w:val="none"/>
                      <w:lang w:val="en-US" w:eastAsia="zh-CN"/>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r>
                    <w:rPr>
                      <w:rFonts w:hint="eastAsia" w:cs="Times New Roman"/>
                      <w:color w:val="auto"/>
                      <w:sz w:val="21"/>
                      <w:szCs w:val="21"/>
                      <w:highlight w:val="none"/>
                      <w:lang w:val="en-US" w:eastAsia="zh-CN"/>
                    </w:rPr>
                    <w:t>t</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+0.1</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2</w:t>
                  </w:r>
                  <w:r>
                    <w:rPr>
                      <w:rFonts w:hint="eastAsia" w:cs="Times New Roman"/>
                      <w:color w:val="FF0000"/>
                      <w:sz w:val="21"/>
                      <w:szCs w:val="21"/>
                      <w:highlight w:val="none"/>
                      <w:lang w:val="en-US" w:eastAsia="zh-CN"/>
                    </w:rPr>
                    <w:t>0kg/</w:t>
                  </w:r>
                  <w:r>
                    <w:rPr>
                      <w:rFonts w:hint="default" w:ascii="Times New Roman" w:hAnsi="Times New Roman" w:eastAsia="宋体" w:cs="Times New Roman"/>
                      <w:color w:val="FF0000"/>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0.</w:t>
                  </w:r>
                  <w:r>
                    <w:rPr>
                      <w:rFonts w:hint="eastAsia" w:cs="Times New Roman"/>
                      <w:color w:val="FF0000"/>
                      <w:sz w:val="21"/>
                      <w:szCs w:val="21"/>
                      <w:highlight w:val="none"/>
                      <w:lang w:val="en-US" w:eastAsia="zh-CN"/>
                    </w:rPr>
                    <w:t>1</w:t>
                  </w:r>
                  <w:r>
                    <w:rPr>
                      <w:rFonts w:hint="default" w:ascii="Times New Roman" w:hAnsi="Times New Roman" w:eastAsia="宋体" w:cs="Times New Roman"/>
                      <w:color w:val="FF0000"/>
                      <w:sz w:val="21"/>
                      <w:szCs w:val="21"/>
                      <w:highlight w:val="none"/>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电火花</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8</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润滑油</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0000FF"/>
                      <w:sz w:val="21"/>
                      <w:szCs w:val="21"/>
                      <w:highlight w:val="none"/>
                      <w:lang w:val="en-US" w:eastAsia="zh-CN"/>
                    </w:rPr>
                    <w:t>0.1</w:t>
                  </w:r>
                  <w:r>
                    <w:rPr>
                      <w:rFonts w:hint="default" w:ascii="Times New Roman" w:hAnsi="Times New Roman" w:eastAsia="宋体" w:cs="Times New Roman"/>
                      <w:i w:val="0"/>
                      <w:iCs w:val="0"/>
                      <w:color w:val="0000FF"/>
                      <w:kern w:val="0"/>
                      <w:sz w:val="21"/>
                      <w:szCs w:val="21"/>
                      <w:highlight w:val="none"/>
                      <w:u w:val="none"/>
                      <w:lang w:val="en-US" w:eastAsia="zh-CN" w:bidi="ar"/>
                    </w:rPr>
                    <w:t>t</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5t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0.45t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35</w:t>
                  </w:r>
                  <w:r>
                    <w:rPr>
                      <w:rFonts w:hint="default" w:ascii="Times New Roman" w:hAnsi="Times New Roman" w:eastAsia="宋体" w:cs="Times New Roman"/>
                      <w:color w:val="auto"/>
                      <w:sz w:val="21"/>
                      <w:szCs w:val="21"/>
                      <w:highlight w:val="none"/>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2</w:t>
                  </w:r>
                  <w:r>
                    <w:rPr>
                      <w:rFonts w:hint="eastAsia" w:cs="Times New Roman"/>
                      <w:color w:val="FF0000"/>
                      <w:sz w:val="21"/>
                      <w:szCs w:val="21"/>
                      <w:highlight w:val="none"/>
                      <w:lang w:val="en-US" w:eastAsia="zh-CN"/>
                    </w:rPr>
                    <w:t>0kg/</w:t>
                  </w:r>
                  <w:r>
                    <w:rPr>
                      <w:rFonts w:hint="default" w:ascii="Times New Roman" w:hAnsi="Times New Roman" w:eastAsia="宋体" w:cs="Times New Roman"/>
                      <w:color w:val="FF0000"/>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0.</w:t>
                  </w:r>
                  <w:r>
                    <w:rPr>
                      <w:rFonts w:hint="eastAsia" w:cs="Times New Roman"/>
                      <w:color w:val="FF0000"/>
                      <w:sz w:val="21"/>
                      <w:szCs w:val="21"/>
                      <w:highlight w:val="none"/>
                      <w:lang w:val="en-US" w:eastAsia="zh-CN"/>
                    </w:rPr>
                    <w:t>06</w:t>
                  </w:r>
                  <w:r>
                    <w:rPr>
                      <w:rFonts w:hint="default" w:ascii="Times New Roman" w:hAnsi="Times New Roman" w:eastAsia="宋体" w:cs="Times New Roman"/>
                      <w:color w:val="FF0000"/>
                      <w:sz w:val="21"/>
                      <w:szCs w:val="21"/>
                      <w:highlight w:val="none"/>
                    </w:rPr>
                    <w:t xml:space="preserve">t </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机械设备保养</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9</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电子配件</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1200万套</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1200万套</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20万套</w:t>
                  </w:r>
                </w:p>
              </w:tc>
              <w:tc>
                <w:tcPr>
                  <w:tcW w:w="538"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锂离子电池焊接组装</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片状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0</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无铅焊丝</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0.1</w:t>
                  </w:r>
                  <w:r>
                    <w:rPr>
                      <w:rFonts w:hint="eastAsia" w:cs="Times New Roman"/>
                      <w:color w:val="FF0000"/>
                      <w:sz w:val="21"/>
                      <w:szCs w:val="21"/>
                      <w:highlight w:val="none"/>
                      <w:lang w:val="en-US" w:eastAsia="zh-CN"/>
                    </w:rPr>
                    <w:t>t</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w:t>
                  </w:r>
                  <w:r>
                    <w:rPr>
                      <w:rFonts w:hint="eastAsia" w:cs="Times New Roman"/>
                      <w:color w:val="FF0000"/>
                      <w:sz w:val="21"/>
                      <w:szCs w:val="21"/>
                      <w:highlight w:val="none"/>
                      <w:lang w:val="en-US" w:eastAsia="zh-CN"/>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w:t>
                  </w:r>
                  <w:r>
                    <w:rPr>
                      <w:rFonts w:hint="eastAsia"/>
                      <w:lang w:val="en-US" w:eastAsia="zh-CN"/>
                    </w:rPr>
                    <w:t>t</w:t>
                  </w: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条状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11</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包装材料</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0.1t</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0.5t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r>
                    <w:rPr>
                      <w:rFonts w:hint="eastAsia" w:ascii="Times New Roman" w:hAnsi="Times New Roman" w:eastAsia="宋体" w:cs="Times New Roman"/>
                      <w:color w:val="auto"/>
                      <w:sz w:val="21"/>
                      <w:szCs w:val="21"/>
                      <w:highlight w:val="none"/>
                      <w:lang w:val="en-US" w:eastAsia="zh-CN"/>
                    </w:rPr>
                    <w:t>6</w:t>
                  </w:r>
                  <w:r>
                    <w:rPr>
                      <w:rFonts w:hint="default" w:ascii="Times New Roman" w:hAnsi="Times New Roman" w:eastAsia="宋体" w:cs="Times New Roman"/>
                      <w:color w:val="auto"/>
                      <w:sz w:val="21"/>
                      <w:szCs w:val="21"/>
                      <w:highlight w:val="none"/>
                    </w:rPr>
                    <w:t>t</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w:t>
                  </w:r>
                  <w:r>
                    <w:rPr>
                      <w:rFonts w:hint="eastAsia" w:ascii="Times New Roman" w:hAnsi="Times New Roman" w:eastAsia="宋体" w:cs="Times New Roman"/>
                      <w:color w:val="auto"/>
                      <w:kern w:val="0"/>
                      <w:sz w:val="21"/>
                      <w:szCs w:val="21"/>
                      <w:highlight w:val="none"/>
                      <w:lang w:val="en-US" w:eastAsia="zh-CN" w:bidi="en-US"/>
                    </w:rPr>
                    <w:t>5</w:t>
                  </w:r>
                  <w:r>
                    <w:rPr>
                      <w:rFonts w:hint="default" w:ascii="Times New Roman" w:hAnsi="Times New Roman" w:eastAsia="宋体" w:cs="Times New Roman"/>
                      <w:color w:val="auto"/>
                      <w:sz w:val="21"/>
                      <w:szCs w:val="21"/>
                      <w:highlight w:val="none"/>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0.01t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包装</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固态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bl>
          <w:p>
            <w:pPr>
              <w:adjustRightInd w:val="0"/>
              <w:snapToGrid w:val="0"/>
              <w:ind w:firstLine="482" w:firstLineChars="200"/>
              <w:rPr>
                <w:b/>
                <w:bCs/>
                <w:color w:val="auto"/>
              </w:rPr>
            </w:pPr>
            <w:r>
              <w:rPr>
                <w:rFonts w:hint="eastAsia"/>
                <w:b/>
                <w:bCs/>
                <w:color w:val="auto"/>
              </w:rPr>
              <w:t>原辅材料的理化性质如下：</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项目水性油漆和水性油墨用量核算过程：</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2"/>
              </w:rPr>
              <w:t>依据喷涂行业对</w:t>
            </w:r>
            <w:r>
              <w:rPr>
                <w:rFonts w:hint="eastAsia" w:ascii="Times New Roman" w:hAnsi="Times New Roman" w:eastAsia="宋体" w:cs="Times New Roman"/>
                <w:color w:val="auto"/>
                <w:sz w:val="24"/>
                <w:szCs w:val="22"/>
              </w:rPr>
              <w:t>水性</w:t>
            </w:r>
            <w:r>
              <w:rPr>
                <w:rFonts w:ascii="Times New Roman" w:hAnsi="Times New Roman" w:eastAsia="宋体" w:cs="Times New Roman"/>
                <w:color w:val="auto"/>
                <w:sz w:val="24"/>
                <w:szCs w:val="22"/>
              </w:rPr>
              <w:t>漆使用量的计算方法：</w:t>
            </w:r>
          </w:p>
          <w:p>
            <w:pPr>
              <w:widowControl/>
              <w:spacing w:line="360" w:lineRule="auto"/>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单位产品水性漆=</w:t>
            </w:r>
            <w:r>
              <w:rPr>
                <w:rFonts w:hint="eastAsia" w:ascii="Times New Roman" w:hAnsi="Times New Roman" w:eastAsia="宋体" w:cs="Times New Roman"/>
                <w:color w:val="auto"/>
                <w:position w:val="-26"/>
                <w:sz w:val="24"/>
                <w:szCs w:val="22"/>
              </w:rPr>
              <w:object>
                <v:shape id="_x0000_i1025" o:spt="75" type="#_x0000_t75" style="height:34.65pt;width:366.75pt;" o:ole="t" filled="f" o:preferrelative="t" stroked="f" coordsize="21600,21600">
                  <v:path/>
                  <v:fill on="f" focussize="0,0"/>
                  <v:stroke on="f"/>
                  <v:imagedata r:id="rId14" o:title=""/>
                  <o:lock v:ext="edit" aspectratio="t"/>
                  <w10:wrap type="none"/>
                  <w10:anchorlock/>
                </v:shape>
                <o:OLEObject Type="Embed" ProgID="Equation.KSEE3" ShapeID="_x0000_i1025" DrawAspect="Content" ObjectID="_1468075725" r:id="rId13">
                  <o:LockedField>false</o:LockedField>
                </o:OLEObject>
              </w:objec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注：单位产品水性漆用量</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单位kg；</w: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单次喷涂厚度</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单位mm；</w: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单位产品平均喷涂面积</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单位m</w:t>
            </w:r>
            <w:r>
              <w:rPr>
                <w:rFonts w:hint="eastAsia" w:ascii="Times New Roman" w:hAnsi="Times New Roman" w:eastAsia="宋体" w:cs="Times New Roman"/>
                <w:color w:val="auto"/>
                <w:sz w:val="24"/>
                <w:szCs w:val="22"/>
                <w:vertAlign w:val="superscript"/>
              </w:rPr>
              <w:t>2</w:t>
            </w:r>
            <w:r>
              <w:rPr>
                <w:rFonts w:hint="eastAsia" w:ascii="Times New Roman" w:hAnsi="Times New Roman" w:eastAsia="宋体" w:cs="Times New Roman"/>
                <w:color w:val="auto"/>
                <w:sz w:val="24"/>
                <w:szCs w:val="22"/>
              </w:rPr>
              <w:t>；</w: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cs="Times New Roman"/>
                <w:color w:val="auto"/>
                <w:sz w:val="24"/>
                <w:szCs w:val="22"/>
                <w:lang w:val="en-US" w:eastAsia="zh-CN"/>
              </w:rPr>
              <w:t>水性漆</w:t>
            </w:r>
            <w:r>
              <w:rPr>
                <w:rFonts w:hint="eastAsia" w:ascii="Times New Roman" w:hAnsi="Times New Roman" w:eastAsia="宋体" w:cs="Times New Roman"/>
                <w:color w:val="auto"/>
                <w:sz w:val="24"/>
                <w:szCs w:val="22"/>
              </w:rPr>
              <w:t>密度</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单位kg/m</w:t>
            </w:r>
            <w:r>
              <w:rPr>
                <w:rFonts w:hint="eastAsia" w:ascii="Times New Roman" w:hAnsi="Times New Roman" w:eastAsia="宋体" w:cs="Times New Roman"/>
                <w:color w:val="auto"/>
                <w:sz w:val="24"/>
                <w:szCs w:val="22"/>
                <w:vertAlign w:val="superscript"/>
              </w:rPr>
              <w:t>3</w:t>
            </w:r>
            <w:r>
              <w:rPr>
                <w:rFonts w:hint="eastAsia" w:ascii="Times New Roman" w:hAnsi="Times New Roman" w:eastAsia="宋体" w:cs="Times New Roman"/>
                <w:color w:val="auto"/>
                <w:sz w:val="24"/>
                <w:szCs w:val="22"/>
              </w:rPr>
              <w:t>；</w:t>
            </w:r>
          </w:p>
          <w:p>
            <w:pPr>
              <w:widowControl/>
              <w:spacing w:line="360" w:lineRule="auto"/>
              <w:ind w:firstLine="480" w:firstLineChars="200"/>
              <w:rPr>
                <w:rFonts w:hint="default" w:ascii="Times New Roman" w:hAnsi="Times New Roman" w:eastAsia="宋体" w:cs="Times New Roman"/>
                <w:color w:val="auto"/>
                <w:sz w:val="24"/>
                <w:szCs w:val="22"/>
                <w:lang w:val="en-US" w:eastAsia="zh-CN"/>
              </w:rPr>
            </w:pPr>
            <w:r>
              <w:rPr>
                <w:rFonts w:hint="eastAsia" w:cs="Times New Roman"/>
                <w:color w:val="auto"/>
                <w:sz w:val="24"/>
                <w:szCs w:val="22"/>
                <w:lang w:val="en-US" w:eastAsia="zh-CN"/>
              </w:rPr>
              <w:t>喷涂次数</w:t>
            </w:r>
            <w:r>
              <w:rPr>
                <w:rFonts w:hint="eastAsia" w:cs="Times New Roman"/>
                <w:color w:val="auto"/>
                <w:sz w:val="24"/>
                <w:szCs w:val="22"/>
                <w:lang w:eastAsia="zh-CN"/>
              </w:rPr>
              <w:t>：</w:t>
            </w:r>
            <w:r>
              <w:rPr>
                <w:rFonts w:hint="eastAsia" w:cs="Times New Roman"/>
                <w:color w:val="auto"/>
                <w:sz w:val="24"/>
                <w:szCs w:val="22"/>
                <w:lang w:val="en-US" w:eastAsia="zh-CN"/>
              </w:rPr>
              <w:t>次；</w:t>
            </w:r>
          </w:p>
          <w:p>
            <w:pPr>
              <w:widowControl/>
              <w:spacing w:line="360" w:lineRule="auto"/>
              <w:ind w:firstLine="480" w:firstLineChars="200"/>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附着率</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w:t>
            </w:r>
          </w:p>
          <w:p>
            <w:pPr>
              <w:widowControl/>
              <w:spacing w:line="360" w:lineRule="auto"/>
              <w:ind w:firstLine="480" w:firstLineChars="200"/>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本项目水性漆</w:t>
            </w:r>
            <w:r>
              <w:rPr>
                <w:rFonts w:ascii="Times New Roman" w:hAnsi="Times New Roman" w:eastAsia="宋体" w:cs="Times New Roman"/>
                <w:color w:val="auto"/>
                <w:sz w:val="24"/>
                <w:szCs w:val="22"/>
              </w:rPr>
              <w:t>用量核算见</w:t>
            </w:r>
            <w:r>
              <w:rPr>
                <w:rFonts w:hint="eastAsia" w:ascii="Times New Roman" w:hAnsi="Times New Roman" w:eastAsia="宋体" w:cs="Times New Roman"/>
                <w:color w:val="auto"/>
                <w:sz w:val="24"/>
                <w:szCs w:val="22"/>
              </w:rPr>
              <w:t>下表</w:t>
            </w:r>
            <w:r>
              <w:rPr>
                <w:rFonts w:ascii="Times New Roman" w:hAnsi="Times New Roman" w:eastAsia="宋体" w:cs="Times New Roman"/>
                <w:color w:val="auto"/>
                <w:sz w:val="24"/>
                <w:szCs w:val="22"/>
              </w:rPr>
              <w:t>。</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水性漆用量核算表</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46"/>
              <w:gridCol w:w="902"/>
              <w:gridCol w:w="774"/>
              <w:gridCol w:w="1249"/>
              <w:gridCol w:w="1377"/>
              <w:gridCol w:w="1021"/>
              <w:gridCol w:w="873"/>
              <w:gridCol w:w="1037"/>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8" w:hRule="atLeast"/>
                <w:jc w:val="center"/>
              </w:trPr>
              <w:tc>
                <w:tcPr>
                  <w:tcW w:w="41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产品</w:t>
                  </w:r>
                </w:p>
              </w:tc>
              <w:tc>
                <w:tcPr>
                  <w:tcW w:w="49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需喷漆产品个数（个）</w:t>
                  </w:r>
                </w:p>
              </w:tc>
              <w:tc>
                <w:tcPr>
                  <w:tcW w:w="42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涂料</w:t>
                  </w:r>
                </w:p>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种类</w:t>
                  </w:r>
                </w:p>
              </w:tc>
              <w:tc>
                <w:tcPr>
                  <w:tcW w:w="6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单位产品</w:t>
                  </w:r>
                  <w:r>
                    <w:rPr>
                      <w:rFonts w:hint="eastAsia" w:cs="Times New Roman"/>
                      <w:b/>
                      <w:bCs/>
                      <w:color w:val="auto"/>
                      <w:sz w:val="21"/>
                      <w:szCs w:val="21"/>
                      <w:highlight w:val="none"/>
                      <w:lang w:val="en-US" w:eastAsia="zh-CN"/>
                    </w:rPr>
                    <w:t>平均喷漆</w:t>
                  </w:r>
                  <w:r>
                    <w:rPr>
                      <w:rFonts w:ascii="Times New Roman" w:hAnsi="Times New Roman" w:eastAsia="宋体" w:cs="Times New Roman"/>
                      <w:b/>
                      <w:bCs/>
                      <w:color w:val="auto"/>
                      <w:sz w:val="21"/>
                      <w:szCs w:val="21"/>
                      <w:highlight w:val="none"/>
                    </w:rPr>
                    <w:t>面积(m</w:t>
                  </w:r>
                  <w:r>
                    <w:rPr>
                      <w:rFonts w:ascii="Times New Roman" w:hAnsi="Times New Roman" w:eastAsia="宋体" w:cs="Times New Roman"/>
                      <w:b/>
                      <w:bCs/>
                      <w:color w:val="auto"/>
                      <w:sz w:val="21"/>
                      <w:szCs w:val="21"/>
                      <w:highlight w:val="none"/>
                      <w:vertAlign w:val="superscript"/>
                    </w:rPr>
                    <w:t>2</w:t>
                  </w:r>
                  <w:r>
                    <w:rPr>
                      <w:rFonts w:ascii="Times New Roman" w:hAnsi="Times New Roman" w:eastAsia="宋体" w:cs="Times New Roman"/>
                      <w:b/>
                      <w:bCs/>
                      <w:color w:val="auto"/>
                      <w:sz w:val="21"/>
                      <w:szCs w:val="21"/>
                      <w:highlight w:val="none"/>
                    </w:rPr>
                    <w:t>)</w:t>
                  </w:r>
                </w:p>
              </w:tc>
              <w:tc>
                <w:tcPr>
                  <w:tcW w:w="76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单次喷漆</w:t>
                  </w:r>
                  <w:r>
                    <w:rPr>
                      <w:rFonts w:hint="eastAsia" w:ascii="Times New Roman" w:hAnsi="Times New Roman" w:eastAsia="宋体" w:cs="Times New Roman"/>
                      <w:b/>
                      <w:bCs/>
                      <w:color w:val="auto"/>
                      <w:sz w:val="21"/>
                      <w:szCs w:val="21"/>
                      <w:highlight w:val="none"/>
                      <w:lang w:val="en-US" w:eastAsia="zh-CN"/>
                    </w:rPr>
                    <w:t>湿膜</w:t>
                  </w:r>
                  <w:r>
                    <w:rPr>
                      <w:rFonts w:ascii="Times New Roman" w:hAnsi="Times New Roman" w:eastAsia="宋体" w:cs="Times New Roman"/>
                      <w:b/>
                      <w:bCs/>
                      <w:color w:val="auto"/>
                      <w:sz w:val="21"/>
                      <w:szCs w:val="21"/>
                      <w:highlight w:val="none"/>
                    </w:rPr>
                    <w:t>厚度(mm)</w:t>
                  </w:r>
                </w:p>
              </w:tc>
              <w:tc>
                <w:tcPr>
                  <w:tcW w:w="56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lang w:val="en-US" w:eastAsia="zh-CN"/>
                    </w:rPr>
                    <w:t>湿膜</w:t>
                  </w:r>
                  <w:r>
                    <w:rPr>
                      <w:rFonts w:ascii="Times New Roman" w:hAnsi="Times New Roman" w:eastAsia="宋体" w:cs="Times New Roman"/>
                      <w:b/>
                      <w:bCs/>
                      <w:color w:val="auto"/>
                      <w:sz w:val="21"/>
                      <w:szCs w:val="21"/>
                      <w:highlight w:val="none"/>
                    </w:rPr>
                    <w:t>密度(kg/m</w:t>
                  </w:r>
                  <w:r>
                    <w:rPr>
                      <w:rFonts w:ascii="Times New Roman" w:hAnsi="Times New Roman" w:eastAsia="宋体" w:cs="Times New Roman"/>
                      <w:b/>
                      <w:bCs/>
                      <w:color w:val="auto"/>
                      <w:sz w:val="21"/>
                      <w:szCs w:val="21"/>
                      <w:highlight w:val="none"/>
                      <w:vertAlign w:val="superscript"/>
                    </w:rPr>
                    <w:t>3</w:t>
                  </w:r>
                  <w:r>
                    <w:rPr>
                      <w:rFonts w:ascii="Times New Roman" w:hAnsi="Times New Roman" w:eastAsia="宋体" w:cs="Times New Roman"/>
                      <w:b/>
                      <w:bCs/>
                      <w:color w:val="auto"/>
                      <w:sz w:val="21"/>
                      <w:szCs w:val="21"/>
                      <w:highlight w:val="none"/>
                    </w:rPr>
                    <w:t>)</w:t>
                  </w:r>
                </w:p>
              </w:tc>
              <w:tc>
                <w:tcPr>
                  <w:tcW w:w="48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eastAsia="zh-CN"/>
                    </w:rPr>
                  </w:pPr>
                  <w:r>
                    <w:rPr>
                      <w:rFonts w:ascii="Times New Roman" w:hAnsi="Times New Roman" w:eastAsia="宋体" w:cs="Times New Roman"/>
                      <w:b/>
                      <w:bCs/>
                      <w:color w:val="auto"/>
                      <w:sz w:val="21"/>
                      <w:szCs w:val="21"/>
                      <w:highlight w:val="none"/>
                    </w:rPr>
                    <w:t>附着率</w:t>
                  </w:r>
                  <w:r>
                    <w:rPr>
                      <w:rFonts w:hint="eastAsia" w:cs="Times New Roman"/>
                      <w:b/>
                      <w:bCs/>
                      <w:color w:val="auto"/>
                      <w:sz w:val="21"/>
                      <w:szCs w:val="21"/>
                      <w:highlight w:val="none"/>
                      <w:lang w:eastAsia="zh-CN"/>
                    </w:rPr>
                    <w:t>（</w:t>
                  </w:r>
                  <w:r>
                    <w:rPr>
                      <w:rFonts w:hint="eastAsia" w:ascii="Times New Roman" w:hAnsi="Times New Roman" w:eastAsia="宋体" w:cs="Times New Roman"/>
                      <w:b/>
                      <w:bCs/>
                      <w:color w:val="auto"/>
                      <w:sz w:val="21"/>
                      <w:szCs w:val="21"/>
                      <w:highlight w:val="none"/>
                    </w:rPr>
                    <w:t>%</w:t>
                  </w:r>
                  <w:r>
                    <w:rPr>
                      <w:rFonts w:hint="eastAsia" w:cs="Times New Roman"/>
                      <w:b/>
                      <w:bCs/>
                      <w:color w:val="auto"/>
                      <w:sz w:val="21"/>
                      <w:szCs w:val="21"/>
                      <w:highlight w:val="none"/>
                      <w:lang w:eastAsia="zh-CN"/>
                    </w:rPr>
                    <w:t>）</w:t>
                  </w:r>
                </w:p>
              </w:tc>
              <w:tc>
                <w:tcPr>
                  <w:tcW w:w="57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eastAsia="zh-CN"/>
                    </w:rPr>
                  </w:pPr>
                  <w:r>
                    <w:rPr>
                      <w:rFonts w:hint="eastAsia" w:ascii="Times New Roman" w:hAnsi="Times New Roman" w:eastAsia="宋体" w:cs="Times New Roman"/>
                      <w:b/>
                      <w:bCs/>
                      <w:color w:val="auto"/>
                      <w:sz w:val="21"/>
                      <w:szCs w:val="21"/>
                      <w:highlight w:val="none"/>
                      <w:lang w:val="en-US" w:eastAsia="zh-CN"/>
                    </w:rPr>
                    <w:t>喷漆</w:t>
                  </w:r>
                  <w:r>
                    <w:rPr>
                      <w:rFonts w:hint="eastAsia" w:ascii="Times New Roman" w:hAnsi="Times New Roman" w:eastAsia="宋体" w:cs="Times New Roman"/>
                      <w:b/>
                      <w:bCs/>
                      <w:color w:val="auto"/>
                      <w:sz w:val="21"/>
                      <w:szCs w:val="21"/>
                      <w:highlight w:val="none"/>
                    </w:rPr>
                    <w:t>次数</w:t>
                  </w:r>
                  <w:r>
                    <w:rPr>
                      <w:rFonts w:hint="eastAsia" w:cs="Times New Roman"/>
                      <w:b/>
                      <w:bCs/>
                      <w:color w:val="auto"/>
                      <w:sz w:val="21"/>
                      <w:szCs w:val="21"/>
                      <w:highlight w:val="none"/>
                      <w:lang w:eastAsia="zh-CN"/>
                    </w:rPr>
                    <w:t>（</w:t>
                  </w:r>
                  <w:r>
                    <w:rPr>
                      <w:rFonts w:hint="eastAsia" w:cs="Times New Roman"/>
                      <w:b/>
                      <w:bCs/>
                      <w:color w:val="auto"/>
                      <w:sz w:val="21"/>
                      <w:szCs w:val="21"/>
                      <w:highlight w:val="none"/>
                      <w:lang w:val="en-US" w:eastAsia="zh-CN"/>
                    </w:rPr>
                    <w:t>次</w:t>
                  </w:r>
                  <w:r>
                    <w:rPr>
                      <w:rFonts w:hint="eastAsia" w:cs="Times New Roman"/>
                      <w:b/>
                      <w:bCs/>
                      <w:color w:val="auto"/>
                      <w:sz w:val="21"/>
                      <w:szCs w:val="21"/>
                      <w:highlight w:val="none"/>
                      <w:lang w:eastAsia="zh-CN"/>
                    </w:rPr>
                    <w:t>）</w:t>
                  </w:r>
                </w:p>
              </w:tc>
              <w:tc>
                <w:tcPr>
                  <w:tcW w:w="58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年用量(</w:t>
                  </w:r>
                  <w:r>
                    <w:rPr>
                      <w:rFonts w:hint="eastAsia" w:ascii="Times New Roman" w:hAnsi="Times New Roman" w:eastAsia="宋体" w:cs="Times New Roman"/>
                      <w:b/>
                      <w:bCs/>
                      <w:color w:val="auto"/>
                      <w:sz w:val="21"/>
                      <w:szCs w:val="21"/>
                      <w:lang w:val="en-US" w:eastAsia="zh-CN"/>
                    </w:rPr>
                    <w:t>t</w:t>
                  </w:r>
                  <w:r>
                    <w:rPr>
                      <w:rFonts w:ascii="Times New Roman" w:hAnsi="Times New Roman" w:eastAsia="宋体" w:cs="Times New Roman"/>
                      <w:b/>
                      <w:bCs/>
                      <w:color w:val="auto"/>
                      <w:sz w:val="21"/>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0" w:hRule="atLeast"/>
                <w:jc w:val="center"/>
              </w:trPr>
              <w:tc>
                <w:tcPr>
                  <w:tcW w:w="413" w:type="pc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塑胶壳</w:t>
                  </w:r>
                </w:p>
              </w:tc>
              <w:tc>
                <w:tcPr>
                  <w:tcW w:w="499"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290000</w:t>
                  </w:r>
                </w:p>
              </w:tc>
              <w:tc>
                <w:tcPr>
                  <w:tcW w:w="42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Cs/>
                      <w:color w:val="auto"/>
                      <w:sz w:val="21"/>
                      <w:szCs w:val="21"/>
                      <w:highlight w:val="none"/>
                    </w:rPr>
                  </w:pPr>
                  <w:r>
                    <w:rPr>
                      <w:rFonts w:hint="eastAsia" w:ascii="Times New Roman" w:hAnsi="Times New Roman" w:eastAsia="宋体" w:cs="Times New Roman"/>
                      <w:color w:val="auto"/>
                      <w:sz w:val="21"/>
                      <w:szCs w:val="21"/>
                      <w:highlight w:val="none"/>
                    </w:rPr>
                    <w:t>水性漆</w:t>
                  </w:r>
                </w:p>
              </w:tc>
              <w:tc>
                <w:tcPr>
                  <w:tcW w:w="691"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0.1434</w:t>
                  </w:r>
                </w:p>
              </w:tc>
              <w:tc>
                <w:tcPr>
                  <w:tcW w:w="762"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eastAsia" w:ascii="Times New Roman" w:hAnsi="Times New Roman" w:eastAsia="宋体" w:cs="Times New Roman"/>
                      <w:bCs/>
                      <w:color w:val="auto"/>
                      <w:sz w:val="21"/>
                      <w:szCs w:val="21"/>
                      <w:highlight w:val="none"/>
                      <w:lang w:val="en-US" w:eastAsia="zh-CN"/>
                    </w:rPr>
                  </w:pPr>
                  <w:r>
                    <w:rPr>
                      <w:rFonts w:hint="eastAsia" w:cs="Times New Roman"/>
                      <w:color w:val="auto"/>
                      <w:kern w:val="0"/>
                      <w:sz w:val="21"/>
                      <w:szCs w:val="21"/>
                      <w:highlight w:val="none"/>
                      <w:lang w:val="en-US" w:eastAsia="zh-CN" w:bidi="ar"/>
                    </w:rPr>
                    <w:t>0.00</w:t>
                  </w:r>
                  <w:r>
                    <w:rPr>
                      <w:rFonts w:hint="eastAsia" w:ascii="Times New Roman" w:hAnsi="Times New Roman" w:eastAsia="宋体" w:cs="Times New Roman"/>
                      <w:color w:val="auto"/>
                      <w:kern w:val="0"/>
                      <w:sz w:val="21"/>
                      <w:szCs w:val="21"/>
                      <w:highlight w:val="none"/>
                      <w:lang w:val="en-US" w:eastAsia="zh-CN" w:bidi="ar"/>
                    </w:rPr>
                    <w:t>5</w:t>
                  </w:r>
                </w:p>
              </w:tc>
              <w:tc>
                <w:tcPr>
                  <w:tcW w:w="565"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1030</w:t>
                  </w:r>
                </w:p>
              </w:tc>
              <w:tc>
                <w:tcPr>
                  <w:tcW w:w="483"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bidi="ar"/>
                    </w:rPr>
                    <w:t>45</w:t>
                  </w:r>
                </w:p>
              </w:tc>
              <w:tc>
                <w:tcPr>
                  <w:tcW w:w="574"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eastAsia" w:ascii="Times New Roman" w:hAnsi="Times New Roman" w:eastAsia="宋体" w:cs="Times New Roman"/>
                      <w:bCs/>
                      <w:color w:val="auto"/>
                      <w:sz w:val="21"/>
                      <w:szCs w:val="21"/>
                      <w:highlight w:val="none"/>
                    </w:rPr>
                  </w:pPr>
                  <w:r>
                    <w:rPr>
                      <w:rFonts w:ascii="Times New Roman" w:hAnsi="Times New Roman" w:eastAsia="宋体" w:cs="Times New Roman"/>
                      <w:color w:val="auto"/>
                      <w:kern w:val="0"/>
                      <w:sz w:val="21"/>
                      <w:szCs w:val="21"/>
                      <w:highlight w:val="none"/>
                      <w:lang w:bidi="ar"/>
                    </w:rPr>
                    <w:t>1</w:t>
                  </w:r>
                </w:p>
              </w:tc>
              <w:tc>
                <w:tcPr>
                  <w:tcW w:w="58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000" w:type="pct"/>
                  <w:gridSpan w:val="9"/>
                  <w:tcBorders>
                    <w:left w:val="single" w:color="auto" w:sz="4" w:space="0"/>
                  </w:tcBorders>
                  <w:noWrap w:val="0"/>
                  <w:vAlign w:val="center"/>
                </w:tcPr>
                <w:p>
                  <w:pPr>
                    <w:keepNext w:val="0"/>
                    <w:keepLines w:val="0"/>
                    <w:pageBreakBefore w:val="0"/>
                    <w:kinsoku/>
                    <w:wordWrap/>
                    <w:overflowPunct/>
                    <w:topLinePunct w:val="0"/>
                    <w:autoSpaceDE/>
                    <w:autoSpaceDN/>
                    <w:bidi w:val="0"/>
                    <w:snapToGrid/>
                    <w:spacing w:line="240" w:lineRule="auto"/>
                    <w:jc w:val="left"/>
                    <w:textAlignment w:val="auto"/>
                    <w:rPr>
                      <w:rFonts w:hint="eastAsia"/>
                      <w:b w:val="0"/>
                      <w:bCs w:val="0"/>
                      <w:color w:val="auto"/>
                      <w:sz w:val="21"/>
                      <w:szCs w:val="21"/>
                      <w:lang w:val="en-US" w:eastAsia="zh-CN"/>
                    </w:rPr>
                  </w:pPr>
                  <w:r>
                    <w:rPr>
                      <w:rFonts w:hint="eastAsia"/>
                      <w:b w:val="0"/>
                      <w:bCs w:val="0"/>
                      <w:color w:val="auto"/>
                      <w:sz w:val="21"/>
                      <w:szCs w:val="21"/>
                      <w:lang w:val="en-US" w:eastAsia="zh-CN"/>
                    </w:rPr>
                    <w:t>1、根据《涂装工艺及车间设计手册》等资料，“普通空气喷枪喷漆的涂料利用率一般只有30~50%”，结合现有项目实际生产经验，因此本项目附着率取45%；</w:t>
                  </w:r>
                </w:p>
                <w:p>
                  <w:pPr>
                    <w:keepNext w:val="0"/>
                    <w:keepLines w:val="0"/>
                    <w:pageBreakBefore w:val="0"/>
                    <w:kinsoku/>
                    <w:wordWrap/>
                    <w:overflowPunct/>
                    <w:topLinePunct w:val="0"/>
                    <w:autoSpaceDE/>
                    <w:autoSpaceDN/>
                    <w:bidi w:val="0"/>
                    <w:snapToGrid/>
                    <w:spacing w:line="240" w:lineRule="auto"/>
                    <w:jc w:val="left"/>
                    <w:textAlignment w:val="auto"/>
                    <w:rPr>
                      <w:rFonts w:hint="eastAsia"/>
                      <w:b w:val="0"/>
                      <w:bCs w:val="0"/>
                      <w:color w:val="auto"/>
                      <w:sz w:val="21"/>
                      <w:szCs w:val="21"/>
                      <w:lang w:val="en-US" w:eastAsia="zh-CN"/>
                    </w:rPr>
                  </w:pPr>
                  <w:r>
                    <w:rPr>
                      <w:rFonts w:hint="eastAsia"/>
                      <w:b w:val="0"/>
                      <w:bCs w:val="0"/>
                      <w:color w:val="auto"/>
                      <w:sz w:val="21"/>
                      <w:szCs w:val="21"/>
                      <w:lang w:val="en-US" w:eastAsia="zh-CN"/>
                    </w:rPr>
                    <w:t>2、水性漆固含量=100%-水性漆挥发量-去离子水成分=100%-1.1%-15%=83.9%。</w:t>
                  </w:r>
                </w:p>
                <w:p>
                  <w:pPr>
                    <w:pStyle w:val="2"/>
                    <w:ind w:left="0" w:leftChars="0" w:firstLine="0" w:firstLineChars="0"/>
                    <w:rPr>
                      <w:rFonts w:hint="default"/>
                      <w:color w:val="auto"/>
                      <w:lang w:val="en-US" w:eastAsia="zh-CN"/>
                    </w:rPr>
                  </w:pP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3、水性漆用量=（290000个×0.1434m</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SA"/>
                    </w:rPr>
                    <w:t>2</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×0.005mm×1030</w:t>
                  </w:r>
                  <w:r>
                    <w:rPr>
                      <w:rFonts w:ascii="Times New Roman" w:hAnsi="Times New Roman" w:eastAsia="宋体" w:cs="Times New Roman"/>
                      <w:b w:val="0"/>
                      <w:bCs w:val="0"/>
                      <w:color w:val="auto"/>
                      <w:sz w:val="21"/>
                      <w:szCs w:val="21"/>
                      <w:highlight w:val="none"/>
                    </w:rPr>
                    <w:t>kg/m</w:t>
                  </w:r>
                  <w:r>
                    <w:rPr>
                      <w:rFonts w:ascii="Times New Roman" w:hAnsi="Times New Roman" w:eastAsia="宋体" w:cs="Times New Roman"/>
                      <w:b w:val="0"/>
                      <w:bCs w:val="0"/>
                      <w:color w:val="auto"/>
                      <w:sz w:val="21"/>
                      <w:szCs w:val="21"/>
                      <w:highlight w:val="none"/>
                      <w:vertAlign w:val="superscript"/>
                    </w:rPr>
                    <w:t>3</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×1）÷1000000÷45%=0.48t/a。</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水性油墨用量的计算过程：</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水性油墨用量核算表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49"/>
              <w:gridCol w:w="1366"/>
              <w:gridCol w:w="1433"/>
              <w:gridCol w:w="1366"/>
              <w:gridCol w:w="1234"/>
              <w:gridCol w:w="1339"/>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25" w:type="pct"/>
                  <w:noWrap/>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rPr>
                    <w:t>涂料类型</w:t>
                  </w:r>
                </w:p>
              </w:tc>
              <w:tc>
                <w:tcPr>
                  <w:tcW w:w="755"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lang w:val="en-US" w:eastAsia="zh-CN"/>
                    </w:rPr>
                    <w:t>单位产品丝印</w:t>
                  </w:r>
                  <w:r>
                    <w:rPr>
                      <w:rFonts w:cs="Times New Roman"/>
                      <w:b/>
                      <w:bCs/>
                      <w:color w:val="auto"/>
                      <w:sz w:val="21"/>
                      <w:szCs w:val="21"/>
                    </w:rPr>
                    <w:t>面积（m</w:t>
                  </w:r>
                  <w:r>
                    <w:rPr>
                      <w:rFonts w:cs="Times New Roman"/>
                      <w:b/>
                      <w:bCs/>
                      <w:color w:val="auto"/>
                      <w:sz w:val="21"/>
                      <w:szCs w:val="21"/>
                      <w:vertAlign w:val="superscript"/>
                    </w:rPr>
                    <w:t>2</w:t>
                  </w:r>
                  <w:r>
                    <w:rPr>
                      <w:rFonts w:cs="Times New Roman"/>
                      <w:b/>
                      <w:bCs/>
                      <w:color w:val="auto"/>
                      <w:sz w:val="21"/>
                      <w:szCs w:val="21"/>
                    </w:rPr>
                    <w:t>）</w:t>
                  </w:r>
                </w:p>
              </w:tc>
              <w:tc>
                <w:tcPr>
                  <w:tcW w:w="792" w:type="pct"/>
                  <w:noWrap w:val="0"/>
                  <w:vAlign w:val="center"/>
                </w:tcPr>
                <w:p>
                  <w:pPr>
                    <w:adjustRightInd w:val="0"/>
                    <w:snapToGrid w:val="0"/>
                    <w:spacing w:line="240" w:lineRule="auto"/>
                    <w:ind w:firstLine="0" w:firstLineChars="0"/>
                    <w:jc w:val="center"/>
                    <w:rPr>
                      <w:rFonts w:hint="default" w:eastAsia="宋体" w:cs="Times New Roman"/>
                      <w:b/>
                      <w:bCs/>
                      <w:color w:val="auto"/>
                      <w:sz w:val="21"/>
                      <w:szCs w:val="21"/>
                      <w:lang w:val="en-US" w:eastAsia="zh-CN"/>
                    </w:rPr>
                  </w:pPr>
                  <w:r>
                    <w:rPr>
                      <w:rFonts w:hint="eastAsia" w:cs="Times New Roman"/>
                      <w:b/>
                      <w:bCs/>
                      <w:color w:val="auto"/>
                      <w:sz w:val="21"/>
                      <w:szCs w:val="21"/>
                      <w:lang w:val="en-US" w:eastAsia="zh-CN"/>
                    </w:rPr>
                    <w:t>产品年产量（个）</w:t>
                  </w:r>
                </w:p>
              </w:tc>
              <w:tc>
                <w:tcPr>
                  <w:tcW w:w="755"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lang w:val="en-US" w:eastAsia="zh-CN"/>
                    </w:rPr>
                    <w:t>湿膜</w:t>
                  </w:r>
                  <w:r>
                    <w:rPr>
                      <w:rFonts w:cs="Times New Roman"/>
                      <w:b/>
                      <w:bCs/>
                      <w:color w:val="auto"/>
                      <w:sz w:val="21"/>
                      <w:szCs w:val="21"/>
                    </w:rPr>
                    <w:t>厚度（</w:t>
                  </w:r>
                  <w:r>
                    <w:rPr>
                      <w:rFonts w:hint="eastAsia" w:cs="Times New Roman"/>
                      <w:b/>
                      <w:bCs/>
                      <w:color w:val="auto"/>
                      <w:sz w:val="21"/>
                      <w:szCs w:val="21"/>
                      <w:lang w:val="en-US" w:eastAsia="zh-CN"/>
                    </w:rPr>
                    <w:t>m</w:t>
                  </w:r>
                  <w:r>
                    <w:rPr>
                      <w:rFonts w:cs="Times New Roman"/>
                      <w:b/>
                      <w:bCs/>
                      <w:color w:val="auto"/>
                      <w:sz w:val="21"/>
                      <w:szCs w:val="21"/>
                    </w:rPr>
                    <w:t>m）</w:t>
                  </w:r>
                </w:p>
              </w:tc>
              <w:tc>
                <w:tcPr>
                  <w:tcW w:w="682"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lang w:val="en-US" w:eastAsia="zh-CN"/>
                    </w:rPr>
                    <w:t>湿膜</w:t>
                  </w:r>
                  <w:r>
                    <w:rPr>
                      <w:rFonts w:cs="Times New Roman"/>
                      <w:b/>
                      <w:bCs/>
                      <w:color w:val="auto"/>
                      <w:sz w:val="21"/>
                      <w:szCs w:val="21"/>
                    </w:rPr>
                    <w:t>密度（t/m</w:t>
                  </w:r>
                  <w:r>
                    <w:rPr>
                      <w:rFonts w:cs="Times New Roman"/>
                      <w:b/>
                      <w:bCs/>
                      <w:color w:val="auto"/>
                      <w:sz w:val="21"/>
                      <w:szCs w:val="21"/>
                      <w:vertAlign w:val="superscript"/>
                    </w:rPr>
                    <w:t>3</w:t>
                  </w:r>
                  <w:r>
                    <w:rPr>
                      <w:rFonts w:cs="Times New Roman"/>
                      <w:b/>
                      <w:bCs/>
                      <w:color w:val="auto"/>
                      <w:sz w:val="21"/>
                      <w:szCs w:val="21"/>
                    </w:rPr>
                    <w:t>）</w:t>
                  </w:r>
                </w:p>
              </w:tc>
              <w:tc>
                <w:tcPr>
                  <w:tcW w:w="740" w:type="pct"/>
                  <w:noWrap w:val="0"/>
                  <w:vAlign w:val="center"/>
                </w:tcPr>
                <w:p>
                  <w:pPr>
                    <w:adjustRightInd w:val="0"/>
                    <w:snapToGrid w:val="0"/>
                    <w:spacing w:line="240" w:lineRule="auto"/>
                    <w:ind w:firstLine="0" w:firstLineChars="0"/>
                    <w:jc w:val="center"/>
                    <w:rPr>
                      <w:rFonts w:hint="default" w:eastAsia="宋体" w:cs="Times New Roman"/>
                      <w:b/>
                      <w:bCs/>
                      <w:color w:val="auto"/>
                      <w:sz w:val="21"/>
                      <w:szCs w:val="21"/>
                      <w:lang w:val="en-US" w:eastAsia="zh-CN"/>
                    </w:rPr>
                  </w:pPr>
                  <w:r>
                    <w:rPr>
                      <w:rFonts w:cs="Times New Roman"/>
                      <w:b/>
                      <w:bCs/>
                      <w:color w:val="auto"/>
                      <w:sz w:val="21"/>
                      <w:szCs w:val="21"/>
                    </w:rPr>
                    <w:t>附着率（%）</w:t>
                  </w:r>
                </w:p>
              </w:tc>
              <w:tc>
                <w:tcPr>
                  <w:tcW w:w="748"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rPr>
                    <w:t>原料</w:t>
                  </w:r>
                  <w:r>
                    <w:rPr>
                      <w:rFonts w:cs="Times New Roman"/>
                      <w:b/>
                      <w:bCs/>
                      <w:color w:val="auto"/>
                      <w:sz w:val="21"/>
                      <w:szCs w:val="21"/>
                    </w:rPr>
                    <w:t>用量</w:t>
                  </w:r>
                  <w:r>
                    <w:rPr>
                      <w:rFonts w:hint="eastAsia" w:cs="Times New Roman"/>
                      <w:b/>
                      <w:bCs/>
                      <w:color w:val="auto"/>
                      <w:sz w:val="21"/>
                      <w:szCs w:val="21"/>
                    </w:rPr>
                    <w:t>（t</w:t>
                  </w:r>
                  <w:r>
                    <w:rPr>
                      <w:rFonts w:cs="Times New Roman"/>
                      <w:b/>
                      <w:bCs/>
                      <w:color w:val="auto"/>
                      <w:sz w:val="21"/>
                      <w:szCs w:val="21"/>
                    </w:rPr>
                    <w:t>/</w:t>
                  </w:r>
                  <w:r>
                    <w:rPr>
                      <w:rFonts w:hint="eastAsia" w:cs="Times New Roman"/>
                      <w:b/>
                      <w:bCs/>
                      <w:color w:val="auto"/>
                      <w:sz w:val="21"/>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trPr>
              <w:tc>
                <w:tcPr>
                  <w:tcW w:w="525" w:type="pct"/>
                  <w:noWrap/>
                  <w:vAlign w:val="center"/>
                </w:tcPr>
                <w:p>
                  <w:pPr>
                    <w:adjustRightInd w:val="0"/>
                    <w:snapToGrid w:val="0"/>
                    <w:spacing w:line="240" w:lineRule="auto"/>
                    <w:ind w:firstLine="0" w:firstLineChars="0"/>
                    <w:jc w:val="center"/>
                    <w:rPr>
                      <w:rFonts w:cs="Times New Roman"/>
                      <w:color w:val="auto"/>
                      <w:sz w:val="21"/>
                      <w:szCs w:val="21"/>
                    </w:rPr>
                  </w:pPr>
                  <w:r>
                    <w:rPr>
                      <w:rFonts w:hint="eastAsia" w:cs="Times New Roman"/>
                      <w:color w:val="auto"/>
                      <w:sz w:val="21"/>
                      <w:szCs w:val="21"/>
                    </w:rPr>
                    <w:t>水性油墨</w:t>
                  </w:r>
                </w:p>
              </w:tc>
              <w:tc>
                <w:tcPr>
                  <w:tcW w:w="755" w:type="pct"/>
                  <w:noWrap/>
                  <w:vAlign w:val="center"/>
                </w:tcPr>
                <w:p>
                  <w:pPr>
                    <w:keepNext w:val="0"/>
                    <w:keepLines w:val="0"/>
                    <w:pageBreakBefore w:val="0"/>
                    <w:widowControl/>
                    <w:suppressLineNumbers w:val="0"/>
                    <w:kinsoku/>
                    <w:wordWrap w:val="0"/>
                    <w:overflowPunct/>
                    <w:topLinePunct w:val="0"/>
                    <w:autoSpaceDE/>
                    <w:autoSpaceDN/>
                    <w:bidi w:val="0"/>
                    <w:jc w:val="center"/>
                    <w:textAlignment w:val="auto"/>
                    <w:rPr>
                      <w:rFonts w:hint="default" w:eastAsia="宋体" w:cs="Times New Roman"/>
                      <w:color w:val="auto"/>
                      <w:sz w:val="21"/>
                      <w:szCs w:val="21"/>
                      <w:lang w:val="en-US" w:eastAsia="zh-CN"/>
                    </w:rPr>
                  </w:pPr>
                  <w:r>
                    <w:rPr>
                      <w:rFonts w:hint="eastAsia" w:eastAsia="宋体" w:cs="Times New Roman"/>
                      <w:color w:val="auto"/>
                      <w:sz w:val="21"/>
                      <w:szCs w:val="21"/>
                      <w:lang w:val="en-US" w:eastAsia="zh-CN"/>
                    </w:rPr>
                    <w:t>0.00</w:t>
                  </w:r>
                  <w:r>
                    <w:rPr>
                      <w:rFonts w:hint="eastAsia" w:cs="Times New Roman"/>
                      <w:color w:val="auto"/>
                      <w:sz w:val="21"/>
                      <w:szCs w:val="21"/>
                      <w:lang w:val="en-US" w:eastAsia="zh-CN"/>
                    </w:rPr>
                    <w:t>16</w:t>
                  </w:r>
                </w:p>
              </w:tc>
              <w:tc>
                <w:tcPr>
                  <w:tcW w:w="792" w:type="pct"/>
                  <w:noWrap/>
                  <w:vAlign w:val="center"/>
                </w:tcPr>
                <w:p>
                  <w:pPr>
                    <w:keepNext w:val="0"/>
                    <w:keepLines w:val="0"/>
                    <w:pageBreakBefore w:val="0"/>
                    <w:widowControl/>
                    <w:suppressLineNumbers w:val="0"/>
                    <w:kinsoku/>
                    <w:wordWrap w:val="0"/>
                    <w:overflowPunct/>
                    <w:topLinePunct w:val="0"/>
                    <w:autoSpaceDE/>
                    <w:autoSpaceDN/>
                    <w:bidi w:val="0"/>
                    <w:jc w:val="center"/>
                    <w:textAlignment w:val="auto"/>
                    <w:rPr>
                      <w:rFonts w:hint="default" w:eastAsia="宋体" w:cs="Times New Roman"/>
                      <w:color w:val="auto"/>
                      <w:sz w:val="21"/>
                      <w:szCs w:val="21"/>
                      <w:lang w:val="en-US" w:eastAsia="zh-CN"/>
                    </w:rPr>
                  </w:pPr>
                  <w:r>
                    <w:rPr>
                      <w:rFonts w:hint="eastAsia" w:eastAsia="宋体" w:cs="Times New Roman"/>
                      <w:color w:val="auto"/>
                      <w:sz w:val="21"/>
                      <w:szCs w:val="21"/>
                      <w:lang w:val="en-US" w:eastAsia="zh-CN"/>
                    </w:rPr>
                    <w:t>460000</w:t>
                  </w:r>
                </w:p>
              </w:tc>
              <w:tc>
                <w:tcPr>
                  <w:tcW w:w="755" w:type="pct"/>
                  <w:noWrap/>
                  <w:vAlign w:val="center"/>
                </w:tcPr>
                <w:p>
                  <w:pPr>
                    <w:keepNext w:val="0"/>
                    <w:keepLines w:val="0"/>
                    <w:pageBreakBefore w:val="0"/>
                    <w:widowControl/>
                    <w:suppressLineNumbers w:val="0"/>
                    <w:kinsoku/>
                    <w:wordWrap w:val="0"/>
                    <w:overflowPunct/>
                    <w:topLinePunct w:val="0"/>
                    <w:autoSpaceDE/>
                    <w:autoSpaceDN/>
                    <w:bidi w:val="0"/>
                    <w:jc w:val="center"/>
                    <w:textAlignment w:val="auto"/>
                    <w:rPr>
                      <w:rFonts w:hint="default"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0.006</w:t>
                  </w:r>
                </w:p>
              </w:tc>
              <w:tc>
                <w:tcPr>
                  <w:tcW w:w="682" w:type="pct"/>
                  <w:noWrap/>
                  <w:vAlign w:val="center"/>
                </w:tcPr>
                <w:p>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color w:val="auto"/>
                      <w:sz w:val="21"/>
                      <w:szCs w:val="21"/>
                      <w:lang w:val="en-US" w:eastAsia="zh-CN"/>
                    </w:rPr>
                  </w:pPr>
                  <w:r>
                    <w:rPr>
                      <w:rFonts w:hint="eastAsia" w:cs="Times New Roman"/>
                      <w:color w:val="auto"/>
                      <w:sz w:val="21"/>
                      <w:szCs w:val="21"/>
                      <w:lang w:val="en-US" w:eastAsia="zh-CN"/>
                    </w:rPr>
                    <w:t>1.3</w:t>
                  </w:r>
                </w:p>
              </w:tc>
              <w:tc>
                <w:tcPr>
                  <w:tcW w:w="740" w:type="pct"/>
                  <w:noWrap/>
                  <w:vAlign w:val="center"/>
                </w:tcPr>
                <w:p>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eastAsia" w:eastAsia="宋体" w:cs="Times New Roman"/>
                      <w:color w:val="auto"/>
                      <w:sz w:val="21"/>
                      <w:szCs w:val="21"/>
                      <w:lang w:val="en-US" w:eastAsia="zh-CN"/>
                    </w:rPr>
                    <w:t>95</w:t>
                  </w:r>
                </w:p>
              </w:tc>
              <w:tc>
                <w:tcPr>
                  <w:tcW w:w="748" w:type="pct"/>
                  <w:noWrap/>
                  <w:vAlign w:val="center"/>
                </w:tcPr>
                <w:p>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color w:val="auto"/>
                      <w:sz w:val="21"/>
                      <w:szCs w:val="21"/>
                      <w:lang w:val="en-US" w:eastAsia="zh-CN"/>
                    </w:rPr>
                  </w:pPr>
                  <w:r>
                    <w:rPr>
                      <w:rFonts w:hint="eastAsia" w:cs="Times New Roman"/>
                      <w:color w:val="auto"/>
                      <w:sz w:val="21"/>
                      <w:szCs w:val="21"/>
                      <w:lang w:val="en-US" w:eastAsia="zh-CN"/>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trPr>
              <w:tc>
                <w:tcPr>
                  <w:tcW w:w="5000" w:type="pct"/>
                  <w:gridSpan w:val="7"/>
                  <w:noWrap/>
                  <w:vAlign w:val="center"/>
                </w:tcPr>
                <w:p>
                  <w:pPr>
                    <w:keepNext w:val="0"/>
                    <w:keepLines w:val="0"/>
                    <w:pageBreakBefore w:val="0"/>
                    <w:numPr>
                      <w:ilvl w:val="0"/>
                      <w:numId w:val="13"/>
                    </w:numPr>
                    <w:kinsoku/>
                    <w:wordWrap w:val="0"/>
                    <w:overflowPunct/>
                    <w:topLinePunct w:val="0"/>
                    <w:autoSpaceDE/>
                    <w:autoSpaceDN/>
                    <w:bidi w:val="0"/>
                    <w:adjustRightInd w:val="0"/>
                    <w:snapToGrid w:val="0"/>
                    <w:spacing w:line="240" w:lineRule="auto"/>
                    <w:ind w:firstLine="0" w:firstLineChars="0"/>
                    <w:jc w:val="left"/>
                    <w:textAlignment w:val="auto"/>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根据建设单位提供资料，使用水性油墨单位产品丝印</w:t>
                  </w:r>
                  <w:r>
                    <w:rPr>
                      <w:rFonts w:cs="Times New Roman"/>
                      <w:b w:val="0"/>
                      <w:bCs w:val="0"/>
                      <w:color w:val="auto"/>
                      <w:sz w:val="21"/>
                      <w:szCs w:val="21"/>
                    </w:rPr>
                    <w:t>面积</w:t>
                  </w:r>
                  <w:r>
                    <w:rPr>
                      <w:rFonts w:hint="eastAsia" w:cs="Times New Roman"/>
                      <w:b w:val="0"/>
                      <w:bCs w:val="0"/>
                      <w:color w:val="auto"/>
                      <w:sz w:val="21"/>
                      <w:szCs w:val="21"/>
                      <w:lang w:val="en-US" w:eastAsia="zh-CN"/>
                    </w:rPr>
                    <w:t>约为0.0004</w:t>
                  </w:r>
                  <w:r>
                    <w:rPr>
                      <w:rFonts w:cs="Times New Roman"/>
                      <w:b w:val="0"/>
                      <w:bCs w:val="0"/>
                      <w:color w:val="auto"/>
                      <w:sz w:val="21"/>
                      <w:szCs w:val="21"/>
                    </w:rPr>
                    <w:t>m</w:t>
                  </w:r>
                  <w:r>
                    <w:rPr>
                      <w:rFonts w:cs="Times New Roman"/>
                      <w:b w:val="0"/>
                      <w:bCs w:val="0"/>
                      <w:color w:val="auto"/>
                      <w:sz w:val="21"/>
                      <w:szCs w:val="21"/>
                      <w:vertAlign w:val="superscript"/>
                    </w:rPr>
                    <w:t>2</w:t>
                  </w:r>
                  <w:r>
                    <w:rPr>
                      <w:rFonts w:hint="default" w:ascii="Times New Roman" w:hAnsi="Times New Roman" w:cs="Times New Roman"/>
                      <w:b w:val="0"/>
                      <w:bCs w:val="0"/>
                      <w:color w:val="auto"/>
                      <w:sz w:val="21"/>
                      <w:szCs w:val="21"/>
                      <w:vertAlign w:val="baseline"/>
                      <w:lang w:eastAsia="zh-CN"/>
                    </w:rPr>
                    <w:t>，湿膜厚度</w:t>
                  </w:r>
                  <w:r>
                    <w:rPr>
                      <w:rFonts w:hint="eastAsia" w:ascii="Times New Roman" w:hAnsi="Times New Roman" w:cs="Times New Roman"/>
                      <w:b w:val="0"/>
                      <w:bCs w:val="0"/>
                      <w:color w:val="auto"/>
                      <w:sz w:val="21"/>
                      <w:szCs w:val="21"/>
                      <w:vertAlign w:val="baseline"/>
                      <w:lang w:val="en-US" w:eastAsia="zh-CN"/>
                    </w:rPr>
                    <w:t>6</w:t>
                  </w:r>
                  <w:r>
                    <w:rPr>
                      <w:rFonts w:hint="default" w:ascii="Times New Roman" w:hAnsi="Times New Roman" w:cs="Times New Roman"/>
                      <w:b w:val="0"/>
                      <w:bCs w:val="0"/>
                      <w:color w:val="auto"/>
                      <w:sz w:val="21"/>
                      <w:szCs w:val="21"/>
                      <w:vertAlign w:val="baseline"/>
                      <w:lang w:eastAsia="zh-CN"/>
                    </w:rPr>
                    <w:t>μm</w:t>
                  </w:r>
                  <w:r>
                    <w:rPr>
                      <w:rFonts w:hint="eastAsia" w:ascii="Times New Roman" w:hAnsi="Times New Roman" w:cs="Times New Roman"/>
                      <w:b w:val="0"/>
                      <w:bCs w:val="0"/>
                      <w:color w:val="auto"/>
                      <w:sz w:val="21"/>
                      <w:szCs w:val="21"/>
                      <w:vertAlign w:val="baseline"/>
                      <w:lang w:eastAsia="zh-CN"/>
                    </w:rPr>
                    <w:t>，考虑到部分残留在机器出色管口，</w:t>
                  </w:r>
                  <w:r>
                    <w:rPr>
                      <w:rFonts w:hint="eastAsia" w:cs="Times New Roman"/>
                      <w:b w:val="0"/>
                      <w:bCs w:val="0"/>
                      <w:color w:val="auto"/>
                      <w:sz w:val="21"/>
                      <w:szCs w:val="21"/>
                      <w:vertAlign w:val="baseline"/>
                      <w:lang w:val="en-US" w:eastAsia="zh-CN"/>
                    </w:rPr>
                    <w:t>本项目</w:t>
                  </w:r>
                  <w:r>
                    <w:rPr>
                      <w:rFonts w:hint="eastAsia" w:ascii="Times New Roman" w:hAnsi="Times New Roman" w:cs="Times New Roman"/>
                      <w:b w:val="0"/>
                      <w:bCs w:val="0"/>
                      <w:color w:val="auto"/>
                      <w:sz w:val="21"/>
                      <w:szCs w:val="21"/>
                      <w:vertAlign w:val="baseline"/>
                      <w:lang w:eastAsia="zh-CN"/>
                    </w:rPr>
                    <w:t>附着率取95%</w:t>
                  </w:r>
                  <w:r>
                    <w:rPr>
                      <w:rFonts w:hint="eastAsia" w:cs="Times New Roman"/>
                      <w:b w:val="0"/>
                      <w:bCs w:val="0"/>
                      <w:color w:val="auto"/>
                      <w:sz w:val="21"/>
                      <w:szCs w:val="21"/>
                      <w:lang w:val="en-US" w:eastAsia="zh-CN"/>
                    </w:rPr>
                    <w:t>。</w:t>
                  </w:r>
                </w:p>
                <w:p>
                  <w:pPr>
                    <w:keepNext w:val="0"/>
                    <w:keepLines w:val="0"/>
                    <w:pageBreakBefore w:val="0"/>
                    <w:numPr>
                      <w:ilvl w:val="0"/>
                      <w:numId w:val="13"/>
                    </w:numPr>
                    <w:kinsoku/>
                    <w:wordWrap w:val="0"/>
                    <w:overflowPunct/>
                    <w:topLinePunct w:val="0"/>
                    <w:autoSpaceDE/>
                    <w:autoSpaceDN/>
                    <w:bidi w:val="0"/>
                    <w:adjustRightInd w:val="0"/>
                    <w:snapToGrid w:val="0"/>
                    <w:spacing w:line="240" w:lineRule="auto"/>
                    <w:ind w:firstLine="0" w:firstLineChars="0"/>
                    <w:jc w:val="left"/>
                    <w:textAlignment w:val="auto"/>
                    <w:rPr>
                      <w:rFonts w:hint="eastAsia" w:cs="Times New Roman"/>
                      <w:b w:val="0"/>
                      <w:bCs w:val="0"/>
                      <w:color w:val="auto"/>
                      <w:sz w:val="21"/>
                      <w:szCs w:val="21"/>
                    </w:rPr>
                  </w:pPr>
                  <w:r>
                    <w:rPr>
                      <w:rFonts w:hint="eastAsia" w:ascii="Times New Roman" w:hAnsi="Times New Roman" w:cs="Times New Roman"/>
                      <w:b w:val="0"/>
                      <w:bCs w:val="0"/>
                      <w:color w:val="auto"/>
                      <w:sz w:val="21"/>
                      <w:szCs w:val="21"/>
                      <w:vertAlign w:val="baseline"/>
                      <w:lang w:val="en-US" w:eastAsia="zh-CN"/>
                    </w:rPr>
                    <w:t>根据水性油墨</w:t>
                  </w:r>
                  <w:r>
                    <w:rPr>
                      <w:rFonts w:hint="eastAsia" w:cs="Times New Roman"/>
                      <w:b w:val="0"/>
                      <w:bCs w:val="0"/>
                      <w:color w:val="auto"/>
                      <w:sz w:val="21"/>
                      <w:szCs w:val="21"/>
                      <w:lang w:val="en-US" w:eastAsia="zh-CN"/>
                    </w:rPr>
                    <w:t>MSDS可知湿膜密度为1.3</w:t>
                  </w:r>
                  <w:r>
                    <w:rPr>
                      <w:rFonts w:cs="Times New Roman"/>
                      <w:b w:val="0"/>
                      <w:bCs w:val="0"/>
                      <w:color w:val="auto"/>
                      <w:sz w:val="21"/>
                      <w:szCs w:val="21"/>
                    </w:rPr>
                    <w:t>t/m</w:t>
                  </w:r>
                  <w:r>
                    <w:rPr>
                      <w:rFonts w:cs="Times New Roman"/>
                      <w:b w:val="0"/>
                      <w:bCs w:val="0"/>
                      <w:color w:val="auto"/>
                      <w:sz w:val="21"/>
                      <w:szCs w:val="21"/>
                      <w:vertAlign w:val="superscript"/>
                    </w:rPr>
                    <w:t>3</w:t>
                  </w:r>
                  <w:r>
                    <w:rPr>
                      <w:rFonts w:hint="eastAsia" w:cs="Times New Roman"/>
                      <w:b w:val="0"/>
                      <w:bCs w:val="0"/>
                      <w:color w:val="auto"/>
                      <w:sz w:val="21"/>
                      <w:szCs w:val="21"/>
                      <w:vertAlign w:val="baseline"/>
                      <w:lang w:eastAsia="zh-CN"/>
                    </w:rPr>
                    <w:t>；</w:t>
                  </w:r>
                </w:p>
                <w:p>
                  <w:pPr>
                    <w:keepNext w:val="0"/>
                    <w:keepLines w:val="0"/>
                    <w:pageBreakBefore w:val="0"/>
                    <w:numPr>
                      <w:ilvl w:val="0"/>
                      <w:numId w:val="13"/>
                    </w:numPr>
                    <w:kinsoku/>
                    <w:wordWrap w:val="0"/>
                    <w:overflowPunct/>
                    <w:topLinePunct w:val="0"/>
                    <w:autoSpaceDE/>
                    <w:autoSpaceDN/>
                    <w:bidi w:val="0"/>
                    <w:adjustRightInd w:val="0"/>
                    <w:snapToGrid w:val="0"/>
                    <w:spacing w:line="240" w:lineRule="auto"/>
                    <w:ind w:firstLine="0" w:firstLineChars="0"/>
                    <w:jc w:val="left"/>
                    <w:textAlignment w:val="auto"/>
                    <w:rPr>
                      <w:rFonts w:hint="eastAsia" w:cs="Times New Roman"/>
                      <w:color w:val="auto"/>
                      <w:sz w:val="21"/>
                      <w:szCs w:val="21"/>
                    </w:rPr>
                  </w:pPr>
                  <w:r>
                    <w:rPr>
                      <w:rFonts w:hint="eastAsia" w:cs="Times New Roman"/>
                      <w:b/>
                      <w:bCs/>
                      <w:color w:val="auto"/>
                      <w:sz w:val="21"/>
                      <w:szCs w:val="21"/>
                    </w:rPr>
                    <w:t>计算过程：</w:t>
                  </w:r>
                  <w:r>
                    <w:rPr>
                      <w:rFonts w:hint="eastAsia" w:cs="Times New Roman"/>
                      <w:b w:val="0"/>
                      <w:bCs w:val="0"/>
                      <w:color w:val="auto"/>
                      <w:sz w:val="21"/>
                      <w:szCs w:val="21"/>
                      <w:lang w:eastAsia="zh-CN"/>
                    </w:rPr>
                    <w:t>（</w:t>
                  </w:r>
                  <w:r>
                    <w:rPr>
                      <w:rFonts w:hint="eastAsia" w:cs="Times New Roman"/>
                      <w:b w:val="0"/>
                      <w:bCs w:val="0"/>
                      <w:color w:val="auto"/>
                      <w:sz w:val="21"/>
                      <w:szCs w:val="21"/>
                      <w:lang w:val="en-US" w:eastAsia="zh-CN"/>
                    </w:rPr>
                    <w:t>460000个</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×0.0016×0.006mm×1.3</w:t>
                  </w:r>
                  <w:r>
                    <w:rPr>
                      <w:rFonts w:cs="Times New Roman"/>
                      <w:b w:val="0"/>
                      <w:bCs w:val="0"/>
                      <w:color w:val="auto"/>
                      <w:sz w:val="21"/>
                      <w:szCs w:val="21"/>
                    </w:rPr>
                    <w:t>t/m</w:t>
                  </w:r>
                  <w:r>
                    <w:rPr>
                      <w:rFonts w:cs="Times New Roman"/>
                      <w:b w:val="0"/>
                      <w:bCs w:val="0"/>
                      <w:color w:val="auto"/>
                      <w:sz w:val="21"/>
                      <w:szCs w:val="21"/>
                      <w:vertAlign w:val="superscript"/>
                    </w:rPr>
                    <w:t>3</w:t>
                  </w:r>
                  <w:r>
                    <w:rPr>
                      <w:rFonts w:hint="eastAsia" w:cs="Times New Roman"/>
                      <w:b w:val="0"/>
                      <w:bCs w:val="0"/>
                      <w:color w:val="auto"/>
                      <w:sz w:val="21"/>
                      <w:szCs w:val="21"/>
                      <w:vertAlign w:val="baseline"/>
                      <w:lang w:eastAsia="zh-CN"/>
                    </w:rPr>
                    <w:t>）</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÷1000000÷95%=0.006t/a</w:t>
                  </w:r>
                  <w:r>
                    <w:rPr>
                      <w:rFonts w:hint="eastAsia" w:cs="Times New Roman"/>
                      <w:b/>
                      <w:bCs/>
                      <w:color w:val="auto"/>
                      <w:sz w:val="21"/>
                      <w:szCs w:val="21"/>
                      <w:lang w:eastAsia="zh-CN"/>
                    </w:rPr>
                    <w:t>。</w:t>
                  </w:r>
                </w:p>
              </w:tc>
            </w:tr>
          </w:tbl>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本项目主要原辅材料理化性质</w:t>
            </w:r>
          </w:p>
          <w:tbl>
            <w:tblPr>
              <w:tblStyle w:val="2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
              <w:gridCol w:w="1007"/>
              <w:gridCol w:w="7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序号</w:t>
                  </w:r>
                </w:p>
              </w:tc>
              <w:tc>
                <w:tcPr>
                  <w:tcW w:w="55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原辅料名称</w:t>
                  </w:r>
                </w:p>
              </w:tc>
              <w:tc>
                <w:tcPr>
                  <w:tcW w:w="416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理化性质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p>
              </w:tc>
              <w:tc>
                <w:tcPr>
                  <w:tcW w:w="55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PC</w:t>
                  </w: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ascii="Times New Roman" w:hAnsi="Times New Roman" w:eastAsia="宋体" w:cs="Times New Roman"/>
                      <w:color w:val="FF0000"/>
                      <w:spacing w:val="-4"/>
                      <w:sz w:val="21"/>
                      <w:szCs w:val="21"/>
                      <w:highlight w:val="none"/>
                      <w:lang w:val="en-US" w:eastAsia="zh-CN"/>
                    </w:rPr>
                  </w:pPr>
                  <w:r>
                    <w:rPr>
                      <w:rFonts w:hint="eastAsia" w:ascii="Times New Roman" w:hAnsi="Times New Roman" w:eastAsia="宋体" w:cs="Times New Roman"/>
                      <w:color w:val="FF0000"/>
                      <w:spacing w:val="-4"/>
                      <w:sz w:val="21"/>
                      <w:szCs w:val="21"/>
                      <w:highlight w:val="none"/>
                      <w:lang w:val="en-US" w:eastAsia="zh-CN"/>
                    </w:rPr>
                    <w:t xml:space="preserve">聚碳酸酯（英文简称 PC）是分子链中含有碳酸酯基的高分子聚合物，根据酯基的结构可分为脂肪族、芳香族、脂肪族-芳香族等多种类型。其中由于脂肪族和脂肪族-芳香族聚碳酸酯的机械性能较低，从而限制了其在工程塑料方面的应用，熔点为 215-260℃，热分解温度为340℃。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p>
              </w:tc>
              <w:tc>
                <w:tcPr>
                  <w:tcW w:w="55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ABS</w:t>
                  </w: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ascii="Times New Roman" w:hAnsi="Times New Roman" w:eastAsia="宋体" w:cs="Times New Roman"/>
                      <w:color w:val="FF0000"/>
                      <w:spacing w:val="-4"/>
                      <w:sz w:val="21"/>
                      <w:szCs w:val="21"/>
                      <w:highlight w:val="none"/>
                      <w:lang w:val="en-US" w:eastAsia="zh-CN"/>
                    </w:rPr>
                  </w:pPr>
                  <w:r>
                    <w:rPr>
                      <w:rFonts w:hint="eastAsia" w:ascii="Times New Roman" w:hAnsi="Times New Roman" w:eastAsia="宋体" w:cs="Times New Roman"/>
                      <w:color w:val="FF0000"/>
                      <w:spacing w:val="-4"/>
                      <w:sz w:val="21"/>
                      <w:szCs w:val="21"/>
                      <w:highlight w:val="none"/>
                      <w:lang w:val="en-US" w:eastAsia="zh-CN"/>
                    </w:rPr>
                    <w:t xml:space="preserve">ABS塑料是丙烯腈(A)、丁二烯(B)、苯乙烯(S)三种单体的三元共聚物，三种单体相对含量可任意变化，制成各种树脂。ABS 塑料兼有三种组元的共同性能，A使其耐化学腐蚀、耐热，并有一定的表面硬度，B使其具有高弹性和韧性，S使其具有热塑性塑料的加工成型特性并改善电性能。因此 ABS 塑料是一种原料易得、综合性能良好、价格便宜、用途广泛的“坚韧、质硬、刚性”材料。ABS 塑料在机械、电气、纺织、汽车、飞机、轮船等制造工业及化工中获得了广泛的应用，熔点为160℃，热分解温度大于270℃。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3</w:t>
                  </w:r>
                </w:p>
              </w:tc>
              <w:tc>
                <w:tcPr>
                  <w:tcW w:w="55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水性</w:t>
                  </w:r>
                  <w:r>
                    <w:rPr>
                      <w:rFonts w:hint="eastAsia" w:ascii="Times New Roman" w:hAnsi="Times New Roman" w:eastAsia="宋体" w:cs="Times New Roman"/>
                      <w:color w:val="auto"/>
                      <w:sz w:val="21"/>
                      <w:szCs w:val="21"/>
                    </w:rPr>
                    <w:t>油墨</w:t>
                  </w: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04" w:firstLineChars="200"/>
                    <w:textAlignment w:val="auto"/>
                    <w:rPr>
                      <w:rFonts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4"/>
                      <w:sz w:val="21"/>
                      <w:szCs w:val="21"/>
                      <w:highlight w:val="none"/>
                      <w:lang w:val="en-US" w:eastAsia="zh-CN"/>
                    </w:rPr>
                    <w:t>根据水性油墨</w:t>
                  </w:r>
                  <w:r>
                    <w:rPr>
                      <w:rFonts w:hint="eastAsia" w:ascii="Times New Roman" w:hAnsi="Times New Roman" w:eastAsia="宋体" w:cs="Times New Roman"/>
                      <w:color w:val="auto"/>
                      <w:spacing w:val="-4"/>
                      <w:sz w:val="21"/>
                      <w:szCs w:val="21"/>
                      <w:highlight w:val="none"/>
                    </w:rPr>
                    <w:t>MSDS可知</w:t>
                  </w:r>
                  <w:r>
                    <w:rPr>
                      <w:rFonts w:hint="eastAsia" w:ascii="Times New Roman" w:hAnsi="Times New Roman" w:eastAsia="宋体" w:cs="Times New Roman"/>
                      <w:color w:val="auto"/>
                      <w:sz w:val="21"/>
                      <w:szCs w:val="21"/>
                      <w:highlight w:val="none"/>
                    </w:rPr>
                    <w:t>（见附件</w:t>
                  </w:r>
                  <w:r>
                    <w:rPr>
                      <w:rFonts w:hint="eastAsia" w:cs="Times New Roman"/>
                      <w:color w:val="auto"/>
                      <w:sz w:val="21"/>
                      <w:szCs w:val="21"/>
                      <w:highlight w:val="none"/>
                      <w:lang w:val="en-US" w:eastAsia="zh-CN"/>
                    </w:rPr>
                    <w:t>11</w:t>
                  </w:r>
                  <w:r>
                    <w:rPr>
                      <w:rFonts w:hint="eastAsia"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pacing w:val="-4"/>
                      <w:sz w:val="21"/>
                      <w:szCs w:val="21"/>
                      <w:highlight w:val="none"/>
                    </w:rPr>
                    <w:t>，</w:t>
                  </w:r>
                  <w:r>
                    <w:rPr>
                      <w:rFonts w:hint="eastAsia"/>
                      <w:b w:val="0"/>
                      <w:bCs/>
                      <w:color w:val="auto"/>
                      <w:sz w:val="21"/>
                      <w:szCs w:val="21"/>
                      <w:highlight w:val="none"/>
                      <w:lang w:val="en-US" w:eastAsia="zh-CN"/>
                    </w:rPr>
                    <w:t>主要成分为颜料</w:t>
                  </w:r>
                  <w:r>
                    <w:rPr>
                      <w:rFonts w:hint="eastAsia"/>
                      <w:b/>
                      <w:bCs w:val="0"/>
                      <w:color w:val="auto"/>
                      <w:sz w:val="21"/>
                      <w:szCs w:val="21"/>
                      <w:highlight w:val="none"/>
                      <w:lang w:val="en-US" w:eastAsia="zh-CN"/>
                    </w:rPr>
                    <w:t>10</w:t>
                  </w:r>
                  <w:r>
                    <w:rPr>
                      <w:rFonts w:hint="eastAsia"/>
                      <w:b w:val="0"/>
                      <w:bCs/>
                      <w:color w:val="auto"/>
                      <w:sz w:val="21"/>
                      <w:szCs w:val="21"/>
                      <w:highlight w:val="none"/>
                      <w:lang w:val="en-US" w:eastAsia="zh-CN"/>
                    </w:rPr>
                    <w:t>-15%、水性丙烯酸树脂20-</w:t>
                  </w:r>
                  <w:r>
                    <w:rPr>
                      <w:rFonts w:hint="eastAsia"/>
                      <w:b/>
                      <w:bCs w:val="0"/>
                      <w:color w:val="auto"/>
                      <w:sz w:val="21"/>
                      <w:szCs w:val="21"/>
                      <w:highlight w:val="none"/>
                      <w:lang w:val="en-US" w:eastAsia="zh-CN"/>
                    </w:rPr>
                    <w:t>25%</w:t>
                  </w:r>
                  <w:r>
                    <w:rPr>
                      <w:rFonts w:hint="eastAsia"/>
                      <w:b w:val="0"/>
                      <w:bCs/>
                      <w:color w:val="auto"/>
                      <w:sz w:val="21"/>
                      <w:szCs w:val="21"/>
                      <w:highlight w:val="none"/>
                      <w:lang w:val="en-US" w:eastAsia="zh-CN"/>
                    </w:rPr>
                    <w:t>、水性丙烯酸乳液35-</w:t>
                  </w:r>
                  <w:r>
                    <w:rPr>
                      <w:rFonts w:hint="eastAsia"/>
                      <w:b/>
                      <w:bCs w:val="0"/>
                      <w:color w:val="auto"/>
                      <w:sz w:val="21"/>
                      <w:szCs w:val="21"/>
                      <w:highlight w:val="none"/>
                      <w:lang w:val="en-US" w:eastAsia="zh-CN"/>
                    </w:rPr>
                    <w:t>40%</w:t>
                  </w:r>
                  <w:r>
                    <w:rPr>
                      <w:rFonts w:hint="eastAsia"/>
                      <w:b w:val="0"/>
                      <w:bCs/>
                      <w:color w:val="auto"/>
                      <w:sz w:val="21"/>
                      <w:szCs w:val="21"/>
                      <w:highlight w:val="none"/>
                      <w:lang w:val="en-US" w:eastAsia="zh-CN"/>
                    </w:rPr>
                    <w:t>、水5-</w:t>
                  </w:r>
                  <w:r>
                    <w:rPr>
                      <w:rFonts w:hint="eastAsia"/>
                      <w:b/>
                      <w:bCs w:val="0"/>
                      <w:color w:val="auto"/>
                      <w:sz w:val="21"/>
                      <w:szCs w:val="21"/>
                      <w:highlight w:val="none"/>
                      <w:lang w:val="en-US" w:eastAsia="zh-CN"/>
                    </w:rPr>
                    <w:t>10%</w:t>
                  </w:r>
                  <w:r>
                    <w:rPr>
                      <w:rFonts w:hint="eastAsia"/>
                      <w:b w:val="0"/>
                      <w:bCs/>
                      <w:color w:val="auto"/>
                      <w:sz w:val="21"/>
                      <w:szCs w:val="21"/>
                      <w:highlight w:val="none"/>
                      <w:lang w:val="en-US" w:eastAsia="zh-CN"/>
                    </w:rPr>
                    <w:t>、消泡剂3-</w:t>
                  </w:r>
                  <w:r>
                    <w:rPr>
                      <w:rFonts w:hint="eastAsia"/>
                      <w:b/>
                      <w:bCs w:val="0"/>
                      <w:color w:val="auto"/>
                      <w:sz w:val="21"/>
                      <w:szCs w:val="21"/>
                      <w:highlight w:val="none"/>
                      <w:lang w:val="en-US" w:eastAsia="zh-CN"/>
                    </w:rPr>
                    <w:t>5%</w:t>
                  </w:r>
                  <w:r>
                    <w:rPr>
                      <w:rFonts w:hint="eastAsia"/>
                      <w:b w:val="0"/>
                      <w:bCs/>
                      <w:color w:val="auto"/>
                      <w:sz w:val="21"/>
                      <w:szCs w:val="21"/>
                      <w:highlight w:val="none"/>
                      <w:lang w:val="en-US" w:eastAsia="zh-CN"/>
                    </w:rPr>
                    <w:t>、醇醚类溶剂5-</w:t>
                  </w:r>
                  <w:r>
                    <w:rPr>
                      <w:rFonts w:hint="eastAsia"/>
                      <w:b/>
                      <w:bCs w:val="0"/>
                      <w:color w:val="auto"/>
                      <w:sz w:val="21"/>
                      <w:szCs w:val="21"/>
                      <w:highlight w:val="none"/>
                      <w:lang w:val="en-US" w:eastAsia="zh-CN"/>
                    </w:rPr>
                    <w:t>10%</w:t>
                  </w:r>
                  <w:r>
                    <w:rPr>
                      <w:rFonts w:hint="eastAsia"/>
                      <w:b w:val="0"/>
                      <w:bCs/>
                      <w:color w:val="auto"/>
                      <w:sz w:val="21"/>
                      <w:szCs w:val="21"/>
                      <w:highlight w:val="none"/>
                      <w:lang w:val="en-US" w:eastAsia="zh-CN"/>
                    </w:rPr>
                    <w:t>。</w:t>
                  </w:r>
                  <w:r>
                    <w:rPr>
                      <w:rFonts w:hint="eastAsia" w:ascii="Times New Roman" w:hAnsi="Times New Roman" w:eastAsia="宋体" w:cs="Times New Roman"/>
                      <w:color w:val="auto"/>
                      <w:sz w:val="21"/>
                      <w:szCs w:val="21"/>
                      <w:highlight w:val="none"/>
                    </w:rPr>
                    <w:t>外观为</w:t>
                  </w:r>
                  <w:r>
                    <w:rPr>
                      <w:rFonts w:hint="eastAsia" w:ascii="Times New Roman" w:hAnsi="Times New Roman" w:eastAsia="宋体" w:cs="Times New Roman"/>
                      <w:color w:val="auto"/>
                      <w:sz w:val="21"/>
                      <w:szCs w:val="21"/>
                      <w:highlight w:val="none"/>
                      <w:lang w:val="en-US" w:eastAsia="zh-CN"/>
                    </w:rPr>
                    <w:t>油状</w:t>
                  </w:r>
                  <w:r>
                    <w:rPr>
                      <w:rFonts w:hint="eastAsia" w:ascii="Times New Roman" w:hAnsi="Times New Roman" w:eastAsia="宋体" w:cs="Times New Roman"/>
                      <w:color w:val="auto"/>
                      <w:sz w:val="21"/>
                      <w:szCs w:val="21"/>
                      <w:highlight w:val="none"/>
                    </w:rPr>
                    <w:t>液体</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略带</w:t>
                  </w:r>
                  <w:r>
                    <w:rPr>
                      <w:rFonts w:hint="eastAsia" w:cs="Times New Roman"/>
                      <w:color w:val="auto"/>
                      <w:sz w:val="21"/>
                      <w:szCs w:val="21"/>
                      <w:highlight w:val="none"/>
                      <w:lang w:val="en-US" w:eastAsia="zh-CN"/>
                    </w:rPr>
                    <w:t>刺激性</w:t>
                  </w:r>
                  <w:r>
                    <w:rPr>
                      <w:rFonts w:hint="eastAsia" w:ascii="Times New Roman" w:hAnsi="Times New Roman" w:eastAsia="宋体" w:cs="Times New Roman"/>
                      <w:color w:val="auto"/>
                      <w:sz w:val="21"/>
                      <w:szCs w:val="21"/>
                      <w:highlight w:val="none"/>
                      <w:lang w:val="en-US" w:eastAsia="zh-CN"/>
                    </w:rPr>
                    <w:t>气味</w:t>
                  </w:r>
                  <w:r>
                    <w:rPr>
                      <w:rFonts w:hint="eastAsia" w:cs="Times New Roman"/>
                      <w:color w:val="auto"/>
                      <w:sz w:val="21"/>
                      <w:szCs w:val="21"/>
                      <w:highlight w:val="none"/>
                      <w:lang w:val="en-US" w:eastAsia="zh-CN"/>
                    </w:rPr>
                    <w:t>，密度为</w:t>
                  </w:r>
                  <w:r>
                    <w:rPr>
                      <w:rFonts w:hint="eastAsia" w:ascii="Times New Roman" w:hAnsi="Times New Roman" w:eastAsia="宋体" w:cs="Times New Roman"/>
                      <w:color w:val="auto"/>
                      <w:sz w:val="21"/>
                      <w:szCs w:val="21"/>
                      <w:lang w:val="en-US" w:eastAsia="zh-CN"/>
                    </w:rPr>
                    <w:t>1</w:t>
                  </w:r>
                  <w:r>
                    <w:rPr>
                      <w:rFonts w:hint="eastAsia" w:cs="Times New Roman"/>
                      <w:color w:val="auto"/>
                      <w:sz w:val="21"/>
                      <w:szCs w:val="21"/>
                      <w:lang w:val="en-US" w:eastAsia="zh-CN"/>
                    </w:rPr>
                    <w:t>.3</w:t>
                  </w:r>
                  <w:r>
                    <w:rPr>
                      <w:rFonts w:hint="eastAsia" w:ascii="Times New Roman" w:hAnsi="Times New Roman" w:eastAsia="宋体" w:cs="Times New Roman"/>
                      <w:color w:val="auto"/>
                      <w:sz w:val="21"/>
                      <w:szCs w:val="21"/>
                    </w:rPr>
                    <w:t>g/cm</w:t>
                  </w:r>
                  <w:r>
                    <w:rPr>
                      <w:rFonts w:hint="eastAsia" w:ascii="Times New Roman" w:hAnsi="Times New Roman" w:eastAsia="宋体" w:cs="Times New Roman"/>
                      <w:color w:val="auto"/>
                      <w:sz w:val="21"/>
                      <w:szCs w:val="21"/>
                      <w:vertAlign w:val="superscript"/>
                    </w:rPr>
                    <w:t>3</w:t>
                  </w:r>
                  <w:r>
                    <w:rPr>
                      <w:rFonts w:hint="eastAsia"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rPr>
                  </w:pPr>
                </w:p>
              </w:tc>
              <w:tc>
                <w:tcPr>
                  <w:tcW w:w="55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lang w:val="en-US" w:eastAsia="zh-CN"/>
                    </w:rPr>
                  </w:pP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2"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根据关于印发《浙江省工业涂装工序挥发性有机物排放量计算暂行方法》的通知（浙环发〔2017〕30号）：水性涂料含水性丙烯酸乳液（树脂）或其他水性乳液（树脂）时，游离单体按实测挥发比例计入VOCs，无实测数据时按水性乳液（树脂）质量的2%计，</w:t>
                  </w:r>
                  <w:r>
                    <w:rPr>
                      <w:rFonts w:hint="eastAsia" w:cs="Times New Roman"/>
                      <w:color w:val="auto"/>
                      <w:sz w:val="21"/>
                      <w:szCs w:val="21"/>
                      <w:highlight w:val="none"/>
                      <w:lang w:val="en-US" w:eastAsia="zh-CN"/>
                    </w:rPr>
                    <w:t>本项目油墨中</w:t>
                  </w:r>
                  <w:r>
                    <w:rPr>
                      <w:rFonts w:hint="eastAsia"/>
                      <w:b w:val="0"/>
                      <w:bCs/>
                      <w:color w:val="auto"/>
                      <w:sz w:val="21"/>
                      <w:szCs w:val="21"/>
                      <w:highlight w:val="none"/>
                      <w:lang w:val="en-US" w:eastAsia="zh-CN"/>
                    </w:rPr>
                    <w:t>水性丙烯酸树脂</w:t>
                  </w:r>
                  <w:r>
                    <w:rPr>
                      <w:rFonts w:hint="eastAsia" w:cs="Times New Roman"/>
                      <w:color w:val="auto"/>
                      <w:sz w:val="21"/>
                      <w:szCs w:val="21"/>
                      <w:highlight w:val="none"/>
                      <w:lang w:val="en-US" w:eastAsia="zh-CN"/>
                    </w:rPr>
                    <w:t>及乳液的总占比为25%+40%=65%，醇醚类溶剂为10%，</w:t>
                  </w:r>
                  <w:r>
                    <w:rPr>
                      <w:rFonts w:hint="eastAsia" w:ascii="Times New Roman" w:hAnsi="Times New Roman" w:eastAsia="宋体" w:cs="Times New Roman"/>
                      <w:color w:val="auto"/>
                      <w:sz w:val="21"/>
                      <w:szCs w:val="21"/>
                      <w:highlight w:val="none"/>
                      <w:lang w:val="en-US" w:eastAsia="zh-CN"/>
                    </w:rPr>
                    <w:t>水性</w:t>
                  </w:r>
                  <w:r>
                    <w:rPr>
                      <w:rFonts w:hint="eastAsia"/>
                      <w:b w:val="0"/>
                      <w:bCs/>
                      <w:color w:val="auto"/>
                      <w:sz w:val="21"/>
                      <w:szCs w:val="21"/>
                      <w:highlight w:val="none"/>
                      <w:lang w:val="en-US" w:eastAsia="zh-CN"/>
                    </w:rPr>
                    <w:t>油墨挥发分=65%×2%+</w:t>
                  </w:r>
                  <w:r>
                    <w:rPr>
                      <w:rFonts w:hint="eastAsia" w:cs="Times New Roman"/>
                      <w:color w:val="auto"/>
                      <w:sz w:val="21"/>
                      <w:szCs w:val="21"/>
                      <w:highlight w:val="none"/>
                      <w:lang w:val="en-US" w:eastAsia="zh-CN"/>
                    </w:rPr>
                    <w:t>10</w:t>
                  </w:r>
                  <w:r>
                    <w:rPr>
                      <w:rFonts w:hint="eastAsia"/>
                      <w:b w:val="0"/>
                      <w:bCs/>
                      <w:color w:val="auto"/>
                      <w:sz w:val="21"/>
                      <w:szCs w:val="21"/>
                      <w:highlight w:val="none"/>
                      <w:lang w:val="en-US" w:eastAsia="zh-CN"/>
                    </w:rPr>
                    <w:t>%=11.3%，满足</w:t>
                  </w:r>
                  <w:r>
                    <w:rPr>
                      <w:rFonts w:hint="eastAsia"/>
                      <w:color w:val="auto"/>
                      <w:sz w:val="21"/>
                      <w:szCs w:val="21"/>
                      <w:highlight w:val="none"/>
                    </w:rPr>
                    <w:t>《油墨中可挥发性有机化合物（VOCs）含量的限值》（GB 38507-2020）表1油墨中可挥发性有机化合物含量的限值“</w:t>
                  </w:r>
                  <w:r>
                    <w:rPr>
                      <w:rFonts w:hint="eastAsia"/>
                      <w:b w:val="0"/>
                      <w:bCs/>
                      <w:color w:val="auto"/>
                      <w:sz w:val="21"/>
                      <w:szCs w:val="21"/>
                      <w:highlight w:val="none"/>
                      <w:lang w:val="en-US" w:eastAsia="zh-CN"/>
                    </w:rPr>
                    <w:t>水性油墨--网印油墨</w:t>
                  </w:r>
                  <w:r>
                    <w:rPr>
                      <w:rFonts w:hint="eastAsia"/>
                      <w:color w:val="auto"/>
                      <w:sz w:val="21"/>
                      <w:szCs w:val="21"/>
                      <w:highlight w:val="none"/>
                    </w:rPr>
                    <w:t>≤30%”</w:t>
                  </w:r>
                  <w:r>
                    <w:rPr>
                      <w:rFonts w:hint="eastAsia"/>
                      <w:color w:val="auto"/>
                      <w:sz w:val="21"/>
                      <w:szCs w:val="21"/>
                      <w:highlight w:val="none"/>
                      <w:lang w:eastAsia="zh-CN"/>
                    </w:rPr>
                    <w:t>的</w:t>
                  </w:r>
                  <w:r>
                    <w:rPr>
                      <w:rFonts w:hint="eastAsia"/>
                      <w:color w:val="auto"/>
                      <w:sz w:val="21"/>
                      <w:szCs w:val="21"/>
                      <w:highlight w:val="none"/>
                      <w:lang w:val="en-US" w:eastAsia="zh-CN"/>
                    </w:rPr>
                    <w:t>要求</w:t>
                  </w:r>
                  <w:r>
                    <w:rPr>
                      <w:rFonts w:hint="eastAsia"/>
                      <w:color w:val="auto"/>
                      <w:sz w:val="21"/>
                      <w:szCs w:val="21"/>
                      <w:highlight w:val="none"/>
                    </w:rPr>
                    <w:t>，</w:t>
                  </w:r>
                  <w:r>
                    <w:rPr>
                      <w:rFonts w:hint="eastAsia"/>
                      <w:color w:val="auto"/>
                      <w:sz w:val="21"/>
                      <w:szCs w:val="21"/>
                      <w:highlight w:val="none"/>
                      <w:lang w:val="en-US" w:eastAsia="zh-CN"/>
                    </w:rPr>
                    <w:t>本</w:t>
                  </w:r>
                  <w:r>
                    <w:rPr>
                      <w:rFonts w:hint="eastAsia"/>
                      <w:color w:val="auto"/>
                      <w:sz w:val="21"/>
                      <w:szCs w:val="21"/>
                      <w:highlight w:val="none"/>
                    </w:rPr>
                    <w:t>项目</w:t>
                  </w:r>
                  <w:r>
                    <w:rPr>
                      <w:rFonts w:hint="eastAsia"/>
                      <w:color w:val="auto"/>
                      <w:sz w:val="21"/>
                      <w:szCs w:val="21"/>
                      <w:highlight w:val="none"/>
                      <w:lang w:val="en-US" w:eastAsia="zh-CN"/>
                    </w:rPr>
                    <w:t>使用的油墨满足低挥发要求</w:t>
                  </w: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4</w:t>
                  </w:r>
                </w:p>
              </w:tc>
              <w:tc>
                <w:tcPr>
                  <w:tcW w:w="55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highlight w:val="none"/>
                      <w:u w:val="none"/>
                    </w:rPr>
                    <w:t>水性漆</w:t>
                  </w: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rPr>
                    <w:t>根据</w:t>
                  </w:r>
                  <w:r>
                    <w:rPr>
                      <w:rFonts w:hint="eastAsia" w:ascii="Times New Roman" w:hAnsi="Times New Roman" w:eastAsia="宋体" w:cs="Times New Roman"/>
                      <w:color w:val="auto"/>
                      <w:sz w:val="21"/>
                      <w:szCs w:val="21"/>
                      <w:highlight w:val="none"/>
                      <w:u w:val="none"/>
                    </w:rPr>
                    <w:t>水性漆</w:t>
                  </w:r>
                  <w:r>
                    <w:rPr>
                      <w:rFonts w:hint="eastAsia" w:ascii="Times New Roman" w:hAnsi="Times New Roman" w:eastAsia="宋体" w:cs="Times New Roman"/>
                      <w:color w:val="auto"/>
                      <w:sz w:val="21"/>
                      <w:szCs w:val="21"/>
                      <w:u w:val="none"/>
                    </w:rPr>
                    <w:t>MSDS可知（见附件</w:t>
                  </w:r>
                  <w:r>
                    <w:rPr>
                      <w:rFonts w:hint="eastAsia" w:cs="Times New Roman"/>
                      <w:color w:val="auto"/>
                      <w:sz w:val="21"/>
                      <w:szCs w:val="21"/>
                      <w:u w:val="none"/>
                      <w:lang w:val="en-US" w:eastAsia="zh-CN"/>
                    </w:rPr>
                    <w:t>10</w:t>
                  </w:r>
                  <w:r>
                    <w:rPr>
                      <w:rFonts w:hint="eastAsia" w:ascii="Times New Roman" w:hAnsi="Times New Roman" w:eastAsia="宋体" w:cs="Times New Roman"/>
                      <w:color w:val="auto"/>
                      <w:sz w:val="21"/>
                      <w:szCs w:val="21"/>
                      <w:u w:val="none"/>
                    </w:rPr>
                    <w:t>），</w:t>
                  </w:r>
                  <w:r>
                    <w:rPr>
                      <w:rFonts w:hint="eastAsia" w:ascii="Times New Roman" w:hAnsi="Times New Roman" w:eastAsia="宋体" w:cs="Times New Roman"/>
                      <w:color w:val="auto"/>
                      <w:sz w:val="21"/>
                      <w:szCs w:val="21"/>
                      <w:u w:val="none"/>
                      <w:lang w:val="en-US" w:eastAsia="zh-CN"/>
                    </w:rPr>
                    <w:t>主要成分有</w:t>
                  </w:r>
                  <w:r>
                    <w:rPr>
                      <w:rFonts w:hint="eastAsia" w:cs="Times New Roman"/>
                      <w:color w:val="auto"/>
                      <w:sz w:val="21"/>
                      <w:szCs w:val="21"/>
                      <w:u w:val="none"/>
                      <w:lang w:val="en-US" w:eastAsia="zh-CN"/>
                    </w:rPr>
                    <w:t>丙烯酸类共聚物乳液40-</w:t>
                  </w:r>
                  <w:r>
                    <w:rPr>
                      <w:rFonts w:hint="eastAsia" w:cs="Times New Roman"/>
                      <w:b/>
                      <w:bCs/>
                      <w:color w:val="auto"/>
                      <w:sz w:val="21"/>
                      <w:szCs w:val="21"/>
                      <w:u w:val="none"/>
                      <w:lang w:val="en-US" w:eastAsia="zh-CN"/>
                    </w:rPr>
                    <w:t>55</w:t>
                  </w:r>
                  <w:r>
                    <w:rPr>
                      <w:rFonts w:hint="eastAsia" w:cs="Times New Roman"/>
                      <w:color w:val="auto"/>
                      <w:sz w:val="21"/>
                      <w:szCs w:val="21"/>
                      <w:u w:val="none"/>
                      <w:lang w:val="en-US" w:eastAsia="zh-CN"/>
                    </w:rPr>
                    <w:t>%、颜料10-</w:t>
                  </w:r>
                  <w:r>
                    <w:rPr>
                      <w:rFonts w:hint="eastAsia" w:cs="Times New Roman"/>
                      <w:b/>
                      <w:bCs/>
                      <w:color w:val="auto"/>
                      <w:sz w:val="21"/>
                      <w:szCs w:val="21"/>
                      <w:u w:val="none"/>
                      <w:lang w:val="en-US" w:eastAsia="zh-CN"/>
                    </w:rPr>
                    <w:t>20</w:t>
                  </w:r>
                  <w:r>
                    <w:rPr>
                      <w:rFonts w:hint="eastAsia" w:cs="Times New Roman"/>
                      <w:color w:val="auto"/>
                      <w:sz w:val="21"/>
                      <w:szCs w:val="21"/>
                      <w:u w:val="none"/>
                      <w:lang w:val="en-US" w:eastAsia="zh-CN"/>
                    </w:rPr>
                    <w:t>%、表面活性剂5-</w:t>
                  </w:r>
                  <w:r>
                    <w:rPr>
                      <w:rFonts w:hint="eastAsia" w:cs="Times New Roman"/>
                      <w:b/>
                      <w:bCs/>
                      <w:color w:val="auto"/>
                      <w:sz w:val="21"/>
                      <w:szCs w:val="21"/>
                      <w:u w:val="none"/>
                      <w:lang w:val="en-US" w:eastAsia="zh-CN"/>
                    </w:rPr>
                    <w:t>10</w:t>
                  </w:r>
                  <w:r>
                    <w:rPr>
                      <w:rFonts w:hint="eastAsia" w:cs="Times New Roman"/>
                      <w:color w:val="auto"/>
                      <w:sz w:val="21"/>
                      <w:szCs w:val="21"/>
                      <w:u w:val="none"/>
                      <w:lang w:val="en-US" w:eastAsia="zh-CN"/>
                    </w:rPr>
                    <w:t>%、水10-</w:t>
                  </w:r>
                  <w:r>
                    <w:rPr>
                      <w:rFonts w:hint="eastAsia" w:cs="Times New Roman"/>
                      <w:b/>
                      <w:bCs/>
                      <w:color w:val="auto"/>
                      <w:sz w:val="21"/>
                      <w:szCs w:val="21"/>
                      <w:u w:val="none"/>
                      <w:lang w:val="en-US" w:eastAsia="zh-CN"/>
                    </w:rPr>
                    <w:t>15</w:t>
                  </w:r>
                  <w:r>
                    <w:rPr>
                      <w:rFonts w:hint="eastAsia" w:cs="Times New Roman"/>
                      <w:color w:val="auto"/>
                      <w:sz w:val="21"/>
                      <w:szCs w:val="21"/>
                      <w:u w:val="none"/>
                      <w:lang w:val="en-US" w:eastAsia="zh-CN"/>
                    </w:rPr>
                    <w:t>%。</w:t>
                  </w:r>
                  <w:r>
                    <w:rPr>
                      <w:rFonts w:hint="eastAsia" w:ascii="Times New Roman" w:hAnsi="Times New Roman" w:eastAsia="宋体" w:cs="Times New Roman"/>
                      <w:color w:val="auto"/>
                      <w:sz w:val="21"/>
                      <w:szCs w:val="21"/>
                      <w:u w:val="none"/>
                    </w:rPr>
                    <w:t>水性漆外观为</w:t>
                  </w:r>
                  <w:r>
                    <w:rPr>
                      <w:rFonts w:hint="eastAsia" w:cs="Times New Roman"/>
                      <w:color w:val="auto"/>
                      <w:sz w:val="21"/>
                      <w:szCs w:val="21"/>
                      <w:u w:val="none"/>
                      <w:lang w:val="en-US" w:eastAsia="zh-CN"/>
                    </w:rPr>
                    <w:t>黑色</w:t>
                  </w:r>
                  <w:r>
                    <w:rPr>
                      <w:rFonts w:hint="eastAsia" w:ascii="Times New Roman" w:hAnsi="Times New Roman" w:eastAsia="宋体" w:cs="Times New Roman"/>
                      <w:color w:val="auto"/>
                      <w:sz w:val="21"/>
                      <w:szCs w:val="21"/>
                      <w:u w:val="none"/>
                    </w:rPr>
                    <w:t>，物理状态为</w:t>
                  </w:r>
                  <w:r>
                    <w:rPr>
                      <w:rFonts w:hint="eastAsia" w:ascii="Times New Roman" w:hAnsi="Times New Roman" w:eastAsia="宋体" w:cs="Times New Roman"/>
                      <w:color w:val="auto"/>
                      <w:sz w:val="21"/>
                      <w:szCs w:val="21"/>
                      <w:u w:val="none"/>
                      <w:lang w:val="en-US" w:eastAsia="zh-CN"/>
                    </w:rPr>
                    <w:t>粘稠状</w:t>
                  </w:r>
                  <w:r>
                    <w:rPr>
                      <w:rFonts w:hint="eastAsia" w:ascii="Times New Roman" w:hAnsi="Times New Roman" w:eastAsia="宋体" w:cs="Times New Roman"/>
                      <w:color w:val="auto"/>
                      <w:sz w:val="21"/>
                      <w:szCs w:val="21"/>
                      <w:u w:val="none"/>
                    </w:rPr>
                    <w:t>液体，水溶性为可溶解</w:t>
                  </w:r>
                  <w:r>
                    <w:rPr>
                      <w:rFonts w:hint="eastAsia" w:ascii="Times New Roman" w:hAnsi="Times New Roman" w:eastAsia="宋体" w:cs="Times New Roman"/>
                      <w:color w:val="auto"/>
                      <w:sz w:val="21"/>
                      <w:szCs w:val="21"/>
                      <w:u w:val="none"/>
                      <w:lang w:eastAsia="zh-CN"/>
                    </w:rPr>
                    <w:t>，</w:t>
                  </w:r>
                  <w:r>
                    <w:rPr>
                      <w:rFonts w:hint="eastAsia" w:ascii="Times New Roman" w:hAnsi="Times New Roman" w:eastAsia="宋体" w:cs="Times New Roman"/>
                      <w:color w:val="auto"/>
                      <w:sz w:val="21"/>
                      <w:szCs w:val="21"/>
                      <w:u w:val="none"/>
                      <w:lang w:val="en-US" w:eastAsia="zh-CN"/>
                    </w:rPr>
                    <w:t>相对密度（水=1）=1</w:t>
                  </w:r>
                  <w:r>
                    <w:rPr>
                      <w:rFonts w:hint="eastAsia" w:cs="Times New Roman"/>
                      <w:color w:val="auto"/>
                      <w:sz w:val="21"/>
                      <w:szCs w:val="21"/>
                      <w:u w:val="none"/>
                      <w:lang w:val="en-US" w:eastAsia="zh-CN"/>
                    </w:rPr>
                    <w:t>.03</w:t>
                  </w:r>
                  <w:r>
                    <w:rPr>
                      <w:rFonts w:hint="eastAsia" w:ascii="Times New Roman" w:hAnsi="Times New Roman" w:eastAsia="宋体" w:cs="Times New Roman"/>
                      <w:color w:val="auto"/>
                      <w:sz w:val="21"/>
                      <w:szCs w:val="21"/>
                      <w:u w:val="none"/>
                    </w:rPr>
                    <w:t>g/cm</w:t>
                  </w:r>
                  <w:r>
                    <w:rPr>
                      <w:rFonts w:hint="eastAsia" w:ascii="Times New Roman" w:hAnsi="Times New Roman" w:eastAsia="宋体" w:cs="Times New Roman"/>
                      <w:color w:val="auto"/>
                      <w:sz w:val="21"/>
                      <w:szCs w:val="21"/>
                      <w:u w:val="none"/>
                      <w:vertAlign w:val="superscript"/>
                    </w:rPr>
                    <w:t>3</w:t>
                  </w:r>
                  <w:r>
                    <w:rPr>
                      <w:rFonts w:hint="eastAsia" w:cs="Times New Roman"/>
                      <w:color w:val="auto"/>
                      <w:sz w:val="21"/>
                      <w:szCs w:val="21"/>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rPr>
                  </w:pPr>
                </w:p>
              </w:tc>
              <w:tc>
                <w:tcPr>
                  <w:tcW w:w="55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highlight w:val="none"/>
                      <w:u w:val="none"/>
                    </w:rPr>
                  </w:pP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b/>
                      <w:bCs/>
                      <w:color w:val="auto"/>
                      <w:sz w:val="21"/>
                      <w:szCs w:val="21"/>
                      <w:highlight w:val="none"/>
                      <w:u w:val="none"/>
                      <w:lang w:val="en-US" w:eastAsia="zh-CN"/>
                    </w:rPr>
                    <w:t>根据关于印发《浙江省工业涂装工序挥发性有机物排放量计算暂行方法》的通知（浙环发〔2017〕30号）：水性涂料含水性丙烯酸乳液（树脂）或其他水性乳液（树脂）时，游离单体按实测挥发比例计入VOCs，无实测数据时按水性乳液（树脂）质量的2%计，</w:t>
                  </w:r>
                  <w:r>
                    <w:rPr>
                      <w:rFonts w:hint="eastAsia" w:ascii="Times New Roman" w:hAnsi="Times New Roman" w:eastAsia="宋体" w:cs="Times New Roman"/>
                      <w:b w:val="0"/>
                      <w:bCs w:val="0"/>
                      <w:color w:val="auto"/>
                      <w:sz w:val="21"/>
                      <w:szCs w:val="21"/>
                      <w:highlight w:val="none"/>
                      <w:u w:val="none"/>
                      <w:lang w:val="en-US" w:eastAsia="zh-CN"/>
                    </w:rPr>
                    <w:t>本项目水性漆中</w:t>
                  </w:r>
                  <w:r>
                    <w:rPr>
                      <w:rFonts w:hint="eastAsia" w:cs="Times New Roman"/>
                      <w:color w:val="auto"/>
                      <w:sz w:val="21"/>
                      <w:szCs w:val="21"/>
                      <w:u w:val="none"/>
                      <w:lang w:val="en-US" w:eastAsia="zh-CN"/>
                    </w:rPr>
                    <w:t>丙烯酸类共聚物乳液</w:t>
                  </w:r>
                  <w:r>
                    <w:rPr>
                      <w:rFonts w:hint="eastAsia" w:ascii="Times New Roman" w:hAnsi="Times New Roman" w:eastAsia="宋体" w:cs="Times New Roman"/>
                      <w:b w:val="0"/>
                      <w:bCs w:val="0"/>
                      <w:color w:val="auto"/>
                      <w:sz w:val="21"/>
                      <w:szCs w:val="21"/>
                      <w:highlight w:val="none"/>
                      <w:u w:val="none"/>
                      <w:lang w:val="en-US" w:eastAsia="zh-CN"/>
                    </w:rPr>
                    <w:t>的占比按</w:t>
                  </w:r>
                  <w:r>
                    <w:rPr>
                      <w:rFonts w:hint="eastAsia" w:cs="Times New Roman"/>
                      <w:b w:val="0"/>
                      <w:bCs w:val="0"/>
                      <w:color w:val="auto"/>
                      <w:sz w:val="21"/>
                      <w:szCs w:val="21"/>
                      <w:highlight w:val="none"/>
                      <w:u w:val="none"/>
                      <w:lang w:val="en-US" w:eastAsia="zh-CN"/>
                    </w:rPr>
                    <w:t>55</w:t>
                  </w:r>
                  <w:r>
                    <w:rPr>
                      <w:rFonts w:hint="eastAsia" w:ascii="Times New Roman" w:hAnsi="Times New Roman" w:eastAsia="宋体" w:cs="Times New Roman"/>
                      <w:b w:val="0"/>
                      <w:bCs w:val="0"/>
                      <w:color w:val="auto"/>
                      <w:sz w:val="21"/>
                      <w:szCs w:val="21"/>
                      <w:highlight w:val="none"/>
                      <w:u w:val="none"/>
                      <w:lang w:val="en-US" w:eastAsia="zh-CN"/>
                    </w:rPr>
                    <w:t>%计，则水性漆挥发性分含量=（</w:t>
                  </w:r>
                  <w:r>
                    <w:rPr>
                      <w:rFonts w:hint="eastAsia" w:cs="Times New Roman"/>
                      <w:b w:val="0"/>
                      <w:bCs w:val="0"/>
                      <w:color w:val="auto"/>
                      <w:sz w:val="21"/>
                      <w:szCs w:val="21"/>
                      <w:highlight w:val="none"/>
                      <w:u w:val="none"/>
                      <w:lang w:val="en-US" w:eastAsia="zh-CN"/>
                    </w:rPr>
                    <w:t>5</w:t>
                  </w:r>
                  <w:r>
                    <w:rPr>
                      <w:rFonts w:hint="eastAsia" w:ascii="Times New Roman" w:hAnsi="Times New Roman" w:eastAsia="宋体" w:cs="Times New Roman"/>
                      <w:b w:val="0"/>
                      <w:bCs w:val="0"/>
                      <w:color w:val="auto"/>
                      <w:sz w:val="21"/>
                      <w:szCs w:val="21"/>
                      <w:highlight w:val="none"/>
                      <w:u w:val="none"/>
                      <w:lang w:val="en-US" w:eastAsia="zh-CN"/>
                    </w:rPr>
                    <w:t>5%</w:t>
                  </w:r>
                  <w:r>
                    <w:rPr>
                      <w:rFonts w:hint="eastAsia"/>
                      <w:b w:val="0"/>
                      <w:bCs/>
                      <w:color w:val="auto"/>
                      <w:sz w:val="21"/>
                      <w:szCs w:val="21"/>
                      <w:highlight w:val="none"/>
                      <w:u w:val="none"/>
                      <w:lang w:val="en-US" w:eastAsia="zh-CN"/>
                    </w:rPr>
                    <w:t>×2%</w:t>
                  </w:r>
                  <w:r>
                    <w:rPr>
                      <w:rFonts w:hint="eastAsia" w:ascii="Times New Roman" w:hAnsi="Times New Roman" w:eastAsia="宋体" w:cs="Times New Roman"/>
                      <w:b w:val="0"/>
                      <w:bCs w:val="0"/>
                      <w:color w:val="auto"/>
                      <w:sz w:val="21"/>
                      <w:szCs w:val="21"/>
                      <w:highlight w:val="none"/>
                      <w:u w:val="none"/>
                      <w:lang w:val="en-US" w:eastAsia="zh-CN"/>
                    </w:rPr>
                    <w:t>）×1030g/L（即密度</w:t>
                  </w:r>
                  <w:r>
                    <w:rPr>
                      <w:rFonts w:hint="eastAsia" w:ascii="Times New Roman" w:hAnsi="Times New Roman" w:eastAsia="宋体" w:cs="Times New Roman"/>
                      <w:b w:val="0"/>
                      <w:bCs w:val="0"/>
                      <w:color w:val="auto"/>
                      <w:sz w:val="21"/>
                      <w:szCs w:val="21"/>
                      <w:highlight w:val="none"/>
                      <w:u w:val="none"/>
                      <w:vertAlign w:val="baseline"/>
                      <w:lang w:val="en-US" w:eastAsia="zh-CN"/>
                    </w:rPr>
                    <w:t>1030</w:t>
                  </w:r>
                  <w:r>
                    <w:rPr>
                      <w:rFonts w:ascii="Times New Roman" w:hAnsi="Times New Roman" w:eastAsia="宋体" w:cs="Times New Roman"/>
                      <w:b w:val="0"/>
                      <w:bCs w:val="0"/>
                      <w:color w:val="auto"/>
                      <w:sz w:val="21"/>
                      <w:szCs w:val="21"/>
                      <w:highlight w:val="none"/>
                      <w:u w:val="none"/>
                    </w:rPr>
                    <w:t>kg/m</w:t>
                  </w:r>
                  <w:r>
                    <w:rPr>
                      <w:rFonts w:ascii="Times New Roman" w:hAnsi="Times New Roman" w:eastAsia="宋体" w:cs="Times New Roman"/>
                      <w:b w:val="0"/>
                      <w:bCs w:val="0"/>
                      <w:color w:val="auto"/>
                      <w:sz w:val="21"/>
                      <w:szCs w:val="21"/>
                      <w:highlight w:val="none"/>
                      <w:u w:val="none"/>
                      <w:vertAlign w:val="superscript"/>
                    </w:rPr>
                    <w:t>3</w:t>
                  </w:r>
                  <w:r>
                    <w:rPr>
                      <w:rFonts w:hint="eastAsia" w:ascii="Times New Roman" w:hAnsi="Times New Roman" w:eastAsia="宋体" w:cs="Times New Roman"/>
                      <w:b w:val="0"/>
                      <w:bCs w:val="0"/>
                      <w:color w:val="auto"/>
                      <w:sz w:val="21"/>
                      <w:szCs w:val="21"/>
                      <w:highlight w:val="none"/>
                      <w:u w:val="none"/>
                      <w:lang w:val="en-US" w:eastAsia="zh-CN"/>
                    </w:rPr>
                    <w:t>）</w:t>
                  </w:r>
                  <w:r>
                    <w:rPr>
                      <w:rFonts w:hint="eastAsia"/>
                      <w:b w:val="0"/>
                      <w:bCs/>
                      <w:color w:val="auto"/>
                      <w:sz w:val="21"/>
                      <w:szCs w:val="21"/>
                      <w:highlight w:val="none"/>
                      <w:u w:val="none"/>
                      <w:lang w:val="en-US" w:eastAsia="zh-CN"/>
                    </w:rPr>
                    <w:t>=11.33</w:t>
                  </w:r>
                  <w:r>
                    <w:rPr>
                      <w:rFonts w:hint="eastAsia" w:ascii="Times New Roman" w:hAnsi="Times New Roman" w:eastAsia="宋体" w:cs="Times New Roman"/>
                      <w:b w:val="0"/>
                      <w:bCs w:val="0"/>
                      <w:color w:val="auto"/>
                      <w:sz w:val="21"/>
                      <w:szCs w:val="21"/>
                      <w:highlight w:val="none"/>
                      <w:u w:val="none"/>
                      <w:vertAlign w:val="baseline"/>
                      <w:lang w:val="en-US" w:eastAsia="zh-CN"/>
                    </w:rPr>
                    <w:t>g/L</w:t>
                  </w:r>
                  <w:r>
                    <w:rPr>
                      <w:rFonts w:hint="eastAsia" w:ascii="Times New Roman" w:hAnsi="Times New Roman" w:eastAsia="宋体" w:cs="Times New Roman"/>
                      <w:b w:val="0"/>
                      <w:bCs w:val="0"/>
                      <w:color w:val="auto"/>
                      <w:sz w:val="21"/>
                      <w:szCs w:val="21"/>
                      <w:u w:val="none"/>
                      <w:lang w:eastAsia="zh-CN"/>
                    </w:rPr>
                    <w:t>，</w:t>
                  </w:r>
                  <w:r>
                    <w:rPr>
                      <w:rFonts w:hint="eastAsia" w:ascii="Times New Roman" w:hAnsi="Times New Roman" w:eastAsia="宋体" w:cs="Times New Roman"/>
                      <w:b w:val="0"/>
                      <w:bCs w:val="0"/>
                      <w:color w:val="auto"/>
                      <w:sz w:val="21"/>
                      <w:szCs w:val="21"/>
                      <w:u w:val="none"/>
                    </w:rPr>
                    <w:t>低于《低挥发性有机化合物含量涂料产品技术要求》（GB/T 38597-2020）中表1水性涂料中VOCs含量的要求-包装涂料-</w:t>
                  </w:r>
                  <w:r>
                    <w:rPr>
                      <w:rFonts w:hint="eastAsia" w:ascii="Times New Roman" w:hAnsi="Times New Roman" w:eastAsia="宋体" w:cs="Times New Roman"/>
                      <w:b w:val="0"/>
                      <w:bCs w:val="0"/>
                      <w:color w:val="auto"/>
                      <w:sz w:val="21"/>
                      <w:szCs w:val="21"/>
                      <w:u w:val="none"/>
                      <w:lang w:val="en-US" w:eastAsia="zh-CN"/>
                    </w:rPr>
                    <w:t>底</w:t>
                  </w:r>
                  <w:r>
                    <w:rPr>
                      <w:rFonts w:hint="eastAsia" w:ascii="Times New Roman" w:hAnsi="Times New Roman" w:eastAsia="宋体" w:cs="Times New Roman"/>
                      <w:b w:val="0"/>
                      <w:bCs w:val="0"/>
                      <w:color w:val="auto"/>
                      <w:sz w:val="21"/>
                      <w:szCs w:val="21"/>
                      <w:u w:val="none"/>
                    </w:rPr>
                    <w:t>漆（VOCs≤</w:t>
                  </w:r>
                  <w:r>
                    <w:rPr>
                      <w:rFonts w:hint="eastAsia" w:ascii="Times New Roman" w:hAnsi="Times New Roman" w:eastAsia="宋体" w:cs="Times New Roman"/>
                      <w:b w:val="0"/>
                      <w:bCs w:val="0"/>
                      <w:color w:val="auto"/>
                      <w:sz w:val="21"/>
                      <w:szCs w:val="21"/>
                      <w:u w:val="none"/>
                      <w:lang w:val="en-US" w:eastAsia="zh-CN"/>
                    </w:rPr>
                    <w:t>420</w:t>
                  </w:r>
                  <w:r>
                    <w:rPr>
                      <w:rFonts w:hint="eastAsia" w:ascii="Times New Roman" w:hAnsi="Times New Roman" w:eastAsia="宋体" w:cs="Times New Roman"/>
                      <w:b w:val="0"/>
                      <w:bCs w:val="0"/>
                      <w:color w:val="auto"/>
                      <w:sz w:val="21"/>
                      <w:szCs w:val="21"/>
                      <w:u w:val="none"/>
                    </w:rPr>
                    <w:t>g/L），因此，水性漆</w:t>
                  </w:r>
                  <w:r>
                    <w:rPr>
                      <w:rFonts w:hint="eastAsia" w:ascii="Times New Roman" w:hAnsi="Times New Roman" w:eastAsia="宋体" w:cs="Times New Roman"/>
                      <w:b w:val="0"/>
                      <w:bCs w:val="0"/>
                      <w:color w:val="auto"/>
                      <w:sz w:val="21"/>
                      <w:szCs w:val="21"/>
                      <w:u w:val="none"/>
                      <w:lang w:val="en-US" w:eastAsia="zh-CN"/>
                    </w:rPr>
                    <w:t>满足</w:t>
                  </w:r>
                  <w:r>
                    <w:rPr>
                      <w:rFonts w:hint="eastAsia"/>
                      <w:color w:val="auto"/>
                      <w:sz w:val="21"/>
                      <w:szCs w:val="21"/>
                      <w:highlight w:val="none"/>
                      <w:u w:val="none"/>
                      <w:lang w:val="en-US" w:eastAsia="zh-CN"/>
                    </w:rPr>
                    <w:t>低挥发要求。</w:t>
                  </w:r>
                </w:p>
              </w:tc>
            </w:tr>
          </w:tbl>
          <w:p>
            <w:pPr>
              <w:adjustRightInd w:val="0"/>
              <w:snapToGrid w:val="0"/>
              <w:ind w:firstLine="482" w:firstLineChars="200"/>
              <w:rPr>
                <w:rFonts w:hint="default" w:eastAsia="宋体"/>
                <w:b/>
                <w:color w:val="auto"/>
                <w:szCs w:val="21"/>
                <w:lang w:val="en-US" w:eastAsia="zh-CN"/>
              </w:rPr>
            </w:pPr>
            <w:r>
              <w:rPr>
                <w:rFonts w:hint="eastAsia"/>
                <w:b/>
                <w:color w:val="auto"/>
                <w:szCs w:val="21"/>
              </w:rPr>
              <w:t>5、项目</w:t>
            </w:r>
            <w:r>
              <w:rPr>
                <w:rFonts w:hint="eastAsia"/>
                <w:b/>
                <w:color w:val="auto"/>
                <w:szCs w:val="21"/>
                <w:lang w:val="en-US" w:eastAsia="zh-CN"/>
              </w:rPr>
              <w:t>能耗情况</w:t>
            </w:r>
          </w:p>
          <w:p>
            <w:pPr>
              <w:adjustRightInd w:val="0"/>
              <w:snapToGrid w:val="0"/>
              <w:ind w:firstLine="480" w:firstLineChars="200"/>
              <w:rPr>
                <w:rFonts w:hint="eastAsia"/>
                <w:bCs/>
                <w:color w:val="auto"/>
                <w:szCs w:val="21"/>
              </w:rPr>
            </w:pPr>
            <w:r>
              <w:rPr>
                <w:rFonts w:hint="eastAsia"/>
                <w:color w:val="auto"/>
                <w:lang w:eastAsia="zh-CN"/>
              </w:rPr>
              <w:t>扩建</w:t>
            </w:r>
            <w:r>
              <w:rPr>
                <w:bCs/>
                <w:color w:val="auto"/>
                <w:szCs w:val="21"/>
              </w:rPr>
              <w:t>项目生产设备均以电为能源</w:t>
            </w:r>
            <w:r>
              <w:rPr>
                <w:rFonts w:hint="eastAsia"/>
                <w:bCs/>
                <w:color w:val="auto"/>
                <w:szCs w:val="21"/>
                <w:lang w:eastAsia="zh-CN"/>
              </w:rPr>
              <w:t>，</w:t>
            </w:r>
            <w:r>
              <w:rPr>
                <w:color w:val="auto"/>
                <w:szCs w:val="21"/>
                <w:highlight w:val="none"/>
              </w:rPr>
              <w:t>由市政电网统一供给，</w:t>
            </w:r>
            <w:r>
              <w:rPr>
                <w:bCs/>
                <w:color w:val="auto"/>
                <w:szCs w:val="21"/>
                <w:highlight w:val="none"/>
              </w:rPr>
              <w:t>年用电量约为</w:t>
            </w:r>
            <w:r>
              <w:rPr>
                <w:rFonts w:hint="eastAsia"/>
                <w:bCs/>
                <w:color w:val="auto"/>
                <w:szCs w:val="21"/>
                <w:highlight w:val="none"/>
                <w:lang w:val="en-US" w:eastAsia="zh-CN"/>
              </w:rPr>
              <w:t>80</w:t>
            </w:r>
            <w:r>
              <w:rPr>
                <w:bCs/>
                <w:color w:val="auto"/>
                <w:szCs w:val="21"/>
                <w:highlight w:val="none"/>
              </w:rPr>
              <w:t>万度/年</w:t>
            </w:r>
            <w:r>
              <w:rPr>
                <w:rFonts w:hint="eastAsia"/>
                <w:bCs/>
                <w:color w:val="auto"/>
                <w:szCs w:val="21"/>
                <w:highlight w:val="none"/>
                <w:lang w:eastAsia="zh-CN"/>
              </w:rPr>
              <w:t>，</w:t>
            </w:r>
            <w:r>
              <w:rPr>
                <w:color w:val="auto"/>
                <w:szCs w:val="21"/>
              </w:rPr>
              <w:t>项目</w:t>
            </w:r>
            <w:r>
              <w:rPr>
                <w:rFonts w:hint="eastAsia"/>
                <w:color w:val="auto"/>
                <w:szCs w:val="21"/>
                <w:lang w:val="en-US" w:eastAsia="zh-CN"/>
              </w:rPr>
              <w:t>不设</w:t>
            </w:r>
            <w:r>
              <w:rPr>
                <w:color w:val="auto"/>
                <w:szCs w:val="21"/>
              </w:rPr>
              <w:t>备用发电机</w:t>
            </w:r>
            <w:r>
              <w:rPr>
                <w:rFonts w:hint="eastAsia"/>
                <w:bCs/>
                <w:color w:val="auto"/>
                <w:szCs w:val="21"/>
              </w:rPr>
              <w:t>。</w:t>
            </w:r>
          </w:p>
          <w:p>
            <w:pPr>
              <w:adjustRightInd w:val="0"/>
              <w:snapToGrid w:val="0"/>
              <w:ind w:firstLine="482" w:firstLineChars="200"/>
              <w:rPr>
                <w:b/>
                <w:color w:val="auto"/>
                <w:szCs w:val="21"/>
              </w:rPr>
            </w:pPr>
            <w:r>
              <w:rPr>
                <w:rFonts w:hint="eastAsia"/>
                <w:b/>
                <w:color w:val="auto"/>
                <w:szCs w:val="21"/>
              </w:rPr>
              <w:t>6、给排水工程</w:t>
            </w:r>
          </w:p>
          <w:p>
            <w:pPr>
              <w:adjustRightInd w:val="0"/>
              <w:snapToGrid w:val="0"/>
              <w:ind w:firstLine="482" w:firstLineChars="200"/>
              <w:rPr>
                <w:rFonts w:hint="default"/>
                <w:b/>
                <w:bCs/>
                <w:color w:val="auto"/>
                <w:lang w:val="en-US" w:eastAsia="zh-CN"/>
              </w:rPr>
            </w:pPr>
            <w:r>
              <w:rPr>
                <w:rFonts w:hint="eastAsia"/>
                <w:b/>
                <w:bCs/>
                <w:color w:val="auto"/>
                <w:lang w:val="en-US" w:eastAsia="zh-CN"/>
              </w:rPr>
              <w:t>（1）扩建项目给水情况</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sz w:val="24"/>
                <w:szCs w:val="24"/>
                <w:lang w:val="en-US" w:eastAsia="zh-CN"/>
              </w:rPr>
            </w:pPr>
            <w:r>
              <w:rPr>
                <w:rFonts w:hint="eastAsia" w:cs="Times New Roman"/>
                <w:color w:val="auto"/>
                <w:sz w:val="24"/>
                <w:szCs w:val="24"/>
                <w:lang w:val="en-US" w:eastAsia="zh-CN"/>
              </w:rPr>
              <w:t>1</w:t>
            </w:r>
            <w:r>
              <w:rPr>
                <w:rFonts w:hint="eastAsia" w:cs="Times New Roman"/>
                <w:color w:val="auto"/>
                <w:sz w:val="24"/>
                <w:szCs w:val="24"/>
                <w:lang w:eastAsia="zh-CN"/>
              </w:rPr>
              <w:t>）</w:t>
            </w:r>
            <w:r>
              <w:rPr>
                <w:rFonts w:hint="eastAsia" w:cs="Times New Roman"/>
                <w:color w:val="auto"/>
                <w:sz w:val="24"/>
                <w:szCs w:val="24"/>
                <w:lang w:val="en-US" w:eastAsia="zh-CN"/>
              </w:rPr>
              <w:t>生活给</w:t>
            </w:r>
            <w:r>
              <w:rPr>
                <w:rFonts w:hint="eastAsia" w:cs="Times New Roman"/>
                <w:color w:val="FF0000"/>
                <w:sz w:val="24"/>
                <w:szCs w:val="24"/>
                <w:lang w:val="en-US" w:eastAsia="zh-CN"/>
              </w:rPr>
              <w:t>排</w:t>
            </w:r>
            <w:r>
              <w:rPr>
                <w:rFonts w:hint="eastAsia" w:cs="Times New Roman"/>
                <w:color w:val="auto"/>
                <w:sz w:val="24"/>
                <w:szCs w:val="24"/>
                <w:lang w:val="en-US" w:eastAsia="zh-CN"/>
              </w:rPr>
              <w:t>水</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扩建</w:t>
            </w:r>
            <w:r>
              <w:rPr>
                <w:rFonts w:hint="default" w:ascii="Times New Roman" w:hAnsi="Times New Roman" w:eastAsia="宋体" w:cs="Times New Roman"/>
                <w:color w:val="auto"/>
                <w:sz w:val="24"/>
                <w:szCs w:val="24"/>
              </w:rPr>
              <w:t>员工人数在现有人数上进行调配，</w:t>
            </w:r>
            <w:r>
              <w:rPr>
                <w:rFonts w:hint="eastAsia"/>
                <w:color w:val="auto"/>
              </w:rPr>
              <w:t>不新增生活污水</w:t>
            </w:r>
            <w:r>
              <w:rPr>
                <w:rFonts w:hint="default" w:ascii="Times New Roman" w:hAnsi="Times New Roman" w:eastAsia="宋体" w:cs="Times New Roman"/>
                <w:color w:val="auto"/>
                <w:sz w:val="24"/>
                <w:szCs w:val="24"/>
                <w:lang w:val="en-US" w:eastAsia="zh-CN"/>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s="Times New Roman"/>
                <w:bCs/>
                <w:color w:val="auto"/>
                <w:sz w:val="24"/>
                <w:szCs w:val="24"/>
                <w:lang w:val="en-US" w:eastAsia="zh-CN"/>
              </w:rPr>
            </w:pPr>
            <w:r>
              <w:rPr>
                <w:rFonts w:hint="eastAsia" w:cs="Times New Roman"/>
                <w:bCs/>
                <w:color w:val="auto"/>
                <w:sz w:val="24"/>
                <w:szCs w:val="24"/>
                <w:lang w:val="en-US" w:eastAsia="zh-CN"/>
              </w:rPr>
              <w:t>2</w:t>
            </w:r>
            <w:r>
              <w:rPr>
                <w:rFonts w:hint="eastAsia" w:cs="Times New Roman"/>
                <w:bCs/>
                <w:color w:val="auto"/>
                <w:sz w:val="24"/>
                <w:szCs w:val="24"/>
                <w:lang w:eastAsia="zh-CN"/>
              </w:rPr>
              <w:t>）</w:t>
            </w:r>
            <w:r>
              <w:rPr>
                <w:rFonts w:hint="eastAsia" w:cs="Times New Roman"/>
                <w:bCs/>
                <w:color w:val="auto"/>
                <w:sz w:val="24"/>
                <w:szCs w:val="24"/>
                <w:lang w:val="en-US" w:eastAsia="zh-CN"/>
              </w:rPr>
              <w:t>生产给排水</w:t>
            </w:r>
          </w:p>
          <w:p>
            <w:pPr>
              <w:adjustRightInd w:val="0"/>
              <w:snapToGrid w:val="0"/>
              <w:spacing w:line="360" w:lineRule="auto"/>
              <w:ind w:firstLine="480" w:firstLineChars="200"/>
              <w:rPr>
                <w:rFonts w:hint="eastAsia"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①</w:t>
            </w:r>
            <w:r>
              <w:rPr>
                <w:rFonts w:hint="eastAsia" w:cs="Times New Roman"/>
                <w:bCs/>
                <w:color w:val="auto"/>
                <w:szCs w:val="21"/>
                <w:highlight w:val="none"/>
                <w:lang w:val="en-US" w:eastAsia="zh-CN"/>
              </w:rPr>
              <w:t>注塑冷却</w:t>
            </w:r>
            <w:r>
              <w:rPr>
                <w:rFonts w:hint="eastAsia" w:cs="Times New Roman"/>
                <w:bCs/>
                <w:color w:val="FF0000"/>
                <w:sz w:val="24"/>
                <w:szCs w:val="24"/>
                <w:lang w:val="en-US" w:eastAsia="zh-CN"/>
              </w:rPr>
              <w:t>给排水</w:t>
            </w:r>
            <w:r>
              <w:rPr>
                <w:rFonts w:hint="eastAsia" w:cs="Times New Roman"/>
                <w:bCs/>
                <w:color w:val="auto"/>
                <w:szCs w:val="21"/>
                <w:highlight w:val="none"/>
                <w:lang w:val="en-US" w:eastAsia="zh-CN"/>
              </w:rPr>
              <w:t>：</w:t>
            </w:r>
          </w:p>
          <w:p>
            <w:pPr>
              <w:adjustRightInd w:val="0"/>
              <w:snapToGrid w:val="0"/>
              <w:spacing w:line="360" w:lineRule="auto"/>
              <w:ind w:firstLine="480" w:firstLineChars="200"/>
              <w:rPr>
                <w:rFonts w:hint="eastAsia" w:ascii="Times New Roman" w:hAnsi="Times New Roman" w:eastAsia="宋体" w:cs="Times New Roman"/>
                <w:b/>
                <w:bCs/>
                <w:snapToGrid w:val="0"/>
                <w:color w:val="auto"/>
                <w:spacing w:val="4"/>
                <w:kern w:val="18"/>
                <w:sz w:val="24"/>
                <w:lang w:eastAsia="zh-CN"/>
              </w:rPr>
            </w:pPr>
            <w:r>
              <w:rPr>
                <w:rFonts w:hint="eastAsia" w:cs="Times New Roman"/>
                <w:bCs/>
                <w:color w:val="FF0000"/>
                <w:szCs w:val="21"/>
                <w:highlight w:val="none"/>
                <w:lang w:val="en-US" w:eastAsia="zh-CN"/>
              </w:rPr>
              <w:t>注塑过程需使用冷却水，为间接冷却。</w:t>
            </w:r>
            <w:r>
              <w:rPr>
                <w:rFonts w:ascii="Times New Roman" w:hAnsi="Times New Roman" w:eastAsia="宋体" w:cs="Times New Roman"/>
                <w:color w:val="auto"/>
                <w:sz w:val="24"/>
              </w:rPr>
              <w:t>项目</w:t>
            </w:r>
            <w:r>
              <w:rPr>
                <w:rFonts w:hint="eastAsia" w:ascii="Times New Roman" w:hAnsi="Times New Roman" w:eastAsia="宋体" w:cs="Times New Roman"/>
                <w:color w:val="auto"/>
                <w:sz w:val="24"/>
                <w:lang w:val="en-US" w:eastAsia="zh-CN"/>
              </w:rPr>
              <w:t>拟新</w:t>
            </w:r>
            <w:r>
              <w:rPr>
                <w:rFonts w:hint="eastAsia" w:ascii="Times New Roman" w:hAnsi="Times New Roman" w:eastAsia="宋体" w:cs="Times New Roman"/>
                <w:color w:val="auto"/>
                <w:sz w:val="24"/>
              </w:rPr>
              <w:t>增</w:t>
            </w:r>
            <w:r>
              <w:rPr>
                <w:rFonts w:ascii="Times New Roman" w:hAnsi="Times New Roman" w:eastAsia="宋体" w:cs="Times New Roman"/>
                <w:color w:val="auto"/>
                <w:sz w:val="24"/>
              </w:rPr>
              <w:t>1台</w:t>
            </w:r>
            <w:r>
              <w:rPr>
                <w:rFonts w:hint="eastAsia" w:cs="Times New Roman"/>
                <w:color w:val="auto"/>
                <w:sz w:val="24"/>
                <w:lang w:val="en-US" w:eastAsia="zh-CN"/>
              </w:rPr>
              <w:t>5</w:t>
            </w:r>
            <w:r>
              <w:rPr>
                <w:rFonts w:ascii="Times New Roman" w:hAnsi="Times New Roman" w:eastAsia="宋体" w:cs="Times New Roman"/>
                <w:color w:val="auto"/>
                <w:sz w:val="24"/>
              </w:rPr>
              <w:t>t/h冷却塔</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每天工作16</w:t>
            </w:r>
            <w:r>
              <w:rPr>
                <w:rFonts w:hint="eastAsia" w:ascii="Times New Roman" w:hAnsi="Times New Roman" w:eastAsia="宋体" w:cs="Times New Roman"/>
                <w:color w:val="auto"/>
                <w:sz w:val="24"/>
              </w:rPr>
              <w:t>小时</w:t>
            </w:r>
            <w:r>
              <w:rPr>
                <w:rFonts w:ascii="Times New Roman" w:hAnsi="Times New Roman" w:eastAsia="宋体" w:cs="Times New Roman"/>
                <w:color w:val="auto"/>
                <w:sz w:val="24"/>
              </w:rPr>
              <w:t>，</w:t>
            </w:r>
            <w:r>
              <w:rPr>
                <w:rFonts w:hint="eastAsia" w:cs="Times New Roman"/>
                <w:color w:val="FF0000"/>
                <w:sz w:val="24"/>
                <w:lang w:val="en-US" w:eastAsia="zh-CN"/>
              </w:rPr>
              <w:t>年工作300天，</w:t>
            </w:r>
            <w:r>
              <w:rPr>
                <w:rFonts w:ascii="Times New Roman" w:hAnsi="Times New Roman" w:eastAsia="宋体" w:cs="Times New Roman"/>
                <w:color w:val="auto"/>
                <w:sz w:val="24"/>
              </w:rPr>
              <w:t>由于循环过程中少量的水因受热等因素损失，需定期补充冷却水，</w:t>
            </w:r>
            <w:r>
              <w:rPr>
                <w:rFonts w:hint="eastAsia" w:ascii="Times New Roman" w:hAnsi="Times New Roman" w:eastAsia="宋体" w:cs="Times New Roman"/>
                <w:color w:val="auto"/>
                <w:sz w:val="24"/>
                <w:lang w:val="en-US" w:eastAsia="zh-CN"/>
              </w:rPr>
              <w:t>根据</w:t>
            </w:r>
            <w:r>
              <w:rPr>
                <w:rFonts w:hint="eastAsia" w:ascii="Times New Roman" w:hAnsi="Times New Roman" w:eastAsia="宋体" w:cs="Times New Roman"/>
                <w:color w:val="auto"/>
                <w:sz w:val="24"/>
                <w:szCs w:val="24"/>
                <w:highlight w:val="none"/>
                <w:lang w:val="en-US" w:eastAsia="zh-CN"/>
              </w:rPr>
              <w:t>《工业循环水冷却设计规范》（GB/T50102-2014）</w:t>
            </w:r>
            <w:r>
              <w:rPr>
                <w:rFonts w:hint="eastAsia" w:ascii="Times New Roman" w:hAnsi="Times New Roman" w:eastAsia="宋体" w:cs="Times New Roman"/>
                <w:color w:val="auto"/>
                <w:sz w:val="24"/>
                <w:lang w:val="en-US" w:eastAsia="zh-CN"/>
              </w:rPr>
              <w:t>，</w:t>
            </w:r>
            <w:r>
              <w:rPr>
                <w:rFonts w:ascii="Times New Roman" w:hAnsi="Times New Roman" w:eastAsia="宋体" w:cs="Times New Roman"/>
                <w:color w:val="auto"/>
                <w:kern w:val="0"/>
                <w:sz w:val="24"/>
                <w:lang w:eastAsia="zh-TW"/>
              </w:rPr>
              <w:t>每天需补充新鲜水占循环用水量的</w:t>
            </w:r>
            <w:r>
              <w:rPr>
                <w:rFonts w:ascii="Times New Roman" w:hAnsi="Times New Roman" w:eastAsia="宋体" w:cs="Times New Roman"/>
                <w:color w:val="auto"/>
                <w:kern w:val="0"/>
                <w:sz w:val="24"/>
              </w:rPr>
              <w:t>2</w:t>
            </w:r>
            <w:r>
              <w:rPr>
                <w:rFonts w:ascii="Times New Roman" w:hAnsi="Times New Roman" w:eastAsia="宋体" w:cs="Times New Roman"/>
                <w:color w:val="auto"/>
                <w:kern w:val="0"/>
                <w:sz w:val="24"/>
                <w:lang w:eastAsia="zh-TW"/>
              </w:rPr>
              <w:t>%，则需补充的新鲜水</w:t>
            </w:r>
            <w:r>
              <w:rPr>
                <w:rFonts w:hint="eastAsia" w:ascii="Times New Roman" w:hAnsi="Times New Roman" w:eastAsia="宋体" w:cs="Times New Roman"/>
                <w:color w:val="auto"/>
                <w:kern w:val="0"/>
                <w:sz w:val="24"/>
              </w:rPr>
              <w:t>约</w:t>
            </w:r>
            <w:r>
              <w:rPr>
                <w:rFonts w:ascii="Times New Roman" w:hAnsi="Times New Roman" w:eastAsia="宋体" w:cs="Times New Roman"/>
                <w:color w:val="auto"/>
                <w:kern w:val="0"/>
                <w:sz w:val="24"/>
                <w:lang w:eastAsia="zh-TW"/>
              </w:rPr>
              <w:t>为</w:t>
            </w:r>
            <w:r>
              <w:rPr>
                <w:rFonts w:hint="eastAsia" w:cs="Times New Roman"/>
                <w:color w:val="auto"/>
                <w:kern w:val="0"/>
                <w:sz w:val="24"/>
                <w:lang w:val="en-US" w:eastAsia="zh-CN"/>
              </w:rPr>
              <w:t>1.6</w:t>
            </w:r>
            <w:r>
              <w:rPr>
                <w:rFonts w:ascii="Times New Roman" w:hAnsi="Times New Roman" w:eastAsia="宋体" w:cs="Times New Roman"/>
                <w:color w:val="auto"/>
                <w:sz w:val="24"/>
              </w:rPr>
              <w:t>t/d（</w:t>
            </w:r>
            <w:r>
              <w:rPr>
                <w:rFonts w:hint="eastAsia" w:cs="Times New Roman"/>
                <w:color w:val="auto"/>
                <w:sz w:val="24"/>
                <w:lang w:val="en-US" w:eastAsia="zh-CN"/>
              </w:rPr>
              <w:t>48</w:t>
            </w:r>
            <w:r>
              <w:rPr>
                <w:rFonts w:hint="eastAsia" w:ascii="Times New Roman" w:hAnsi="Times New Roman" w:eastAsia="宋体" w:cs="Times New Roman"/>
                <w:color w:val="auto"/>
                <w:sz w:val="24"/>
                <w:lang w:val="en-US" w:eastAsia="zh-CN"/>
              </w:rPr>
              <w:t>0</w:t>
            </w:r>
            <w:r>
              <w:rPr>
                <w:rFonts w:ascii="Times New Roman" w:hAnsi="Times New Roman" w:eastAsia="宋体" w:cs="Times New Roman"/>
                <w:color w:val="auto"/>
                <w:sz w:val="24"/>
              </w:rPr>
              <w:t>t/a）。该冷却用水为自来水，其中无需添加矿物油、乳化液等冷却剂，冷却水循环使用，不外排</w:t>
            </w:r>
            <w:r>
              <w:rPr>
                <w:rFonts w:hint="eastAsia" w:ascii="Times New Roman" w:hAnsi="Times New Roman" w:eastAsia="宋体" w:cs="Times New Roman"/>
                <w:color w:val="auto"/>
                <w:sz w:val="24"/>
                <w:lang w:eastAsia="zh-CN"/>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bCs/>
                <w:color w:val="auto"/>
                <w:szCs w:val="21"/>
                <w:highlight w:val="none"/>
                <w:lang w:val="en-US" w:eastAsia="zh-CN"/>
              </w:rPr>
            </w:pPr>
            <w:r>
              <w:rPr>
                <w:rFonts w:hint="eastAsia" w:ascii="Times New Roman" w:cs="Times New Roman"/>
                <w:color w:val="auto"/>
                <w:sz w:val="24"/>
                <w:szCs w:val="24"/>
                <w:lang w:val="en-US" w:eastAsia="zh-CN"/>
              </w:rPr>
              <w:t>②</w:t>
            </w:r>
            <w:r>
              <w:rPr>
                <w:rFonts w:hint="eastAsia" w:ascii="Times New Roman" w:hAnsi="Times New Roman" w:eastAsia="宋体" w:cs="Times New Roman"/>
                <w:bCs/>
                <w:color w:val="auto"/>
                <w:szCs w:val="21"/>
                <w:highlight w:val="none"/>
                <w:lang w:val="en-US" w:eastAsia="zh-CN"/>
              </w:rPr>
              <w:t>水帘柜</w:t>
            </w:r>
            <w:r>
              <w:rPr>
                <w:rFonts w:hint="eastAsia" w:cs="Times New Roman"/>
                <w:bCs/>
                <w:color w:val="FF0000"/>
                <w:sz w:val="24"/>
                <w:szCs w:val="24"/>
                <w:lang w:val="en-US" w:eastAsia="zh-CN"/>
              </w:rPr>
              <w:t>给排水</w:t>
            </w:r>
            <w:r>
              <w:rPr>
                <w:rFonts w:hint="eastAsia" w:cs="Times New Roman"/>
                <w:bCs/>
                <w:color w:val="auto"/>
                <w:szCs w:val="21"/>
                <w:highlight w:val="none"/>
                <w:lang w:val="en-US" w:eastAsia="zh-CN"/>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olor w:val="FF0000"/>
                <w:lang w:val="en-US" w:eastAsia="zh-CN"/>
              </w:rPr>
            </w:pPr>
            <w:r>
              <w:rPr>
                <w:rFonts w:hint="default" w:ascii="Times New Roman" w:hAnsi="Times New Roman" w:eastAsia="宋体" w:cs="Times New Roman"/>
                <w:bCs/>
                <w:color w:val="auto"/>
                <w:szCs w:val="21"/>
                <w:highlight w:val="none"/>
                <w:lang w:val="en-US" w:eastAsia="zh-CN"/>
              </w:rPr>
              <w:t>项目喷漆工序拟设</w:t>
            </w:r>
            <w:r>
              <w:rPr>
                <w:rFonts w:hint="eastAsia" w:cs="Times New Roman"/>
                <w:bCs/>
                <w:color w:val="auto"/>
                <w:szCs w:val="21"/>
                <w:highlight w:val="none"/>
                <w:lang w:val="en-US" w:eastAsia="zh-CN"/>
              </w:rPr>
              <w:t>2</w:t>
            </w:r>
            <w:r>
              <w:rPr>
                <w:rFonts w:hint="default" w:ascii="Times New Roman" w:hAnsi="Times New Roman" w:eastAsia="宋体" w:cs="Times New Roman"/>
                <w:bCs/>
                <w:color w:val="auto"/>
                <w:szCs w:val="21"/>
                <w:highlight w:val="none"/>
                <w:lang w:val="en-US" w:eastAsia="zh-CN"/>
              </w:rPr>
              <w:t>个水帘柜</w:t>
            </w:r>
            <w:r>
              <w:rPr>
                <w:rFonts w:hint="eastAsia" w:ascii="Times New Roman" w:hAnsi="Times New Roman" w:eastAsia="宋体" w:cs="Times New Roman"/>
                <w:bCs/>
                <w:color w:val="auto"/>
                <w:szCs w:val="21"/>
                <w:highlight w:val="none"/>
                <w:lang w:val="en-US" w:eastAsia="zh-CN"/>
              </w:rPr>
              <w:t>，尺寸</w:t>
            </w:r>
            <w:r>
              <w:rPr>
                <w:rFonts w:hint="eastAsia" w:cs="Times New Roman"/>
                <w:bCs/>
                <w:color w:val="auto"/>
                <w:szCs w:val="21"/>
                <w:highlight w:val="none"/>
                <w:lang w:val="en-US" w:eastAsia="zh-CN"/>
              </w:rPr>
              <w:t>均</w:t>
            </w:r>
            <w:r>
              <w:rPr>
                <w:rFonts w:hint="eastAsia" w:ascii="Times New Roman" w:hAnsi="Times New Roman" w:eastAsia="宋体" w:cs="Times New Roman"/>
                <w:bCs/>
                <w:color w:val="auto"/>
                <w:szCs w:val="21"/>
                <w:highlight w:val="none"/>
                <w:lang w:val="en-US" w:eastAsia="zh-CN"/>
              </w:rPr>
              <w:t>为</w:t>
            </w:r>
            <w:r>
              <w:rPr>
                <w:rFonts w:hint="eastAsia" w:cs="Times New Roman"/>
                <w:bCs/>
                <w:color w:val="auto"/>
                <w:szCs w:val="21"/>
                <w:highlight w:val="none"/>
                <w:lang w:val="en-US" w:eastAsia="zh-CN"/>
              </w:rPr>
              <w:t>2.3</w:t>
            </w:r>
            <w:r>
              <w:rPr>
                <w:rFonts w:hint="default" w:ascii="Times New Roman" w:hAnsi="Times New Roman" w:eastAsia="宋体" w:cs="Times New Roman"/>
                <w:bCs/>
                <w:color w:val="auto"/>
                <w:szCs w:val="21"/>
                <w:highlight w:val="none"/>
                <w:lang w:val="en-US" w:eastAsia="zh-CN"/>
              </w:rPr>
              <w:t>m×</w:t>
            </w:r>
            <w:r>
              <w:rPr>
                <w:rFonts w:hint="eastAsia" w:ascii="Times New Roman" w:hAnsi="Times New Roman" w:eastAsia="宋体" w:cs="Times New Roman"/>
                <w:bCs/>
                <w:color w:val="auto"/>
                <w:szCs w:val="21"/>
                <w:highlight w:val="none"/>
                <w:lang w:val="en-US" w:eastAsia="zh-CN"/>
              </w:rPr>
              <w:t>1.</w:t>
            </w:r>
            <w:r>
              <w:rPr>
                <w:rFonts w:hint="eastAsia" w:cs="Times New Roman"/>
                <w:bCs/>
                <w:color w:val="auto"/>
                <w:szCs w:val="21"/>
                <w:highlight w:val="none"/>
                <w:lang w:val="en-US" w:eastAsia="zh-CN"/>
              </w:rPr>
              <w:t>1</w:t>
            </w:r>
            <w:r>
              <w:rPr>
                <w:rFonts w:hint="default" w:ascii="Times New Roman" w:hAnsi="Times New Roman" w:eastAsia="宋体" w:cs="Times New Roman"/>
                <w:bCs/>
                <w:color w:val="auto"/>
                <w:szCs w:val="21"/>
                <w:highlight w:val="none"/>
                <w:lang w:val="en-US" w:eastAsia="zh-CN"/>
              </w:rPr>
              <w:t>m×</w:t>
            </w:r>
            <w:r>
              <w:rPr>
                <w:rFonts w:hint="eastAsia" w:cs="Times New Roman"/>
                <w:bCs/>
                <w:color w:val="auto"/>
                <w:szCs w:val="21"/>
                <w:highlight w:val="none"/>
                <w:lang w:val="en-US" w:eastAsia="zh-CN"/>
              </w:rPr>
              <w:t>0.3</w:t>
            </w:r>
            <w:r>
              <w:rPr>
                <w:rFonts w:hint="default" w:ascii="Times New Roman" w:hAnsi="Times New Roman" w:eastAsia="宋体" w:cs="Times New Roman"/>
                <w:bCs/>
                <w:color w:val="auto"/>
                <w:szCs w:val="21"/>
                <w:highlight w:val="none"/>
                <w:lang w:val="en-US" w:eastAsia="zh-CN"/>
              </w:rPr>
              <w:t>m（</w:t>
            </w:r>
            <w:r>
              <w:rPr>
                <w:rFonts w:hint="eastAsia" w:ascii="Times New Roman" w:hAnsi="Times New Roman" w:eastAsia="宋体" w:cs="Times New Roman"/>
                <w:bCs/>
                <w:color w:val="auto"/>
                <w:szCs w:val="21"/>
                <w:highlight w:val="none"/>
                <w:lang w:val="en-US" w:eastAsia="zh-CN"/>
              </w:rPr>
              <w:t>有效水深</w:t>
            </w:r>
            <w:r>
              <w:rPr>
                <w:rFonts w:hint="default" w:ascii="Times New Roman" w:hAnsi="Times New Roman" w:eastAsia="宋体" w:cs="Times New Roman"/>
                <w:bCs/>
                <w:color w:val="auto"/>
                <w:szCs w:val="21"/>
                <w:highlight w:val="none"/>
                <w:lang w:val="en-US" w:eastAsia="zh-CN"/>
              </w:rPr>
              <w:t>），</w:t>
            </w:r>
            <w:r>
              <w:rPr>
                <w:rFonts w:hint="eastAsia" w:ascii="Times New Roman" w:hAnsi="Times New Roman" w:eastAsia="宋体" w:cs="Times New Roman"/>
                <w:bCs/>
                <w:color w:val="auto"/>
                <w:szCs w:val="21"/>
                <w:highlight w:val="none"/>
                <w:lang w:val="en-US" w:eastAsia="zh-CN"/>
              </w:rPr>
              <w:t>水帘除尘器</w:t>
            </w:r>
            <w:r>
              <w:rPr>
                <w:rFonts w:hint="default" w:ascii="Times New Roman" w:hAnsi="Times New Roman" w:eastAsia="宋体" w:cs="Times New Roman"/>
                <w:bCs/>
                <w:color w:val="auto"/>
                <w:szCs w:val="21"/>
                <w:highlight w:val="none"/>
                <w:lang w:val="en-US" w:eastAsia="zh-CN"/>
              </w:rPr>
              <w:t>水循环使用，</w:t>
            </w:r>
            <w:r>
              <w:rPr>
                <w:rFonts w:hint="eastAsia" w:cs="Times New Roman"/>
                <w:bCs/>
                <w:color w:val="auto"/>
                <w:szCs w:val="21"/>
                <w:highlight w:val="none"/>
                <w:lang w:val="en-US" w:eastAsia="zh-CN"/>
              </w:rPr>
              <w:t>2个水帘柜</w:t>
            </w:r>
            <w:r>
              <w:rPr>
                <w:rFonts w:hint="eastAsia" w:cs="Times New Roman"/>
                <w:bCs/>
                <w:color w:val="FF0000"/>
                <w:szCs w:val="21"/>
                <w:highlight w:val="none"/>
                <w:lang w:val="en-US" w:eastAsia="zh-CN"/>
              </w:rPr>
              <w:t>总</w:t>
            </w:r>
            <w:r>
              <w:rPr>
                <w:rFonts w:hint="default" w:ascii="Times New Roman" w:hAnsi="Times New Roman" w:eastAsia="宋体" w:cs="Times New Roman"/>
                <w:bCs/>
                <w:color w:val="auto"/>
                <w:szCs w:val="21"/>
                <w:highlight w:val="none"/>
                <w:lang w:val="en-US" w:eastAsia="zh-CN"/>
              </w:rPr>
              <w:t>循环水量为</w:t>
            </w:r>
            <w:r>
              <w:rPr>
                <w:rFonts w:hint="eastAsia" w:cs="Times New Roman"/>
                <w:bCs/>
                <w:color w:val="auto"/>
                <w:szCs w:val="21"/>
                <w:highlight w:val="none"/>
                <w:lang w:val="en-US" w:eastAsia="zh-CN"/>
              </w:rPr>
              <w:t>12m</w:t>
            </w:r>
            <w:r>
              <w:rPr>
                <w:rFonts w:hint="eastAsia" w:cs="Times New Roman"/>
                <w:bCs/>
                <w:color w:val="auto"/>
                <w:szCs w:val="21"/>
                <w:highlight w:val="none"/>
                <w:vertAlign w:val="superscript"/>
                <w:lang w:val="en-US" w:eastAsia="zh-CN"/>
              </w:rPr>
              <w:t>3</w:t>
            </w:r>
            <w:r>
              <w:rPr>
                <w:rFonts w:hint="eastAsia" w:cs="Times New Roman"/>
                <w:bCs/>
                <w:color w:val="auto"/>
                <w:szCs w:val="21"/>
                <w:highlight w:val="none"/>
                <w:lang w:val="en-US" w:eastAsia="zh-CN"/>
              </w:rPr>
              <w:t>/h。</w:t>
            </w:r>
            <w:r>
              <w:rPr>
                <w:rFonts w:hint="eastAsia" w:cs="Times New Roman"/>
                <w:bCs/>
                <w:color w:val="FF0000"/>
                <w:szCs w:val="21"/>
                <w:highlight w:val="none"/>
                <w:lang w:val="en-US" w:eastAsia="zh-CN"/>
              </w:rPr>
              <w:t>项目喷漆工序工作时间为250天/年，每天工作约6h。</w:t>
            </w:r>
            <w:r>
              <w:rPr>
                <w:rFonts w:hint="eastAsia" w:ascii="Times New Roman" w:hAnsi="Times New Roman" w:eastAsia="宋体" w:cs="Times New Roman"/>
                <w:bCs/>
                <w:color w:val="auto"/>
                <w:szCs w:val="21"/>
                <w:highlight w:val="none"/>
                <w:lang w:val="en-US" w:eastAsia="zh-CN"/>
              </w:rPr>
              <w:t>由于循环水蒸发损耗，需定期补充新鲜水，</w:t>
            </w:r>
            <w:r>
              <w:rPr>
                <w:rFonts w:hint="eastAsia" w:ascii="Times New Roman" w:hAnsi="Times New Roman" w:eastAsia="宋体" w:cs="Times New Roman"/>
                <w:color w:val="FF0000"/>
                <w:sz w:val="24"/>
                <w:lang w:val="en-US" w:eastAsia="zh-CN"/>
              </w:rPr>
              <w:t>根据</w:t>
            </w:r>
            <w:r>
              <w:rPr>
                <w:rFonts w:hint="eastAsia" w:ascii="Times New Roman" w:hAnsi="Times New Roman" w:eastAsia="宋体" w:cs="Times New Roman"/>
                <w:color w:val="FF0000"/>
                <w:sz w:val="24"/>
                <w:szCs w:val="24"/>
                <w:highlight w:val="none"/>
                <w:lang w:val="en-US" w:eastAsia="zh-CN"/>
              </w:rPr>
              <w:t>《工业循环水冷却设计规范》（GB/T50102-2014）</w:t>
            </w:r>
            <w:r>
              <w:rPr>
                <w:rFonts w:hint="eastAsia" w:ascii="Times New Roman" w:hAnsi="Times New Roman" w:eastAsia="宋体" w:cs="Times New Roman"/>
                <w:color w:val="FF0000"/>
                <w:sz w:val="24"/>
                <w:lang w:val="en-US" w:eastAsia="zh-CN"/>
              </w:rPr>
              <w:t>，</w:t>
            </w:r>
            <w:r>
              <w:rPr>
                <w:rFonts w:hint="eastAsia" w:ascii="Times New Roman" w:hAnsi="Times New Roman" w:eastAsia="宋体" w:cs="Times New Roman"/>
                <w:bCs/>
                <w:color w:val="auto"/>
                <w:szCs w:val="21"/>
                <w:highlight w:val="none"/>
                <w:lang w:val="en-US" w:eastAsia="zh-CN"/>
              </w:rPr>
              <w:t>每天补充水量约</w:t>
            </w:r>
            <w:r>
              <w:rPr>
                <w:rFonts w:hint="eastAsia" w:cs="Times New Roman"/>
                <w:bCs/>
                <w:color w:val="auto"/>
                <w:szCs w:val="21"/>
                <w:highlight w:val="none"/>
                <w:lang w:val="en-US" w:eastAsia="zh-CN"/>
              </w:rPr>
              <w:t>为</w:t>
            </w:r>
            <w:r>
              <w:rPr>
                <w:rFonts w:hint="eastAsia" w:ascii="Times New Roman" w:hAnsi="Times New Roman" w:eastAsia="宋体" w:cs="Times New Roman"/>
                <w:bCs/>
                <w:color w:val="auto"/>
                <w:szCs w:val="21"/>
                <w:highlight w:val="none"/>
                <w:lang w:val="en-US" w:eastAsia="zh-CN"/>
              </w:rPr>
              <w:t>循环水量的</w:t>
            </w:r>
            <w:r>
              <w:rPr>
                <w:rFonts w:hint="eastAsia" w:cs="Times New Roman"/>
                <w:bCs/>
                <w:color w:val="auto"/>
                <w:szCs w:val="21"/>
                <w:highlight w:val="none"/>
                <w:lang w:val="en-US" w:eastAsia="zh-CN"/>
              </w:rPr>
              <w:t>2</w:t>
            </w:r>
            <w:r>
              <w:rPr>
                <w:rFonts w:hint="eastAsia" w:ascii="Times New Roman" w:hAnsi="Times New Roman" w:eastAsia="宋体" w:cs="Times New Roman"/>
                <w:bCs/>
                <w:color w:val="auto"/>
                <w:szCs w:val="21"/>
                <w:highlight w:val="none"/>
                <w:lang w:val="en-US" w:eastAsia="zh-CN"/>
              </w:rPr>
              <w:t>%，</w:t>
            </w:r>
            <w:r>
              <w:rPr>
                <w:rFonts w:hint="eastAsia" w:cs="Times New Roman"/>
                <w:bCs/>
                <w:color w:val="auto"/>
                <w:szCs w:val="21"/>
                <w:highlight w:val="none"/>
                <w:lang w:val="en-US" w:eastAsia="zh-CN"/>
              </w:rPr>
              <w:t>损耗部分需补充的水量为</w:t>
            </w:r>
            <w:r>
              <w:rPr>
                <w:rFonts w:hint="eastAsia" w:cs="Times New Roman"/>
                <w:bCs/>
                <w:color w:val="FF0000"/>
                <w:szCs w:val="21"/>
                <w:highlight w:val="none"/>
                <w:lang w:val="en-US" w:eastAsia="zh-CN"/>
              </w:rPr>
              <w:t>1.44t/d（360t/a）</w:t>
            </w:r>
            <w:r>
              <w:rPr>
                <w:rFonts w:hint="eastAsia" w:cs="Times New Roman"/>
                <w:bCs/>
                <w:color w:val="auto"/>
                <w:szCs w:val="21"/>
                <w:highlight w:val="none"/>
                <w:lang w:val="en-US" w:eastAsia="zh-CN"/>
              </w:rPr>
              <w:t>；</w:t>
            </w:r>
            <w:r>
              <w:rPr>
                <w:rFonts w:hint="eastAsia" w:ascii="Times New Roman" w:hAnsi="Times New Roman" w:eastAsia="宋体" w:cs="Times New Roman"/>
                <w:bCs/>
                <w:color w:val="auto"/>
                <w:szCs w:val="21"/>
                <w:highlight w:val="none"/>
                <w:lang w:val="en-US" w:eastAsia="zh-CN"/>
              </w:rPr>
              <w:t>水帘柜废水每</w:t>
            </w:r>
            <w:r>
              <w:rPr>
                <w:rFonts w:hint="eastAsia" w:cs="Times New Roman"/>
                <w:bCs/>
                <w:color w:val="auto"/>
                <w:szCs w:val="21"/>
                <w:highlight w:val="none"/>
                <w:lang w:val="en-US" w:eastAsia="zh-CN"/>
              </w:rPr>
              <w:t>半年</w:t>
            </w:r>
            <w:r>
              <w:rPr>
                <w:rFonts w:hint="eastAsia" w:ascii="Times New Roman" w:hAnsi="Times New Roman" w:eastAsia="宋体" w:cs="Times New Roman"/>
                <w:bCs/>
                <w:color w:val="auto"/>
                <w:szCs w:val="21"/>
                <w:highlight w:val="none"/>
                <w:lang w:val="en-US" w:eastAsia="zh-CN"/>
              </w:rPr>
              <w:t>换一次，需整槽更换，则水帘柜</w:t>
            </w:r>
            <w:r>
              <w:rPr>
                <w:rFonts w:hint="eastAsia" w:cs="Times New Roman"/>
                <w:bCs/>
                <w:color w:val="auto"/>
                <w:szCs w:val="21"/>
                <w:highlight w:val="none"/>
                <w:lang w:val="en-US" w:eastAsia="zh-CN"/>
              </w:rPr>
              <w:t>更换时补充水量</w:t>
            </w:r>
            <w:r>
              <w:rPr>
                <w:rFonts w:hint="eastAsia" w:ascii="Times New Roman" w:hAnsi="Times New Roman" w:eastAsia="宋体" w:cs="Times New Roman"/>
                <w:bCs/>
                <w:color w:val="auto"/>
                <w:szCs w:val="21"/>
                <w:highlight w:val="none"/>
                <w:lang w:val="en-US" w:eastAsia="zh-CN"/>
              </w:rPr>
              <w:t>为</w:t>
            </w:r>
            <w:r>
              <w:rPr>
                <w:rFonts w:hint="eastAsia" w:cs="Times New Roman"/>
                <w:bCs/>
                <w:color w:val="FF0000"/>
                <w:szCs w:val="21"/>
                <w:highlight w:val="none"/>
                <w:lang w:val="en-US" w:eastAsia="zh-CN"/>
              </w:rPr>
              <w:t>0.012t/d（3.036</w:t>
            </w:r>
            <w:r>
              <w:rPr>
                <w:rFonts w:hint="eastAsia" w:ascii="Times New Roman" w:hAnsi="Times New Roman" w:eastAsia="宋体" w:cs="Times New Roman"/>
                <w:bCs/>
                <w:color w:val="FF0000"/>
                <w:szCs w:val="21"/>
                <w:highlight w:val="none"/>
                <w:lang w:val="en-US" w:eastAsia="zh-CN"/>
              </w:rPr>
              <w:t>t/a</w:t>
            </w:r>
            <w:r>
              <w:rPr>
                <w:rFonts w:hint="eastAsia" w:cs="Times New Roman"/>
                <w:bCs/>
                <w:color w:val="FF0000"/>
                <w:szCs w:val="21"/>
                <w:highlight w:val="none"/>
                <w:lang w:val="en-US" w:eastAsia="zh-CN"/>
              </w:rPr>
              <w:t>）</w:t>
            </w:r>
            <w:r>
              <w:rPr>
                <w:rFonts w:hint="eastAsia"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则</w:t>
            </w:r>
            <w:r>
              <w:rPr>
                <w:rFonts w:hint="eastAsia" w:cs="Times New Roman"/>
                <w:bCs/>
                <w:color w:val="auto"/>
                <w:szCs w:val="21"/>
                <w:highlight w:val="none"/>
                <w:lang w:val="en-US" w:eastAsia="zh-CN"/>
              </w:rPr>
              <w:t>损耗+更换需</w:t>
            </w:r>
            <w:r>
              <w:rPr>
                <w:rFonts w:hint="default" w:ascii="Times New Roman" w:hAnsi="Times New Roman" w:eastAsia="宋体" w:cs="Times New Roman"/>
                <w:bCs/>
                <w:color w:val="auto"/>
                <w:szCs w:val="21"/>
                <w:highlight w:val="none"/>
                <w:lang w:val="en-US" w:eastAsia="zh-CN"/>
              </w:rPr>
              <w:t>补充水量约为</w:t>
            </w:r>
            <w:r>
              <w:rPr>
                <w:rFonts w:hint="eastAsia" w:cs="Times New Roman"/>
                <w:bCs/>
                <w:color w:val="FF0000"/>
                <w:szCs w:val="21"/>
                <w:highlight w:val="none"/>
                <w:lang w:val="en-US" w:eastAsia="zh-CN"/>
              </w:rPr>
              <w:t>1.452</w:t>
            </w:r>
            <w:r>
              <w:rPr>
                <w:rFonts w:hint="eastAsia" w:ascii="Times New Roman" w:hAnsi="Times New Roman" w:eastAsia="宋体" w:cs="Times New Roman"/>
                <w:bCs/>
                <w:color w:val="FF0000"/>
                <w:szCs w:val="21"/>
                <w:highlight w:val="none"/>
                <w:lang w:val="en-US" w:eastAsia="zh-CN"/>
              </w:rPr>
              <w:t>t/d（</w:t>
            </w:r>
            <w:r>
              <w:rPr>
                <w:rFonts w:hint="eastAsia" w:cs="Times New Roman"/>
                <w:bCs/>
                <w:color w:val="FF0000"/>
                <w:szCs w:val="21"/>
                <w:highlight w:val="none"/>
                <w:lang w:val="en-US" w:eastAsia="zh-CN"/>
              </w:rPr>
              <w:t>363.036</w:t>
            </w:r>
            <w:r>
              <w:rPr>
                <w:rFonts w:hint="default" w:ascii="Times New Roman" w:hAnsi="Times New Roman" w:eastAsia="宋体" w:cs="Times New Roman"/>
                <w:bCs/>
                <w:color w:val="FF0000"/>
                <w:szCs w:val="21"/>
                <w:highlight w:val="none"/>
                <w:lang w:val="en-US" w:eastAsia="zh-CN"/>
              </w:rPr>
              <w:t>t/a</w:t>
            </w:r>
            <w:r>
              <w:rPr>
                <w:rFonts w:hint="eastAsia" w:ascii="Times New Roman" w:hAnsi="Times New Roman" w:eastAsia="宋体" w:cs="Times New Roman"/>
                <w:bCs/>
                <w:color w:val="FF0000"/>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FF0000"/>
                <w:sz w:val="24"/>
                <w:szCs w:val="24"/>
                <w:lang w:val="en-US" w:eastAsia="zh-CN"/>
              </w:rPr>
            </w:pPr>
            <w:r>
              <w:rPr>
                <w:rFonts w:hint="eastAsia" w:ascii="Times New Roman" w:cs="Times New Roman"/>
                <w:color w:val="FF0000"/>
                <w:sz w:val="24"/>
                <w:szCs w:val="24"/>
                <w:lang w:val="en-US" w:eastAsia="zh-CN"/>
              </w:rPr>
              <w:t>③喷淋塔</w:t>
            </w:r>
            <w:r>
              <w:rPr>
                <w:rFonts w:hint="eastAsia" w:cs="Times New Roman"/>
                <w:bCs/>
                <w:color w:val="FF0000"/>
                <w:sz w:val="24"/>
                <w:szCs w:val="24"/>
                <w:lang w:val="en-US" w:eastAsia="zh-CN"/>
              </w:rPr>
              <w:t>给排水</w:t>
            </w:r>
            <w:r>
              <w:rPr>
                <w:rFonts w:hint="default" w:ascii="Times New Roman" w:hAnsi="Times New Roman" w:eastAsia="宋体" w:cs="Times New Roman"/>
                <w:color w:val="FF0000"/>
                <w:sz w:val="24"/>
                <w:szCs w:val="24"/>
                <w:lang w:val="en-US" w:eastAsia="zh-CN"/>
              </w:rPr>
              <w:t>：</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Times New Roman" w:hAnsi="Times New Roman" w:eastAsia="宋体" w:cs="Times New Roman"/>
                <w:color w:val="FF0000"/>
                <w:sz w:val="24"/>
                <w:szCs w:val="24"/>
                <w:highlight w:val="green"/>
                <w:lang w:val="en-US" w:eastAsia="zh-CN"/>
              </w:rPr>
            </w:pPr>
            <w:r>
              <w:rPr>
                <w:rFonts w:hint="eastAsia" w:cs="Times New Roman"/>
                <w:b/>
                <w:bCs/>
                <w:color w:val="4F0FBD"/>
                <w:sz w:val="24"/>
                <w:szCs w:val="24"/>
                <w:lang w:val="en-US" w:eastAsia="zh-CN"/>
              </w:rPr>
              <w:t>注塑喷淋给排水：</w:t>
            </w:r>
            <w:r>
              <w:rPr>
                <w:rFonts w:hint="default" w:ascii="Times New Roman" w:hAnsi="Times New Roman" w:eastAsia="宋体" w:cs="Times New Roman"/>
                <w:color w:val="4F0FBD"/>
                <w:sz w:val="24"/>
                <w:szCs w:val="24"/>
                <w:lang w:val="en-US" w:eastAsia="zh-CN"/>
              </w:rPr>
              <w:t>本项目</w:t>
            </w:r>
            <w:r>
              <w:rPr>
                <w:rFonts w:hint="eastAsia" w:cs="Times New Roman"/>
                <w:color w:val="4F0FBD"/>
                <w:sz w:val="24"/>
                <w:szCs w:val="24"/>
                <w:lang w:val="en-US" w:eastAsia="zh-CN"/>
              </w:rPr>
              <w:t>拟将现有项目的注塑及焊接废气处理设施整改为“水喷淋+干式过滤器+二级活性炭吸附装置”，拟新增的水喷淋塔循环水池直径为1.5m，水的有效高度为0.4m，</w:t>
            </w:r>
            <w:r>
              <w:rPr>
                <w:rFonts w:hint="default" w:ascii="Times New Roman" w:hAnsi="Times New Roman" w:eastAsia="宋体" w:cs="Times New Roman"/>
                <w:bCs/>
                <w:color w:val="4F0FBD"/>
                <w:szCs w:val="21"/>
                <w:highlight w:val="none"/>
                <w:lang w:val="en-US" w:eastAsia="zh-CN"/>
              </w:rPr>
              <w:t>循环水量为</w:t>
            </w:r>
            <w:r>
              <w:rPr>
                <w:rFonts w:hint="eastAsia" w:cs="Times New Roman"/>
                <w:bCs/>
                <w:color w:val="4F0FBD"/>
                <w:szCs w:val="21"/>
                <w:highlight w:val="none"/>
                <w:lang w:val="en-US" w:eastAsia="zh-CN"/>
              </w:rPr>
              <w:t>5m</w:t>
            </w:r>
            <w:r>
              <w:rPr>
                <w:rFonts w:hint="eastAsia" w:cs="Times New Roman"/>
                <w:bCs/>
                <w:color w:val="4F0FBD"/>
                <w:szCs w:val="21"/>
                <w:highlight w:val="none"/>
                <w:vertAlign w:val="superscript"/>
                <w:lang w:val="en-US" w:eastAsia="zh-CN"/>
              </w:rPr>
              <w:t>3</w:t>
            </w:r>
            <w:r>
              <w:rPr>
                <w:rFonts w:hint="eastAsia" w:cs="Times New Roman"/>
                <w:bCs/>
                <w:color w:val="4F0FBD"/>
                <w:szCs w:val="21"/>
                <w:highlight w:val="none"/>
                <w:vertAlign w:val="baseline"/>
                <w:lang w:val="en-US" w:eastAsia="zh-CN"/>
              </w:rPr>
              <w:t>/h</w:t>
            </w:r>
            <w:r>
              <w:rPr>
                <w:rFonts w:hint="default" w:ascii="Times New Roman" w:hAnsi="Times New Roman" w:eastAsia="宋体" w:cs="Times New Roman"/>
                <w:color w:val="4F0FBD"/>
                <w:sz w:val="24"/>
                <w:szCs w:val="24"/>
                <w:lang w:val="en-US" w:eastAsia="zh-CN"/>
              </w:rPr>
              <w:t>。</w:t>
            </w:r>
            <w:r>
              <w:rPr>
                <w:rFonts w:hint="eastAsia" w:cs="Times New Roman"/>
                <w:bCs/>
                <w:color w:val="4F0FBD"/>
                <w:szCs w:val="21"/>
                <w:highlight w:val="none"/>
                <w:lang w:val="en-US" w:eastAsia="zh-CN"/>
              </w:rPr>
              <w:t>项目注塑工序工作时间为300天/年，每天工作约16h。</w:t>
            </w:r>
            <w:r>
              <w:rPr>
                <w:rFonts w:hint="default" w:ascii="Times New Roman" w:hAnsi="Times New Roman" w:eastAsia="宋体" w:cs="Times New Roman"/>
                <w:bCs/>
                <w:color w:val="4F0FBD"/>
                <w:szCs w:val="21"/>
                <w:highlight w:val="none"/>
                <w:lang w:val="en-US" w:eastAsia="zh-CN"/>
              </w:rPr>
              <w:t>喷淋水循环使用，在循环使用过程中存在少量的损耗，</w:t>
            </w:r>
            <w:r>
              <w:rPr>
                <w:rFonts w:hint="eastAsia" w:ascii="Times New Roman" w:hAnsi="Times New Roman" w:eastAsia="宋体" w:cs="Times New Roman"/>
                <w:color w:val="4F0FBD"/>
                <w:sz w:val="24"/>
                <w:lang w:val="en-US" w:eastAsia="zh-CN"/>
              </w:rPr>
              <w:t>根据</w:t>
            </w:r>
            <w:r>
              <w:rPr>
                <w:rFonts w:hint="eastAsia" w:ascii="Times New Roman" w:hAnsi="Times New Roman" w:eastAsia="宋体" w:cs="Times New Roman"/>
                <w:color w:val="4F0FBD"/>
                <w:sz w:val="24"/>
                <w:szCs w:val="24"/>
                <w:highlight w:val="none"/>
                <w:lang w:val="en-US" w:eastAsia="zh-CN"/>
              </w:rPr>
              <w:t>《工业循环水冷却设计规范》（GB/T50102-2014）</w:t>
            </w:r>
            <w:r>
              <w:rPr>
                <w:rFonts w:hint="eastAsia" w:ascii="Times New Roman" w:hAnsi="Times New Roman" w:eastAsia="宋体" w:cs="Times New Roman"/>
                <w:color w:val="4F0FBD"/>
                <w:sz w:val="24"/>
                <w:lang w:val="en-US" w:eastAsia="zh-CN"/>
              </w:rPr>
              <w:t>，</w:t>
            </w:r>
            <w:r>
              <w:rPr>
                <w:rFonts w:ascii="Times New Roman" w:hAnsi="Times New Roman" w:eastAsia="宋体" w:cs="Times New Roman"/>
                <w:color w:val="4F0FBD"/>
                <w:kern w:val="0"/>
                <w:sz w:val="24"/>
                <w:lang w:eastAsia="zh-TW"/>
              </w:rPr>
              <w:t>每天需补充新鲜水占循环用水量的</w:t>
            </w:r>
            <w:r>
              <w:rPr>
                <w:rFonts w:ascii="Times New Roman" w:hAnsi="Times New Roman" w:eastAsia="宋体" w:cs="Times New Roman"/>
                <w:color w:val="4F0FBD"/>
                <w:kern w:val="0"/>
                <w:sz w:val="24"/>
              </w:rPr>
              <w:t>2</w:t>
            </w:r>
            <w:r>
              <w:rPr>
                <w:rFonts w:ascii="Times New Roman" w:hAnsi="Times New Roman" w:eastAsia="宋体" w:cs="Times New Roman"/>
                <w:color w:val="4F0FBD"/>
                <w:kern w:val="0"/>
                <w:sz w:val="24"/>
                <w:lang w:eastAsia="zh-TW"/>
              </w:rPr>
              <w:t>%</w:t>
            </w:r>
            <w:r>
              <w:rPr>
                <w:rFonts w:hint="eastAsia" w:cs="Times New Roman"/>
                <w:bCs/>
                <w:color w:val="4F0FBD"/>
                <w:szCs w:val="21"/>
                <w:highlight w:val="none"/>
                <w:lang w:val="en-US" w:eastAsia="zh-CN"/>
              </w:rPr>
              <w:t>，则需补充的水量为1.6t/d（480t/a）；</w:t>
            </w:r>
            <w:r>
              <w:rPr>
                <w:rFonts w:hint="eastAsia" w:cs="Times New Roman"/>
                <w:bCs/>
                <w:color w:val="FF0000"/>
                <w:szCs w:val="21"/>
                <w:highlight w:val="green"/>
                <w:lang w:val="en-US" w:eastAsia="zh-CN"/>
              </w:rPr>
              <w:t>每半年换一次，整槽更换，更换量为0.7065t/次，则年更换量为0.005</w:t>
            </w:r>
            <w:r>
              <w:rPr>
                <w:rFonts w:hint="eastAsia" w:ascii="Times New Roman" w:hAnsi="Times New Roman" w:eastAsia="宋体" w:cs="Times New Roman"/>
                <w:bCs/>
                <w:color w:val="FF0000"/>
                <w:szCs w:val="21"/>
                <w:highlight w:val="green"/>
                <w:lang w:val="en-US" w:eastAsia="zh-CN"/>
              </w:rPr>
              <w:t>t/d</w:t>
            </w:r>
            <w:r>
              <w:rPr>
                <w:rFonts w:hint="eastAsia" w:cs="Times New Roman"/>
                <w:bCs/>
                <w:color w:val="FF0000"/>
                <w:szCs w:val="21"/>
                <w:highlight w:val="green"/>
                <w:lang w:val="en-US" w:eastAsia="zh-CN"/>
              </w:rPr>
              <w:t>（1.413t/a）。</w:t>
            </w:r>
            <w:r>
              <w:rPr>
                <w:rFonts w:hint="default" w:ascii="Times New Roman" w:hAnsi="Times New Roman" w:eastAsia="宋体" w:cs="Times New Roman"/>
                <w:bCs/>
                <w:color w:val="FF0000"/>
                <w:szCs w:val="21"/>
                <w:highlight w:val="green"/>
                <w:lang w:val="en-US" w:eastAsia="zh-CN"/>
              </w:rPr>
              <w:t>则</w:t>
            </w:r>
            <w:r>
              <w:rPr>
                <w:rFonts w:hint="eastAsia" w:cs="Times New Roman"/>
                <w:bCs/>
                <w:color w:val="FF0000"/>
                <w:szCs w:val="21"/>
                <w:highlight w:val="green"/>
                <w:lang w:val="en-US" w:eastAsia="zh-CN"/>
              </w:rPr>
              <w:t>损耗+更换需</w:t>
            </w:r>
            <w:r>
              <w:rPr>
                <w:rFonts w:hint="default" w:ascii="Times New Roman" w:hAnsi="Times New Roman" w:eastAsia="宋体" w:cs="Times New Roman"/>
                <w:bCs/>
                <w:color w:val="FF0000"/>
                <w:szCs w:val="21"/>
                <w:highlight w:val="green"/>
                <w:lang w:val="en-US" w:eastAsia="zh-CN"/>
              </w:rPr>
              <w:t>补充水量约为</w:t>
            </w:r>
            <w:r>
              <w:rPr>
                <w:rFonts w:hint="eastAsia" w:cs="Times New Roman"/>
                <w:bCs/>
                <w:color w:val="FF0000"/>
                <w:szCs w:val="21"/>
                <w:highlight w:val="green"/>
                <w:lang w:val="en-US" w:eastAsia="zh-CN"/>
              </w:rPr>
              <w:t>1.605</w:t>
            </w:r>
            <w:r>
              <w:rPr>
                <w:rFonts w:hint="eastAsia" w:ascii="Times New Roman" w:hAnsi="Times New Roman" w:eastAsia="宋体" w:cs="Times New Roman"/>
                <w:bCs/>
                <w:color w:val="FF0000"/>
                <w:szCs w:val="21"/>
                <w:highlight w:val="green"/>
                <w:lang w:val="en-US" w:eastAsia="zh-CN"/>
              </w:rPr>
              <w:t>t/d（</w:t>
            </w:r>
            <w:r>
              <w:rPr>
                <w:rFonts w:hint="eastAsia" w:cs="Times New Roman"/>
                <w:bCs/>
                <w:color w:val="FF0000"/>
                <w:szCs w:val="21"/>
                <w:highlight w:val="green"/>
                <w:lang w:val="en-US" w:eastAsia="zh-CN"/>
              </w:rPr>
              <w:t>481.413</w:t>
            </w:r>
            <w:r>
              <w:rPr>
                <w:rFonts w:hint="default" w:ascii="Times New Roman" w:hAnsi="Times New Roman" w:eastAsia="宋体" w:cs="Times New Roman"/>
                <w:bCs/>
                <w:color w:val="FF0000"/>
                <w:szCs w:val="21"/>
                <w:highlight w:val="green"/>
                <w:lang w:val="en-US" w:eastAsia="zh-CN"/>
              </w:rPr>
              <w:t>t/a</w:t>
            </w:r>
            <w:r>
              <w:rPr>
                <w:rFonts w:hint="eastAsia" w:ascii="Times New Roman" w:hAnsi="Times New Roman" w:eastAsia="宋体" w:cs="Times New Roman"/>
                <w:bCs/>
                <w:color w:val="FF0000"/>
                <w:szCs w:val="21"/>
                <w:highlight w:val="green"/>
                <w:lang w:val="en-US" w:eastAsia="zh-CN"/>
              </w:rPr>
              <w:t>）</w:t>
            </w:r>
            <w:r>
              <w:rPr>
                <w:rFonts w:hint="eastAsia" w:ascii="Times New Roman" w:hAnsi="Times New Roman" w:eastAsia="宋体" w:cs="Times New Roman"/>
                <w:bCs/>
                <w:color w:val="FF0000"/>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Times New Roman" w:hAnsi="Times New Roman" w:eastAsia="宋体" w:cs="Times New Roman"/>
                <w:color w:val="FF0000"/>
                <w:sz w:val="24"/>
                <w:szCs w:val="24"/>
                <w:lang w:val="en-US" w:eastAsia="zh-CN"/>
              </w:rPr>
            </w:pPr>
            <w:r>
              <w:rPr>
                <w:rFonts w:hint="eastAsia" w:cs="Times New Roman"/>
                <w:b/>
                <w:bCs/>
                <w:color w:val="4F0FBD"/>
                <w:sz w:val="24"/>
                <w:szCs w:val="24"/>
                <w:lang w:val="en-US" w:eastAsia="zh-CN"/>
              </w:rPr>
              <w:t>喷漆及丝印喷淋给排水：</w:t>
            </w:r>
            <w:r>
              <w:rPr>
                <w:rFonts w:hint="eastAsia" w:cs="Times New Roman"/>
                <w:color w:val="FF0000"/>
                <w:sz w:val="24"/>
                <w:szCs w:val="24"/>
                <w:lang w:val="en-US" w:eastAsia="zh-CN"/>
              </w:rPr>
              <w:t>项目</w:t>
            </w:r>
            <w:r>
              <w:rPr>
                <w:rFonts w:hint="eastAsia" w:cs="Times New Roman"/>
                <w:bCs/>
                <w:color w:val="FF0000"/>
                <w:szCs w:val="21"/>
                <w:highlight w:val="none"/>
                <w:lang w:val="en-US" w:eastAsia="zh-CN"/>
              </w:rPr>
              <w:t>喷漆</w:t>
            </w:r>
            <w:r>
              <w:rPr>
                <w:rFonts w:hint="eastAsia" w:cs="Times New Roman"/>
                <w:color w:val="FF0000"/>
                <w:sz w:val="24"/>
                <w:szCs w:val="24"/>
                <w:lang w:val="en-US" w:eastAsia="zh-CN"/>
              </w:rPr>
              <w:t>及烘烤、丝印及烘烤废气拟采用“水喷淋+干式过滤器+二级活性炭吸附装置”处理，拟新增的喷淋塔循环水池直径为1.5m，水的有效高度为0.4m，</w:t>
            </w:r>
            <w:r>
              <w:rPr>
                <w:rFonts w:hint="default" w:ascii="Times New Roman" w:hAnsi="Times New Roman" w:eastAsia="宋体" w:cs="Times New Roman"/>
                <w:bCs/>
                <w:color w:val="FF0000"/>
                <w:szCs w:val="21"/>
                <w:highlight w:val="none"/>
                <w:lang w:val="en-US" w:eastAsia="zh-CN"/>
              </w:rPr>
              <w:t>循环水量为</w:t>
            </w:r>
            <w:r>
              <w:rPr>
                <w:rFonts w:hint="eastAsia" w:cs="Times New Roman"/>
                <w:bCs/>
                <w:color w:val="FF0000"/>
                <w:szCs w:val="21"/>
                <w:highlight w:val="none"/>
                <w:lang w:val="en-US" w:eastAsia="zh-CN"/>
              </w:rPr>
              <w:t>5m</w:t>
            </w:r>
            <w:r>
              <w:rPr>
                <w:rFonts w:hint="eastAsia" w:cs="Times New Roman"/>
                <w:bCs/>
                <w:color w:val="FF0000"/>
                <w:szCs w:val="21"/>
                <w:highlight w:val="none"/>
                <w:vertAlign w:val="superscript"/>
                <w:lang w:val="en-US" w:eastAsia="zh-CN"/>
              </w:rPr>
              <w:t>3</w:t>
            </w:r>
            <w:r>
              <w:rPr>
                <w:rFonts w:hint="eastAsia" w:cs="Times New Roman"/>
                <w:bCs/>
                <w:color w:val="FF0000"/>
                <w:szCs w:val="21"/>
                <w:highlight w:val="none"/>
                <w:vertAlign w:val="baseline"/>
                <w:lang w:val="en-US" w:eastAsia="zh-CN"/>
              </w:rPr>
              <w:t>/h</w:t>
            </w:r>
            <w:r>
              <w:rPr>
                <w:rFonts w:hint="default" w:ascii="Times New Roman" w:hAnsi="Times New Roman" w:eastAsia="宋体" w:cs="Times New Roman"/>
                <w:color w:val="FF0000"/>
                <w:sz w:val="24"/>
                <w:szCs w:val="24"/>
                <w:lang w:val="en-US" w:eastAsia="zh-CN"/>
              </w:rPr>
              <w:t>。</w:t>
            </w:r>
            <w:r>
              <w:rPr>
                <w:rFonts w:hint="eastAsia" w:cs="Times New Roman"/>
                <w:color w:val="FF0000"/>
                <w:sz w:val="24"/>
                <w:szCs w:val="24"/>
                <w:lang w:val="en-US" w:eastAsia="zh-CN"/>
              </w:rPr>
              <w:t>喷淋塔运行时间按</w:t>
            </w:r>
            <w:r>
              <w:rPr>
                <w:rFonts w:hint="eastAsia" w:cs="Times New Roman"/>
                <w:bCs/>
                <w:color w:val="FF0000"/>
                <w:szCs w:val="21"/>
                <w:highlight w:val="none"/>
                <w:lang w:val="en-US" w:eastAsia="zh-CN"/>
              </w:rPr>
              <w:t>喷漆后的烘烤工序工作时间计算，为250天/年，每天工作约10h</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bCs/>
                <w:color w:val="FF0000"/>
                <w:szCs w:val="21"/>
                <w:highlight w:val="none"/>
                <w:lang w:val="en-US" w:eastAsia="zh-CN"/>
              </w:rPr>
              <w:t>喷淋废水循环使用，</w:t>
            </w:r>
            <w:r>
              <w:rPr>
                <w:rFonts w:hint="eastAsia" w:ascii="Times New Roman" w:hAnsi="Times New Roman" w:eastAsia="宋体" w:cs="Times New Roman"/>
                <w:color w:val="FF0000"/>
                <w:sz w:val="24"/>
                <w:lang w:val="en-US" w:eastAsia="zh-CN"/>
              </w:rPr>
              <w:t>根据</w:t>
            </w:r>
            <w:r>
              <w:rPr>
                <w:rFonts w:hint="eastAsia" w:ascii="Times New Roman" w:hAnsi="Times New Roman" w:eastAsia="宋体" w:cs="Times New Roman"/>
                <w:color w:val="FF0000"/>
                <w:sz w:val="24"/>
                <w:szCs w:val="24"/>
                <w:highlight w:val="none"/>
                <w:lang w:val="en-US" w:eastAsia="zh-CN"/>
              </w:rPr>
              <w:t>《工业循环水冷却设计规范》（GB/T50102-2014）</w:t>
            </w:r>
            <w:r>
              <w:rPr>
                <w:rFonts w:hint="eastAsia" w:ascii="Times New Roman" w:hAnsi="Times New Roman" w:eastAsia="宋体" w:cs="Times New Roman"/>
                <w:color w:val="FF0000"/>
                <w:sz w:val="24"/>
                <w:lang w:val="en-US" w:eastAsia="zh-CN"/>
              </w:rPr>
              <w:t>，</w:t>
            </w:r>
            <w:r>
              <w:rPr>
                <w:rFonts w:ascii="Times New Roman" w:hAnsi="Times New Roman" w:eastAsia="宋体" w:cs="Times New Roman"/>
                <w:color w:val="FF0000"/>
                <w:kern w:val="0"/>
                <w:sz w:val="24"/>
                <w:lang w:eastAsia="zh-TW"/>
              </w:rPr>
              <w:t>每天需补充新鲜水占循环用水量的</w:t>
            </w:r>
            <w:r>
              <w:rPr>
                <w:rFonts w:ascii="Times New Roman" w:hAnsi="Times New Roman" w:eastAsia="宋体" w:cs="Times New Roman"/>
                <w:color w:val="FF0000"/>
                <w:kern w:val="0"/>
                <w:sz w:val="24"/>
              </w:rPr>
              <w:t>2</w:t>
            </w:r>
            <w:r>
              <w:rPr>
                <w:rFonts w:ascii="Times New Roman" w:hAnsi="Times New Roman" w:eastAsia="宋体" w:cs="Times New Roman"/>
                <w:color w:val="FF0000"/>
                <w:kern w:val="0"/>
                <w:sz w:val="24"/>
                <w:lang w:eastAsia="zh-TW"/>
              </w:rPr>
              <w:t>%</w:t>
            </w:r>
            <w:r>
              <w:rPr>
                <w:rFonts w:hint="eastAsia" w:cs="Times New Roman"/>
                <w:bCs/>
                <w:color w:val="FF0000"/>
                <w:szCs w:val="21"/>
                <w:highlight w:val="none"/>
                <w:lang w:val="en-US" w:eastAsia="zh-CN"/>
              </w:rPr>
              <w:t>，则需补充的水量为1t/d（250t/a）；</w:t>
            </w:r>
            <w:r>
              <w:rPr>
                <w:rFonts w:hint="default" w:ascii="Times New Roman" w:hAnsi="Times New Roman" w:eastAsia="宋体" w:cs="Times New Roman"/>
                <w:b w:val="0"/>
                <w:bCs/>
                <w:color w:val="FF0000"/>
                <w:kern w:val="2"/>
                <w:sz w:val="24"/>
                <w:szCs w:val="24"/>
                <w:lang w:val="en-US" w:eastAsia="zh-CN" w:bidi="ar-SA"/>
              </w:rPr>
              <w:t>喷淋塔废水</w:t>
            </w:r>
            <w:r>
              <w:rPr>
                <w:rFonts w:hint="eastAsia" w:cs="Times New Roman"/>
                <w:b w:val="0"/>
                <w:bCs/>
                <w:color w:val="FF0000"/>
                <w:kern w:val="2"/>
                <w:sz w:val="24"/>
                <w:szCs w:val="24"/>
                <w:lang w:val="en-US" w:eastAsia="zh-CN" w:bidi="ar-SA"/>
              </w:rPr>
              <w:t>半年</w:t>
            </w:r>
            <w:r>
              <w:rPr>
                <w:rFonts w:hint="default" w:ascii="Times New Roman" w:hAnsi="Times New Roman" w:eastAsia="宋体" w:cs="Times New Roman"/>
                <w:b w:val="0"/>
                <w:bCs/>
                <w:color w:val="FF0000"/>
                <w:kern w:val="2"/>
                <w:sz w:val="24"/>
                <w:szCs w:val="24"/>
                <w:lang w:val="en-US" w:eastAsia="zh-CN" w:bidi="ar-SA"/>
              </w:rPr>
              <w:t>更换一次，则</w:t>
            </w:r>
            <w:r>
              <w:rPr>
                <w:rFonts w:hint="eastAsia" w:cs="Times New Roman"/>
                <w:b w:val="0"/>
                <w:bCs/>
                <w:color w:val="FF0000"/>
                <w:kern w:val="2"/>
                <w:sz w:val="24"/>
                <w:szCs w:val="24"/>
                <w:lang w:val="en-US" w:eastAsia="zh-CN" w:bidi="ar-SA"/>
              </w:rPr>
              <w:t>更换量</w:t>
            </w:r>
            <w:r>
              <w:rPr>
                <w:rFonts w:hint="eastAsia" w:ascii="Times New Roman" w:hAnsi="Times New Roman" w:eastAsia="宋体" w:cs="Times New Roman"/>
                <w:bCs/>
                <w:color w:val="FF0000"/>
                <w:szCs w:val="21"/>
                <w:highlight w:val="none"/>
                <w:lang w:val="en-US" w:eastAsia="zh-CN"/>
              </w:rPr>
              <w:t>为</w:t>
            </w:r>
            <w:r>
              <w:rPr>
                <w:rFonts w:hint="eastAsia" w:cs="Times New Roman"/>
                <w:bCs/>
                <w:color w:val="FF0000"/>
                <w:szCs w:val="21"/>
                <w:highlight w:val="none"/>
                <w:lang w:val="en-US" w:eastAsia="zh-CN"/>
              </w:rPr>
              <w:t>0.006t/d（1.413</w:t>
            </w:r>
            <w:r>
              <w:rPr>
                <w:rFonts w:hint="eastAsia" w:ascii="Times New Roman" w:hAnsi="Times New Roman" w:eastAsia="宋体" w:cs="Times New Roman"/>
                <w:b w:val="0"/>
                <w:bCs/>
                <w:color w:val="FF0000"/>
                <w:kern w:val="2"/>
                <w:sz w:val="24"/>
                <w:szCs w:val="24"/>
                <w:lang w:val="en-US" w:eastAsia="zh-CN" w:bidi="ar-SA"/>
              </w:rPr>
              <w:t>t/a</w:t>
            </w:r>
            <w:r>
              <w:rPr>
                <w:rFonts w:hint="eastAsia" w:cs="Times New Roman"/>
                <w:bCs/>
                <w:color w:val="FF0000"/>
                <w:szCs w:val="21"/>
                <w:highlight w:val="none"/>
                <w:lang w:val="en-US" w:eastAsia="zh-CN"/>
              </w:rPr>
              <w:t>）</w:t>
            </w:r>
            <w:r>
              <w:rPr>
                <w:rFonts w:hint="eastAsia" w:ascii="Times New Roman" w:hAnsi="Times New Roman" w:eastAsia="宋体" w:cs="Times New Roman"/>
                <w:b w:val="0"/>
                <w:bCs/>
                <w:color w:val="FF0000"/>
                <w:kern w:val="2"/>
                <w:sz w:val="24"/>
                <w:szCs w:val="24"/>
                <w:lang w:val="en-US" w:eastAsia="zh-CN" w:bidi="ar-SA"/>
              </w:rPr>
              <w:t>，</w:t>
            </w:r>
            <w:r>
              <w:rPr>
                <w:rFonts w:hint="default" w:ascii="Times New Roman" w:hAnsi="Times New Roman" w:eastAsia="宋体" w:cs="Times New Roman"/>
                <w:bCs/>
                <w:color w:val="FF0000"/>
                <w:szCs w:val="21"/>
                <w:highlight w:val="none"/>
                <w:lang w:val="en-US" w:eastAsia="zh-CN"/>
              </w:rPr>
              <w:t>则</w:t>
            </w:r>
            <w:r>
              <w:rPr>
                <w:rFonts w:hint="eastAsia" w:cs="Times New Roman"/>
                <w:bCs/>
                <w:color w:val="FF0000"/>
                <w:szCs w:val="21"/>
                <w:highlight w:val="none"/>
                <w:lang w:val="en-US" w:eastAsia="zh-CN"/>
              </w:rPr>
              <w:t>处理喷漆</w:t>
            </w:r>
            <w:r>
              <w:rPr>
                <w:rFonts w:hint="eastAsia" w:cs="Times New Roman"/>
                <w:color w:val="FF0000"/>
                <w:sz w:val="24"/>
                <w:szCs w:val="24"/>
                <w:lang w:val="en-US" w:eastAsia="zh-CN"/>
              </w:rPr>
              <w:t>及烘烤、丝印及烘烤废气的</w:t>
            </w:r>
            <w:r>
              <w:rPr>
                <w:rFonts w:hint="default" w:ascii="Times New Roman" w:hAnsi="Times New Roman" w:eastAsia="宋体" w:cs="Times New Roman"/>
                <w:bCs/>
                <w:color w:val="FF0000"/>
                <w:szCs w:val="21"/>
                <w:highlight w:val="none"/>
                <w:lang w:val="en-US" w:eastAsia="zh-CN"/>
              </w:rPr>
              <w:t>喷淋塔</w:t>
            </w:r>
            <w:r>
              <w:rPr>
                <w:rFonts w:hint="eastAsia" w:cs="Times New Roman"/>
                <w:bCs/>
                <w:color w:val="FF0000"/>
                <w:szCs w:val="21"/>
                <w:highlight w:val="none"/>
                <w:lang w:val="en-US" w:eastAsia="zh-CN"/>
              </w:rPr>
              <w:t>总用</w:t>
            </w:r>
            <w:r>
              <w:rPr>
                <w:rFonts w:hint="default" w:ascii="Times New Roman" w:hAnsi="Times New Roman" w:eastAsia="宋体" w:cs="Times New Roman"/>
                <w:bCs/>
                <w:color w:val="FF0000"/>
                <w:szCs w:val="21"/>
                <w:highlight w:val="none"/>
                <w:lang w:val="en-US" w:eastAsia="zh-CN"/>
              </w:rPr>
              <w:t>水量</w:t>
            </w:r>
            <w:r>
              <w:rPr>
                <w:rFonts w:hint="eastAsia" w:ascii="Times New Roman" w:hAnsi="Times New Roman" w:eastAsia="宋体" w:cs="Times New Roman"/>
                <w:bCs/>
                <w:color w:val="FF0000"/>
                <w:szCs w:val="21"/>
                <w:highlight w:val="none"/>
                <w:lang w:val="en-US" w:eastAsia="zh-CN"/>
              </w:rPr>
              <w:t>为</w:t>
            </w:r>
            <w:r>
              <w:rPr>
                <w:rFonts w:hint="eastAsia" w:cs="Times New Roman"/>
                <w:bCs/>
                <w:color w:val="FF0000"/>
                <w:szCs w:val="21"/>
                <w:highlight w:val="none"/>
                <w:lang w:val="en-US" w:eastAsia="zh-CN"/>
              </w:rPr>
              <w:t>1.006t</w:t>
            </w:r>
            <w:r>
              <w:rPr>
                <w:rFonts w:hint="default" w:ascii="Times New Roman" w:hAnsi="Times New Roman" w:eastAsia="宋体" w:cs="Times New Roman"/>
                <w:bCs/>
                <w:color w:val="FF0000"/>
                <w:szCs w:val="21"/>
                <w:highlight w:val="none"/>
                <w:lang w:val="en-US" w:eastAsia="zh-CN"/>
              </w:rPr>
              <w:t>/d（</w:t>
            </w:r>
            <w:r>
              <w:rPr>
                <w:rFonts w:hint="eastAsia" w:cs="Times New Roman"/>
                <w:bCs/>
                <w:color w:val="FF0000"/>
                <w:szCs w:val="21"/>
                <w:highlight w:val="none"/>
                <w:lang w:val="en-US" w:eastAsia="zh-CN"/>
              </w:rPr>
              <w:t>251.413t</w:t>
            </w:r>
            <w:r>
              <w:rPr>
                <w:rFonts w:hint="default" w:ascii="Times New Roman" w:hAnsi="Times New Roman" w:eastAsia="宋体" w:cs="Times New Roman"/>
                <w:bCs/>
                <w:color w:val="FF0000"/>
                <w:szCs w:val="21"/>
                <w:highlight w:val="none"/>
                <w:lang w:val="en-US" w:eastAsia="zh-CN"/>
              </w:rPr>
              <w:t>/a）</w:t>
            </w:r>
            <w:r>
              <w:rPr>
                <w:rFonts w:hint="eastAsia" w:ascii="Times New Roman" w:hAnsi="Times New Roman" w:cs="Times New Roman"/>
                <w:bCs/>
                <w:color w:val="FF0000"/>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cs="Times New Roman"/>
                <w:color w:val="auto"/>
                <w:sz w:val="24"/>
                <w:szCs w:val="24"/>
                <w:lang w:val="en-US" w:eastAsia="zh-CN"/>
              </w:rPr>
              <w:t>④喷枪清洗</w:t>
            </w:r>
            <w:r>
              <w:rPr>
                <w:rFonts w:hint="eastAsia" w:cs="Times New Roman"/>
                <w:bCs/>
                <w:color w:val="FF0000"/>
                <w:sz w:val="24"/>
                <w:szCs w:val="24"/>
                <w:lang w:val="en-US" w:eastAsia="zh-CN"/>
              </w:rPr>
              <w:t>给排水</w:t>
            </w:r>
            <w:r>
              <w:rPr>
                <w:rFonts w:hint="default" w:ascii="Times New Roman" w:hAnsi="Times New Roman" w:eastAsia="宋体"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FF0000"/>
                <w:sz w:val="24"/>
                <w:szCs w:val="24"/>
                <w:highlight w:val="none"/>
                <w:lang w:val="en-US" w:eastAsia="zh-CN"/>
              </w:rPr>
            </w:pPr>
            <w:r>
              <w:rPr>
                <w:rFonts w:hint="eastAsia" w:cs="Times New Roman"/>
                <w:color w:val="auto"/>
                <w:sz w:val="24"/>
                <w:szCs w:val="24"/>
                <w:lang w:val="en-US" w:eastAsia="zh-CN"/>
              </w:rPr>
              <w:t>本</w:t>
            </w:r>
            <w:r>
              <w:rPr>
                <w:rFonts w:hint="default" w:ascii="Times New Roman" w:hAnsi="Times New Roman" w:eastAsia="宋体" w:cs="Times New Roman"/>
                <w:color w:val="auto"/>
                <w:sz w:val="24"/>
              </w:rPr>
              <w:t>项目喷枪使用完后需进行清洗。项目</w:t>
            </w:r>
            <w:r>
              <w:rPr>
                <w:rFonts w:hint="eastAsia" w:ascii="Times New Roman" w:hAnsi="Times New Roman" w:eastAsia="宋体" w:cs="Times New Roman"/>
                <w:color w:val="auto"/>
                <w:sz w:val="24"/>
                <w:lang w:val="en-US" w:eastAsia="zh-CN"/>
              </w:rPr>
              <w:t>拟设</w:t>
            </w:r>
            <w:r>
              <w:rPr>
                <w:rFonts w:hint="default" w:ascii="Times New Roman" w:hAnsi="Times New Roman" w:eastAsia="宋体" w:cs="Times New Roman"/>
                <w:color w:val="auto"/>
                <w:sz w:val="24"/>
                <w:lang w:val="en-US" w:eastAsia="zh-CN"/>
              </w:rPr>
              <w:t>一</w:t>
            </w:r>
            <w:r>
              <w:rPr>
                <w:rFonts w:hint="default" w:ascii="Times New Roman" w:hAnsi="Times New Roman" w:eastAsia="宋体" w:cs="Times New Roman"/>
                <w:color w:val="auto"/>
                <w:sz w:val="24"/>
              </w:rPr>
              <w:t>个</w:t>
            </w:r>
            <w:r>
              <w:rPr>
                <w:rFonts w:hint="eastAsia" w:ascii="Times New Roman" w:hAnsi="Times New Roman" w:eastAsia="宋体" w:cs="Times New Roman"/>
                <w:color w:val="auto"/>
                <w:sz w:val="24"/>
                <w:lang w:val="en-US" w:eastAsia="zh-CN"/>
              </w:rPr>
              <w:t>清洗</w:t>
            </w:r>
            <w:r>
              <w:rPr>
                <w:rFonts w:hint="default" w:ascii="Times New Roman" w:hAnsi="Times New Roman" w:eastAsia="宋体" w:cs="Times New Roman"/>
                <w:color w:val="auto"/>
                <w:sz w:val="24"/>
              </w:rPr>
              <w:t>桶，将喷枪放置于塑胶清洗桶中</w:t>
            </w:r>
            <w:r>
              <w:rPr>
                <w:rFonts w:hint="eastAsia" w:cs="Times New Roman"/>
                <w:color w:val="auto"/>
                <w:sz w:val="24"/>
                <w:lang w:eastAsia="zh-CN"/>
              </w:rPr>
              <w:t>，</w:t>
            </w:r>
            <w:r>
              <w:rPr>
                <w:rFonts w:hint="eastAsia" w:cs="Times New Roman"/>
                <w:color w:val="auto"/>
                <w:sz w:val="24"/>
                <w:lang w:val="en-US" w:eastAsia="zh-CN"/>
              </w:rPr>
              <w:t>使用自来水</w:t>
            </w:r>
            <w:r>
              <w:rPr>
                <w:rFonts w:hint="default" w:ascii="Times New Roman" w:hAnsi="Times New Roman" w:eastAsia="宋体" w:cs="Times New Roman"/>
                <w:color w:val="auto"/>
                <w:sz w:val="24"/>
              </w:rPr>
              <w:t>清洗，</w:t>
            </w:r>
            <w:r>
              <w:rPr>
                <w:rFonts w:hint="eastAsia" w:cs="Times New Roman"/>
                <w:color w:val="auto"/>
                <w:sz w:val="24"/>
                <w:lang w:val="en-US" w:eastAsia="zh-CN"/>
              </w:rPr>
              <w:t>主要</w:t>
            </w:r>
            <w:r>
              <w:rPr>
                <w:rFonts w:hint="default" w:ascii="Times New Roman" w:hAnsi="Times New Roman" w:eastAsia="宋体" w:cs="Times New Roman"/>
                <w:color w:val="auto"/>
                <w:sz w:val="24"/>
              </w:rPr>
              <w:t>清洗喷头与管道，使用吸水喷水方式进行清洗，无需添加任何药剂，</w:t>
            </w:r>
            <w:r>
              <w:rPr>
                <w:rFonts w:hint="default" w:ascii="Times New Roman" w:hAnsi="Times New Roman" w:eastAsia="宋体" w:cs="Times New Roman"/>
                <w:color w:val="auto"/>
                <w:sz w:val="24"/>
                <w:lang w:val="en-US" w:eastAsia="zh-CN"/>
              </w:rPr>
              <w:t>项目</w:t>
            </w:r>
            <w:r>
              <w:rPr>
                <w:rFonts w:hint="eastAsia" w:cs="Times New Roman"/>
                <w:color w:val="auto"/>
                <w:sz w:val="24"/>
                <w:lang w:val="en-US" w:eastAsia="zh-CN"/>
              </w:rPr>
              <w:t>拟设4</w:t>
            </w:r>
            <w:r>
              <w:rPr>
                <w:rFonts w:hint="default" w:ascii="Times New Roman" w:hAnsi="Times New Roman" w:eastAsia="宋体" w:cs="Times New Roman"/>
                <w:color w:val="auto"/>
                <w:sz w:val="24"/>
                <w:lang w:val="en-US" w:eastAsia="zh-CN"/>
              </w:rPr>
              <w:t>把喷枪</w:t>
            </w:r>
            <w:r>
              <w:rPr>
                <w:rFonts w:hint="default" w:ascii="Times New Roman" w:hAnsi="Times New Roman" w:eastAsia="宋体" w:cs="Times New Roman"/>
                <w:color w:val="auto"/>
                <w:sz w:val="24"/>
              </w:rPr>
              <w:t>，清洗桶</w:t>
            </w:r>
            <w:r>
              <w:rPr>
                <w:rFonts w:hint="eastAsia" w:cs="Times New Roman"/>
                <w:color w:val="auto"/>
                <w:sz w:val="24"/>
                <w:lang w:val="en-US" w:eastAsia="zh-CN"/>
              </w:rPr>
              <w:t>加水量</w:t>
            </w:r>
            <w:r>
              <w:rPr>
                <w:rFonts w:hint="default" w:ascii="Times New Roman" w:hAnsi="Times New Roman" w:eastAsia="宋体" w:cs="Times New Roman"/>
                <w:color w:val="auto"/>
                <w:sz w:val="24"/>
              </w:rPr>
              <w:t>为</w:t>
            </w:r>
            <w:r>
              <w:rPr>
                <w:rFonts w:hint="eastAsia" w:ascii="Times New Roman" w:hAnsi="Times New Roman" w:eastAsia="宋体" w:cs="Times New Roman"/>
                <w:color w:val="auto"/>
                <w:sz w:val="24"/>
                <w:lang w:val="en-US" w:eastAsia="zh-CN"/>
              </w:rPr>
              <w:t>2</w:t>
            </w:r>
            <w:r>
              <w:rPr>
                <w:rFonts w:hint="eastAsia" w:cs="Times New Roman"/>
                <w:color w:val="auto"/>
                <w:sz w:val="24"/>
                <w:lang w:val="en-US" w:eastAsia="zh-CN"/>
              </w:rPr>
              <w:t>5</w:t>
            </w:r>
            <w:r>
              <w:rPr>
                <w:rFonts w:hint="eastAsia" w:ascii="Times New Roman" w:hAnsi="Times New Roman" w:eastAsia="宋体" w:cs="Times New Roman"/>
                <w:color w:val="auto"/>
                <w:sz w:val="24"/>
                <w:lang w:val="en-US" w:eastAsia="zh-CN"/>
              </w:rPr>
              <w:t>L</w:t>
            </w:r>
            <w:r>
              <w:rPr>
                <w:rFonts w:hint="default" w:ascii="Times New Roman" w:hAnsi="Times New Roman" w:eastAsia="宋体" w:cs="Times New Roman"/>
                <w:color w:val="auto"/>
                <w:sz w:val="24"/>
              </w:rPr>
              <w:t>，清洗频率为1天</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次，年工作</w:t>
            </w:r>
            <w:r>
              <w:rPr>
                <w:rFonts w:hint="eastAsia" w:cs="Times New Roman"/>
                <w:color w:val="FF0000"/>
                <w:sz w:val="24"/>
                <w:lang w:val="en-US" w:eastAsia="zh-CN"/>
              </w:rPr>
              <w:t>250</w:t>
            </w:r>
            <w:r>
              <w:rPr>
                <w:rFonts w:hint="default" w:ascii="Times New Roman" w:hAnsi="Times New Roman" w:eastAsia="宋体" w:cs="Times New Roman"/>
                <w:color w:val="auto"/>
                <w:sz w:val="24"/>
              </w:rPr>
              <w:t>天，则喷枪清洗用水量约为</w:t>
            </w:r>
            <w:r>
              <w:rPr>
                <w:rFonts w:hint="eastAsia" w:cs="Times New Roman"/>
                <w:color w:val="auto"/>
                <w:sz w:val="24"/>
                <w:lang w:val="en-US" w:eastAsia="zh-CN"/>
              </w:rPr>
              <w:t>0.025</w:t>
            </w:r>
            <w:r>
              <w:rPr>
                <w:rFonts w:hint="default" w:ascii="Times New Roman" w:hAnsi="Times New Roman" w:eastAsia="宋体" w:cs="Times New Roman"/>
                <w:color w:val="auto"/>
                <w:sz w:val="24"/>
              </w:rPr>
              <w:t>t/d（</w:t>
            </w:r>
            <w:r>
              <w:rPr>
                <w:rFonts w:hint="eastAsia" w:cs="Times New Roman"/>
                <w:color w:val="auto"/>
                <w:sz w:val="24"/>
                <w:lang w:val="en-US" w:eastAsia="zh-CN"/>
              </w:rPr>
              <w:t>6.25</w:t>
            </w:r>
            <w:r>
              <w:rPr>
                <w:rFonts w:hint="default" w:ascii="Times New Roman" w:hAnsi="Times New Roman" w:eastAsia="宋体" w:cs="Times New Roman"/>
                <w:color w:val="auto"/>
                <w:sz w:val="24"/>
              </w:rPr>
              <w:t>t/a）</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FF0000"/>
                <w:sz w:val="24"/>
                <w:szCs w:val="24"/>
                <w:highlight w:val="none"/>
                <w:lang w:val="en-US" w:eastAsia="zh-CN"/>
              </w:rPr>
              <w:t>产污系数按0.9计，则</w:t>
            </w:r>
            <w:r>
              <w:rPr>
                <w:rFonts w:hint="eastAsia" w:ascii="Times New Roman" w:cs="Times New Roman"/>
                <w:color w:val="FF0000"/>
                <w:sz w:val="24"/>
                <w:szCs w:val="24"/>
                <w:highlight w:val="none"/>
                <w:lang w:val="en-US" w:eastAsia="zh-CN"/>
              </w:rPr>
              <w:t>喷枪</w:t>
            </w:r>
            <w:r>
              <w:rPr>
                <w:rFonts w:hint="default" w:ascii="Times New Roman" w:hAnsi="Times New Roman" w:eastAsia="宋体" w:cs="Times New Roman"/>
                <w:color w:val="FF0000"/>
                <w:sz w:val="24"/>
                <w:szCs w:val="24"/>
                <w:highlight w:val="none"/>
                <w:lang w:val="en-US" w:eastAsia="zh-CN"/>
              </w:rPr>
              <w:t>清洗废水量约为</w:t>
            </w:r>
            <w:r>
              <w:rPr>
                <w:rFonts w:hint="eastAsia" w:ascii="Times New Roman" w:hAnsi="Times New Roman" w:eastAsia="宋体" w:cs="Times New Roman"/>
                <w:color w:val="FF0000"/>
                <w:sz w:val="24"/>
                <w:szCs w:val="24"/>
                <w:highlight w:val="none"/>
                <w:lang w:val="en-US" w:eastAsia="zh-CN"/>
              </w:rPr>
              <w:t>0.023</w:t>
            </w:r>
            <w:r>
              <w:rPr>
                <w:rFonts w:hint="default" w:ascii="Times New Roman" w:hAnsi="Times New Roman" w:eastAsia="宋体" w:cs="Times New Roman"/>
                <w:color w:val="FF0000"/>
                <w:sz w:val="24"/>
                <w:szCs w:val="24"/>
                <w:highlight w:val="none"/>
                <w:lang w:val="en-US" w:eastAsia="zh-CN"/>
              </w:rPr>
              <w:t>t/d（</w:t>
            </w:r>
            <w:r>
              <w:rPr>
                <w:rFonts w:hint="eastAsia" w:ascii="Times New Roman" w:hAnsi="Times New Roman" w:eastAsia="宋体" w:cs="Times New Roman"/>
                <w:color w:val="FF0000"/>
                <w:sz w:val="24"/>
                <w:szCs w:val="24"/>
                <w:highlight w:val="none"/>
                <w:lang w:val="en-US" w:eastAsia="zh-CN"/>
              </w:rPr>
              <w:t>5.625</w:t>
            </w:r>
            <w:r>
              <w:rPr>
                <w:rFonts w:hint="default" w:ascii="Times New Roman" w:hAnsi="Times New Roman" w:eastAsia="宋体" w:cs="Times New Roman"/>
                <w:color w:val="FF0000"/>
                <w:sz w:val="24"/>
                <w:szCs w:val="24"/>
                <w:highlight w:val="none"/>
                <w:lang w:val="en-US" w:eastAsia="zh-CN"/>
              </w:rPr>
              <w:t>t/a）</w:t>
            </w:r>
            <w:r>
              <w:rPr>
                <w:rFonts w:hint="eastAsia" w:ascii="Times New Roman" w:hAnsi="Times New Roman" w:eastAsia="宋体" w:cs="Times New Roman"/>
                <w:color w:val="FF0000"/>
                <w:sz w:val="24"/>
                <w:szCs w:val="24"/>
                <w:highlight w:val="none"/>
                <w:lang w:val="en-US" w:eastAsia="zh-CN"/>
              </w:rPr>
              <w:t>。</w:t>
            </w:r>
          </w:p>
          <w:p>
            <w:pPr>
              <w:pStyle w:val="48"/>
              <w:jc w:val="center"/>
              <w:rPr>
                <w:rFonts w:hint="default"/>
                <w:color w:val="auto"/>
                <w:lang w:val="en-US" w:eastAsia="zh-CN"/>
              </w:rPr>
            </w:pPr>
            <w:r>
              <w:rPr>
                <w:rFonts w:hint="default"/>
                <w:color w:val="auto"/>
                <w:lang w:val="en-US" w:eastAsia="zh-CN"/>
              </w:rPr>
              <w:object>
                <v:shape id="_x0000_i1026" o:spt="75" type="#_x0000_t75" style="height:316pt;width:458pt;" o:ole="t" filled="f" o:preferrelative="t" stroked="f" coordsize="21600,21600">
                  <v:path/>
                  <v:fill on="f" focussize="0,0"/>
                  <v:stroke on="f"/>
                  <v:imagedata r:id="rId16" o:title=""/>
                  <o:lock v:ext="edit" aspectratio="f"/>
                  <w10:wrap type="none"/>
                  <w10:anchorlock/>
                </v:shape>
                <o:OLEObject Type="Embed" ProgID="Visio.Drawing.11" ShapeID="_x0000_i1026" DrawAspect="Content" ObjectID="_1468075726" r:id="rId15">
                  <o:LockedField>false</o:LockedField>
                </o:OLEObject>
              </w:object>
            </w:r>
            <w:r>
              <w:rPr>
                <w:rFonts w:hint="eastAsia"/>
                <w:b/>
                <w:bCs/>
                <w:color w:val="4F0FBD"/>
                <w:lang w:val="en-US" w:eastAsia="zh-CN"/>
              </w:rPr>
              <w:t>图1 本项目水平衡图（单位：t/d）</w:t>
            </w:r>
          </w:p>
          <w:p>
            <w:pPr>
              <w:adjustRightInd w:val="0"/>
              <w:snapToGrid w:val="0"/>
              <w:ind w:firstLine="482" w:firstLineChars="200"/>
              <w:rPr>
                <w:b/>
                <w:bCs/>
                <w:color w:val="auto"/>
              </w:rPr>
            </w:pPr>
            <w:r>
              <w:rPr>
                <w:rFonts w:hint="eastAsia"/>
                <w:b/>
                <w:bCs/>
                <w:color w:val="auto"/>
              </w:rPr>
              <w:t>7</w:t>
            </w:r>
            <w:r>
              <w:rPr>
                <w:rFonts w:hint="eastAsia"/>
                <w:b/>
                <w:bCs/>
                <w:color w:val="auto"/>
                <w:lang w:eastAsia="zh-CN"/>
              </w:rPr>
              <w:t>、</w:t>
            </w:r>
            <w:r>
              <w:rPr>
                <w:rFonts w:hint="eastAsia"/>
                <w:b/>
                <w:bCs/>
                <w:color w:val="auto"/>
              </w:rPr>
              <w:t>劳动定员及工作制度</w:t>
            </w:r>
          </w:p>
          <w:p>
            <w:pPr>
              <w:adjustRightInd w:val="0"/>
              <w:snapToGrid w:val="0"/>
              <w:ind w:firstLine="480" w:firstLineChars="200"/>
              <w:jc w:val="both"/>
              <w:rPr>
                <w:rFonts w:hint="default" w:cs="Times New Roman"/>
                <w:color w:val="auto"/>
                <w:lang w:val="en-US" w:eastAsia="zh-CN"/>
              </w:rPr>
            </w:pPr>
            <w:r>
              <w:rPr>
                <w:rFonts w:hint="eastAsia" w:cs="Times New Roman"/>
                <w:color w:val="auto"/>
                <w:lang w:val="en-US" w:eastAsia="zh-CN"/>
              </w:rPr>
              <w:t xml:space="preserve">项目工作制度以及员工人数见下表。 </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项目工作制度及劳动定员一览表</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8"/>
              <w:gridCol w:w="2901"/>
              <w:gridCol w:w="2836"/>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pct"/>
                  <w:vAlign w:val="center"/>
                </w:tcPr>
                <w:p>
                  <w:pPr>
                    <w:pStyle w:val="53"/>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项目</w:t>
                  </w:r>
                </w:p>
              </w:tc>
              <w:tc>
                <w:tcPr>
                  <w:tcW w:w="1604" w:type="pct"/>
                  <w:vAlign w:val="center"/>
                </w:tcPr>
                <w:p>
                  <w:pPr>
                    <w:pStyle w:val="53"/>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扩建前</w:t>
                  </w:r>
                </w:p>
              </w:tc>
              <w:tc>
                <w:tcPr>
                  <w:tcW w:w="1568" w:type="pct"/>
                  <w:vAlign w:val="center"/>
                </w:tcPr>
                <w:p>
                  <w:pPr>
                    <w:pStyle w:val="53"/>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扩建后</w:t>
                  </w:r>
                </w:p>
              </w:tc>
              <w:tc>
                <w:tcPr>
                  <w:tcW w:w="1032" w:type="pct"/>
                  <w:vAlign w:val="center"/>
                </w:tcPr>
                <w:p>
                  <w:pPr>
                    <w:pStyle w:val="53"/>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员工人数</w:t>
                  </w:r>
                </w:p>
              </w:tc>
              <w:tc>
                <w:tcPr>
                  <w:tcW w:w="1604"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200人</w:t>
                  </w:r>
                </w:p>
              </w:tc>
              <w:tc>
                <w:tcPr>
                  <w:tcW w:w="1568"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200人</w:t>
                  </w:r>
                </w:p>
              </w:tc>
              <w:tc>
                <w:tcPr>
                  <w:tcW w:w="1032"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工作制度</w:t>
                  </w:r>
                </w:p>
              </w:tc>
              <w:tc>
                <w:tcPr>
                  <w:tcW w:w="1604"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每天</w:t>
                  </w:r>
                  <w:r>
                    <w:rPr>
                      <w:rFonts w:hint="eastAsia" w:cs="Times New Roman"/>
                      <w:b w:val="0"/>
                      <w:bCs w:val="0"/>
                      <w:color w:val="auto"/>
                      <w:sz w:val="21"/>
                      <w:szCs w:val="21"/>
                      <w:highlight w:val="none"/>
                      <w:vertAlign w:val="baseline"/>
                      <w:lang w:val="en-US" w:eastAsia="zh-CN"/>
                    </w:rPr>
                    <w:t>2</w:t>
                  </w:r>
                  <w:r>
                    <w:rPr>
                      <w:rFonts w:hint="default" w:cs="Times New Roman"/>
                      <w:b w:val="0"/>
                      <w:bCs w:val="0"/>
                      <w:color w:val="auto"/>
                      <w:sz w:val="21"/>
                      <w:szCs w:val="21"/>
                      <w:highlight w:val="none"/>
                      <w:vertAlign w:val="baseline"/>
                      <w:lang w:val="en-US" w:eastAsia="zh-CN"/>
                    </w:rPr>
                    <w:t>班制，每班8小时工作制，全年生产</w:t>
                  </w:r>
                  <w:r>
                    <w:rPr>
                      <w:rFonts w:hint="eastAsia" w:cs="Times New Roman"/>
                      <w:b w:val="0"/>
                      <w:bCs w:val="0"/>
                      <w:color w:val="auto"/>
                      <w:sz w:val="21"/>
                      <w:szCs w:val="21"/>
                      <w:highlight w:val="none"/>
                      <w:vertAlign w:val="baseline"/>
                      <w:lang w:val="en-US" w:eastAsia="zh-CN"/>
                    </w:rPr>
                    <w:t>300</w:t>
                  </w:r>
                  <w:r>
                    <w:rPr>
                      <w:rFonts w:hint="default" w:cs="Times New Roman"/>
                      <w:b w:val="0"/>
                      <w:bCs w:val="0"/>
                      <w:color w:val="auto"/>
                      <w:sz w:val="21"/>
                      <w:szCs w:val="21"/>
                      <w:highlight w:val="none"/>
                      <w:vertAlign w:val="baseline"/>
                      <w:lang w:val="en-US" w:eastAsia="zh-CN"/>
                    </w:rPr>
                    <w:t>天</w:t>
                  </w:r>
                </w:p>
              </w:tc>
              <w:tc>
                <w:tcPr>
                  <w:tcW w:w="1568"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每天</w:t>
                  </w:r>
                  <w:r>
                    <w:rPr>
                      <w:rFonts w:hint="eastAsia" w:cs="Times New Roman"/>
                      <w:b w:val="0"/>
                      <w:bCs w:val="0"/>
                      <w:color w:val="auto"/>
                      <w:sz w:val="21"/>
                      <w:szCs w:val="21"/>
                      <w:highlight w:val="none"/>
                      <w:vertAlign w:val="baseline"/>
                      <w:lang w:val="en-US" w:eastAsia="zh-CN"/>
                    </w:rPr>
                    <w:t>2</w:t>
                  </w:r>
                  <w:r>
                    <w:rPr>
                      <w:rFonts w:hint="default" w:cs="Times New Roman"/>
                      <w:b w:val="0"/>
                      <w:bCs w:val="0"/>
                      <w:color w:val="auto"/>
                      <w:sz w:val="21"/>
                      <w:szCs w:val="21"/>
                      <w:highlight w:val="none"/>
                      <w:vertAlign w:val="baseline"/>
                      <w:lang w:val="en-US" w:eastAsia="zh-CN"/>
                    </w:rPr>
                    <w:t>班制，每班8小时工作制，全年生产</w:t>
                  </w:r>
                  <w:r>
                    <w:rPr>
                      <w:rFonts w:hint="eastAsia" w:cs="Times New Roman"/>
                      <w:b w:val="0"/>
                      <w:bCs w:val="0"/>
                      <w:color w:val="auto"/>
                      <w:sz w:val="21"/>
                      <w:szCs w:val="21"/>
                      <w:highlight w:val="none"/>
                      <w:vertAlign w:val="baseline"/>
                      <w:lang w:val="en-US" w:eastAsia="zh-CN"/>
                    </w:rPr>
                    <w:t>300</w:t>
                  </w:r>
                  <w:r>
                    <w:rPr>
                      <w:rFonts w:hint="default" w:cs="Times New Roman"/>
                      <w:b w:val="0"/>
                      <w:bCs w:val="0"/>
                      <w:color w:val="auto"/>
                      <w:sz w:val="21"/>
                      <w:szCs w:val="21"/>
                      <w:highlight w:val="none"/>
                      <w:vertAlign w:val="baseline"/>
                      <w:lang w:val="en-US" w:eastAsia="zh-CN"/>
                    </w:rPr>
                    <w:t>天</w:t>
                  </w:r>
                </w:p>
              </w:tc>
              <w:tc>
                <w:tcPr>
                  <w:tcW w:w="1032"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食宿情况</w:t>
                  </w:r>
                </w:p>
              </w:tc>
              <w:tc>
                <w:tcPr>
                  <w:tcW w:w="1604"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均在</w:t>
                  </w:r>
                  <w:r>
                    <w:rPr>
                      <w:rFonts w:hint="eastAsia" w:cs="Times New Roman"/>
                      <w:b w:val="0"/>
                      <w:bCs w:val="0"/>
                      <w:color w:val="auto"/>
                      <w:sz w:val="21"/>
                      <w:szCs w:val="21"/>
                      <w:highlight w:val="none"/>
                      <w:vertAlign w:val="baseline"/>
                      <w:lang w:val="en-US" w:eastAsia="zh-CN"/>
                    </w:rPr>
                    <w:t>厂区内</w:t>
                  </w:r>
                  <w:r>
                    <w:rPr>
                      <w:rFonts w:hint="default" w:cs="Times New Roman"/>
                      <w:b w:val="0"/>
                      <w:bCs w:val="0"/>
                      <w:color w:val="auto"/>
                      <w:sz w:val="21"/>
                      <w:szCs w:val="21"/>
                      <w:highlight w:val="none"/>
                      <w:vertAlign w:val="baseline"/>
                      <w:lang w:val="en-US" w:eastAsia="zh-CN"/>
                    </w:rPr>
                    <w:t>食宿</w:t>
                  </w:r>
                </w:p>
              </w:tc>
              <w:tc>
                <w:tcPr>
                  <w:tcW w:w="1568"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均在</w:t>
                  </w:r>
                  <w:r>
                    <w:rPr>
                      <w:rFonts w:hint="eastAsia" w:cs="Times New Roman"/>
                      <w:b w:val="0"/>
                      <w:bCs w:val="0"/>
                      <w:color w:val="auto"/>
                      <w:sz w:val="21"/>
                      <w:szCs w:val="21"/>
                      <w:highlight w:val="none"/>
                      <w:vertAlign w:val="baseline"/>
                      <w:lang w:val="en-US" w:eastAsia="zh-CN"/>
                    </w:rPr>
                    <w:t>厂区内</w:t>
                  </w:r>
                  <w:r>
                    <w:rPr>
                      <w:rFonts w:hint="default" w:cs="Times New Roman"/>
                      <w:b w:val="0"/>
                      <w:bCs w:val="0"/>
                      <w:color w:val="auto"/>
                      <w:sz w:val="21"/>
                      <w:szCs w:val="21"/>
                      <w:highlight w:val="none"/>
                      <w:vertAlign w:val="baseline"/>
                      <w:lang w:val="en-US" w:eastAsia="zh-CN"/>
                    </w:rPr>
                    <w:t>食宿</w:t>
                  </w:r>
                </w:p>
              </w:tc>
              <w:tc>
                <w:tcPr>
                  <w:tcW w:w="1032" w:type="pct"/>
                  <w:vAlign w:val="center"/>
                </w:tcPr>
                <w:p>
                  <w:pPr>
                    <w:pStyle w:val="53"/>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无变化</w:t>
                  </w:r>
                </w:p>
              </w:tc>
            </w:tr>
          </w:tbl>
          <w:p>
            <w:pPr>
              <w:adjustRightInd w:val="0"/>
              <w:snapToGrid w:val="0"/>
              <w:ind w:firstLine="482" w:firstLineChars="200"/>
              <w:rPr>
                <w:b/>
                <w:bCs/>
                <w:color w:val="auto"/>
              </w:rPr>
            </w:pPr>
            <w:r>
              <w:rPr>
                <w:rFonts w:hint="eastAsia"/>
                <w:b/>
                <w:bCs/>
                <w:color w:val="auto"/>
              </w:rPr>
              <w:t>8</w:t>
            </w:r>
            <w:r>
              <w:rPr>
                <w:rFonts w:hint="eastAsia"/>
                <w:b/>
                <w:bCs/>
                <w:color w:val="auto"/>
                <w:lang w:eastAsia="zh-CN"/>
              </w:rPr>
              <w:t>、</w:t>
            </w:r>
            <w:r>
              <w:rPr>
                <w:b/>
                <w:bCs/>
                <w:color w:val="auto"/>
              </w:rPr>
              <w:t>四至情况及平面布局</w:t>
            </w:r>
          </w:p>
          <w:p>
            <w:pPr>
              <w:adjustRightInd w:val="0"/>
              <w:snapToGrid w:val="0"/>
              <w:ind w:firstLine="482" w:firstLineChars="200"/>
              <w:rPr>
                <w:color w:val="auto"/>
                <w:highlight w:val="none"/>
              </w:rPr>
            </w:pPr>
            <w:r>
              <w:rPr>
                <w:b/>
                <w:bCs/>
                <w:color w:val="auto"/>
                <w:highlight w:val="none"/>
              </w:rPr>
              <w:t>（1）项目四至情况</w:t>
            </w:r>
          </w:p>
          <w:p>
            <w:pPr>
              <w:adjustRightInd w:val="0"/>
              <w:snapToGrid w:val="0"/>
              <w:ind w:firstLine="480" w:firstLineChars="200"/>
              <w:rPr>
                <w:rFonts w:hint="eastAsia" w:ascii="Times New Roman" w:hAnsi="Times New Roman" w:eastAsia="宋体" w:cs="Times New Roman"/>
                <w:color w:val="auto"/>
                <w:highlight w:val="none"/>
                <w:lang w:val="en-US" w:eastAsia="zh-CN"/>
              </w:rPr>
            </w:pPr>
            <w:r>
              <w:rPr>
                <w:rFonts w:hint="eastAsia"/>
                <w:color w:val="auto"/>
                <w:highlight w:val="none"/>
              </w:rPr>
              <w:t>根据现场勘查，</w:t>
            </w:r>
            <w:r>
              <w:rPr>
                <w:rFonts w:hint="eastAsia"/>
                <w:color w:val="auto"/>
                <w:highlight w:val="none"/>
                <w:lang w:eastAsia="zh-CN"/>
              </w:rPr>
              <w:t>扩建</w:t>
            </w:r>
            <w:r>
              <w:rPr>
                <w:rFonts w:hint="eastAsia" w:ascii="Times New Roman" w:hAnsi="Times New Roman" w:eastAsia="宋体" w:cs="Times New Roman"/>
                <w:color w:val="auto"/>
                <w:highlight w:val="none"/>
                <w:lang w:eastAsia="zh-CN"/>
              </w:rPr>
              <w:t>项目</w:t>
            </w:r>
            <w:r>
              <w:rPr>
                <w:rFonts w:hint="eastAsia" w:ascii="Times New Roman" w:hAnsi="Times New Roman" w:eastAsia="宋体" w:cs="Times New Roman"/>
                <w:color w:val="auto"/>
                <w:highlight w:val="none"/>
              </w:rPr>
              <w:t>在现有项目占地范围内进行，项目四至关系</w:t>
            </w:r>
            <w:r>
              <w:rPr>
                <w:rFonts w:hint="eastAsia" w:cs="Times New Roman"/>
                <w:color w:val="auto"/>
                <w:highlight w:val="none"/>
                <w:lang w:val="en-US" w:eastAsia="zh-CN"/>
              </w:rPr>
              <w:t>见下表，</w:t>
            </w:r>
            <w:r>
              <w:rPr>
                <w:rFonts w:hint="eastAsia" w:ascii="Times New Roman" w:hAnsi="Times New Roman" w:eastAsia="宋体" w:cs="Times New Roman"/>
                <w:color w:val="auto"/>
                <w:highlight w:val="none"/>
              </w:rPr>
              <w:t>图见附图2，现场勘查照片见附图</w:t>
            </w:r>
            <w:r>
              <w:rPr>
                <w:rFonts w:hint="eastAsia" w:cs="Times New Roman"/>
                <w:color w:val="auto"/>
                <w:highlight w:val="none"/>
                <w:lang w:val="en-US" w:eastAsia="zh-CN"/>
              </w:rPr>
              <w:t>4</w:t>
            </w:r>
            <w:r>
              <w:rPr>
                <w:rFonts w:hint="eastAsia" w:ascii="Times New Roman" w:hAnsi="Times New Roman" w:eastAsia="宋体" w:cs="Times New Roman"/>
                <w:color w:val="auto"/>
                <w:highlight w:val="none"/>
                <w:lang w:eastAsia="zh-CN"/>
              </w:rPr>
              <w:t>。</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四至关系一览表</w:t>
            </w:r>
          </w:p>
          <w:tbl>
            <w:tblPr>
              <w:tblStyle w:val="29"/>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5"/>
              <w:gridCol w:w="1239"/>
              <w:gridCol w:w="3740"/>
              <w:gridCol w:w="32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685" w:type="pct"/>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方位</w:t>
                  </w:r>
                </w:p>
              </w:tc>
              <w:tc>
                <w:tcPr>
                  <w:tcW w:w="2067" w:type="pct"/>
                  <w:tcBorders>
                    <w:right w:val="single" w:color="auto" w:sz="4" w:space="0"/>
                  </w:tcBorders>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相邻建筑名称</w:t>
                  </w:r>
                </w:p>
              </w:tc>
              <w:tc>
                <w:tcPr>
                  <w:tcW w:w="1800" w:type="pct"/>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与项目厂界距离（m）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85"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北</w:t>
                  </w:r>
                  <w:r>
                    <w:rPr>
                      <w:rFonts w:hint="default" w:ascii="Times New Roman" w:hAnsi="Times New Roman" w:eastAsia="宋体" w:cs="Times New Roman"/>
                      <w:color w:val="auto"/>
                      <w:sz w:val="21"/>
                      <w:szCs w:val="21"/>
                    </w:rPr>
                    <w:t>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广东海合智能科技有限公司</w:t>
                  </w:r>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68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南亚塑胶工业（惠州）有限公司</w:t>
                  </w:r>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68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西面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惠州隆基电子有限公司</w:t>
                  </w:r>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685" w:type="pct"/>
                  <w:noWrap w:val="0"/>
                  <w:vAlign w:val="center"/>
                </w:tcPr>
                <w:p>
                  <w:pPr>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东</w:t>
                  </w:r>
                  <w:r>
                    <w:rPr>
                      <w:rFonts w:hint="default" w:ascii="Times New Roman" w:hAnsi="Times New Roman" w:eastAsia="宋体" w:cs="Times New Roman"/>
                      <w:color w:val="auto"/>
                      <w:sz w:val="21"/>
                      <w:szCs w:val="21"/>
                    </w:rPr>
                    <w:t>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rPr>
                  </w:pPr>
                  <w:r>
                    <w:rPr>
                      <w:rFonts w:hint="eastAsia" w:cs="Times New Roman"/>
                      <w:color w:val="auto"/>
                      <w:sz w:val="21"/>
                      <w:szCs w:val="21"/>
                      <w:highlight w:val="magenta"/>
                      <w:lang w:val="en-US" w:eastAsia="zh-CN"/>
                    </w:rPr>
                    <w:t>弘</w:t>
                  </w:r>
                  <w:r>
                    <w:rPr>
                      <w:rFonts w:hint="default" w:ascii="Times New Roman" w:hAnsi="Times New Roman" w:eastAsia="宋体" w:cs="Times New Roman"/>
                      <w:color w:val="auto"/>
                      <w:sz w:val="21"/>
                      <w:szCs w:val="21"/>
                      <w:highlight w:val="magenta"/>
                      <w:lang w:val="en-US" w:eastAsia="zh-CN"/>
                    </w:rPr>
                    <w:t>基集团</w:t>
                  </w:r>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p>
              </w:tc>
            </w:tr>
          </w:tbl>
          <w:p>
            <w:pPr>
              <w:adjustRightInd w:val="0"/>
              <w:snapToGrid w:val="0"/>
              <w:ind w:firstLine="482" w:firstLineChars="200"/>
              <w:rPr>
                <w:rFonts w:hint="default" w:eastAsia="宋体"/>
                <w:color w:val="auto"/>
                <w:highlight w:val="none"/>
                <w:lang w:val="en-US" w:eastAsia="zh-CN"/>
              </w:rPr>
            </w:pPr>
            <w:r>
              <w:rPr>
                <w:rFonts w:hint="eastAsia"/>
                <w:b/>
                <w:bCs/>
                <w:color w:val="auto"/>
                <w:highlight w:val="none"/>
              </w:rPr>
              <w:t>（</w:t>
            </w:r>
            <w:r>
              <w:rPr>
                <w:rFonts w:hint="eastAsia"/>
                <w:b/>
                <w:bCs/>
                <w:color w:val="auto"/>
                <w:highlight w:val="none"/>
                <w:lang w:val="en-US" w:eastAsia="zh-CN"/>
              </w:rPr>
              <w:t>2</w:t>
            </w:r>
            <w:r>
              <w:rPr>
                <w:rFonts w:hint="eastAsia"/>
                <w:b/>
                <w:bCs/>
                <w:color w:val="auto"/>
                <w:highlight w:val="none"/>
              </w:rPr>
              <w:t>）平面布局</w:t>
            </w:r>
            <w:r>
              <w:rPr>
                <w:rFonts w:hint="eastAsia"/>
                <w:b/>
                <w:bCs/>
                <w:color w:val="auto"/>
                <w:highlight w:val="none"/>
                <w:lang w:val="en-US" w:eastAsia="zh-CN"/>
              </w:rPr>
              <w:t>及合理性</w:t>
            </w: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r>
              <w:rPr>
                <w:rFonts w:hint="eastAsia" w:ascii="Times New Roman" w:hAnsi="Times New Roman" w:eastAsia="宋体" w:cs="Times New Roman"/>
                <w:bCs/>
                <w:color w:val="auto"/>
                <w:kern w:val="0"/>
                <w:szCs w:val="21"/>
                <w:highlight w:val="none"/>
                <w:lang w:val="en-US" w:eastAsia="zh-CN"/>
              </w:rPr>
              <w:t>项目共1栋</w:t>
            </w:r>
            <w:r>
              <w:rPr>
                <w:rFonts w:hint="eastAsia" w:cs="Times New Roman"/>
                <w:bCs/>
                <w:color w:val="auto"/>
                <w:kern w:val="0"/>
                <w:szCs w:val="21"/>
                <w:highlight w:val="none"/>
                <w:lang w:val="en-US" w:eastAsia="zh-CN"/>
              </w:rPr>
              <w:t>3层生产</w:t>
            </w:r>
            <w:r>
              <w:rPr>
                <w:rFonts w:hint="eastAsia" w:ascii="Times New Roman" w:hAnsi="Times New Roman" w:eastAsia="宋体" w:cs="Times New Roman"/>
                <w:bCs/>
                <w:color w:val="auto"/>
                <w:kern w:val="0"/>
                <w:szCs w:val="21"/>
                <w:highlight w:val="none"/>
                <w:lang w:val="en-US" w:eastAsia="zh-CN"/>
              </w:rPr>
              <w:t>厂房（包括办公区）</w:t>
            </w:r>
            <w:r>
              <w:rPr>
                <w:rFonts w:hint="eastAsia" w:cs="Times New Roman"/>
                <w:bCs/>
                <w:color w:val="auto"/>
                <w:kern w:val="0"/>
                <w:szCs w:val="21"/>
                <w:highlight w:val="none"/>
                <w:lang w:val="en-US" w:eastAsia="zh-CN"/>
              </w:rPr>
              <w:t>、1栋4层管理宿舍、1栋5层员工宿舍</w:t>
            </w:r>
            <w:r>
              <w:rPr>
                <w:rFonts w:hint="eastAsia" w:ascii="Times New Roman" w:hAnsi="Times New Roman" w:eastAsia="宋体" w:cs="Times New Roman"/>
                <w:bCs/>
                <w:color w:val="auto"/>
                <w:kern w:val="0"/>
                <w:szCs w:val="21"/>
                <w:highlight w:val="none"/>
                <w:lang w:val="en-US" w:eastAsia="zh-CN"/>
              </w:rPr>
              <w:t>，</w:t>
            </w:r>
            <w:r>
              <w:rPr>
                <w:rFonts w:hint="eastAsia" w:cs="Times New Roman"/>
                <w:bCs/>
                <w:color w:val="auto"/>
                <w:kern w:val="0"/>
                <w:szCs w:val="21"/>
                <w:highlight w:val="none"/>
                <w:lang w:val="en-US" w:eastAsia="zh-CN"/>
              </w:rPr>
              <w:t>生产</w:t>
            </w:r>
            <w:r>
              <w:rPr>
                <w:rFonts w:hint="eastAsia" w:ascii="Times New Roman" w:hAnsi="Times New Roman" w:eastAsia="宋体" w:cs="Times New Roman"/>
                <w:bCs/>
                <w:color w:val="auto"/>
                <w:kern w:val="0"/>
                <w:szCs w:val="21"/>
                <w:highlight w:val="none"/>
                <w:lang w:val="en-US" w:eastAsia="zh-CN"/>
              </w:rPr>
              <w:t>厂房1F主要</w:t>
            </w:r>
            <w:r>
              <w:rPr>
                <w:rFonts w:hint="eastAsia" w:cs="Times New Roman"/>
                <w:bCs/>
                <w:color w:val="auto"/>
                <w:kern w:val="0"/>
                <w:szCs w:val="21"/>
                <w:highlight w:val="none"/>
                <w:lang w:val="en-US" w:eastAsia="zh-CN"/>
              </w:rPr>
              <w:t>为注塑车间、焊接组装车间、原料暂存区及模具暂存区、五金模具车间，2F主要为原料仓库及成品仓库、办公区、3F主要为丝印车间、喷漆车间及烘烤车间及组装车间</w:t>
            </w:r>
            <w:r>
              <w:rPr>
                <w:rFonts w:hint="eastAsia" w:ascii="Times New Roman" w:hAnsi="Times New Roman" w:eastAsia="宋体" w:cs="Times New Roman"/>
                <w:bCs/>
                <w:color w:val="auto"/>
                <w:kern w:val="0"/>
                <w:szCs w:val="21"/>
                <w:highlight w:val="none"/>
                <w:lang w:val="en-US" w:eastAsia="zh-CN"/>
              </w:rPr>
              <w:t>，</w:t>
            </w:r>
            <w:r>
              <w:rPr>
                <w:rFonts w:hint="eastAsia" w:cs="Times New Roman"/>
                <w:bCs/>
                <w:color w:val="auto"/>
                <w:kern w:val="0"/>
                <w:szCs w:val="21"/>
                <w:highlight w:val="none"/>
                <w:lang w:val="en-US" w:eastAsia="zh-CN"/>
              </w:rPr>
              <w:t>生产厂房</w:t>
            </w:r>
            <w:r>
              <w:rPr>
                <w:rFonts w:hint="eastAsia" w:ascii="Times New Roman" w:hAnsi="Times New Roman" w:eastAsia="宋体" w:cs="Times New Roman"/>
                <w:bCs/>
                <w:color w:val="auto"/>
                <w:kern w:val="0"/>
                <w:szCs w:val="21"/>
                <w:highlight w:val="none"/>
                <w:lang w:val="en-US" w:eastAsia="zh-CN"/>
              </w:rPr>
              <w:t>远离附近的居民区，生产车间布置合理。</w:t>
            </w: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r>
              <w:rPr>
                <w:rFonts w:hint="eastAsia" w:ascii="Times New Roman" w:hAnsi="Times New Roman" w:eastAsia="宋体" w:cs="Times New Roman"/>
                <w:bCs/>
                <w:color w:val="auto"/>
                <w:kern w:val="0"/>
                <w:szCs w:val="21"/>
                <w:highlight w:val="none"/>
                <w:lang w:val="en-US" w:eastAsia="zh-CN"/>
              </w:rPr>
              <w:t>总体布局功能分区明确、人员进出口及污物运输路线分开，布局合理，项目所在区域常年主导风向为西北风，项目废气排放口不位于主导风向上风向，其布局合理。</w:t>
            </w: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rPr>
                <w:rFonts w:hint="default" w:eastAsia="宋体"/>
                <w:bCs/>
                <w:color w:val="auto"/>
                <w:szCs w:val="21"/>
                <w:lang w:val="en-US" w:eastAsia="zh-CN"/>
              </w:rPr>
            </w:pPr>
          </w:p>
        </w:tc>
      </w:tr>
    </w:tbl>
    <w:p>
      <w:pPr>
        <w:rPr>
          <w:color w:val="auto"/>
        </w:rPr>
        <w:sectPr>
          <w:footerReference r:id="rId6" w:type="default"/>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0"/>
        <w:gridCol w:w="89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862" w:hRule="atLeast"/>
          <w:jc w:val="center"/>
        </w:trPr>
        <w:tc>
          <w:tcPr>
            <w:tcW w:w="457" w:type="pct"/>
            <w:noWrap/>
            <w:vAlign w:val="center"/>
          </w:tcPr>
          <w:p>
            <w:pPr>
              <w:pStyle w:val="25"/>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工艺</w:t>
            </w:r>
          </w:p>
          <w:p>
            <w:pPr>
              <w:pStyle w:val="25"/>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流程</w:t>
            </w:r>
          </w:p>
          <w:p>
            <w:pPr>
              <w:pStyle w:val="25"/>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和产</w:t>
            </w:r>
          </w:p>
          <w:p>
            <w:pPr>
              <w:pStyle w:val="25"/>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排污</w:t>
            </w:r>
          </w:p>
          <w:p>
            <w:pPr>
              <w:pStyle w:val="25"/>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
                <w:bCs/>
                <w:color w:val="auto"/>
                <w:sz w:val="24"/>
                <w:szCs w:val="24"/>
              </w:rPr>
              <w:t>环节</w:t>
            </w:r>
          </w:p>
        </w:tc>
        <w:tc>
          <w:tcPr>
            <w:tcW w:w="4542" w:type="pct"/>
            <w:noWrap/>
          </w:tcPr>
          <w:p>
            <w:pPr>
              <w:adjustRightInd w:val="0"/>
              <w:snapToGrid w:val="0"/>
              <w:ind w:firstLine="482" w:firstLineChars="200"/>
              <w:rPr>
                <w:b/>
                <w:color w:val="auto"/>
                <w:szCs w:val="21"/>
              </w:rPr>
            </w:pPr>
            <w:r>
              <w:rPr>
                <w:rFonts w:hint="eastAsia"/>
                <w:b/>
                <w:color w:val="auto"/>
                <w:szCs w:val="21"/>
              </w:rPr>
              <w:t>一、</w:t>
            </w:r>
            <w:r>
              <w:rPr>
                <w:b/>
                <w:color w:val="auto"/>
                <w:szCs w:val="21"/>
              </w:rPr>
              <w:t>工艺流程简述（图示）：</w:t>
            </w:r>
          </w:p>
          <w:p>
            <w:pPr>
              <w:adjustRightInd w:val="0"/>
              <w:snapToGrid w:val="0"/>
              <w:jc w:val="both"/>
              <w:rPr>
                <w:rFonts w:hint="default" w:eastAsia="宋体"/>
                <w:b/>
                <w:color w:val="auto"/>
                <w:szCs w:val="21"/>
                <w:lang w:val="en-US" w:eastAsia="zh-CN"/>
              </w:rPr>
            </w:pPr>
            <w:r>
              <w:rPr>
                <w:rFonts w:hint="eastAsia"/>
                <w:b/>
                <w:color w:val="auto"/>
                <w:szCs w:val="21"/>
                <w:lang w:val="en-US" w:eastAsia="zh-CN"/>
              </w:rPr>
              <w:t>1、五金模具生产工艺</w:t>
            </w:r>
          </w:p>
          <w:p>
            <w:pPr>
              <w:pStyle w:val="2"/>
              <w:ind w:left="0" w:leftChars="0" w:firstLine="0" w:firstLineChars="0"/>
              <w:jc w:val="center"/>
              <w:rPr>
                <w:color w:val="auto"/>
              </w:rPr>
            </w:pPr>
            <w:r>
              <w:rPr>
                <w:color w:val="auto"/>
              </w:rPr>
              <w:object>
                <v:shape id="_x0000_i1027" o:spt="75" type="#_x0000_t75" style="height:361pt;width:365.9pt;" o:ole="t" filled="f" o:preferrelative="t" stroked="f" coordsize="21600,21600">
                  <v:path/>
                  <v:fill on="f" focussize="0,0"/>
                  <v:stroke on="f"/>
                  <v:imagedata r:id="rId18" o:title=""/>
                  <o:lock v:ext="edit" aspectratio="f"/>
                  <w10:wrap type="none"/>
                  <w10:anchorlock/>
                </v:shape>
                <o:OLEObject Type="Embed" ProgID="Visio.Drawing.11" ShapeID="_x0000_i1027" DrawAspect="Content" ObjectID="_1468075727" r:id="rId17">
                  <o:LockedField>false</o:LockedField>
                </o:OLEObject>
              </w:object>
            </w:r>
          </w:p>
          <w:p>
            <w:pPr>
              <w:pStyle w:val="45"/>
              <w:keepNext w:val="0"/>
              <w:keepLines w:val="0"/>
              <w:pageBreakBefore w:val="0"/>
              <w:widowControl w:val="0"/>
              <w:numPr>
                <w:ilvl w:val="0"/>
                <w:numId w:val="0"/>
              </w:numPr>
              <w:kinsoku/>
              <w:wordWrap/>
              <w:overflowPunct/>
              <w:topLinePunct w:val="0"/>
              <w:autoSpaceDE/>
              <w:autoSpaceDN/>
              <w:bidi w:val="0"/>
              <w:adjustRightInd w:val="0"/>
              <w:snapToGrid w:val="0"/>
              <w:ind w:leftChars="0"/>
              <w:jc w:val="center"/>
              <w:textAlignment w:val="auto"/>
              <w:rPr>
                <w:color w:val="auto"/>
              </w:rPr>
            </w:pPr>
            <w:r>
              <w:rPr>
                <w:rFonts w:hint="eastAsia"/>
                <w:color w:val="auto"/>
                <w:lang w:val="en-US" w:eastAsia="zh-CN"/>
              </w:rPr>
              <w:t>图2  本</w:t>
            </w:r>
            <w:r>
              <w:rPr>
                <w:color w:val="auto"/>
              </w:rPr>
              <w:t>项目</w:t>
            </w:r>
            <w:r>
              <w:rPr>
                <w:rFonts w:hint="eastAsia"/>
                <w:color w:val="auto"/>
                <w:lang w:val="en-US" w:eastAsia="zh-CN"/>
              </w:rPr>
              <w:t>五金模具</w:t>
            </w:r>
            <w:r>
              <w:rPr>
                <w:color w:val="auto"/>
              </w:rPr>
              <w:t>生产工艺流程图</w:t>
            </w:r>
          </w:p>
          <w:p>
            <w:pPr>
              <w:adjustRightInd w:val="0"/>
              <w:snapToGrid w:val="0"/>
              <w:ind w:firstLine="482" w:firstLineChars="200"/>
              <w:rPr>
                <w:b/>
                <w:color w:val="auto"/>
                <w:szCs w:val="21"/>
              </w:rPr>
            </w:pPr>
            <w:r>
              <w:rPr>
                <w:b/>
                <w:color w:val="auto"/>
                <w:szCs w:val="21"/>
              </w:rPr>
              <w:t>工艺流程说明：</w:t>
            </w:r>
          </w:p>
          <w:p>
            <w:pPr>
              <w:pStyle w:val="14"/>
              <w:spacing w:line="360" w:lineRule="auto"/>
              <w:ind w:firstLine="482" w:firstLineChars="200"/>
              <w:rPr>
                <w:rFonts w:hint="eastAsia"/>
                <w:b/>
                <w:bCs/>
                <w:color w:val="auto"/>
                <w:sz w:val="24"/>
              </w:rPr>
            </w:pPr>
            <w:r>
              <w:rPr>
                <w:rFonts w:hint="eastAsia"/>
                <w:b/>
                <w:bCs/>
                <w:color w:val="auto"/>
                <w:sz w:val="24"/>
              </w:rPr>
              <w:t>①</w:t>
            </w:r>
            <w:r>
              <w:rPr>
                <w:rFonts w:hint="eastAsia"/>
                <w:b/>
                <w:bCs/>
                <w:color w:val="auto"/>
                <w:sz w:val="24"/>
                <w:lang w:val="en-US" w:eastAsia="zh-CN"/>
              </w:rPr>
              <w:t>机</w:t>
            </w:r>
            <w:r>
              <w:rPr>
                <w:rFonts w:hint="eastAsia"/>
                <w:b/>
                <w:bCs/>
                <w:color w:val="auto"/>
                <w:sz w:val="24"/>
              </w:rPr>
              <w:t>加工：</w:t>
            </w:r>
            <w:r>
              <w:rPr>
                <w:rFonts w:hint="eastAsia"/>
                <w:b w:val="0"/>
                <w:bCs w:val="0"/>
                <w:color w:val="auto"/>
                <w:sz w:val="24"/>
                <w:lang w:val="en-US" w:eastAsia="zh-CN"/>
              </w:rPr>
              <w:t>使用车床对外购的模具钢进行切割，此工序为干式预处理，因此会产生少量金属碎屑、粉尘及噪声</w:t>
            </w:r>
            <w:r>
              <w:rPr>
                <w:rFonts w:hint="eastAsia"/>
                <w:color w:val="auto"/>
                <w:sz w:val="24"/>
              </w:rPr>
              <w:t>。</w:t>
            </w:r>
          </w:p>
          <w:p>
            <w:pPr>
              <w:pStyle w:val="14"/>
              <w:spacing w:line="360" w:lineRule="auto"/>
              <w:ind w:firstLine="482" w:firstLineChars="200"/>
              <w:rPr>
                <w:b/>
                <w:bCs/>
                <w:color w:val="auto"/>
                <w:sz w:val="24"/>
              </w:rPr>
            </w:pPr>
            <w:r>
              <w:rPr>
                <w:rFonts w:hint="eastAsia"/>
                <w:b/>
                <w:bCs/>
                <w:color w:val="auto"/>
                <w:sz w:val="24"/>
              </w:rPr>
              <w:t>②电火花：</w:t>
            </w:r>
            <w:r>
              <w:rPr>
                <w:rFonts w:hint="eastAsia"/>
                <w:b w:val="0"/>
                <w:bCs w:val="0"/>
                <w:color w:val="auto"/>
                <w:sz w:val="24"/>
                <w:lang w:val="en-US" w:eastAsia="zh-CN"/>
              </w:rPr>
              <w:t>使用火花机对切割好的模具钢</w:t>
            </w:r>
            <w:r>
              <w:rPr>
                <w:rFonts w:hint="eastAsia"/>
                <w:color w:val="auto"/>
                <w:sz w:val="24"/>
              </w:rPr>
              <w:t>进行</w:t>
            </w:r>
            <w:r>
              <w:rPr>
                <w:rFonts w:hint="eastAsia"/>
                <w:color w:val="auto"/>
                <w:sz w:val="24"/>
                <w:lang w:val="en-US" w:eastAsia="zh-CN"/>
              </w:rPr>
              <w:t>进一步切割</w:t>
            </w:r>
            <w:r>
              <w:rPr>
                <w:rFonts w:hint="eastAsia"/>
                <w:color w:val="auto"/>
                <w:sz w:val="24"/>
                <w:lang w:eastAsia="zh-CN"/>
              </w:rPr>
              <w:t>，</w:t>
            </w:r>
            <w:r>
              <w:rPr>
                <w:rFonts w:hint="eastAsia"/>
                <w:color w:val="auto"/>
                <w:sz w:val="24"/>
                <w:lang w:val="en-US" w:eastAsia="zh-CN"/>
              </w:rPr>
              <w:t>切割温度瞬间可高达10000℃以上</w:t>
            </w:r>
            <w:r>
              <w:rPr>
                <w:rFonts w:hint="eastAsia"/>
                <w:color w:val="auto"/>
                <w:sz w:val="24"/>
                <w:lang w:eastAsia="zh-CN"/>
              </w:rPr>
              <w:t>，</w:t>
            </w:r>
            <w:r>
              <w:rPr>
                <w:rFonts w:hint="eastAsia"/>
                <w:color w:val="auto"/>
                <w:sz w:val="24"/>
                <w:lang w:val="en-US" w:eastAsia="zh-CN"/>
              </w:rPr>
              <w:t>需要使用电火花油冷却，在火花机作用下部分火花油会转化成油雾（本环评以非甲烷总烃表征）。因此</w:t>
            </w:r>
            <w:r>
              <w:rPr>
                <w:rFonts w:hint="eastAsia"/>
                <w:color w:val="auto"/>
                <w:sz w:val="24"/>
              </w:rPr>
              <w:t>此工序会产生</w:t>
            </w:r>
            <w:r>
              <w:rPr>
                <w:rFonts w:hint="eastAsia"/>
                <w:color w:val="auto"/>
                <w:sz w:val="24"/>
                <w:lang w:val="en-US" w:eastAsia="zh-CN"/>
              </w:rPr>
              <w:t>油雾（非甲烷总烃）、</w:t>
            </w:r>
            <w:r>
              <w:rPr>
                <w:rFonts w:hint="eastAsia"/>
                <w:color w:val="auto"/>
                <w:sz w:val="24"/>
              </w:rPr>
              <w:t>金属</w:t>
            </w:r>
            <w:r>
              <w:rPr>
                <w:rFonts w:hint="eastAsia"/>
                <w:color w:val="auto"/>
                <w:sz w:val="24"/>
                <w:lang w:val="en-US" w:eastAsia="zh-CN"/>
              </w:rPr>
              <w:t>沉渣、废火花油及</w:t>
            </w:r>
            <w:r>
              <w:rPr>
                <w:rFonts w:hint="eastAsia"/>
                <w:color w:val="auto"/>
                <w:sz w:val="24"/>
              </w:rPr>
              <w:t>噪声。</w:t>
            </w:r>
          </w:p>
          <w:p>
            <w:pPr>
              <w:pStyle w:val="14"/>
              <w:spacing w:line="360" w:lineRule="auto"/>
              <w:ind w:firstLine="482" w:firstLineChars="200"/>
              <w:rPr>
                <w:b/>
                <w:bCs/>
                <w:color w:val="auto"/>
                <w:sz w:val="24"/>
              </w:rPr>
            </w:pPr>
            <w:r>
              <w:rPr>
                <w:rFonts w:hint="eastAsia"/>
                <w:b/>
                <w:bCs/>
                <w:color w:val="auto"/>
                <w:sz w:val="24"/>
              </w:rPr>
              <w:t>③</w:t>
            </w:r>
            <w:r>
              <w:rPr>
                <w:rFonts w:hint="eastAsia"/>
                <w:b/>
                <w:bCs/>
                <w:color w:val="auto"/>
                <w:sz w:val="24"/>
                <w:lang w:val="en-US" w:eastAsia="zh-CN"/>
              </w:rPr>
              <w:t>雕刻</w:t>
            </w:r>
            <w:r>
              <w:rPr>
                <w:rFonts w:hint="eastAsia"/>
                <w:b/>
                <w:bCs/>
                <w:color w:val="auto"/>
                <w:sz w:val="24"/>
              </w:rPr>
              <w:t>：</w:t>
            </w:r>
            <w:r>
              <w:rPr>
                <w:rFonts w:hint="eastAsia"/>
                <w:b w:val="0"/>
                <w:bCs w:val="0"/>
                <w:color w:val="auto"/>
                <w:sz w:val="24"/>
                <w:lang w:val="en-US" w:eastAsia="zh-CN"/>
              </w:rPr>
              <w:t>电火花后工件使用锣床和</w:t>
            </w:r>
            <w:r>
              <w:rPr>
                <w:rFonts w:hint="eastAsia"/>
                <w:b w:val="0"/>
                <w:bCs w:val="0"/>
                <w:color w:val="FF0000"/>
                <w:sz w:val="24"/>
                <w:lang w:val="en-US" w:eastAsia="zh-CN"/>
              </w:rPr>
              <w:t>数控高速</w:t>
            </w:r>
            <w:r>
              <w:rPr>
                <w:rFonts w:hint="eastAsia"/>
                <w:b w:val="0"/>
                <w:bCs w:val="0"/>
                <w:color w:val="auto"/>
                <w:sz w:val="24"/>
                <w:lang w:val="en-US" w:eastAsia="zh-CN"/>
              </w:rPr>
              <w:t>雕铣机进行雕刻，雕刻过程设备与工件在机械作用下表面温度会升高，需添加水性切削液作降温处理</w:t>
            </w:r>
            <w:r>
              <w:rPr>
                <w:rFonts w:hint="eastAsia"/>
                <w:color w:val="auto"/>
                <w:sz w:val="24"/>
              </w:rPr>
              <w:t>，</w:t>
            </w:r>
            <w:r>
              <w:rPr>
                <w:rFonts w:hint="eastAsia"/>
                <w:color w:val="FF0000"/>
                <w:sz w:val="24"/>
                <w:lang w:val="en-US" w:eastAsia="zh-CN"/>
              </w:rPr>
              <w:t>外购回来的切削液已加水稀释，无需再加水。</w:t>
            </w:r>
            <w:r>
              <w:rPr>
                <w:rFonts w:hint="eastAsia"/>
                <w:color w:val="auto"/>
                <w:sz w:val="24"/>
                <w:lang w:val="en-US" w:eastAsia="zh-CN"/>
              </w:rPr>
              <w:t>水性切削液在此加工温度下部分会转化成油雾，因此</w:t>
            </w:r>
            <w:r>
              <w:rPr>
                <w:rFonts w:hint="eastAsia"/>
                <w:color w:val="auto"/>
                <w:sz w:val="24"/>
              </w:rPr>
              <w:t>此工序会产生</w:t>
            </w:r>
            <w:r>
              <w:rPr>
                <w:rFonts w:hint="eastAsia"/>
                <w:color w:val="auto"/>
                <w:sz w:val="24"/>
                <w:lang w:val="en-US" w:eastAsia="zh-CN"/>
              </w:rPr>
              <w:t>油雾（非甲烷总烃）、金属沉渣、废切削液</w:t>
            </w:r>
            <w:r>
              <w:rPr>
                <w:rFonts w:hint="eastAsia"/>
                <w:color w:val="auto"/>
                <w:sz w:val="24"/>
              </w:rPr>
              <w:t>和噪声。</w:t>
            </w:r>
          </w:p>
          <w:p>
            <w:pPr>
              <w:pStyle w:val="14"/>
              <w:spacing w:line="360" w:lineRule="auto"/>
              <w:ind w:firstLine="482" w:firstLineChars="200"/>
              <w:rPr>
                <w:color w:val="auto"/>
                <w:sz w:val="24"/>
              </w:rPr>
            </w:pPr>
            <w:r>
              <w:rPr>
                <w:rFonts w:hint="eastAsia"/>
                <w:b/>
                <w:bCs/>
                <w:color w:val="auto"/>
                <w:sz w:val="24"/>
              </w:rPr>
              <w:t>④</w:t>
            </w:r>
            <w:r>
              <w:rPr>
                <w:rFonts w:hint="eastAsia"/>
                <w:b/>
                <w:bCs/>
                <w:color w:val="auto"/>
                <w:sz w:val="24"/>
                <w:lang w:val="en-US" w:eastAsia="zh-CN"/>
              </w:rPr>
              <w:t>打磨</w:t>
            </w:r>
            <w:r>
              <w:rPr>
                <w:rFonts w:hint="eastAsia"/>
                <w:b/>
                <w:bCs/>
                <w:color w:val="auto"/>
                <w:sz w:val="24"/>
              </w:rPr>
              <w:t>：</w:t>
            </w:r>
            <w:r>
              <w:rPr>
                <w:rFonts w:hint="eastAsia"/>
                <w:color w:val="auto"/>
                <w:sz w:val="24"/>
                <w:lang w:val="en-US" w:eastAsia="zh-CN"/>
              </w:rPr>
              <w:t>使用</w:t>
            </w:r>
            <w:r>
              <w:rPr>
                <w:rFonts w:hint="eastAsia"/>
                <w:color w:val="auto"/>
                <w:sz w:val="24"/>
              </w:rPr>
              <w:t>磨床</w:t>
            </w:r>
            <w:r>
              <w:rPr>
                <w:rFonts w:hint="eastAsia"/>
                <w:color w:val="auto"/>
                <w:sz w:val="24"/>
                <w:lang w:eastAsia="zh-CN"/>
              </w:rPr>
              <w:t>、</w:t>
            </w:r>
            <w:r>
              <w:rPr>
                <w:rFonts w:hint="eastAsia"/>
                <w:color w:val="FF0000"/>
                <w:lang w:val="en-US" w:eastAsia="zh-CN"/>
              </w:rPr>
              <w:t>手动磨床</w:t>
            </w:r>
            <w:r>
              <w:rPr>
                <w:rFonts w:hint="eastAsia"/>
                <w:color w:val="auto"/>
                <w:sz w:val="24"/>
                <w:lang w:val="en-US" w:eastAsia="zh-CN"/>
              </w:rPr>
              <w:t>对工件进行</w:t>
            </w:r>
            <w:r>
              <w:rPr>
                <w:rFonts w:hint="eastAsia"/>
                <w:color w:val="auto"/>
                <w:sz w:val="24"/>
              </w:rPr>
              <w:t>打磨</w:t>
            </w:r>
            <w:r>
              <w:rPr>
                <w:rFonts w:hint="eastAsia"/>
                <w:color w:val="auto"/>
                <w:sz w:val="24"/>
                <w:lang w:eastAsia="zh-CN"/>
              </w:rPr>
              <w:t>，</w:t>
            </w:r>
            <w:r>
              <w:rPr>
                <w:rFonts w:hint="eastAsia"/>
                <w:color w:val="auto"/>
                <w:sz w:val="24"/>
                <w:lang w:val="en-US" w:eastAsia="zh-CN"/>
              </w:rPr>
              <w:t>此过程</w:t>
            </w:r>
            <w:r>
              <w:rPr>
                <w:rFonts w:hint="eastAsia"/>
                <w:color w:val="auto"/>
                <w:sz w:val="24"/>
                <w:lang w:eastAsia="zh-CN"/>
              </w:rPr>
              <w:t>会产生</w:t>
            </w:r>
            <w:r>
              <w:rPr>
                <w:rFonts w:hint="eastAsia"/>
                <w:color w:val="auto"/>
                <w:sz w:val="24"/>
                <w:lang w:val="en-US" w:eastAsia="zh-CN"/>
              </w:rPr>
              <w:t>金属粉尘、</w:t>
            </w:r>
            <w:r>
              <w:rPr>
                <w:rFonts w:hint="eastAsia"/>
                <w:color w:val="auto"/>
                <w:sz w:val="24"/>
              </w:rPr>
              <w:t>噪声。</w:t>
            </w:r>
          </w:p>
          <w:p>
            <w:pPr>
              <w:pStyle w:val="14"/>
              <w:spacing w:line="360" w:lineRule="auto"/>
              <w:ind w:firstLine="482" w:firstLineChars="200"/>
              <w:rPr>
                <w:color w:val="auto"/>
                <w:sz w:val="24"/>
              </w:rPr>
            </w:pPr>
            <w:r>
              <w:rPr>
                <w:rFonts w:hint="eastAsia"/>
                <w:b/>
                <w:bCs/>
                <w:color w:val="auto"/>
                <w:sz w:val="24"/>
              </w:rPr>
              <w:t>⑤钻孔：</w:t>
            </w:r>
            <w:r>
              <w:rPr>
                <w:rFonts w:hint="eastAsia"/>
                <w:color w:val="auto"/>
                <w:sz w:val="24"/>
                <w:lang w:val="en-US" w:eastAsia="zh-CN"/>
              </w:rPr>
              <w:t>使用钻床对打磨好的工件</w:t>
            </w:r>
            <w:r>
              <w:rPr>
                <w:rFonts w:hint="eastAsia"/>
                <w:color w:val="auto"/>
                <w:sz w:val="24"/>
              </w:rPr>
              <w:t>进行钻孔，此工序会产生金属</w:t>
            </w:r>
            <w:r>
              <w:rPr>
                <w:rFonts w:hint="eastAsia"/>
                <w:color w:val="auto"/>
                <w:sz w:val="24"/>
                <w:lang w:val="en-US" w:eastAsia="zh-CN"/>
              </w:rPr>
              <w:t>碎屑</w:t>
            </w:r>
            <w:r>
              <w:rPr>
                <w:rFonts w:hint="eastAsia"/>
                <w:color w:val="auto"/>
                <w:sz w:val="24"/>
                <w:lang w:eastAsia="zh-CN"/>
              </w:rPr>
              <w:t>、</w:t>
            </w:r>
            <w:r>
              <w:rPr>
                <w:rFonts w:hint="eastAsia"/>
                <w:color w:val="auto"/>
                <w:sz w:val="24"/>
              </w:rPr>
              <w:t>噪声。</w:t>
            </w:r>
          </w:p>
          <w:p>
            <w:pPr>
              <w:adjustRightInd w:val="0"/>
              <w:snapToGrid w:val="0"/>
              <w:ind w:firstLine="482" w:firstLineChars="200"/>
              <w:rPr>
                <w:rFonts w:hint="eastAsia"/>
                <w:color w:val="auto"/>
                <w:sz w:val="24"/>
              </w:rPr>
            </w:pPr>
            <w:r>
              <w:rPr>
                <w:rFonts w:hint="eastAsia"/>
                <w:b/>
                <w:bCs/>
                <w:color w:val="auto"/>
                <w:sz w:val="24"/>
                <w:highlight w:val="magenta"/>
              </w:rPr>
              <w:t>⑥</w:t>
            </w:r>
            <w:r>
              <w:rPr>
                <w:rFonts w:hint="eastAsia"/>
                <w:b/>
                <w:bCs/>
                <w:color w:val="auto"/>
                <w:sz w:val="24"/>
                <w:lang w:val="en-US" w:eastAsia="zh-CN"/>
              </w:rPr>
              <w:t>检查、装配</w:t>
            </w:r>
            <w:r>
              <w:rPr>
                <w:rFonts w:hint="eastAsia"/>
                <w:b/>
                <w:bCs/>
                <w:color w:val="auto"/>
                <w:sz w:val="24"/>
              </w:rPr>
              <w:t>：</w:t>
            </w:r>
            <w:r>
              <w:rPr>
                <w:rFonts w:hint="eastAsia"/>
                <w:color w:val="auto"/>
                <w:sz w:val="24"/>
              </w:rPr>
              <w:t>最后进行检查、装配，不合格品</w:t>
            </w:r>
            <w:r>
              <w:rPr>
                <w:rFonts w:hint="eastAsia"/>
                <w:color w:val="auto"/>
                <w:sz w:val="24"/>
                <w:lang w:val="en-US" w:eastAsia="zh-CN"/>
              </w:rPr>
              <w:t>重新加工</w:t>
            </w:r>
            <w:r>
              <w:rPr>
                <w:rFonts w:hint="eastAsia"/>
                <w:color w:val="auto"/>
                <w:sz w:val="24"/>
              </w:rPr>
              <w:t>，</w:t>
            </w:r>
            <w:r>
              <w:rPr>
                <w:rFonts w:hint="eastAsia"/>
                <w:color w:val="auto"/>
                <w:sz w:val="24"/>
                <w:highlight w:val="magenta"/>
              </w:rPr>
              <w:t>合格产品外售</w:t>
            </w:r>
            <w:r>
              <w:rPr>
                <w:rFonts w:hint="eastAsia"/>
                <w:color w:val="auto"/>
                <w:sz w:val="24"/>
              </w:rPr>
              <w:t>。</w:t>
            </w:r>
          </w:p>
          <w:p>
            <w:pPr>
              <w:adjustRightInd w:val="0"/>
              <w:snapToGrid w:val="0"/>
              <w:rPr>
                <w:rFonts w:hint="default" w:eastAsia="宋体"/>
                <w:b/>
                <w:color w:val="auto"/>
                <w:szCs w:val="21"/>
                <w:lang w:val="en-US" w:eastAsia="zh-CN"/>
              </w:rPr>
            </w:pPr>
            <w:r>
              <w:rPr>
                <w:rFonts w:hint="eastAsia"/>
                <w:b/>
                <w:color w:val="auto"/>
                <w:szCs w:val="21"/>
                <w:lang w:val="en-US" w:eastAsia="zh-CN"/>
              </w:rPr>
              <w:t>2、塑胶壳生产工艺</w:t>
            </w:r>
          </w:p>
          <w:p>
            <w:pPr>
              <w:adjustRightInd w:val="0"/>
              <w:snapToGrid w:val="0"/>
              <w:rPr>
                <w:b/>
                <w:color w:val="auto"/>
                <w:szCs w:val="21"/>
              </w:rPr>
            </w:pPr>
            <w:r>
              <w:rPr>
                <w:b/>
                <w:color w:val="auto"/>
                <w:szCs w:val="21"/>
              </w:rPr>
              <w:object>
                <v:shape id="_x0000_i1028" o:spt="75" type="#_x0000_t75" style="height:289.65pt;width:431.15pt;" o:ole="t" filled="f" o:preferrelative="t" stroked="f" coordsize="21600,21600">
                  <v:path/>
                  <v:fill on="f" focussize="0,0"/>
                  <v:stroke on="f"/>
                  <v:imagedata r:id="rId20" o:title=""/>
                  <o:lock v:ext="edit" aspectratio="f"/>
                  <w10:wrap type="none"/>
                  <w10:anchorlock/>
                </v:shape>
                <o:OLEObject Type="Embed" ProgID="Visio.Drawing.11" ShapeID="_x0000_i1028" DrawAspect="Content" ObjectID="_1468075728" r:id="rId19">
                  <o:LockedField>false</o:LockedField>
                </o:OLEObject>
              </w:object>
            </w:r>
          </w:p>
          <w:p>
            <w:pPr>
              <w:pStyle w:val="45"/>
              <w:keepNext w:val="0"/>
              <w:keepLines w:val="0"/>
              <w:pageBreakBefore w:val="0"/>
              <w:widowControl w:val="0"/>
              <w:numPr>
                <w:ilvl w:val="0"/>
                <w:numId w:val="0"/>
              </w:numPr>
              <w:kinsoku/>
              <w:wordWrap/>
              <w:overflowPunct/>
              <w:topLinePunct w:val="0"/>
              <w:autoSpaceDE/>
              <w:autoSpaceDN/>
              <w:bidi w:val="0"/>
              <w:adjustRightInd w:val="0"/>
              <w:snapToGrid w:val="0"/>
              <w:ind w:leftChars="0"/>
              <w:jc w:val="center"/>
              <w:textAlignment w:val="auto"/>
              <w:rPr>
                <w:color w:val="auto"/>
              </w:rPr>
            </w:pPr>
            <w:r>
              <w:rPr>
                <w:rFonts w:hint="eastAsia"/>
                <w:color w:val="auto"/>
                <w:lang w:val="en-US" w:eastAsia="zh-CN"/>
              </w:rPr>
              <w:t>图3  本</w:t>
            </w:r>
            <w:r>
              <w:rPr>
                <w:color w:val="auto"/>
              </w:rPr>
              <w:t>项目</w:t>
            </w:r>
            <w:r>
              <w:rPr>
                <w:rFonts w:hint="eastAsia"/>
                <w:color w:val="auto"/>
                <w:lang w:val="en-US" w:eastAsia="zh-CN"/>
              </w:rPr>
              <w:t>塑胶壳</w:t>
            </w:r>
            <w:r>
              <w:rPr>
                <w:color w:val="auto"/>
              </w:rPr>
              <w:t>生产工艺流程图</w:t>
            </w:r>
          </w:p>
          <w:p>
            <w:pPr>
              <w:adjustRightInd w:val="0"/>
              <w:snapToGrid w:val="0"/>
              <w:ind w:firstLine="482" w:firstLineChars="200"/>
              <w:rPr>
                <w:b/>
                <w:color w:val="auto"/>
                <w:szCs w:val="21"/>
              </w:rPr>
            </w:pPr>
            <w:r>
              <w:rPr>
                <w:b/>
                <w:color w:val="auto"/>
                <w:szCs w:val="21"/>
              </w:rPr>
              <w:t>工艺流程说明：</w:t>
            </w:r>
          </w:p>
          <w:p>
            <w:pPr>
              <w:spacing w:line="360" w:lineRule="auto"/>
              <w:ind w:firstLine="482" w:firstLineChars="200"/>
              <w:rPr>
                <w:rFonts w:hint="eastAsia"/>
                <w:color w:val="auto"/>
                <w:sz w:val="24"/>
              </w:rPr>
            </w:pPr>
            <w:r>
              <w:rPr>
                <w:b/>
                <w:bCs/>
                <w:color w:val="auto"/>
                <w:sz w:val="24"/>
              </w:rPr>
              <w:t>①</w:t>
            </w:r>
            <w:r>
              <w:rPr>
                <w:rFonts w:hint="eastAsia"/>
                <w:b/>
                <w:bCs/>
                <w:color w:val="auto"/>
                <w:sz w:val="24"/>
              </w:rPr>
              <w:t>混料：</w:t>
            </w:r>
            <w:r>
              <w:rPr>
                <w:rFonts w:hint="eastAsia"/>
                <w:color w:val="auto"/>
                <w:sz w:val="24"/>
              </w:rPr>
              <w:t>将塑胶粒（PC</w:t>
            </w:r>
            <w:r>
              <w:rPr>
                <w:rFonts w:hint="eastAsia"/>
                <w:color w:val="auto"/>
                <w:sz w:val="24"/>
                <w:lang w:val="en-US" w:eastAsia="zh-CN"/>
              </w:rPr>
              <w:t>/</w:t>
            </w:r>
            <w:r>
              <w:rPr>
                <w:rFonts w:hint="eastAsia"/>
                <w:color w:val="auto"/>
                <w:sz w:val="24"/>
              </w:rPr>
              <w:t>ABS/PC</w:t>
            </w:r>
            <w:r>
              <w:rPr>
                <w:rFonts w:hint="eastAsia"/>
                <w:color w:val="auto"/>
                <w:sz w:val="24"/>
                <w:lang w:val="en-US" w:eastAsia="zh-CN"/>
              </w:rPr>
              <w:t>+</w:t>
            </w:r>
            <w:r>
              <w:rPr>
                <w:rFonts w:hint="eastAsia"/>
                <w:color w:val="auto"/>
                <w:sz w:val="24"/>
              </w:rPr>
              <w:t>ABS）与色粉一起</w:t>
            </w:r>
            <w:r>
              <w:rPr>
                <w:rFonts w:hint="eastAsia"/>
                <w:color w:val="auto"/>
                <w:sz w:val="24"/>
                <w:lang w:eastAsia="zh-CN"/>
              </w:rPr>
              <w:t>人工</w:t>
            </w:r>
            <w:r>
              <w:rPr>
                <w:rFonts w:hint="eastAsia"/>
                <w:color w:val="auto"/>
                <w:sz w:val="24"/>
              </w:rPr>
              <w:t>投入</w:t>
            </w:r>
            <w:r>
              <w:rPr>
                <w:rFonts w:hint="eastAsia"/>
                <w:color w:val="auto"/>
                <w:sz w:val="24"/>
                <w:lang w:val="en-US" w:eastAsia="zh-CN"/>
              </w:rPr>
              <w:t>混料</w:t>
            </w:r>
            <w:r>
              <w:rPr>
                <w:rFonts w:hint="eastAsia"/>
                <w:color w:val="auto"/>
                <w:sz w:val="24"/>
              </w:rPr>
              <w:t>机中混合均匀，</w:t>
            </w:r>
            <w:r>
              <w:rPr>
                <w:rFonts w:hint="eastAsia"/>
                <w:color w:val="auto"/>
                <w:sz w:val="24"/>
                <w:lang w:val="en-US" w:eastAsia="zh-CN"/>
              </w:rPr>
              <w:t>每次混料约需要5min，色粉为粉末状，投料过程会有部分粉末逸散为粉尘。</w:t>
            </w:r>
            <w:r>
              <w:rPr>
                <w:rFonts w:hint="eastAsia"/>
                <w:color w:val="auto"/>
                <w:sz w:val="24"/>
              </w:rPr>
              <w:t>此工序</w:t>
            </w:r>
            <w:r>
              <w:rPr>
                <w:rFonts w:hint="eastAsia"/>
                <w:color w:val="auto"/>
                <w:sz w:val="24"/>
                <w:lang w:val="en-US" w:eastAsia="zh-CN"/>
              </w:rPr>
              <w:t>会</w:t>
            </w:r>
            <w:r>
              <w:rPr>
                <w:rFonts w:hint="eastAsia"/>
                <w:color w:val="auto"/>
                <w:sz w:val="24"/>
              </w:rPr>
              <w:t>产生</w:t>
            </w:r>
            <w:r>
              <w:rPr>
                <w:rFonts w:hint="eastAsia"/>
                <w:color w:val="auto"/>
                <w:sz w:val="24"/>
                <w:lang w:val="en-US" w:eastAsia="zh-CN"/>
              </w:rPr>
              <w:t>粉尘、</w:t>
            </w:r>
            <w:r>
              <w:rPr>
                <w:rFonts w:hint="eastAsia"/>
                <w:color w:val="auto"/>
                <w:sz w:val="24"/>
              </w:rPr>
              <w:t>噪声。</w:t>
            </w:r>
          </w:p>
          <w:p>
            <w:pPr>
              <w:pStyle w:val="14"/>
              <w:spacing w:line="360" w:lineRule="auto"/>
              <w:ind w:firstLine="482" w:firstLineChars="200"/>
              <w:rPr>
                <w:rFonts w:hint="eastAsia"/>
                <w:color w:val="auto"/>
                <w:sz w:val="24"/>
              </w:rPr>
            </w:pPr>
            <w:r>
              <w:rPr>
                <w:rFonts w:hint="eastAsia"/>
                <w:b/>
                <w:bCs/>
                <w:color w:val="auto"/>
                <w:sz w:val="24"/>
                <w:lang w:val="en-US" w:eastAsia="zh-CN"/>
              </w:rPr>
              <w:t>②</w:t>
            </w:r>
            <w:r>
              <w:rPr>
                <w:rFonts w:hint="eastAsia"/>
                <w:b/>
                <w:bCs/>
                <w:color w:val="auto"/>
                <w:sz w:val="24"/>
              </w:rPr>
              <w:t>注塑成型：</w:t>
            </w:r>
            <w:r>
              <w:rPr>
                <w:rFonts w:hint="eastAsia"/>
                <w:color w:val="auto"/>
                <w:sz w:val="24"/>
              </w:rPr>
              <w:t>将自制的五金模具安装到注塑机上，</w:t>
            </w:r>
            <w:r>
              <w:rPr>
                <w:rFonts w:hint="eastAsia"/>
                <w:color w:val="auto"/>
                <w:sz w:val="24"/>
                <w:lang w:val="en-US" w:eastAsia="zh-CN"/>
              </w:rPr>
              <w:t>注塑机的抽料系统将混料后的原料通过管道抽入漏斗式</w:t>
            </w:r>
            <w:r>
              <w:rPr>
                <w:rFonts w:hint="eastAsia"/>
                <w:color w:val="auto"/>
                <w:sz w:val="24"/>
                <w:highlight w:val="none"/>
                <w:lang w:val="en-US" w:eastAsia="zh-CN"/>
              </w:rPr>
              <w:t>干燥机中烘干、</w:t>
            </w:r>
            <w:r>
              <w:rPr>
                <w:bCs/>
                <w:color w:val="auto"/>
                <w:szCs w:val="21"/>
                <w:highlight w:val="none"/>
              </w:rPr>
              <w:t>干燥除湿机</w:t>
            </w:r>
            <w:r>
              <w:rPr>
                <w:rFonts w:hint="eastAsia"/>
                <w:bCs/>
                <w:color w:val="auto"/>
                <w:szCs w:val="21"/>
                <w:highlight w:val="none"/>
                <w:lang w:val="en-US" w:eastAsia="zh-CN"/>
              </w:rPr>
              <w:t>中除湿，</w:t>
            </w:r>
            <w:r>
              <w:rPr>
                <w:rFonts w:hint="eastAsia"/>
                <w:color w:val="auto"/>
                <w:sz w:val="24"/>
                <w:highlight w:val="none"/>
                <w:lang w:val="en-US" w:eastAsia="zh-CN"/>
              </w:rPr>
              <w:t>（温度为70℃）</w:t>
            </w:r>
            <w:r>
              <w:rPr>
                <w:rFonts w:hint="eastAsia"/>
                <w:color w:val="auto"/>
                <w:sz w:val="24"/>
                <w:highlight w:val="none"/>
              </w:rPr>
              <w:t>，</w:t>
            </w:r>
            <w:r>
              <w:rPr>
                <w:rFonts w:hint="eastAsia"/>
                <w:color w:val="auto"/>
                <w:sz w:val="24"/>
                <w:highlight w:val="none"/>
                <w:lang w:val="en-US" w:eastAsia="zh-CN"/>
              </w:rPr>
              <w:t>烘干后的原料输送到</w:t>
            </w:r>
            <w:r>
              <w:rPr>
                <w:rFonts w:hint="eastAsia"/>
                <w:color w:val="auto"/>
                <w:sz w:val="24"/>
                <w:highlight w:val="none"/>
              </w:rPr>
              <w:t>注塑机</w:t>
            </w:r>
            <w:r>
              <w:rPr>
                <w:rFonts w:hint="eastAsia"/>
                <w:color w:val="auto"/>
                <w:sz w:val="24"/>
                <w:highlight w:val="none"/>
                <w:lang w:val="en-US" w:eastAsia="zh-CN"/>
              </w:rPr>
              <w:t>内注塑成型</w:t>
            </w:r>
            <w:r>
              <w:rPr>
                <w:rFonts w:hint="eastAsia"/>
                <w:color w:val="auto"/>
                <w:sz w:val="24"/>
                <w:highlight w:val="none"/>
              </w:rPr>
              <w:t>，</w:t>
            </w:r>
            <w:r>
              <w:rPr>
                <w:bCs/>
                <w:color w:val="auto"/>
                <w:kern w:val="0"/>
                <w:sz w:val="24"/>
                <w:highlight w:val="none"/>
              </w:rPr>
              <w:t>注塑机采用电加热，</w:t>
            </w:r>
            <w:r>
              <w:rPr>
                <w:rFonts w:hint="eastAsia"/>
                <w:bCs/>
                <w:color w:val="auto"/>
                <w:kern w:val="0"/>
                <w:sz w:val="24"/>
                <w:highlight w:val="none"/>
                <w:lang w:val="en-US" w:eastAsia="zh-CN"/>
              </w:rPr>
              <w:t>注塑温度约</w:t>
            </w:r>
            <w:r>
              <w:rPr>
                <w:rFonts w:hint="eastAsia"/>
                <w:bCs/>
                <w:color w:val="auto"/>
                <w:kern w:val="0"/>
                <w:sz w:val="24"/>
              </w:rPr>
              <w:t>200</w:t>
            </w:r>
            <w:r>
              <w:rPr>
                <w:bCs/>
                <w:color w:val="auto"/>
                <w:kern w:val="0"/>
                <w:sz w:val="24"/>
              </w:rPr>
              <w:t>℃，</w:t>
            </w:r>
            <w:r>
              <w:rPr>
                <w:rFonts w:hint="eastAsia"/>
                <w:color w:val="auto"/>
                <w:sz w:val="24"/>
              </w:rPr>
              <w:t>塑胶</w:t>
            </w:r>
            <w:r>
              <w:rPr>
                <w:rFonts w:hint="eastAsia"/>
                <w:bCs/>
                <w:color w:val="auto"/>
                <w:sz w:val="24"/>
              </w:rPr>
              <w:t>粒</w:t>
            </w:r>
            <w:r>
              <w:rPr>
                <w:rFonts w:hint="eastAsia"/>
                <w:color w:val="auto"/>
                <w:sz w:val="24"/>
              </w:rPr>
              <w:t>PC</w:t>
            </w:r>
            <w:r>
              <w:rPr>
                <w:rFonts w:hint="eastAsia"/>
                <w:color w:val="auto"/>
                <w:sz w:val="24"/>
                <w:lang w:val="en-US" w:eastAsia="zh-CN"/>
              </w:rPr>
              <w:t>、</w:t>
            </w:r>
            <w:r>
              <w:rPr>
                <w:rFonts w:hint="eastAsia"/>
                <w:color w:val="auto"/>
                <w:sz w:val="24"/>
              </w:rPr>
              <w:t>ABS在</w:t>
            </w:r>
            <w:r>
              <w:rPr>
                <w:rFonts w:hint="eastAsia"/>
                <w:bCs/>
                <w:color w:val="auto"/>
                <w:kern w:val="0"/>
                <w:sz w:val="24"/>
              </w:rPr>
              <w:t>加热过程易分解产生有机废气、臭气浓度，ABS热分解温度≥250℃、</w:t>
            </w:r>
            <w:r>
              <w:rPr>
                <w:rFonts w:hint="eastAsia"/>
                <w:bCs/>
                <w:color w:val="auto"/>
                <w:kern w:val="0"/>
                <w:sz w:val="24"/>
                <w:lang w:val="en-US" w:eastAsia="zh-CN"/>
              </w:rPr>
              <w:t>PC</w:t>
            </w:r>
            <w:r>
              <w:rPr>
                <w:rFonts w:hint="eastAsia"/>
                <w:bCs/>
                <w:color w:val="auto"/>
                <w:kern w:val="0"/>
                <w:sz w:val="24"/>
              </w:rPr>
              <w:t>≥</w:t>
            </w:r>
            <w:r>
              <w:rPr>
                <w:rFonts w:hint="eastAsia"/>
                <w:bCs/>
                <w:color w:val="auto"/>
                <w:kern w:val="0"/>
                <w:sz w:val="24"/>
                <w:lang w:val="en-US" w:eastAsia="zh-CN"/>
              </w:rPr>
              <w:t>215</w:t>
            </w:r>
            <w:r>
              <w:rPr>
                <w:rFonts w:hint="eastAsia"/>
                <w:bCs/>
                <w:color w:val="auto"/>
                <w:kern w:val="0"/>
                <w:sz w:val="24"/>
              </w:rPr>
              <w:t>℃，</w:t>
            </w:r>
            <w:r>
              <w:rPr>
                <w:rFonts w:hint="eastAsia"/>
                <w:bCs/>
                <w:color w:val="auto"/>
                <w:kern w:val="0"/>
                <w:sz w:val="24"/>
                <w:lang w:val="en-US" w:eastAsia="zh-CN"/>
              </w:rPr>
              <w:t>本项目</w:t>
            </w:r>
            <w:r>
              <w:rPr>
                <w:rFonts w:hint="eastAsia"/>
                <w:bCs/>
                <w:color w:val="auto"/>
                <w:kern w:val="0"/>
                <w:sz w:val="24"/>
              </w:rPr>
              <w:t>注塑温度未达到ABS</w:t>
            </w:r>
            <w:r>
              <w:rPr>
                <w:rFonts w:hint="eastAsia"/>
                <w:bCs/>
                <w:color w:val="auto"/>
                <w:kern w:val="0"/>
                <w:sz w:val="24"/>
                <w:lang w:eastAsia="zh-CN"/>
              </w:rPr>
              <w:t>、</w:t>
            </w:r>
            <w:r>
              <w:rPr>
                <w:rFonts w:hint="eastAsia"/>
                <w:bCs/>
                <w:color w:val="auto"/>
                <w:kern w:val="0"/>
                <w:sz w:val="24"/>
                <w:lang w:val="en-US" w:eastAsia="zh-CN"/>
              </w:rPr>
              <w:t>PC的</w:t>
            </w:r>
            <w:r>
              <w:rPr>
                <w:rFonts w:hint="eastAsia"/>
                <w:bCs/>
                <w:color w:val="auto"/>
                <w:kern w:val="0"/>
                <w:sz w:val="24"/>
              </w:rPr>
              <w:t>热分解温度，因此不考虑ABS</w:t>
            </w:r>
            <w:r>
              <w:rPr>
                <w:rFonts w:hint="eastAsia"/>
                <w:bCs/>
                <w:color w:val="auto"/>
                <w:kern w:val="0"/>
                <w:sz w:val="24"/>
                <w:lang w:eastAsia="zh-CN"/>
              </w:rPr>
              <w:t>、</w:t>
            </w:r>
            <w:r>
              <w:rPr>
                <w:rFonts w:hint="eastAsia"/>
                <w:bCs/>
                <w:color w:val="auto"/>
                <w:kern w:val="0"/>
                <w:sz w:val="24"/>
                <w:lang w:val="en-US" w:eastAsia="zh-CN"/>
              </w:rPr>
              <w:t>PC的</w:t>
            </w:r>
            <w:r>
              <w:rPr>
                <w:rFonts w:hint="eastAsia"/>
                <w:bCs/>
                <w:color w:val="auto"/>
                <w:kern w:val="0"/>
                <w:sz w:val="24"/>
              </w:rPr>
              <w:t>热分解污染物。本环评以非甲烷总烃作为注塑工序排放的挥发性有机物的综合管控指标，核算排放总量。</w:t>
            </w:r>
            <w:r>
              <w:rPr>
                <w:rFonts w:hint="eastAsia" w:ascii="Times New Roman" w:hAnsi="Times New Roman" w:eastAsia="宋体" w:cs="Times New Roman"/>
                <w:bCs/>
                <w:color w:val="auto"/>
                <w:kern w:val="0"/>
                <w:sz w:val="24"/>
                <w:lang w:val="en-US" w:eastAsia="zh-CN"/>
              </w:rPr>
              <w:t>因此，</w:t>
            </w:r>
            <w:r>
              <w:rPr>
                <w:rFonts w:hint="eastAsia"/>
                <w:bCs/>
                <w:color w:val="auto"/>
                <w:kern w:val="0"/>
                <w:sz w:val="24"/>
              </w:rPr>
              <w:t>注塑工序产生有机废气非甲烷总烃</w:t>
            </w:r>
            <w:r>
              <w:rPr>
                <w:rFonts w:hint="eastAsia"/>
                <w:bCs/>
                <w:color w:val="auto"/>
                <w:kern w:val="0"/>
                <w:sz w:val="24"/>
                <w:lang w:eastAsia="zh-CN"/>
              </w:rPr>
              <w:t>、臭气浓度</w:t>
            </w:r>
            <w:r>
              <w:rPr>
                <w:rFonts w:hint="eastAsia"/>
                <w:bCs/>
                <w:color w:val="auto"/>
                <w:kern w:val="0"/>
                <w:sz w:val="24"/>
              </w:rPr>
              <w:t>、噪声</w:t>
            </w:r>
            <w:r>
              <w:rPr>
                <w:rFonts w:hint="eastAsia"/>
                <w:color w:val="auto"/>
                <w:sz w:val="24"/>
              </w:rPr>
              <w:t>。</w:t>
            </w:r>
          </w:p>
          <w:p>
            <w:pPr>
              <w:spacing w:line="360" w:lineRule="auto"/>
              <w:ind w:firstLine="482" w:firstLineChars="200"/>
              <w:rPr>
                <w:rFonts w:hint="default"/>
                <w:b w:val="0"/>
                <w:bCs w:val="0"/>
                <w:color w:val="auto"/>
                <w:lang w:val="en-US"/>
              </w:rPr>
            </w:pPr>
            <w:r>
              <w:rPr>
                <w:rFonts w:hint="eastAsia"/>
                <w:b/>
                <w:bCs/>
                <w:color w:val="auto"/>
                <w:sz w:val="24"/>
                <w:lang w:val="en-US" w:eastAsia="zh-CN"/>
              </w:rPr>
              <w:t>③次品破碎：</w:t>
            </w:r>
            <w:r>
              <w:rPr>
                <w:rFonts w:hint="eastAsia"/>
                <w:b w:val="0"/>
                <w:bCs w:val="0"/>
                <w:color w:val="auto"/>
                <w:sz w:val="24"/>
                <w:lang w:val="en-US" w:eastAsia="zh-CN"/>
              </w:rPr>
              <w:t>注塑过程会有部分次品产生，本项目拟采用破碎机进行破碎，然后回用于生产，此过程会产生少量粉尘、噪声。</w:t>
            </w:r>
          </w:p>
          <w:p>
            <w:pPr>
              <w:spacing w:line="360" w:lineRule="auto"/>
              <w:ind w:firstLine="482" w:firstLineChars="200"/>
              <w:rPr>
                <w:rFonts w:hint="eastAsia"/>
                <w:color w:val="auto"/>
                <w:sz w:val="24"/>
              </w:rPr>
            </w:pPr>
            <w:r>
              <w:rPr>
                <w:rFonts w:hint="eastAsia"/>
                <w:b/>
                <w:bCs/>
                <w:color w:val="auto"/>
                <w:sz w:val="24"/>
                <w:lang w:val="en-US" w:eastAsia="zh-CN"/>
              </w:rPr>
              <w:t>④</w:t>
            </w:r>
            <w:r>
              <w:rPr>
                <w:rFonts w:hint="eastAsia"/>
                <w:b/>
                <w:bCs/>
                <w:color w:val="auto"/>
                <w:sz w:val="24"/>
              </w:rPr>
              <w:t>丝印：</w:t>
            </w:r>
            <w:r>
              <w:rPr>
                <w:rFonts w:hint="eastAsia"/>
                <w:color w:val="auto"/>
                <w:sz w:val="24"/>
                <w:lang w:val="en-US" w:eastAsia="zh-CN"/>
              </w:rPr>
              <w:t>部分塑胶壳注塑好之后需根据客户要求在表面丝印标识，</w:t>
            </w:r>
            <w:r>
              <w:rPr>
                <w:rFonts w:hint="eastAsia"/>
                <w:color w:val="auto"/>
                <w:sz w:val="24"/>
              </w:rPr>
              <w:t>使用</w:t>
            </w:r>
            <w:r>
              <w:rPr>
                <w:rFonts w:hint="eastAsia"/>
                <w:color w:val="auto"/>
                <w:sz w:val="24"/>
                <w:lang w:val="en-US" w:eastAsia="zh-CN"/>
              </w:rPr>
              <w:t>水性</w:t>
            </w:r>
            <w:r>
              <w:rPr>
                <w:rFonts w:hint="eastAsia"/>
                <w:color w:val="auto"/>
                <w:sz w:val="24"/>
              </w:rPr>
              <w:t>油墨，此工序会产生</w:t>
            </w:r>
            <w:r>
              <w:rPr>
                <w:rFonts w:hint="eastAsia"/>
                <w:color w:val="BF9000" w:themeColor="accent4" w:themeShade="BF"/>
                <w:sz w:val="24"/>
                <w:lang w:val="en-US" w:eastAsia="zh-CN"/>
              </w:rPr>
              <w:t>非甲烷总烃</w:t>
            </w:r>
            <w:r>
              <w:rPr>
                <w:rFonts w:hint="eastAsia"/>
                <w:color w:val="auto"/>
                <w:sz w:val="24"/>
              </w:rPr>
              <w:t>和噪声。</w:t>
            </w:r>
          </w:p>
          <w:p>
            <w:pPr>
              <w:spacing w:line="360" w:lineRule="auto"/>
              <w:ind w:firstLine="482" w:firstLineChars="200"/>
              <w:rPr>
                <w:rFonts w:hint="eastAsia" w:eastAsia="宋体"/>
                <w:b/>
                <w:bCs/>
                <w:color w:val="auto"/>
                <w:sz w:val="24"/>
                <w:lang w:val="en-US" w:eastAsia="zh-CN"/>
              </w:rPr>
            </w:pPr>
            <w:r>
              <w:rPr>
                <w:rFonts w:hint="eastAsia"/>
                <w:b/>
                <w:bCs/>
                <w:color w:val="auto"/>
                <w:sz w:val="24"/>
                <w:lang w:val="en-US" w:eastAsia="zh-CN"/>
              </w:rPr>
              <w:t>⑤烘烤</w:t>
            </w:r>
            <w:r>
              <w:rPr>
                <w:rFonts w:hint="eastAsia"/>
                <w:b/>
                <w:bCs/>
                <w:color w:val="auto"/>
                <w:sz w:val="24"/>
                <w:lang w:eastAsia="zh-CN"/>
              </w:rPr>
              <w:t>：</w:t>
            </w:r>
            <w:r>
              <w:rPr>
                <w:rFonts w:hint="eastAsia"/>
                <w:b w:val="0"/>
                <w:bCs w:val="0"/>
                <w:color w:val="auto"/>
                <w:sz w:val="24"/>
                <w:lang w:val="en-US" w:eastAsia="zh-CN"/>
              </w:rPr>
              <w:t>丝印后</w:t>
            </w:r>
            <w:r>
              <w:rPr>
                <w:rFonts w:hint="eastAsia"/>
                <w:color w:val="auto"/>
                <w:sz w:val="24"/>
                <w:lang w:val="en-US" w:eastAsia="zh-CN"/>
              </w:rPr>
              <w:t>需要在烘烤线内烘烤，烘烤温度为30-60℃，烘烤时间约为5min，</w:t>
            </w:r>
            <w:r>
              <w:rPr>
                <w:rFonts w:hint="eastAsia"/>
                <w:color w:val="auto"/>
                <w:sz w:val="24"/>
              </w:rPr>
              <w:t>此工序会产生</w:t>
            </w:r>
            <w:r>
              <w:rPr>
                <w:rFonts w:hint="eastAsia"/>
                <w:color w:val="BF9000" w:themeColor="accent4" w:themeShade="BF"/>
                <w:sz w:val="24"/>
                <w:lang w:val="en-US" w:eastAsia="zh-CN"/>
              </w:rPr>
              <w:t>非甲烷总烃</w:t>
            </w:r>
            <w:r>
              <w:rPr>
                <w:rFonts w:hint="eastAsia"/>
                <w:color w:val="auto"/>
                <w:sz w:val="24"/>
              </w:rPr>
              <w:t>和噪声</w:t>
            </w:r>
            <w:r>
              <w:rPr>
                <w:rFonts w:hint="eastAsia"/>
                <w:color w:val="auto"/>
                <w:sz w:val="24"/>
                <w:lang w:eastAsia="zh-CN"/>
              </w:rPr>
              <w:t>。</w:t>
            </w:r>
          </w:p>
          <w:p>
            <w:pPr>
              <w:spacing w:line="360" w:lineRule="auto"/>
              <w:ind w:firstLine="482" w:firstLineChars="200"/>
              <w:rPr>
                <w:rFonts w:hint="eastAsia" w:eastAsia="宋体"/>
                <w:b/>
                <w:bCs/>
                <w:color w:val="auto"/>
                <w:sz w:val="24"/>
                <w:lang w:eastAsia="zh-CN"/>
              </w:rPr>
            </w:pPr>
            <w:r>
              <w:rPr>
                <w:rFonts w:hint="eastAsia"/>
                <w:b/>
                <w:bCs/>
                <w:color w:val="auto"/>
                <w:sz w:val="24"/>
                <w:lang w:val="en-US" w:eastAsia="zh-CN"/>
              </w:rPr>
              <w:t>⑥喷漆</w:t>
            </w:r>
            <w:r>
              <w:rPr>
                <w:rFonts w:hint="eastAsia"/>
                <w:b/>
                <w:bCs/>
                <w:color w:val="auto"/>
                <w:sz w:val="24"/>
                <w:lang w:eastAsia="zh-CN"/>
              </w:rPr>
              <w:t>：</w:t>
            </w:r>
            <w:r>
              <w:rPr>
                <w:rFonts w:hint="eastAsia"/>
                <w:b w:val="0"/>
                <w:bCs w:val="0"/>
                <w:color w:val="auto"/>
                <w:sz w:val="24"/>
                <w:lang w:val="en-US" w:eastAsia="zh-CN"/>
              </w:rPr>
              <w:t>部分塑胶壳注塑后需对整个工件进行喷漆，使用水性油漆，</w:t>
            </w:r>
            <w:r>
              <w:rPr>
                <w:rFonts w:hint="eastAsia"/>
                <w:b w:val="0"/>
                <w:bCs w:val="0"/>
                <w:color w:val="FF0000"/>
                <w:sz w:val="24"/>
                <w:lang w:val="en-US" w:eastAsia="zh-CN"/>
              </w:rPr>
              <w:t>每个工件喷一层，</w:t>
            </w:r>
            <w:r>
              <w:rPr>
                <w:rFonts w:hint="eastAsia" w:cs="Times New Roman"/>
                <w:bCs/>
                <w:color w:val="FF0000"/>
                <w:szCs w:val="21"/>
                <w:highlight w:val="none"/>
                <w:lang w:val="en-US" w:eastAsia="zh-CN"/>
              </w:rPr>
              <w:t>喷漆</w:t>
            </w:r>
            <w:r>
              <w:rPr>
                <w:rFonts w:hint="eastAsia"/>
                <w:color w:val="auto"/>
                <w:sz w:val="24"/>
              </w:rPr>
              <w:t>工序设置于密闭隔间内，水帘柜柜体属于半封闭结构，</w:t>
            </w:r>
            <w:r>
              <w:rPr>
                <w:rFonts w:hint="eastAsia" w:cs="Times New Roman"/>
                <w:bCs/>
                <w:color w:val="FF0000"/>
                <w:szCs w:val="21"/>
                <w:highlight w:val="none"/>
                <w:lang w:val="en-US" w:eastAsia="zh-CN"/>
              </w:rPr>
              <w:t>喷漆</w:t>
            </w:r>
            <w:r>
              <w:rPr>
                <w:rFonts w:hint="eastAsia"/>
                <w:color w:val="auto"/>
                <w:sz w:val="24"/>
              </w:rPr>
              <w:t>产生的</w:t>
            </w:r>
            <w:r>
              <w:rPr>
                <w:rFonts w:hint="eastAsia"/>
                <w:color w:val="auto"/>
                <w:sz w:val="24"/>
                <w:lang w:val="en-US" w:eastAsia="zh-CN"/>
              </w:rPr>
              <w:t>漆雾</w:t>
            </w:r>
            <w:r>
              <w:rPr>
                <w:rFonts w:hint="eastAsia"/>
                <w:color w:val="auto"/>
                <w:sz w:val="24"/>
              </w:rPr>
              <w:t>和</w:t>
            </w:r>
            <w:r>
              <w:rPr>
                <w:rFonts w:hint="eastAsia"/>
                <w:color w:val="FF0000"/>
                <w:sz w:val="24"/>
                <w:lang w:val="en-US" w:eastAsia="zh-CN"/>
              </w:rPr>
              <w:t>总VOCs</w:t>
            </w:r>
            <w:r>
              <w:rPr>
                <w:rFonts w:hint="eastAsia"/>
                <w:color w:val="auto"/>
                <w:sz w:val="24"/>
              </w:rPr>
              <w:t>被水帘柜抽风口收集过滤，另一部分未被收集的</w:t>
            </w:r>
            <w:r>
              <w:rPr>
                <w:rFonts w:hint="eastAsia"/>
                <w:color w:val="auto"/>
                <w:sz w:val="24"/>
                <w:lang w:val="en-US" w:eastAsia="zh-CN"/>
              </w:rPr>
              <w:t>漆雾</w:t>
            </w:r>
            <w:r>
              <w:rPr>
                <w:rFonts w:hint="eastAsia"/>
                <w:color w:val="auto"/>
                <w:sz w:val="24"/>
              </w:rPr>
              <w:t>自然掉落在水帘柜中，定期清捞</w:t>
            </w:r>
            <w:r>
              <w:rPr>
                <w:rFonts w:hint="eastAsia"/>
                <w:color w:val="auto"/>
                <w:sz w:val="24"/>
                <w:lang w:eastAsia="zh-CN"/>
              </w:rPr>
              <w:t>；</w:t>
            </w:r>
            <w:r>
              <w:rPr>
                <w:rFonts w:hint="eastAsia"/>
                <w:color w:val="auto"/>
                <w:sz w:val="24"/>
                <w:lang w:val="en-US" w:eastAsia="zh-CN"/>
              </w:rPr>
              <w:t>喷枪每天使用水清洗，设有1个清洗桶</w:t>
            </w:r>
            <w:r>
              <w:rPr>
                <w:rFonts w:hint="eastAsia" w:ascii="Times New Roman" w:hAnsi="Times New Roman" w:eastAsia="宋体" w:cs="Times New Roman"/>
                <w:color w:val="auto"/>
                <w:sz w:val="24"/>
                <w:lang w:eastAsia="zh-CN"/>
              </w:rPr>
              <w:t>，</w:t>
            </w:r>
            <w:r>
              <w:rPr>
                <w:rFonts w:hint="eastAsia"/>
                <w:b w:val="0"/>
                <w:bCs w:val="0"/>
                <w:color w:val="auto"/>
                <w:sz w:val="24"/>
              </w:rPr>
              <w:t>此</w:t>
            </w:r>
            <w:r>
              <w:rPr>
                <w:rFonts w:hint="eastAsia"/>
                <w:color w:val="auto"/>
                <w:sz w:val="24"/>
              </w:rPr>
              <w:t>工序会产生</w:t>
            </w:r>
            <w:r>
              <w:rPr>
                <w:rFonts w:hint="eastAsia"/>
                <w:color w:val="auto"/>
                <w:sz w:val="24"/>
                <w:lang w:val="en-US" w:eastAsia="zh-CN"/>
              </w:rPr>
              <w:t>漆雾、水帘柜废水、喷枪清洗废水、</w:t>
            </w:r>
            <w:r>
              <w:rPr>
                <w:rFonts w:hint="eastAsia"/>
                <w:color w:val="FF0000"/>
                <w:sz w:val="24"/>
                <w:lang w:val="en-US" w:eastAsia="zh-CN"/>
              </w:rPr>
              <w:t>总VOCs</w:t>
            </w:r>
            <w:r>
              <w:rPr>
                <w:rFonts w:hint="eastAsia"/>
                <w:color w:val="auto"/>
                <w:sz w:val="24"/>
                <w:lang w:val="en-US" w:eastAsia="zh-CN"/>
              </w:rPr>
              <w:t>和</w:t>
            </w:r>
            <w:r>
              <w:rPr>
                <w:rFonts w:hint="eastAsia"/>
                <w:color w:val="auto"/>
                <w:sz w:val="24"/>
              </w:rPr>
              <w:t>噪声</w:t>
            </w:r>
            <w:r>
              <w:rPr>
                <w:rFonts w:hint="eastAsia"/>
                <w:color w:val="auto"/>
                <w:sz w:val="24"/>
                <w:lang w:eastAsia="zh-CN"/>
              </w:rPr>
              <w:t>。</w:t>
            </w:r>
          </w:p>
          <w:p>
            <w:pPr>
              <w:spacing w:line="360" w:lineRule="auto"/>
              <w:ind w:firstLine="482" w:firstLineChars="200"/>
              <w:rPr>
                <w:rFonts w:hint="eastAsia" w:eastAsia="宋体"/>
                <w:b/>
                <w:bCs/>
                <w:color w:val="auto"/>
                <w:sz w:val="24"/>
                <w:lang w:val="en-US" w:eastAsia="zh-CN"/>
              </w:rPr>
            </w:pPr>
            <w:r>
              <w:rPr>
                <w:rFonts w:hint="eastAsia"/>
                <w:b/>
                <w:bCs/>
                <w:color w:val="auto"/>
                <w:sz w:val="24"/>
                <w:lang w:val="en-US" w:eastAsia="zh-CN"/>
              </w:rPr>
              <w:t>⑦烘烤</w:t>
            </w:r>
            <w:r>
              <w:rPr>
                <w:rFonts w:hint="eastAsia"/>
                <w:b/>
                <w:bCs/>
                <w:color w:val="auto"/>
                <w:sz w:val="24"/>
                <w:lang w:eastAsia="zh-CN"/>
              </w:rPr>
              <w:t>：</w:t>
            </w:r>
            <w:r>
              <w:rPr>
                <w:rFonts w:hint="eastAsia"/>
                <w:b w:val="0"/>
                <w:bCs w:val="0"/>
                <w:color w:val="auto"/>
                <w:sz w:val="24"/>
                <w:lang w:eastAsia="zh-CN"/>
              </w:rPr>
              <w:t>喷漆</w:t>
            </w:r>
            <w:r>
              <w:rPr>
                <w:rFonts w:hint="eastAsia"/>
                <w:b w:val="0"/>
                <w:bCs w:val="0"/>
                <w:color w:val="auto"/>
                <w:sz w:val="24"/>
                <w:lang w:val="en-US" w:eastAsia="zh-CN"/>
              </w:rPr>
              <w:t>后</w:t>
            </w:r>
            <w:r>
              <w:rPr>
                <w:rFonts w:hint="eastAsia"/>
                <w:color w:val="auto"/>
                <w:sz w:val="24"/>
                <w:lang w:val="en-US" w:eastAsia="zh-CN"/>
              </w:rPr>
              <w:t>需要在烘烤线内烘烤，烘烤温度为30-60℃，烘烤时间约为5min，</w:t>
            </w:r>
            <w:r>
              <w:rPr>
                <w:rFonts w:hint="eastAsia"/>
                <w:color w:val="auto"/>
                <w:sz w:val="24"/>
              </w:rPr>
              <w:t>此工序会产生</w:t>
            </w:r>
            <w:r>
              <w:rPr>
                <w:rFonts w:hint="eastAsia"/>
                <w:color w:val="FF0000"/>
                <w:sz w:val="24"/>
                <w:lang w:val="en-US" w:eastAsia="zh-CN"/>
              </w:rPr>
              <w:t>总VOCs</w:t>
            </w:r>
            <w:r>
              <w:rPr>
                <w:rFonts w:hint="eastAsia"/>
                <w:color w:val="auto"/>
                <w:sz w:val="24"/>
              </w:rPr>
              <w:t>和噪声</w:t>
            </w:r>
            <w:r>
              <w:rPr>
                <w:rFonts w:hint="eastAsia"/>
                <w:color w:val="auto"/>
                <w:sz w:val="24"/>
                <w:lang w:eastAsia="zh-CN"/>
              </w:rPr>
              <w:t>。</w:t>
            </w:r>
          </w:p>
          <w:p>
            <w:pPr>
              <w:spacing w:line="360" w:lineRule="auto"/>
              <w:ind w:firstLine="482" w:firstLineChars="200"/>
              <w:rPr>
                <w:rFonts w:hint="eastAsia" w:eastAsia="宋体"/>
                <w:b w:val="0"/>
                <w:bCs w:val="0"/>
                <w:color w:val="auto"/>
                <w:sz w:val="24"/>
                <w:lang w:val="en-US" w:eastAsia="zh-CN"/>
              </w:rPr>
            </w:pPr>
            <w:r>
              <w:rPr>
                <w:rFonts w:hint="eastAsia"/>
                <w:b/>
                <w:bCs/>
                <w:color w:val="auto"/>
                <w:sz w:val="24"/>
                <w:lang w:val="en-US" w:eastAsia="zh-CN"/>
              </w:rPr>
              <w:t>⑧检查、组装、包装：</w:t>
            </w:r>
            <w:r>
              <w:rPr>
                <w:rFonts w:hint="eastAsia"/>
                <w:b w:val="0"/>
                <w:bCs w:val="0"/>
                <w:color w:val="auto"/>
                <w:sz w:val="24"/>
                <w:lang w:val="en-US" w:eastAsia="zh-CN"/>
              </w:rPr>
              <w:t>对加工好的工件进行检查，然后组装好之后进行包装，此过程会</w:t>
            </w:r>
            <w:r>
              <w:rPr>
                <w:rFonts w:hint="eastAsia"/>
                <w:b w:val="0"/>
                <w:bCs w:val="0"/>
                <w:color w:val="auto"/>
                <w:sz w:val="24"/>
              </w:rPr>
              <w:t>产生废包装材料</w:t>
            </w:r>
            <w:r>
              <w:rPr>
                <w:rFonts w:hint="eastAsia"/>
                <w:b w:val="0"/>
                <w:bCs w:val="0"/>
                <w:color w:val="auto"/>
                <w:sz w:val="24"/>
                <w:lang w:eastAsia="zh-CN"/>
              </w:rPr>
              <w:t>。</w:t>
            </w:r>
          </w:p>
          <w:p>
            <w:pPr>
              <w:adjustRightInd w:val="0"/>
              <w:snapToGrid w:val="0"/>
              <w:ind w:firstLine="482" w:firstLineChars="200"/>
              <w:rPr>
                <w:bCs/>
                <w:color w:val="auto"/>
                <w:szCs w:val="21"/>
              </w:rPr>
            </w:pPr>
            <w:r>
              <w:rPr>
                <w:b/>
                <w:color w:val="auto"/>
                <w:szCs w:val="21"/>
              </w:rPr>
              <w:t>二、产污环节</w:t>
            </w:r>
          </w:p>
          <w:p>
            <w:pPr>
              <w:adjustRightInd w:val="0"/>
              <w:snapToGrid w:val="0"/>
              <w:ind w:firstLine="480" w:firstLineChars="200"/>
              <w:rPr>
                <w:bCs/>
                <w:color w:val="auto"/>
                <w:szCs w:val="21"/>
              </w:rPr>
            </w:pPr>
            <w:r>
              <w:rPr>
                <w:rFonts w:hint="eastAsia"/>
                <w:bCs/>
                <w:color w:val="auto"/>
                <w:szCs w:val="21"/>
                <w:lang w:eastAsia="zh-CN"/>
              </w:rPr>
              <w:t>扩建项目</w:t>
            </w:r>
            <w:r>
              <w:rPr>
                <w:bCs/>
                <w:color w:val="auto"/>
                <w:szCs w:val="21"/>
              </w:rPr>
              <w:t>产生的污染物如下表所示：</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扩建项目</w:t>
            </w:r>
            <w:r>
              <w:rPr>
                <w:rFonts w:hint="default" w:ascii="Times New Roman" w:hAnsi="Times New Roman" w:eastAsia="宋体" w:cs="Times New Roman"/>
                <w:color w:val="auto"/>
                <w:sz w:val="22"/>
                <w:szCs w:val="22"/>
                <w:highlight w:val="none"/>
                <w:lang w:val="en-US" w:eastAsia="zh-CN"/>
              </w:rPr>
              <w:t>产污环节</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071"/>
              <w:gridCol w:w="2713"/>
              <w:gridCol w:w="4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25" w:type="pct"/>
                  <w:tcBorders>
                    <w:tl2br w:val="nil"/>
                    <w:tr2bl w:val="nil"/>
                  </w:tcBorders>
                  <w:noWrap/>
                  <w:vAlign w:val="center"/>
                </w:tcPr>
                <w:p>
                  <w:pPr>
                    <w:adjustRightInd w:val="0"/>
                    <w:snapToGrid w:val="0"/>
                    <w:spacing w:line="240" w:lineRule="auto"/>
                    <w:jc w:val="center"/>
                    <w:rPr>
                      <w:b/>
                      <w:color w:val="auto"/>
                      <w:sz w:val="21"/>
                      <w:szCs w:val="21"/>
                    </w:rPr>
                  </w:pPr>
                  <w:r>
                    <w:rPr>
                      <w:b/>
                      <w:color w:val="auto"/>
                      <w:sz w:val="21"/>
                      <w:szCs w:val="21"/>
                    </w:rPr>
                    <w:t>类别</w:t>
                  </w:r>
                </w:p>
              </w:tc>
              <w:tc>
                <w:tcPr>
                  <w:tcW w:w="613" w:type="pct"/>
                  <w:tcBorders>
                    <w:tl2br w:val="nil"/>
                    <w:tr2bl w:val="nil"/>
                  </w:tcBorders>
                  <w:noWrap/>
                  <w:vAlign w:val="center"/>
                </w:tcPr>
                <w:p>
                  <w:pPr>
                    <w:adjustRightInd w:val="0"/>
                    <w:snapToGrid w:val="0"/>
                    <w:spacing w:line="240" w:lineRule="auto"/>
                    <w:jc w:val="center"/>
                    <w:rPr>
                      <w:b/>
                      <w:color w:val="auto"/>
                      <w:sz w:val="21"/>
                      <w:szCs w:val="21"/>
                    </w:rPr>
                  </w:pPr>
                  <w:r>
                    <w:rPr>
                      <w:b/>
                      <w:color w:val="auto"/>
                      <w:sz w:val="21"/>
                      <w:szCs w:val="21"/>
                    </w:rPr>
                    <w:t>污染源</w:t>
                  </w:r>
                </w:p>
              </w:tc>
              <w:tc>
                <w:tcPr>
                  <w:tcW w:w="1554" w:type="pct"/>
                  <w:tcBorders>
                    <w:tl2br w:val="nil"/>
                    <w:tr2bl w:val="nil"/>
                  </w:tcBorders>
                  <w:noWrap/>
                  <w:vAlign w:val="center"/>
                </w:tcPr>
                <w:p>
                  <w:pPr>
                    <w:adjustRightInd w:val="0"/>
                    <w:snapToGrid w:val="0"/>
                    <w:spacing w:line="240" w:lineRule="auto"/>
                    <w:jc w:val="center"/>
                    <w:rPr>
                      <w:b/>
                      <w:color w:val="auto"/>
                      <w:sz w:val="21"/>
                      <w:szCs w:val="21"/>
                    </w:rPr>
                  </w:pPr>
                  <w:r>
                    <w:rPr>
                      <w:b/>
                      <w:color w:val="auto"/>
                      <w:sz w:val="21"/>
                      <w:szCs w:val="21"/>
                    </w:rPr>
                    <w:t>污染物</w:t>
                  </w:r>
                </w:p>
              </w:tc>
              <w:tc>
                <w:tcPr>
                  <w:tcW w:w="2505" w:type="pct"/>
                  <w:tcBorders>
                    <w:tl2br w:val="nil"/>
                    <w:tr2bl w:val="nil"/>
                  </w:tcBorders>
                  <w:noWrap/>
                  <w:vAlign w:val="center"/>
                </w:tcPr>
                <w:p>
                  <w:pPr>
                    <w:adjustRightInd w:val="0"/>
                    <w:snapToGrid w:val="0"/>
                    <w:spacing w:line="240" w:lineRule="auto"/>
                    <w:jc w:val="center"/>
                    <w:rPr>
                      <w:rFonts w:hint="eastAsia" w:eastAsia="宋体"/>
                      <w:b/>
                      <w:color w:val="auto"/>
                      <w:sz w:val="21"/>
                      <w:szCs w:val="21"/>
                      <w:lang w:val="en-US" w:eastAsia="zh-CN"/>
                    </w:rPr>
                  </w:pPr>
                  <w:r>
                    <w:rPr>
                      <w:rFonts w:hint="eastAsia"/>
                      <w:b/>
                      <w:color w:val="auto"/>
                      <w:sz w:val="21"/>
                      <w:szCs w:val="21"/>
                      <w:lang w:val="en-US" w:eastAsia="zh-CN"/>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25" w:type="pct"/>
                  <w:vMerge w:val="restar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废气</w:t>
                  </w: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eastAsia"/>
                      <w:color w:val="BF9000" w:themeColor="accent4" w:themeShade="BF"/>
                      <w:sz w:val="21"/>
                      <w:szCs w:val="21"/>
                      <w:highlight w:val="none"/>
                      <w:lang w:val="en-US" w:eastAsia="zh-CN"/>
                    </w:rPr>
                    <w:t>混料、破碎工序</w:t>
                  </w:r>
                </w:p>
              </w:tc>
              <w:tc>
                <w:tcPr>
                  <w:tcW w:w="1554"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粉尘（</w:t>
                  </w:r>
                  <w:r>
                    <w:rPr>
                      <w:rFonts w:hint="eastAsia"/>
                      <w:color w:val="BF9000" w:themeColor="accent4" w:themeShade="BF"/>
                      <w:sz w:val="21"/>
                      <w:szCs w:val="21"/>
                      <w:highlight w:val="none"/>
                      <w:lang w:val="en-US" w:eastAsia="zh-CN"/>
                    </w:rPr>
                    <w:t>以颗粒物表征</w:t>
                  </w:r>
                  <w:r>
                    <w:rPr>
                      <w:rFonts w:hint="eastAsia" w:cs="Times New Roman"/>
                      <w:color w:val="BF9000" w:themeColor="accent4" w:themeShade="BF"/>
                      <w:kern w:val="2"/>
                      <w:sz w:val="21"/>
                      <w:szCs w:val="21"/>
                      <w:highlight w:val="none"/>
                      <w:lang w:val="en-US" w:eastAsia="zh-CN" w:bidi="ar-SA"/>
                    </w:rPr>
                    <w:t>）</w:t>
                  </w:r>
                </w:p>
              </w:tc>
              <w:tc>
                <w:tcPr>
                  <w:tcW w:w="2505"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b w:val="0"/>
                      <w:bCs w:val="0"/>
                      <w:color w:val="BF9000" w:themeColor="accent4" w:themeShade="BF"/>
                      <w:kern w:val="2"/>
                      <w:sz w:val="21"/>
                      <w:szCs w:val="21"/>
                      <w:highlight w:val="none"/>
                      <w:vertAlign w:val="baseline"/>
                      <w:lang w:val="en-US" w:eastAsia="zh-CN" w:bidi="ar-SA"/>
                    </w:rPr>
                  </w:pPr>
                  <w:r>
                    <w:rPr>
                      <w:rFonts w:hint="eastAsia"/>
                      <w:b w:val="0"/>
                      <w:bCs w:val="0"/>
                      <w:color w:val="BF9000" w:themeColor="accent4" w:themeShade="BF"/>
                      <w:sz w:val="21"/>
                      <w:szCs w:val="21"/>
                      <w:highlight w:val="none"/>
                      <w:vertAlign w:val="baseline"/>
                      <w:lang w:val="en-US" w:eastAsia="zh-CN"/>
                    </w:rPr>
                    <w:t>集气罩收集后经1套“</w:t>
                  </w:r>
                  <w:r>
                    <w:rPr>
                      <w:rFonts w:hint="eastAsia" w:cs="Times New Roman"/>
                      <w:color w:val="BF9000" w:themeColor="accent4" w:themeShade="BF"/>
                      <w:sz w:val="21"/>
                      <w:szCs w:val="21"/>
                      <w:highlight w:val="none"/>
                      <w:lang w:val="en-US" w:eastAsia="zh-CN"/>
                    </w:rPr>
                    <w:t>布袋除尘器</w:t>
                  </w:r>
                  <w:r>
                    <w:rPr>
                      <w:rFonts w:hint="eastAsia"/>
                      <w:b w:val="0"/>
                      <w:bCs w:val="0"/>
                      <w:color w:val="BF9000" w:themeColor="accent4" w:themeShade="BF"/>
                      <w:sz w:val="21"/>
                      <w:szCs w:val="21"/>
                      <w:highlight w:val="none"/>
                      <w:vertAlign w:val="baseline"/>
                      <w:lang w:val="en-US" w:eastAsia="zh-CN"/>
                    </w:rPr>
                    <w:t>”处理达标后经1根15m高的排气筒DA002高空排放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机加工及打磨工序</w:t>
                  </w:r>
                </w:p>
              </w:tc>
              <w:tc>
                <w:tcPr>
                  <w:tcW w:w="1554" w:type="pct"/>
                  <w:tcBorders>
                    <w:tl2br w:val="nil"/>
                    <w:tr2bl w:val="nil"/>
                  </w:tcBorders>
                  <w:noWrap/>
                  <w:vAlign w:val="center"/>
                </w:tcPr>
                <w:p>
                  <w:pPr>
                    <w:adjustRightInd w:val="0"/>
                    <w:snapToGrid w:val="0"/>
                    <w:spacing w:line="240" w:lineRule="auto"/>
                    <w:jc w:val="center"/>
                    <w:rPr>
                      <w:rFonts w:hint="eastAsia"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粉尘（</w:t>
                  </w:r>
                  <w:r>
                    <w:rPr>
                      <w:rFonts w:hint="eastAsia"/>
                      <w:color w:val="BF9000" w:themeColor="accent4" w:themeShade="BF"/>
                      <w:sz w:val="21"/>
                      <w:szCs w:val="21"/>
                      <w:highlight w:val="none"/>
                      <w:lang w:val="en-US" w:eastAsia="zh-CN"/>
                    </w:rPr>
                    <w:t>以颗粒物表征</w:t>
                  </w:r>
                  <w:r>
                    <w:rPr>
                      <w:rFonts w:hint="eastAsia" w:cs="Times New Roman"/>
                      <w:color w:val="BF9000" w:themeColor="accent4" w:themeShade="BF"/>
                      <w:kern w:val="2"/>
                      <w:sz w:val="21"/>
                      <w:szCs w:val="21"/>
                      <w:highlight w:val="none"/>
                      <w:lang w:val="en-US" w:eastAsia="zh-CN" w:bidi="ar-SA"/>
                    </w:rPr>
                    <w:t>）</w:t>
                  </w:r>
                </w:p>
              </w:tc>
              <w:tc>
                <w:tcPr>
                  <w:tcW w:w="2505" w:type="pct"/>
                  <w:tcBorders>
                    <w:tl2br w:val="nil"/>
                    <w:tr2bl w:val="nil"/>
                  </w:tcBorders>
                  <w:noWrap/>
                  <w:vAlign w:val="center"/>
                </w:tcPr>
                <w:p>
                  <w:pPr>
                    <w:adjustRightInd w:val="0"/>
                    <w:snapToGrid w:val="0"/>
                    <w:spacing w:line="240" w:lineRule="auto"/>
                    <w:jc w:val="center"/>
                    <w:rPr>
                      <w:rFonts w:hint="eastAsia"/>
                      <w:b w:val="0"/>
                      <w:bCs w:val="0"/>
                      <w:color w:val="BF9000" w:themeColor="accent4" w:themeShade="BF"/>
                      <w:sz w:val="21"/>
                      <w:szCs w:val="21"/>
                      <w:highlight w:val="none"/>
                      <w:vertAlign w:val="baseline"/>
                      <w:lang w:val="en-US" w:eastAsia="zh-CN"/>
                    </w:rPr>
                  </w:pPr>
                  <w:r>
                    <w:rPr>
                      <w:rFonts w:hint="eastAsia"/>
                      <w:b w:val="0"/>
                      <w:bCs w:val="0"/>
                      <w:color w:val="BF9000" w:themeColor="accent4" w:themeShade="BF"/>
                      <w:sz w:val="21"/>
                      <w:szCs w:val="21"/>
                      <w:highlight w:val="none"/>
                      <w:vertAlign w:val="baseline"/>
                      <w:lang w:val="en-US" w:eastAsia="zh-CN"/>
                    </w:rPr>
                    <w:t>集气罩收集后经1套“</w:t>
                  </w:r>
                  <w:r>
                    <w:rPr>
                      <w:rFonts w:hint="eastAsia" w:cs="Times New Roman"/>
                      <w:color w:val="BF9000" w:themeColor="accent4" w:themeShade="BF"/>
                      <w:sz w:val="21"/>
                      <w:szCs w:val="21"/>
                      <w:highlight w:val="none"/>
                      <w:lang w:val="en-US" w:eastAsia="zh-CN"/>
                    </w:rPr>
                    <w:t>布袋除尘器</w:t>
                  </w:r>
                  <w:r>
                    <w:rPr>
                      <w:rFonts w:hint="eastAsia"/>
                      <w:b w:val="0"/>
                      <w:bCs w:val="0"/>
                      <w:color w:val="BF9000" w:themeColor="accent4" w:themeShade="BF"/>
                      <w:sz w:val="21"/>
                      <w:szCs w:val="21"/>
                      <w:highlight w:val="none"/>
                      <w:vertAlign w:val="baseline"/>
                      <w:lang w:val="en-US" w:eastAsia="zh-CN"/>
                    </w:rPr>
                    <w:t>”处理达标后经1根15m高的排气筒DA004高空排放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olor w:val="BF9000" w:themeColor="accent4" w:themeShade="BF"/>
                      <w:sz w:val="21"/>
                      <w:szCs w:val="21"/>
                      <w:lang w:val="en-US" w:eastAsia="zh-CN"/>
                    </w:rPr>
                  </w:pPr>
                  <w:r>
                    <w:rPr>
                      <w:rFonts w:hint="eastAsia"/>
                      <w:color w:val="BF9000" w:themeColor="accent4" w:themeShade="BF"/>
                      <w:sz w:val="21"/>
                      <w:szCs w:val="21"/>
                      <w:lang w:val="en-US" w:eastAsia="zh-CN"/>
                    </w:rPr>
                    <w:t>电火花、雕刻工序</w:t>
                  </w:r>
                </w:p>
              </w:tc>
              <w:tc>
                <w:tcPr>
                  <w:tcW w:w="1554" w:type="pct"/>
                  <w:tcBorders>
                    <w:tl2br w:val="nil"/>
                    <w:tr2bl w:val="nil"/>
                  </w:tcBorders>
                  <w:noWrap/>
                  <w:vAlign w:val="center"/>
                </w:tcPr>
                <w:p>
                  <w:pPr>
                    <w:adjustRightInd w:val="0"/>
                    <w:snapToGrid w:val="0"/>
                    <w:spacing w:line="240" w:lineRule="auto"/>
                    <w:jc w:val="center"/>
                    <w:rPr>
                      <w:rFonts w:hint="default"/>
                      <w:color w:val="BF9000" w:themeColor="accent4" w:themeShade="BF"/>
                      <w:sz w:val="21"/>
                      <w:szCs w:val="21"/>
                      <w:lang w:val="en-US" w:eastAsia="zh-CN"/>
                    </w:rPr>
                  </w:pPr>
                  <w:r>
                    <w:rPr>
                      <w:rFonts w:hint="eastAsia"/>
                      <w:color w:val="BF9000" w:themeColor="accent4" w:themeShade="BF"/>
                      <w:sz w:val="21"/>
                      <w:szCs w:val="21"/>
                      <w:lang w:val="en-US" w:eastAsia="zh-CN"/>
                    </w:rPr>
                    <w:t>油雾（以非甲烷总烃表征）</w:t>
                  </w:r>
                </w:p>
              </w:tc>
              <w:tc>
                <w:tcPr>
                  <w:tcW w:w="2505" w:type="pct"/>
                  <w:tcBorders>
                    <w:tl2br w:val="nil"/>
                    <w:tr2bl w:val="nil"/>
                  </w:tcBorders>
                  <w:noWrap/>
                  <w:vAlign w:val="center"/>
                </w:tcPr>
                <w:p>
                  <w:pPr>
                    <w:adjustRightInd w:val="0"/>
                    <w:snapToGrid w:val="0"/>
                    <w:spacing w:line="240" w:lineRule="auto"/>
                    <w:jc w:val="center"/>
                    <w:rPr>
                      <w:rFonts w:hint="default"/>
                      <w:b w:val="0"/>
                      <w:bCs w:val="0"/>
                      <w:color w:val="BF9000" w:themeColor="accent4" w:themeShade="BF"/>
                      <w:sz w:val="21"/>
                      <w:szCs w:val="21"/>
                      <w:highlight w:val="none"/>
                      <w:vertAlign w:val="baseline"/>
                      <w:lang w:val="en-US" w:eastAsia="zh-CN"/>
                    </w:rPr>
                  </w:pPr>
                  <w:r>
                    <w:rPr>
                      <w:rFonts w:hint="eastAsia"/>
                      <w:b w:val="0"/>
                      <w:bCs w:val="0"/>
                      <w:color w:val="BF9000" w:themeColor="accent4" w:themeShade="BF"/>
                      <w:sz w:val="21"/>
                      <w:szCs w:val="21"/>
                      <w:highlight w:val="none"/>
                      <w:vertAlign w:val="baseline"/>
                      <w:lang w:val="en-US" w:eastAsia="zh-CN"/>
                    </w:rPr>
                    <w:t>经油雾净化器处理后无组织排放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olor w:val="BF9000" w:themeColor="accent4" w:themeShade="BF"/>
                      <w:sz w:val="21"/>
                      <w:szCs w:val="21"/>
                      <w:lang w:val="en-US" w:eastAsia="zh-CN"/>
                    </w:rPr>
                  </w:pPr>
                  <w:r>
                    <w:rPr>
                      <w:rFonts w:hint="eastAsia"/>
                      <w:color w:val="BF9000" w:themeColor="accent4" w:themeShade="BF"/>
                      <w:sz w:val="21"/>
                      <w:szCs w:val="21"/>
                      <w:lang w:val="en-US" w:eastAsia="zh-CN"/>
                    </w:rPr>
                    <w:t>注塑成型工序</w:t>
                  </w:r>
                </w:p>
              </w:tc>
              <w:tc>
                <w:tcPr>
                  <w:tcW w:w="1554" w:type="pct"/>
                  <w:tcBorders>
                    <w:tl2br w:val="nil"/>
                    <w:tr2bl w:val="nil"/>
                  </w:tcBorders>
                  <w:noWrap/>
                  <w:vAlign w:val="center"/>
                </w:tcPr>
                <w:p>
                  <w:pPr>
                    <w:adjustRightInd w:val="0"/>
                    <w:snapToGrid w:val="0"/>
                    <w:spacing w:line="240" w:lineRule="auto"/>
                    <w:jc w:val="center"/>
                    <w:rPr>
                      <w:rFonts w:hint="default"/>
                      <w:color w:val="BF9000" w:themeColor="accent4" w:themeShade="BF"/>
                      <w:sz w:val="21"/>
                      <w:szCs w:val="21"/>
                      <w:lang w:val="en-US" w:eastAsia="zh-CN"/>
                    </w:rPr>
                  </w:pPr>
                  <w:r>
                    <w:rPr>
                      <w:rFonts w:hint="eastAsia"/>
                      <w:color w:val="BF9000" w:themeColor="accent4" w:themeShade="BF"/>
                      <w:sz w:val="21"/>
                      <w:szCs w:val="21"/>
                      <w:lang w:val="en-US" w:eastAsia="zh-CN"/>
                    </w:rPr>
                    <w:t>有机废气（以非甲烷总烃表征）、臭气浓度</w:t>
                  </w:r>
                </w:p>
              </w:tc>
              <w:tc>
                <w:tcPr>
                  <w:tcW w:w="2505" w:type="pct"/>
                  <w:tcBorders>
                    <w:tl2br w:val="nil"/>
                    <w:tr2bl w:val="nil"/>
                  </w:tcBorders>
                  <w:noWrap/>
                  <w:vAlign w:val="center"/>
                </w:tcPr>
                <w:p>
                  <w:pPr>
                    <w:adjustRightInd w:val="0"/>
                    <w:snapToGrid w:val="0"/>
                    <w:spacing w:line="240" w:lineRule="auto"/>
                    <w:jc w:val="center"/>
                    <w:rPr>
                      <w:rFonts w:hint="eastAsia"/>
                      <w:b w:val="0"/>
                      <w:bCs w:val="0"/>
                      <w:color w:val="BF9000" w:themeColor="accent4" w:themeShade="BF"/>
                      <w:sz w:val="21"/>
                      <w:szCs w:val="21"/>
                      <w:highlight w:val="none"/>
                      <w:vertAlign w:val="baseline"/>
                      <w:lang w:val="en-US" w:eastAsia="zh-CN"/>
                    </w:rPr>
                  </w:pPr>
                  <w:r>
                    <w:rPr>
                      <w:rFonts w:hint="eastAsia"/>
                      <w:b w:val="0"/>
                      <w:bCs w:val="0"/>
                      <w:color w:val="BF9000" w:themeColor="accent4" w:themeShade="BF"/>
                      <w:sz w:val="21"/>
                      <w:szCs w:val="21"/>
                      <w:highlight w:val="none"/>
                      <w:vertAlign w:val="baseline"/>
                      <w:lang w:val="en-US" w:eastAsia="zh-CN"/>
                    </w:rPr>
                    <w:t>集气罩收集后经1套“水喷淋+干式过滤器+二级</w:t>
                  </w:r>
                  <w:r>
                    <w:rPr>
                      <w:rFonts w:hint="eastAsia" w:cs="Times New Roman"/>
                      <w:color w:val="BF9000" w:themeColor="accent4" w:themeShade="BF"/>
                      <w:sz w:val="21"/>
                      <w:szCs w:val="21"/>
                      <w:highlight w:val="none"/>
                      <w:lang w:val="en-US" w:eastAsia="zh-CN"/>
                    </w:rPr>
                    <w:t>活性炭吸附装置</w:t>
                  </w:r>
                  <w:r>
                    <w:rPr>
                      <w:rFonts w:hint="eastAsia"/>
                      <w:b w:val="0"/>
                      <w:bCs w:val="0"/>
                      <w:color w:val="BF9000" w:themeColor="accent4" w:themeShade="BF"/>
                      <w:sz w:val="21"/>
                      <w:szCs w:val="21"/>
                      <w:highlight w:val="none"/>
                      <w:vertAlign w:val="baseline"/>
                      <w:lang w:val="en-US" w:eastAsia="zh-CN"/>
                    </w:rPr>
                    <w:t>”处理达标后经1根15m高的排气筒</w:t>
                  </w:r>
                  <w:r>
                    <w:rPr>
                      <w:rFonts w:hint="eastAsia"/>
                      <w:b w:val="0"/>
                      <w:bCs w:val="0"/>
                      <w:color w:val="BF9000" w:themeColor="accent4" w:themeShade="BF"/>
                      <w:sz w:val="21"/>
                      <w:szCs w:val="21"/>
                      <w:vertAlign w:val="baseline"/>
                      <w:lang w:val="en-US" w:eastAsia="zh-CN"/>
                    </w:rPr>
                    <w:t>DA001</w:t>
                  </w:r>
                  <w:r>
                    <w:rPr>
                      <w:rFonts w:hint="eastAsia"/>
                      <w:b w:val="0"/>
                      <w:bCs w:val="0"/>
                      <w:color w:val="BF9000" w:themeColor="accent4" w:themeShade="BF"/>
                      <w:sz w:val="21"/>
                      <w:szCs w:val="21"/>
                      <w:highlight w:val="none"/>
                      <w:vertAlign w:val="baseline"/>
                      <w:lang w:val="en-US" w:eastAsia="zh-CN"/>
                    </w:rPr>
                    <w:t>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BF9000" w:themeColor="accent4" w:themeShade="BF"/>
                      <w:sz w:val="21"/>
                      <w:szCs w:val="21"/>
                    </w:rPr>
                  </w:pPr>
                  <w:r>
                    <w:rPr>
                      <w:rFonts w:hint="eastAsia" w:cs="Times New Roman"/>
                      <w:color w:val="BF9000" w:themeColor="accent4" w:themeShade="BF"/>
                      <w:sz w:val="21"/>
                      <w:szCs w:val="21"/>
                      <w:lang w:val="en-US" w:eastAsia="zh-CN"/>
                    </w:rPr>
                    <w:t>喷漆、烘烤</w:t>
                  </w:r>
                  <w:r>
                    <w:rPr>
                      <w:rFonts w:hint="eastAsia" w:ascii="Times New Roman" w:hAnsi="Times New Roman" w:eastAsia="宋体" w:cs="Times New Roman"/>
                      <w:color w:val="BF9000" w:themeColor="accent4" w:themeShade="BF"/>
                      <w:sz w:val="21"/>
                      <w:szCs w:val="21"/>
                    </w:rPr>
                    <w:t>工序</w:t>
                  </w:r>
                </w:p>
              </w:tc>
              <w:tc>
                <w:tcPr>
                  <w:tcW w:w="1554" w:type="pct"/>
                  <w:tcBorders>
                    <w:tl2br w:val="nil"/>
                    <w:tr2bl w:val="nil"/>
                  </w:tcBorders>
                  <w:noWrap/>
                  <w:vAlign w:val="center"/>
                </w:tcPr>
                <w:p>
                  <w:pPr>
                    <w:adjustRightInd w:val="0"/>
                    <w:snapToGrid w:val="0"/>
                    <w:spacing w:line="240" w:lineRule="auto"/>
                    <w:jc w:val="center"/>
                    <w:rPr>
                      <w:rFonts w:hint="default" w:eastAsia="宋体"/>
                      <w:color w:val="BF9000" w:themeColor="accent4" w:themeShade="BF"/>
                      <w:sz w:val="21"/>
                      <w:szCs w:val="21"/>
                      <w:lang w:val="en-US" w:eastAsia="zh-CN"/>
                    </w:rPr>
                  </w:pPr>
                  <w:r>
                    <w:rPr>
                      <w:rFonts w:hint="eastAsia"/>
                      <w:color w:val="BF9000" w:themeColor="accent4" w:themeShade="BF"/>
                      <w:sz w:val="21"/>
                      <w:szCs w:val="21"/>
                      <w:lang w:val="en-US" w:eastAsia="zh-CN"/>
                    </w:rPr>
                    <w:t>有机废气（以总VOCs表征）、漆雾（以颗粒物表征）</w:t>
                  </w:r>
                </w:p>
              </w:tc>
              <w:tc>
                <w:tcPr>
                  <w:tcW w:w="2505" w:type="pct"/>
                  <w:vMerge w:val="restart"/>
                  <w:tcBorders>
                    <w:tl2br w:val="nil"/>
                    <w:tr2bl w:val="nil"/>
                  </w:tcBorders>
                  <w:noWrap/>
                  <w:vAlign w:val="center"/>
                </w:tcPr>
                <w:p>
                  <w:pPr>
                    <w:adjustRightInd w:val="0"/>
                    <w:snapToGrid w:val="0"/>
                    <w:spacing w:line="240" w:lineRule="auto"/>
                    <w:jc w:val="center"/>
                    <w:rPr>
                      <w:rFonts w:hint="default" w:eastAsia="宋体"/>
                      <w:color w:val="auto"/>
                      <w:sz w:val="21"/>
                      <w:szCs w:val="21"/>
                      <w:lang w:val="en-US" w:eastAsia="zh-CN"/>
                    </w:rPr>
                  </w:pPr>
                  <w:r>
                    <w:rPr>
                      <w:rFonts w:hint="eastAsia"/>
                      <w:b w:val="0"/>
                      <w:bCs w:val="0"/>
                      <w:color w:val="BF9000" w:themeColor="accent4" w:themeShade="BF"/>
                      <w:sz w:val="21"/>
                      <w:szCs w:val="21"/>
                      <w:vertAlign w:val="baseline"/>
                      <w:lang w:val="en-US" w:eastAsia="zh-CN"/>
                    </w:rPr>
                    <w:t>密闭收集后经1套“水喷淋+干式过滤器+二级活性炭吸附装置”处理装置处理达标后经15m排气筒DA003高空排放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s="Times New Roman"/>
                      <w:color w:val="BF9000" w:themeColor="accent4" w:themeShade="BF"/>
                      <w:sz w:val="21"/>
                      <w:szCs w:val="21"/>
                      <w:lang w:val="en-US" w:eastAsia="zh-CN"/>
                    </w:rPr>
                  </w:pPr>
                  <w:r>
                    <w:rPr>
                      <w:rFonts w:hint="eastAsia" w:cs="Times New Roman"/>
                      <w:color w:val="BF9000" w:themeColor="accent4" w:themeShade="BF"/>
                      <w:sz w:val="21"/>
                      <w:szCs w:val="21"/>
                      <w:lang w:val="en-US" w:eastAsia="zh-CN"/>
                    </w:rPr>
                    <w:t>丝印、烘烤工序</w:t>
                  </w:r>
                </w:p>
              </w:tc>
              <w:tc>
                <w:tcPr>
                  <w:tcW w:w="1554" w:type="pct"/>
                  <w:tcBorders>
                    <w:tl2br w:val="nil"/>
                    <w:tr2bl w:val="nil"/>
                  </w:tcBorders>
                  <w:noWrap/>
                  <w:vAlign w:val="center"/>
                </w:tcPr>
                <w:p>
                  <w:pPr>
                    <w:adjustRightInd w:val="0"/>
                    <w:snapToGrid w:val="0"/>
                    <w:spacing w:line="240" w:lineRule="auto"/>
                    <w:jc w:val="center"/>
                    <w:rPr>
                      <w:rFonts w:hint="eastAsia"/>
                      <w:color w:val="BF9000" w:themeColor="accent4" w:themeShade="BF"/>
                      <w:sz w:val="21"/>
                      <w:szCs w:val="21"/>
                      <w:lang w:val="en-US" w:eastAsia="zh-CN"/>
                    </w:rPr>
                  </w:pPr>
                  <w:r>
                    <w:rPr>
                      <w:rFonts w:hint="eastAsia"/>
                      <w:color w:val="BF9000" w:themeColor="accent4" w:themeShade="BF"/>
                      <w:sz w:val="21"/>
                      <w:szCs w:val="21"/>
                      <w:lang w:val="en-US" w:eastAsia="zh-CN"/>
                    </w:rPr>
                    <w:t>有机废气（以非甲烷总烃表征）</w:t>
                  </w:r>
                </w:p>
              </w:tc>
              <w:tc>
                <w:tcPr>
                  <w:tcW w:w="2505" w:type="pct"/>
                  <w:vMerge w:val="continue"/>
                  <w:tcBorders>
                    <w:tl2br w:val="nil"/>
                    <w:tr2bl w:val="nil"/>
                  </w:tcBorders>
                  <w:noWrap/>
                  <w:vAlign w:val="center"/>
                </w:tcPr>
                <w:p>
                  <w:pPr>
                    <w:adjustRightInd w:val="0"/>
                    <w:snapToGrid w:val="0"/>
                    <w:spacing w:line="240" w:lineRule="auto"/>
                    <w:jc w:val="center"/>
                    <w:rPr>
                      <w:rFonts w:hint="eastAsia"/>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restart"/>
                  <w:tcBorders>
                    <w:tl2br w:val="nil"/>
                    <w:tr2bl w:val="nil"/>
                  </w:tcBorders>
                  <w:noWrap/>
                  <w:vAlign w:val="center"/>
                </w:tcPr>
                <w:p>
                  <w:pPr>
                    <w:adjustRightInd w:val="0"/>
                    <w:snapToGrid w:val="0"/>
                    <w:spacing w:line="240" w:lineRule="auto"/>
                    <w:jc w:val="center"/>
                    <w:rPr>
                      <w:color w:val="auto"/>
                      <w:sz w:val="21"/>
                      <w:szCs w:val="21"/>
                    </w:rPr>
                  </w:pPr>
                  <w:r>
                    <w:rPr>
                      <w:rFonts w:hint="eastAsia"/>
                      <w:color w:val="auto"/>
                      <w:sz w:val="21"/>
                      <w:szCs w:val="21"/>
                    </w:rPr>
                    <w:t>废水</w:t>
                  </w: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注塑冷却废水</w:t>
                  </w:r>
                </w:p>
              </w:tc>
              <w:tc>
                <w:tcPr>
                  <w:tcW w:w="4060" w:type="pct"/>
                  <w:gridSpan w:val="2"/>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r>
                    <w:rPr>
                      <w:rFonts w:hint="eastAsia"/>
                      <w:color w:val="auto"/>
                      <w:sz w:val="21"/>
                      <w:szCs w:val="21"/>
                      <w:lang w:val="en-US" w:eastAsia="zh-CN"/>
                    </w:rPr>
                    <w:t>循环使用，不外排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s="Times New Roman"/>
                      <w:color w:val="FF0000"/>
                      <w:kern w:val="2"/>
                      <w:sz w:val="21"/>
                      <w:szCs w:val="21"/>
                      <w:highlight w:val="green"/>
                      <w:lang w:val="en-US" w:eastAsia="zh-CN" w:bidi="ar-SA"/>
                    </w:rPr>
                  </w:pPr>
                  <w:r>
                    <w:rPr>
                      <w:rFonts w:hint="eastAsia" w:cs="Times New Roman"/>
                      <w:color w:val="FF0000"/>
                      <w:kern w:val="2"/>
                      <w:sz w:val="21"/>
                      <w:szCs w:val="21"/>
                      <w:highlight w:val="green"/>
                      <w:lang w:val="en-US" w:eastAsia="zh-CN" w:bidi="ar-SA"/>
                    </w:rPr>
                    <w:t>注塑喷淋废水</w:t>
                  </w:r>
                </w:p>
              </w:tc>
              <w:tc>
                <w:tcPr>
                  <w:tcW w:w="4060" w:type="pct"/>
                  <w:gridSpan w:val="2"/>
                  <w:vMerge w:val="restart"/>
                  <w:tcBorders>
                    <w:tl2br w:val="nil"/>
                    <w:tr2bl w:val="nil"/>
                  </w:tcBorders>
                  <w:noWrap/>
                  <w:vAlign w:val="center"/>
                </w:tcPr>
                <w:p>
                  <w:pPr>
                    <w:adjustRightInd w:val="0"/>
                    <w:snapToGrid w:val="0"/>
                    <w:spacing w:line="240" w:lineRule="auto"/>
                    <w:jc w:val="center"/>
                    <w:rPr>
                      <w:rFonts w:hint="eastAsia"/>
                      <w:color w:val="FF0000"/>
                      <w:sz w:val="21"/>
                      <w:szCs w:val="21"/>
                      <w:highlight w:val="green"/>
                      <w:lang w:val="en-US" w:eastAsia="zh-CN"/>
                    </w:rPr>
                  </w:pPr>
                  <w:r>
                    <w:rPr>
                      <w:rFonts w:hint="eastAsia"/>
                      <w:color w:val="FF0000"/>
                      <w:sz w:val="21"/>
                      <w:szCs w:val="21"/>
                      <w:highlight w:val="green"/>
                      <w:lang w:val="en-US" w:eastAsia="zh-CN"/>
                    </w:rPr>
                    <w:t>分类收集后交由有危险废物处理资质的单位进行处理，不外排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cs="Times New Roman"/>
                      <w:color w:val="FF0000"/>
                      <w:sz w:val="21"/>
                      <w:szCs w:val="21"/>
                      <w:highlight w:val="green"/>
                      <w:lang w:val="en-US" w:eastAsia="zh-CN"/>
                    </w:rPr>
                  </w:pPr>
                  <w:r>
                    <w:rPr>
                      <w:rFonts w:hint="eastAsia" w:cs="Times New Roman"/>
                      <w:color w:val="FF0000"/>
                      <w:sz w:val="21"/>
                      <w:szCs w:val="21"/>
                      <w:highlight w:val="green"/>
                      <w:lang w:val="en-US" w:eastAsia="zh-CN"/>
                    </w:rPr>
                    <w:t>水帘柜废水</w:t>
                  </w:r>
                </w:p>
              </w:tc>
              <w:tc>
                <w:tcPr>
                  <w:tcW w:w="4060" w:type="pct"/>
                  <w:gridSpan w:val="2"/>
                  <w:vMerge w:val="continue"/>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green"/>
                      <w:lang w:val="en-US" w:eastAsia="zh-CN"/>
                    </w:rPr>
                  </w:pPr>
                  <w:r>
                    <w:rPr>
                      <w:rFonts w:hint="eastAsia" w:cs="Times New Roman"/>
                      <w:color w:val="FF0000"/>
                      <w:sz w:val="21"/>
                      <w:szCs w:val="21"/>
                      <w:highlight w:val="green"/>
                      <w:lang w:val="en-US" w:eastAsia="zh-CN"/>
                    </w:rPr>
                    <w:t>喷漆及丝印喷淋塔废水</w:t>
                  </w:r>
                </w:p>
              </w:tc>
              <w:tc>
                <w:tcPr>
                  <w:tcW w:w="4060" w:type="pct"/>
                  <w:gridSpan w:val="2"/>
                  <w:vMerge w:val="continue"/>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green"/>
                      <w:lang w:val="en-US" w:eastAsia="zh-CN"/>
                    </w:rPr>
                  </w:pPr>
                  <w:r>
                    <w:rPr>
                      <w:rFonts w:hint="eastAsia" w:cs="Times New Roman"/>
                      <w:color w:val="FF0000"/>
                      <w:sz w:val="21"/>
                      <w:szCs w:val="21"/>
                      <w:highlight w:val="green"/>
                      <w:lang w:val="en-US" w:eastAsia="zh-CN"/>
                    </w:rPr>
                    <w:t>喷枪清洗废水</w:t>
                  </w:r>
                </w:p>
              </w:tc>
              <w:tc>
                <w:tcPr>
                  <w:tcW w:w="4060" w:type="pct"/>
                  <w:gridSpan w:val="2"/>
                  <w:vMerge w:val="continue"/>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25" w:type="pct"/>
                  <w:vMerge w:val="restar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固体废物</w:t>
                  </w:r>
                </w:p>
              </w:tc>
              <w:tc>
                <w:tcPr>
                  <w:tcW w:w="613" w:type="pct"/>
                  <w:tcBorders>
                    <w:tl2br w:val="nil"/>
                    <w:tr2bl w:val="nil"/>
                  </w:tcBorders>
                  <w:noWrap/>
                  <w:vAlign w:val="center"/>
                </w:tcPr>
                <w:p>
                  <w:pPr>
                    <w:spacing w:line="240" w:lineRule="auto"/>
                    <w:jc w:val="center"/>
                    <w:rPr>
                      <w:rFonts w:hint="default"/>
                      <w:color w:val="auto"/>
                      <w:sz w:val="21"/>
                      <w:szCs w:val="21"/>
                      <w:lang w:val="en-US" w:eastAsia="zh-CN"/>
                    </w:rPr>
                  </w:pPr>
                  <w:r>
                    <w:rPr>
                      <w:rFonts w:hint="eastAsia"/>
                      <w:color w:val="auto"/>
                      <w:sz w:val="21"/>
                      <w:szCs w:val="21"/>
                      <w:lang w:val="en-US" w:eastAsia="zh-CN"/>
                    </w:rPr>
                    <w:t>注塑成型工序</w:t>
                  </w:r>
                </w:p>
              </w:tc>
              <w:tc>
                <w:tcPr>
                  <w:tcW w:w="1554" w:type="pct"/>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r>
                    <w:rPr>
                      <w:rFonts w:hint="eastAsia"/>
                      <w:color w:val="auto"/>
                      <w:sz w:val="21"/>
                      <w:szCs w:val="21"/>
                      <w:lang w:val="en-US" w:eastAsia="zh-CN"/>
                    </w:rPr>
                    <w:t>次品</w:t>
                  </w:r>
                </w:p>
              </w:tc>
              <w:tc>
                <w:tcPr>
                  <w:tcW w:w="2505" w:type="pct"/>
                  <w:tcBorders>
                    <w:tl2br w:val="nil"/>
                    <w:tr2bl w:val="nil"/>
                  </w:tcBorders>
                  <w:noWrap/>
                  <w:vAlign w:val="center"/>
                </w:tcPr>
                <w:p>
                  <w:pPr>
                    <w:adjustRightInd w:val="0"/>
                    <w:snapToGrid w:val="0"/>
                    <w:spacing w:line="240" w:lineRule="auto"/>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破碎后回用于生产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机加工、钻孔工序</w:t>
                  </w:r>
                </w:p>
              </w:tc>
              <w:tc>
                <w:tcPr>
                  <w:tcW w:w="1554" w:type="pct"/>
                  <w:tcBorders>
                    <w:tl2br w:val="nil"/>
                    <w:tr2bl w:val="nil"/>
                  </w:tcBorders>
                  <w:noWrap/>
                  <w:vAlign w:val="center"/>
                </w:tcPr>
                <w:p>
                  <w:pPr>
                    <w:adjustRightInd w:val="0"/>
                    <w:snapToGrid w:val="0"/>
                    <w:spacing w:line="240" w:lineRule="auto"/>
                    <w:jc w:val="center"/>
                    <w:rPr>
                      <w:rFonts w:hint="default" w:eastAsia="宋体"/>
                      <w:color w:val="auto"/>
                      <w:sz w:val="21"/>
                      <w:szCs w:val="21"/>
                      <w:lang w:val="en-US" w:eastAsia="zh-CN"/>
                    </w:rPr>
                  </w:pPr>
                  <w:r>
                    <w:rPr>
                      <w:rFonts w:hint="eastAsia"/>
                      <w:color w:val="auto"/>
                      <w:sz w:val="21"/>
                      <w:szCs w:val="21"/>
                      <w:lang w:val="en-US" w:eastAsia="zh-CN"/>
                    </w:rPr>
                    <w:t>金属碎屑及边角料</w:t>
                  </w:r>
                </w:p>
              </w:tc>
              <w:tc>
                <w:tcPr>
                  <w:tcW w:w="2505" w:type="pct"/>
                  <w:vMerge w:val="restart"/>
                  <w:tcBorders>
                    <w:tl2br w:val="nil"/>
                    <w:tr2bl w:val="nil"/>
                  </w:tcBorders>
                  <w:noWrap/>
                  <w:vAlign w:val="center"/>
                </w:tcPr>
                <w:p>
                  <w:pPr>
                    <w:adjustRightInd w:val="0"/>
                    <w:snapToGrid w:val="0"/>
                    <w:spacing w:line="240" w:lineRule="auto"/>
                    <w:jc w:val="center"/>
                    <w:rPr>
                      <w:rFonts w:hint="default" w:eastAsia="宋体"/>
                      <w:color w:val="auto"/>
                      <w:sz w:val="21"/>
                      <w:szCs w:val="21"/>
                      <w:lang w:val="en-US" w:eastAsia="zh-CN"/>
                    </w:rPr>
                  </w:pPr>
                  <w:r>
                    <w:rPr>
                      <w:rFonts w:hint="default"/>
                      <w:b w:val="0"/>
                      <w:bCs w:val="0"/>
                      <w:color w:val="auto"/>
                      <w:sz w:val="21"/>
                      <w:szCs w:val="21"/>
                      <w:vertAlign w:val="baseline"/>
                      <w:lang w:val="en-US" w:eastAsia="zh-CN"/>
                    </w:rPr>
                    <w:t>交专业回收单位回收处理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s="Times New Roman"/>
                      <w:color w:val="auto"/>
                      <w:sz w:val="21"/>
                      <w:szCs w:val="21"/>
                      <w:lang w:val="en-US" w:eastAsia="zh-CN"/>
                    </w:rPr>
                  </w:pPr>
                  <w:r>
                    <w:rPr>
                      <w:rFonts w:hint="eastAsia" w:cs="Times New Roman"/>
                      <w:color w:val="auto"/>
                      <w:sz w:val="21"/>
                      <w:szCs w:val="21"/>
                      <w:lang w:val="en-US" w:eastAsia="zh-CN"/>
                    </w:rPr>
                    <w:t>包装工序</w:t>
                  </w:r>
                </w:p>
              </w:tc>
              <w:tc>
                <w:tcPr>
                  <w:tcW w:w="1554" w:type="pct"/>
                  <w:tcBorders>
                    <w:tl2br w:val="nil"/>
                    <w:tr2bl w:val="nil"/>
                  </w:tcBorders>
                  <w:noWrap/>
                  <w:vAlign w:val="center"/>
                </w:tcPr>
                <w:p>
                  <w:pPr>
                    <w:adjustRightInd w:val="0"/>
                    <w:snapToGrid w:val="0"/>
                    <w:spacing w:line="240" w:lineRule="auto"/>
                    <w:jc w:val="center"/>
                    <w:rPr>
                      <w:rFonts w:hint="default" w:cs="Times New Roman"/>
                      <w:color w:val="auto"/>
                      <w:sz w:val="21"/>
                      <w:szCs w:val="21"/>
                      <w:lang w:val="en-US" w:eastAsia="zh-CN"/>
                    </w:rPr>
                  </w:pPr>
                  <w:r>
                    <w:rPr>
                      <w:rFonts w:hint="eastAsia" w:cs="Times New Roman"/>
                      <w:color w:val="auto"/>
                      <w:sz w:val="21"/>
                      <w:szCs w:val="21"/>
                      <w:lang w:val="en-US" w:eastAsia="zh-CN"/>
                    </w:rPr>
                    <w:t>废包装材料</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电火花、雕刻</w:t>
                  </w:r>
                  <w:r>
                    <w:rPr>
                      <w:rFonts w:hint="eastAsia" w:ascii="Times New Roman" w:hAnsi="Times New Roman" w:eastAsia="宋体" w:cs="Times New Roman"/>
                      <w:color w:val="auto"/>
                      <w:sz w:val="21"/>
                      <w:szCs w:val="21"/>
                      <w:lang w:val="en-US" w:eastAsia="zh-CN"/>
                    </w:rPr>
                    <w:t>工序</w:t>
                  </w:r>
                </w:p>
              </w:tc>
              <w:tc>
                <w:tcPr>
                  <w:tcW w:w="1554"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金属沉渣、废火花油、废切削液</w:t>
                  </w:r>
                </w:p>
              </w:tc>
              <w:tc>
                <w:tcPr>
                  <w:tcW w:w="2505" w:type="pct"/>
                  <w:vMerge w:val="restart"/>
                  <w:tcBorders>
                    <w:tl2br w:val="nil"/>
                    <w:tr2bl w:val="nil"/>
                  </w:tcBorders>
                  <w:noWrap/>
                  <w:vAlign w:val="center"/>
                </w:tcPr>
                <w:p>
                  <w:pPr>
                    <w:adjustRightInd w:val="0"/>
                    <w:snapToGrid w:val="0"/>
                    <w:spacing w:line="240" w:lineRule="auto"/>
                    <w:jc w:val="center"/>
                    <w:rPr>
                      <w:rFonts w:hint="eastAsia"/>
                      <w:color w:val="auto"/>
                      <w:sz w:val="21"/>
                      <w:szCs w:val="21"/>
                    </w:rPr>
                  </w:pPr>
                  <w:r>
                    <w:rPr>
                      <w:rFonts w:hint="default" w:ascii="Times New Roman" w:hAnsi="Times New Roman" w:eastAsia="宋体" w:cs="Times New Roman"/>
                      <w:b w:val="0"/>
                      <w:bCs w:val="0"/>
                      <w:color w:val="auto"/>
                      <w:sz w:val="21"/>
                      <w:szCs w:val="21"/>
                      <w:vertAlign w:val="baseline"/>
                      <w:lang w:val="en-US" w:eastAsia="zh-CN"/>
                    </w:rPr>
                    <w:t>交由有危险废物处置资质的单位回收处理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喷枪清洗</w:t>
                  </w:r>
                </w:p>
              </w:tc>
              <w:tc>
                <w:tcPr>
                  <w:tcW w:w="1554" w:type="pct"/>
                  <w:tcBorders>
                    <w:tl2br w:val="nil"/>
                    <w:tr2bl w:val="nil"/>
                  </w:tcBorders>
                  <w:noWrap/>
                  <w:vAlign w:val="center"/>
                </w:tcPr>
                <w:p>
                  <w:pPr>
                    <w:adjustRightInd w:val="0"/>
                    <w:snapToGrid w:val="0"/>
                    <w:spacing w:line="240" w:lineRule="auto"/>
                    <w:jc w:val="center"/>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喷枪清洗废水</w:t>
                  </w:r>
                </w:p>
              </w:tc>
              <w:tc>
                <w:tcPr>
                  <w:tcW w:w="2505"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cs="Times New Roman"/>
                      <w:color w:val="FF0000"/>
                      <w:sz w:val="21"/>
                      <w:szCs w:val="21"/>
                      <w:highlight w:val="none"/>
                      <w:lang w:val="en-US" w:eastAsia="zh-CN"/>
                    </w:rPr>
                  </w:pPr>
                  <w:r>
                    <w:rPr>
                      <w:rFonts w:hint="eastAsia" w:cs="Times New Roman"/>
                      <w:color w:val="FF0000"/>
                      <w:kern w:val="2"/>
                      <w:sz w:val="21"/>
                      <w:szCs w:val="21"/>
                      <w:highlight w:val="green"/>
                      <w:lang w:val="en-US" w:eastAsia="zh-CN" w:bidi="ar-SA"/>
                    </w:rPr>
                    <w:t>注塑喷淋</w:t>
                  </w:r>
                </w:p>
              </w:tc>
              <w:tc>
                <w:tcPr>
                  <w:tcW w:w="1554" w:type="pct"/>
                  <w:tcBorders>
                    <w:tl2br w:val="nil"/>
                    <w:tr2bl w:val="nil"/>
                  </w:tcBorders>
                  <w:noWrap/>
                  <w:vAlign w:val="center"/>
                </w:tcPr>
                <w:p>
                  <w:pPr>
                    <w:adjustRightInd w:val="0"/>
                    <w:snapToGrid w:val="0"/>
                    <w:spacing w:line="240" w:lineRule="auto"/>
                    <w:jc w:val="center"/>
                    <w:rPr>
                      <w:rFonts w:hint="eastAsia" w:cs="Times New Roman"/>
                      <w:color w:val="FF0000"/>
                      <w:sz w:val="21"/>
                      <w:szCs w:val="21"/>
                      <w:highlight w:val="none"/>
                      <w:lang w:val="en-US" w:eastAsia="zh-CN"/>
                    </w:rPr>
                  </w:pPr>
                  <w:r>
                    <w:rPr>
                      <w:rFonts w:hint="eastAsia" w:cs="Times New Roman"/>
                      <w:color w:val="FF0000"/>
                      <w:kern w:val="2"/>
                      <w:sz w:val="21"/>
                      <w:szCs w:val="21"/>
                      <w:highlight w:val="green"/>
                      <w:lang w:val="en-US" w:eastAsia="zh-CN" w:bidi="ar-SA"/>
                    </w:rPr>
                    <w:t>注塑喷淋废水</w:t>
                  </w:r>
                </w:p>
              </w:tc>
              <w:tc>
                <w:tcPr>
                  <w:tcW w:w="2505"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vMerge w:val="restar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废气处理工序</w:t>
                  </w:r>
                </w:p>
              </w:tc>
              <w:tc>
                <w:tcPr>
                  <w:tcW w:w="1554"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废活性炭</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vMerge w:val="continue"/>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sz w:val="21"/>
                      <w:szCs w:val="21"/>
                      <w:lang w:val="en-US" w:eastAsia="zh-CN"/>
                    </w:rPr>
                  </w:pPr>
                </w:p>
              </w:tc>
              <w:tc>
                <w:tcPr>
                  <w:tcW w:w="1554"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FF0000"/>
                      <w:sz w:val="21"/>
                      <w:szCs w:val="21"/>
                      <w:lang w:val="en-US" w:eastAsia="zh-CN"/>
                    </w:rPr>
                    <w:t>水帘柜废水</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vMerge w:val="continue"/>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sz w:val="21"/>
                      <w:szCs w:val="21"/>
                      <w:lang w:val="en-US" w:eastAsia="zh-CN"/>
                    </w:rPr>
                  </w:pPr>
                </w:p>
              </w:tc>
              <w:tc>
                <w:tcPr>
                  <w:tcW w:w="1554"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4F0FBD"/>
                      <w:sz w:val="21"/>
                      <w:szCs w:val="21"/>
                      <w:lang w:val="en-US" w:eastAsia="zh-CN"/>
                    </w:rPr>
                    <w:t>喷漆及丝印喷淋塔废水</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设备维护</w:t>
                  </w:r>
                </w:p>
              </w:tc>
              <w:tc>
                <w:tcPr>
                  <w:tcW w:w="1554"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废润滑油、含油抹布及废手套</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生产过程</w:t>
                  </w:r>
                </w:p>
              </w:tc>
              <w:tc>
                <w:tcPr>
                  <w:tcW w:w="1554"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废油桶、废漆桶、废油墨罐</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水帘柜沉渣</w:t>
                  </w:r>
                </w:p>
              </w:tc>
              <w:tc>
                <w:tcPr>
                  <w:tcW w:w="1554"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漆渣</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5" w:type="pc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噪声</w:t>
                  </w:r>
                </w:p>
              </w:tc>
              <w:tc>
                <w:tcPr>
                  <w:tcW w:w="613" w:type="pc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生产设备</w:t>
                  </w:r>
                </w:p>
              </w:tc>
              <w:tc>
                <w:tcPr>
                  <w:tcW w:w="1554" w:type="pc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设备噪声</w:t>
                  </w:r>
                </w:p>
              </w:tc>
              <w:tc>
                <w:tcPr>
                  <w:tcW w:w="2505" w:type="pct"/>
                  <w:tcBorders>
                    <w:tl2br w:val="nil"/>
                    <w:tr2bl w:val="nil"/>
                  </w:tcBorders>
                  <w:noWrap/>
                  <w:vAlign w:val="center"/>
                </w:tcPr>
                <w:p>
                  <w:pPr>
                    <w:adjustRightInd w:val="0"/>
                    <w:snapToGrid w:val="0"/>
                    <w:spacing w:line="240" w:lineRule="auto"/>
                    <w:jc w:val="center"/>
                    <w:rPr>
                      <w:color w:val="auto"/>
                      <w:sz w:val="21"/>
                      <w:szCs w:val="21"/>
                    </w:rPr>
                  </w:pPr>
                  <w:r>
                    <w:rPr>
                      <w:rFonts w:hint="default"/>
                      <w:b w:val="0"/>
                      <w:bCs w:val="0"/>
                      <w:color w:val="auto"/>
                      <w:sz w:val="21"/>
                      <w:szCs w:val="21"/>
                      <w:vertAlign w:val="baseline"/>
                      <w:lang w:val="en-US" w:eastAsia="zh-CN"/>
                    </w:rPr>
                    <w:t>设备选型、隔声降噪等</w:t>
                  </w:r>
                </w:p>
              </w:tc>
            </w:tr>
          </w:tbl>
          <w:p>
            <w:pPr>
              <w:pStyle w:val="2"/>
              <w:rPr>
                <w:bCs/>
                <w:color w:val="auto"/>
                <w:szCs w:val="21"/>
              </w:rPr>
            </w:pPr>
          </w:p>
          <w:p>
            <w:pPr>
              <w:rPr>
                <w:bCs/>
                <w:color w:val="auto"/>
                <w:szCs w:val="21"/>
              </w:rPr>
            </w:pPr>
          </w:p>
          <w:p>
            <w:pPr>
              <w:pStyle w:val="88"/>
              <w:rPr>
                <w:bCs/>
                <w:color w:val="auto"/>
                <w:szCs w:val="21"/>
              </w:rPr>
            </w:pPr>
          </w:p>
          <w:p>
            <w:pPr>
              <w:pStyle w:val="90"/>
              <w:rPr>
                <w:bCs/>
                <w:color w:val="auto"/>
                <w:szCs w:val="21"/>
              </w:rPr>
            </w:pPr>
          </w:p>
          <w:p>
            <w:pPr>
              <w:rPr>
                <w:bCs/>
                <w:color w:val="auto"/>
                <w:szCs w:val="21"/>
              </w:rPr>
            </w:pPr>
          </w:p>
          <w:p>
            <w:pPr>
              <w:pStyle w:val="88"/>
            </w:pPr>
          </w:p>
          <w:p>
            <w:pPr>
              <w:pStyle w:val="2"/>
              <w:rPr>
                <w:bCs/>
                <w:color w:val="auto"/>
                <w:szCs w:val="21"/>
              </w:rPr>
            </w:pPr>
          </w:p>
          <w:p>
            <w:pPr>
              <w:rPr>
                <w:bCs/>
                <w:color w:val="auto"/>
                <w:szCs w:val="21"/>
              </w:rPr>
            </w:pPr>
          </w:p>
          <w:p>
            <w:pPr>
              <w:pStyle w:val="2"/>
              <w:rPr>
                <w:bCs/>
                <w:color w:val="auto"/>
                <w:szCs w:val="21"/>
              </w:rPr>
            </w:pPr>
          </w:p>
          <w:p>
            <w:pPr>
              <w:rPr>
                <w:bCs/>
                <w:color w:val="auto"/>
                <w:szCs w:val="21"/>
              </w:rPr>
            </w:pPr>
          </w:p>
          <w:p>
            <w:pPr>
              <w:pStyle w:val="2"/>
              <w:rPr>
                <w:bCs/>
                <w:color w:val="auto"/>
                <w:szCs w:val="21"/>
              </w:rPr>
            </w:pPr>
          </w:p>
          <w:p>
            <w:pPr>
              <w:rPr>
                <w:bCs/>
                <w:color w:val="auto"/>
                <w:szCs w:val="21"/>
              </w:rPr>
            </w:pPr>
          </w:p>
          <w:p>
            <w:pPr>
              <w:pStyle w:val="2"/>
              <w:rPr>
                <w:bCs/>
                <w:color w:val="auto"/>
                <w:szCs w:val="21"/>
              </w:rPr>
            </w:pPr>
          </w:p>
          <w:p>
            <w:pPr>
              <w:rPr>
                <w:bCs/>
                <w:color w:val="auto"/>
                <w:szCs w:val="21"/>
              </w:rPr>
            </w:pPr>
          </w:p>
          <w:p>
            <w:pPr>
              <w:adjustRightInd w:val="0"/>
              <w:snapToGrid w:val="0"/>
              <w:rPr>
                <w:rFonts w:hint="default" w:eastAsia="宋体"/>
                <w:bCs/>
                <w:color w:val="auto"/>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58" w:hRule="atLeast"/>
          <w:jc w:val="center"/>
        </w:trPr>
        <w:tc>
          <w:tcPr>
            <w:tcW w:w="457" w:type="pct"/>
            <w:noWrap/>
            <w:vAlign w:val="center"/>
          </w:tcPr>
          <w:p>
            <w:pPr>
              <w:pStyle w:val="25"/>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
                <w:bCs w:val="0"/>
                <w:color w:val="auto"/>
                <w:kern w:val="2"/>
                <w:sz w:val="24"/>
                <w:szCs w:val="24"/>
              </w:rPr>
              <w:t>与项目有关的原有环境污染问题</w:t>
            </w:r>
          </w:p>
        </w:tc>
        <w:tc>
          <w:tcPr>
            <w:tcW w:w="4542" w:type="pct"/>
            <w:noWrap/>
          </w:tcPr>
          <w:p>
            <w:pPr>
              <w:adjustRightInd w:val="0"/>
              <w:snapToGrid w:val="0"/>
              <w:ind w:firstLine="482" w:firstLineChars="200"/>
              <w:jc w:val="left"/>
              <w:rPr>
                <w:color w:val="auto"/>
              </w:rPr>
            </w:pPr>
            <w:r>
              <w:rPr>
                <w:rFonts w:hint="eastAsia"/>
                <w:b/>
                <w:bCs/>
                <w:color w:val="auto"/>
              </w:rPr>
              <w:t>1、现有项目基本情况</w:t>
            </w:r>
          </w:p>
          <w:p>
            <w:pPr>
              <w:adjustRightInd w:val="0"/>
              <w:snapToGrid w:val="0"/>
              <w:ind w:firstLine="480" w:firstLineChars="200"/>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惠州冠联塑胶电子有限公司于</w:t>
            </w:r>
            <w:r>
              <w:rPr>
                <w:rFonts w:hint="eastAsia" w:cs="Times New Roman"/>
                <w:bCs/>
                <w:color w:val="auto"/>
                <w:szCs w:val="21"/>
                <w:highlight w:val="none"/>
                <w:lang w:val="en-US" w:eastAsia="zh-CN"/>
              </w:rPr>
              <w:t>2006</w:t>
            </w:r>
            <w:r>
              <w:rPr>
                <w:rFonts w:hint="eastAsia" w:ascii="Times New Roman" w:hAnsi="Times New Roman" w:eastAsia="宋体" w:cs="Times New Roman"/>
                <w:bCs/>
                <w:color w:val="auto"/>
                <w:szCs w:val="21"/>
                <w:highlight w:val="none"/>
                <w:lang w:val="en-US" w:eastAsia="zh-CN"/>
              </w:rPr>
              <w:t>年</w:t>
            </w:r>
            <w:r>
              <w:rPr>
                <w:rFonts w:hint="eastAsia" w:cs="Times New Roman"/>
                <w:bCs/>
                <w:color w:val="auto"/>
                <w:szCs w:val="21"/>
                <w:highlight w:val="none"/>
                <w:lang w:val="en-US" w:eastAsia="zh-CN"/>
              </w:rPr>
              <w:t>6</w:t>
            </w:r>
            <w:r>
              <w:rPr>
                <w:rFonts w:hint="eastAsia" w:ascii="Times New Roman" w:hAnsi="Times New Roman" w:eastAsia="宋体" w:cs="Times New Roman"/>
                <w:bCs/>
                <w:color w:val="auto"/>
                <w:szCs w:val="21"/>
                <w:highlight w:val="none"/>
                <w:lang w:val="en-US" w:eastAsia="zh-CN"/>
              </w:rPr>
              <w:t>月</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博罗县环境科学研究所</w:t>
            </w:r>
            <w:r>
              <w:rPr>
                <w:rFonts w:hint="default" w:ascii="Times New Roman" w:hAnsi="Times New Roman" w:eastAsia="宋体" w:cs="Times New Roman"/>
                <w:color w:val="auto"/>
                <w:highlight w:val="none"/>
                <w:lang w:val="en-US" w:eastAsia="zh-CN"/>
              </w:rPr>
              <w:t>编制了《</w:t>
            </w:r>
            <w:r>
              <w:rPr>
                <w:rFonts w:hint="eastAsia" w:ascii="Times New Roman" w:hAnsi="Times New Roman" w:eastAsia="宋体" w:cs="Times New Roman"/>
                <w:bCs/>
                <w:color w:val="auto"/>
                <w:szCs w:val="21"/>
                <w:highlight w:val="none"/>
                <w:lang w:val="en-US" w:eastAsia="zh-CN"/>
              </w:rPr>
              <w:t>惠州冠联塑胶电子有限公司</w:t>
            </w:r>
            <w:r>
              <w:rPr>
                <w:rFonts w:hint="default" w:ascii="Times New Roman" w:hAnsi="Times New Roman" w:eastAsia="宋体" w:cs="Times New Roman"/>
                <w:color w:val="auto"/>
                <w:highlight w:val="none"/>
                <w:lang w:val="en-US" w:eastAsia="zh-CN"/>
              </w:rPr>
              <w:t>环境影响报告表》，于</w:t>
            </w:r>
            <w:r>
              <w:rPr>
                <w:rFonts w:hint="eastAsia" w:cs="Times New Roman"/>
                <w:color w:val="auto"/>
                <w:highlight w:val="none"/>
                <w:lang w:val="en-US" w:eastAsia="zh-CN"/>
              </w:rPr>
              <w:t>2006</w:t>
            </w:r>
            <w:r>
              <w:rPr>
                <w:rFonts w:hint="default" w:ascii="Times New Roman" w:hAnsi="Times New Roman" w:eastAsia="宋体" w:cs="Times New Roman"/>
                <w:color w:val="auto"/>
                <w:highlight w:val="none"/>
                <w:lang w:val="en-US" w:eastAsia="zh-CN"/>
              </w:rPr>
              <w:t>年</w:t>
            </w:r>
            <w:r>
              <w:rPr>
                <w:rFonts w:hint="eastAsia" w:cs="Times New Roman"/>
                <w:color w:val="auto"/>
                <w:highlight w:val="none"/>
                <w:lang w:val="en-US" w:eastAsia="zh-CN"/>
              </w:rPr>
              <w:t>7</w:t>
            </w:r>
            <w:r>
              <w:rPr>
                <w:rFonts w:hint="default" w:ascii="Times New Roman" w:hAnsi="Times New Roman" w:eastAsia="宋体" w:cs="Times New Roman"/>
                <w:color w:val="auto"/>
                <w:highlight w:val="none"/>
                <w:lang w:val="en-US" w:eastAsia="zh-CN"/>
              </w:rPr>
              <w:t>月</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val="en-US" w:eastAsia="zh-CN"/>
              </w:rPr>
              <w:t>日取</w:t>
            </w:r>
            <w:r>
              <w:rPr>
                <w:rFonts w:hint="eastAsia" w:cs="Times New Roman"/>
                <w:color w:val="auto"/>
                <w:highlight w:val="none"/>
                <w:lang w:val="en-US" w:eastAsia="zh-CN"/>
              </w:rPr>
              <w:t>得惠州市生态环境局博罗分局</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关于</w:t>
            </w:r>
            <w:r>
              <w:rPr>
                <w:rFonts w:hint="eastAsia"/>
                <w:bCs/>
                <w:color w:val="auto"/>
                <w:sz w:val="24"/>
                <w:highlight w:val="none"/>
                <w:u w:val="none"/>
                <w:shd w:val="clear" w:color="auto" w:fill="auto"/>
              </w:rPr>
              <w:t>惠州冠联塑胶电子有限公司</w:t>
            </w:r>
            <w:r>
              <w:rPr>
                <w:rFonts w:hint="eastAsia"/>
                <w:bCs/>
                <w:color w:val="auto"/>
                <w:sz w:val="24"/>
                <w:highlight w:val="none"/>
                <w:u w:val="none"/>
                <w:shd w:val="clear" w:color="auto" w:fill="auto"/>
                <w:lang w:val="en-US" w:eastAsia="zh-CN"/>
              </w:rPr>
              <w:t>环境影响报告表审批意见的函</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博环建〔2006〕123号</w:t>
            </w:r>
            <w:r>
              <w:rPr>
                <w:rFonts w:hint="default" w:ascii="Times New Roman" w:hAnsi="Times New Roman" w:eastAsia="宋体" w:cs="Times New Roman"/>
                <w:color w:val="auto"/>
                <w:highlight w:val="none"/>
                <w:lang w:val="en-US" w:eastAsia="zh-CN"/>
              </w:rPr>
              <w:t>，见附件</w:t>
            </w:r>
            <w:r>
              <w:rPr>
                <w:rFonts w:hint="eastAsia" w:cs="Times New Roman"/>
                <w:color w:val="auto"/>
                <w:highlight w:val="none"/>
                <w:lang w:val="en-US" w:eastAsia="zh-CN"/>
              </w:rPr>
              <w:t>4</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rPr>
              <w:t>20</w:t>
            </w:r>
            <w:r>
              <w:rPr>
                <w:rFonts w:hint="eastAsia" w:cs="Times New Roman"/>
                <w:color w:val="auto"/>
                <w:sz w:val="24"/>
                <w:szCs w:val="24"/>
                <w:highlight w:val="none"/>
                <w:lang w:val="en-US" w:eastAsia="zh-CN"/>
              </w:rPr>
              <w:t>07</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18日</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博罗县环境保护监测站</w:t>
            </w:r>
            <w:r>
              <w:rPr>
                <w:rFonts w:hint="default" w:ascii="Times New Roman" w:hAnsi="Times New Roman" w:eastAsia="宋体" w:cs="Times New Roman"/>
                <w:color w:val="auto"/>
                <w:highlight w:val="none"/>
                <w:lang w:val="en-US" w:eastAsia="zh-CN"/>
              </w:rPr>
              <w:t>编制了《</w:t>
            </w:r>
            <w:r>
              <w:rPr>
                <w:rFonts w:hint="eastAsia"/>
                <w:color w:val="auto"/>
                <w:highlight w:val="none"/>
              </w:rPr>
              <w:t>惠州冠联塑胶电子有限公司</w:t>
            </w:r>
            <w:r>
              <w:rPr>
                <w:rFonts w:hint="eastAsia"/>
                <w:color w:val="auto"/>
                <w:highlight w:val="none"/>
                <w:lang w:val="en-US" w:eastAsia="zh-CN"/>
              </w:rPr>
              <w:t>建设项目竣工环境保护验收监测表</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lang w:val="en-US" w:eastAsia="zh-CN"/>
              </w:rPr>
              <w:t>（</w:t>
            </w:r>
            <w:r>
              <w:rPr>
                <w:rFonts w:hint="eastAsia"/>
                <w:color w:val="auto"/>
                <w:highlight w:val="none"/>
                <w:lang w:val="en-US" w:eastAsia="zh-CN"/>
              </w:rPr>
              <w:t>博环监验字（2007）第035号</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w:t>
            </w:r>
            <w:r>
              <w:rPr>
                <w:rFonts w:hint="eastAsia"/>
                <w:color w:val="auto"/>
                <w:highlight w:val="none"/>
                <w:lang w:val="en-US" w:eastAsia="zh-CN"/>
              </w:rPr>
              <w:t>5</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于2020年</w:t>
            </w:r>
            <w:r>
              <w:rPr>
                <w:rFonts w:hint="eastAsia"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val="en-US" w:eastAsia="zh-CN"/>
              </w:rPr>
              <w:t>月取得</w:t>
            </w:r>
            <w:r>
              <w:rPr>
                <w:rFonts w:hint="eastAsia" w:cs="Times New Roman"/>
                <w:color w:val="auto"/>
                <w:sz w:val="24"/>
                <w:szCs w:val="24"/>
                <w:highlight w:val="none"/>
                <w:lang w:val="en-US" w:eastAsia="zh-CN"/>
              </w:rPr>
              <w:t>国家排污许可证</w:t>
            </w:r>
            <w:r>
              <w:rPr>
                <w:rFonts w:hint="default" w:ascii="Times New Roman" w:hAnsi="Times New Roman" w:eastAsia="宋体" w:cs="Times New Roman"/>
                <w:color w:val="auto"/>
                <w:sz w:val="24"/>
                <w:szCs w:val="24"/>
                <w:highlight w:val="none"/>
              </w:rPr>
              <w:t>（编号：</w:t>
            </w:r>
            <w:r>
              <w:rPr>
                <w:rFonts w:hint="eastAsia"/>
                <w:bCs/>
                <w:color w:val="auto"/>
                <w:sz w:val="24"/>
                <w:highlight w:val="none"/>
                <w:u w:val="none"/>
                <w:shd w:val="clear" w:color="auto" w:fill="auto"/>
                <w:lang w:val="en-US" w:eastAsia="zh-CN"/>
              </w:rPr>
              <w:t>91441322789499071R001X</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w:t>
            </w:r>
            <w:r>
              <w:rPr>
                <w:rFonts w:hint="eastAsia"/>
                <w:color w:val="auto"/>
                <w:highlight w:val="none"/>
                <w:lang w:val="en-US" w:eastAsia="zh-CN"/>
              </w:rPr>
              <w:t>6</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val="en-US" w:eastAsia="zh-CN"/>
              </w:rPr>
              <w:t>现有项目</w:t>
            </w:r>
            <w:r>
              <w:rPr>
                <w:rFonts w:hint="eastAsia"/>
                <w:color w:val="auto"/>
                <w:sz w:val="24"/>
                <w:highlight w:val="none"/>
              </w:rPr>
              <w:t>年产</w:t>
            </w:r>
            <w:r>
              <w:rPr>
                <w:rFonts w:hint="eastAsia"/>
                <w:color w:val="auto"/>
                <w:sz w:val="24"/>
                <w:highlight w:val="none"/>
                <w:lang w:val="en-US" w:eastAsia="zh-CN"/>
              </w:rPr>
              <w:t>塑胶壳</w:t>
            </w:r>
            <w:r>
              <w:rPr>
                <w:rFonts w:hint="eastAsia"/>
                <w:color w:val="auto"/>
                <w:sz w:val="24"/>
                <w:highlight w:val="none"/>
              </w:rPr>
              <w:t>550吨、锂电子电池5000件</w:t>
            </w:r>
            <w:r>
              <w:rPr>
                <w:rFonts w:hint="eastAsia"/>
                <w:color w:val="auto"/>
                <w:sz w:val="24"/>
                <w:highlight w:val="none"/>
                <w:lang w:eastAsia="zh-CN"/>
              </w:rPr>
              <w:t>（</w:t>
            </w:r>
            <w:r>
              <w:rPr>
                <w:rFonts w:hint="eastAsia"/>
                <w:color w:val="auto"/>
                <w:sz w:val="24"/>
                <w:highlight w:val="none"/>
              </w:rPr>
              <w:t>共4700万Ah</w:t>
            </w:r>
            <w:r>
              <w:rPr>
                <w:rFonts w:hint="eastAsia"/>
                <w:color w:val="auto"/>
                <w:sz w:val="24"/>
                <w:highlight w:val="none"/>
                <w:lang w:eastAsia="zh-CN"/>
              </w:rPr>
              <w:t>）。</w:t>
            </w:r>
            <w:r>
              <w:rPr>
                <w:rFonts w:hint="eastAsia"/>
                <w:color w:val="auto"/>
                <w:sz w:val="24"/>
                <w:highlight w:val="none"/>
                <w:lang w:val="en-US" w:eastAsia="zh-CN"/>
              </w:rPr>
              <w:t>员工共计200人，均在厂内食宿。年工作300天，每天两班制，每班8小时。</w:t>
            </w:r>
          </w:p>
          <w:p>
            <w:pPr>
              <w:adjustRightInd w:val="0"/>
              <w:snapToGrid w:val="0"/>
              <w:ind w:firstLine="482" w:firstLineChars="200"/>
              <w:rPr>
                <w:rFonts w:hint="eastAsia"/>
                <w:b/>
                <w:color w:val="auto"/>
                <w:szCs w:val="21"/>
                <w:highlight w:val="none"/>
              </w:rPr>
            </w:pPr>
            <w:r>
              <w:rPr>
                <w:rFonts w:hint="eastAsia"/>
                <w:b/>
                <w:color w:val="auto"/>
                <w:szCs w:val="21"/>
                <w:highlight w:val="none"/>
              </w:rPr>
              <w:t>2、现有项目生产工艺流程图</w:t>
            </w:r>
          </w:p>
          <w:p>
            <w:pPr>
              <w:pStyle w:val="2"/>
              <w:ind w:left="0" w:leftChars="0" w:firstLine="482" w:firstLineChars="200"/>
              <w:jc w:val="both"/>
              <w:rPr>
                <w:rFonts w:hint="eastAsia" w:eastAsia="宋体"/>
                <w:b/>
                <w:bCs/>
                <w:color w:val="auto"/>
                <w:highlight w:val="none"/>
                <w:lang w:val="en-US" w:eastAsia="zh-CN"/>
              </w:rPr>
            </w:pPr>
            <w:r>
              <w:rPr>
                <w:rFonts w:hint="eastAsia"/>
                <w:b/>
                <w:bCs/>
                <w:color w:val="auto"/>
                <w:highlight w:val="none"/>
                <w:lang w:val="en-US" w:eastAsia="zh-CN"/>
              </w:rPr>
              <w:t>（1）塑胶壳生产</w:t>
            </w:r>
          </w:p>
          <w:p>
            <w:pPr>
              <w:pStyle w:val="2"/>
              <w:ind w:left="0" w:leftChars="0" w:firstLine="0" w:firstLineChars="0"/>
              <w:jc w:val="center"/>
              <w:rPr>
                <w:color w:val="auto"/>
              </w:rPr>
            </w:pPr>
            <w:r>
              <w:rPr>
                <w:color w:val="auto"/>
              </w:rPr>
              <w:object>
                <v:shape id="_x0000_i1029" o:spt="75" type="#_x0000_t75" style="height:116.9pt;width:419.4pt;" o:ole="t" filled="f" o:preferrelative="t" stroked="f" coordsize="21600,21600">
                  <v:path/>
                  <v:fill on="f" focussize="0,0"/>
                  <v:stroke on="f"/>
                  <v:imagedata r:id="rId22" o:title=""/>
                  <o:lock v:ext="edit" aspectratio="f"/>
                  <w10:wrap type="none"/>
                  <w10:anchorlock/>
                </v:shape>
                <o:OLEObject Type="Embed" ProgID="Visio.Drawing.11" ShapeID="_x0000_i1029" DrawAspect="Content" ObjectID="_1468075729" r:id="rId21">
                  <o:LockedField>false</o:LockedField>
                </o:OLEObject>
              </w:object>
            </w:r>
          </w:p>
          <w:p>
            <w:pPr>
              <w:pStyle w:val="44"/>
              <w:numPr>
                <w:ilvl w:val="0"/>
                <w:numId w:val="0"/>
              </w:numPr>
              <w:bidi w:val="0"/>
              <w:ind w:leftChars="0"/>
              <w:jc w:val="center"/>
              <w:rPr>
                <w:color w:val="auto"/>
              </w:rPr>
            </w:pPr>
            <w:r>
              <w:rPr>
                <w:rFonts w:hint="eastAsia"/>
                <w:color w:val="auto"/>
                <w:lang w:val="en-US" w:eastAsia="zh-CN"/>
              </w:rPr>
              <w:t>图4 现有项目塑胶壳生产</w:t>
            </w:r>
            <w:r>
              <w:rPr>
                <w:rFonts w:hint="eastAsia"/>
                <w:color w:val="auto"/>
              </w:rPr>
              <w:t>工艺流程图</w:t>
            </w:r>
          </w:p>
          <w:p>
            <w:pPr>
              <w:adjustRightInd w:val="0"/>
              <w:snapToGrid w:val="0"/>
              <w:ind w:firstLine="482" w:firstLineChars="200"/>
              <w:rPr>
                <w:rFonts w:hint="default"/>
                <w:b/>
                <w:bCs w:val="0"/>
                <w:color w:val="auto"/>
                <w:szCs w:val="21"/>
                <w:highlight w:val="none"/>
              </w:rPr>
            </w:pPr>
            <w:r>
              <w:rPr>
                <w:rFonts w:hint="eastAsia"/>
                <w:b/>
                <w:bCs w:val="0"/>
                <w:color w:val="auto"/>
                <w:szCs w:val="21"/>
                <w:highlight w:val="none"/>
              </w:rPr>
              <w:t>工艺说明：</w:t>
            </w:r>
          </w:p>
          <w:p>
            <w:pPr>
              <w:adjustRightInd w:val="0"/>
              <w:snapToGrid w:val="0"/>
              <w:ind w:firstLine="482" w:firstLineChars="200"/>
              <w:rPr>
                <w:rFonts w:hint="eastAsia" w:ascii="Times New Roman" w:hAnsi="Times New Roman" w:eastAsia="宋体" w:cs="Times New Roman"/>
                <w:b w:val="0"/>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1）</w:t>
            </w:r>
            <w:r>
              <w:rPr>
                <w:rFonts w:hint="eastAsia" w:cs="Times New Roman"/>
                <w:b/>
                <w:bCs w:val="0"/>
                <w:color w:val="auto"/>
                <w:szCs w:val="21"/>
                <w:highlight w:val="none"/>
                <w:lang w:val="en-US" w:eastAsia="zh-CN"/>
              </w:rPr>
              <w:t>设计</w:t>
            </w:r>
            <w:r>
              <w:rPr>
                <w:rFonts w:hint="eastAsia" w:ascii="Times New Roman" w:hAnsi="Times New Roman" w:eastAsia="宋体" w:cs="Times New Roman"/>
                <w:b/>
                <w:bCs w:val="0"/>
                <w:color w:val="auto"/>
                <w:szCs w:val="21"/>
                <w:highlight w:val="none"/>
                <w:lang w:val="en-US" w:eastAsia="zh-CN"/>
              </w:rPr>
              <w:t>：</w:t>
            </w:r>
            <w:r>
              <w:rPr>
                <w:rFonts w:hint="eastAsia" w:ascii="Times New Roman" w:hAnsi="Times New Roman" w:eastAsia="宋体" w:cs="Times New Roman"/>
                <w:b w:val="0"/>
                <w:bCs/>
                <w:color w:val="auto"/>
                <w:szCs w:val="21"/>
                <w:highlight w:val="none"/>
                <w:lang w:val="en-US" w:eastAsia="zh-CN"/>
              </w:rPr>
              <w:t>根据客户需求设计图纸，将数据录入注塑机。</w:t>
            </w:r>
          </w:p>
          <w:p>
            <w:pPr>
              <w:adjustRightInd w:val="0"/>
              <w:snapToGrid w:val="0"/>
              <w:ind w:firstLine="482" w:firstLineChars="200"/>
              <w:rPr>
                <w:rFonts w:hint="eastAsia"/>
                <w:bCs/>
                <w:color w:val="auto"/>
                <w:szCs w:val="21"/>
                <w:highlight w:val="none"/>
              </w:rPr>
            </w:pPr>
            <w:r>
              <w:rPr>
                <w:rFonts w:hint="eastAsia" w:ascii="Times New Roman" w:hAnsi="Times New Roman" w:eastAsia="宋体" w:cs="Times New Roman"/>
                <w:b/>
                <w:bCs w:val="0"/>
                <w:color w:val="auto"/>
                <w:szCs w:val="21"/>
                <w:highlight w:val="none"/>
                <w:lang w:val="en-US" w:eastAsia="zh-CN"/>
              </w:rPr>
              <w:t>2）注塑外壳：</w:t>
            </w:r>
            <w:r>
              <w:rPr>
                <w:rFonts w:hint="eastAsia" w:ascii="Times New Roman" w:hAnsi="Times New Roman" w:eastAsia="宋体" w:cs="Times New Roman"/>
                <w:b w:val="0"/>
                <w:bCs/>
                <w:color w:val="auto"/>
                <w:szCs w:val="21"/>
                <w:highlight w:val="none"/>
                <w:lang w:val="en-US" w:eastAsia="zh-CN"/>
              </w:rPr>
              <w:t>根据产品材质要求，将塑料粒PC/ABS/PC+ABS投进注塑机注塑成型</w:t>
            </w:r>
            <w:r>
              <w:rPr>
                <w:rFonts w:hint="eastAsia"/>
                <w:b w:val="0"/>
                <w:bCs/>
                <w:color w:val="auto"/>
                <w:szCs w:val="21"/>
                <w:highlight w:val="none"/>
              </w:rPr>
              <w:t>，</w:t>
            </w:r>
            <w:r>
              <w:rPr>
                <w:rFonts w:hint="eastAsia"/>
                <w:b w:val="0"/>
                <w:bCs/>
                <w:color w:val="auto"/>
                <w:szCs w:val="21"/>
                <w:highlight w:val="none"/>
                <w:lang w:val="en-US" w:eastAsia="zh-CN"/>
              </w:rPr>
              <w:t>注塑温度为200℃，</w:t>
            </w:r>
            <w:r>
              <w:rPr>
                <w:rFonts w:hint="eastAsia"/>
                <w:b w:val="0"/>
                <w:bCs/>
                <w:color w:val="auto"/>
                <w:szCs w:val="21"/>
                <w:highlight w:val="none"/>
              </w:rPr>
              <w:t>此过</w:t>
            </w:r>
            <w:r>
              <w:rPr>
                <w:rFonts w:hint="eastAsia"/>
                <w:bCs/>
                <w:color w:val="auto"/>
                <w:szCs w:val="21"/>
                <w:highlight w:val="none"/>
              </w:rPr>
              <w:t>程会产生</w:t>
            </w:r>
            <w:r>
              <w:rPr>
                <w:rFonts w:hint="eastAsia"/>
                <w:bCs/>
                <w:color w:val="auto"/>
                <w:szCs w:val="21"/>
                <w:highlight w:val="none"/>
                <w:lang w:val="en-US" w:eastAsia="zh-CN"/>
              </w:rPr>
              <w:t>非甲烷总烃、</w:t>
            </w:r>
            <w:r>
              <w:rPr>
                <w:rFonts w:hint="eastAsia"/>
                <w:bCs/>
                <w:color w:val="auto"/>
                <w:szCs w:val="21"/>
                <w:highlight w:val="none"/>
              </w:rPr>
              <w:t>噪声。</w:t>
            </w:r>
          </w:p>
          <w:p>
            <w:pPr>
              <w:adjustRightInd w:val="0"/>
              <w:snapToGrid w:val="0"/>
              <w:ind w:firstLine="482" w:firstLineChars="200"/>
              <w:rPr>
                <w:rFonts w:hint="eastAsia" w:cs="Times New Roman"/>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3）</w:t>
            </w:r>
            <w:r>
              <w:rPr>
                <w:rFonts w:hint="eastAsia" w:cs="Times New Roman"/>
                <w:b/>
                <w:bCs w:val="0"/>
                <w:color w:val="auto"/>
                <w:szCs w:val="21"/>
                <w:highlight w:val="none"/>
                <w:lang w:val="en-US" w:eastAsia="zh-CN"/>
              </w:rPr>
              <w:t>组装、测试、包装、出口：</w:t>
            </w:r>
            <w:r>
              <w:rPr>
                <w:rFonts w:hint="eastAsia" w:cs="Times New Roman"/>
                <w:b w:val="0"/>
                <w:bCs/>
                <w:color w:val="auto"/>
                <w:szCs w:val="21"/>
                <w:highlight w:val="none"/>
                <w:lang w:val="en-US" w:eastAsia="zh-CN"/>
              </w:rPr>
              <w:t>注塑好的塑料外壳部分用于锂离子电池的组装，部分直接组装好之后使用检测设备进行测试，合格产品直接包装好后出口。</w:t>
            </w:r>
          </w:p>
          <w:p>
            <w:pPr>
              <w:pStyle w:val="2"/>
              <w:rPr>
                <w:rFonts w:hint="default" w:eastAsia="宋体"/>
                <w:b/>
                <w:bCs/>
                <w:color w:val="auto"/>
                <w:highlight w:val="none"/>
                <w:lang w:val="en-US" w:eastAsia="zh-CN"/>
              </w:rPr>
            </w:pPr>
            <w:r>
              <w:rPr>
                <w:rFonts w:hint="eastAsia"/>
                <w:b/>
                <w:bCs/>
                <w:color w:val="auto"/>
                <w:highlight w:val="none"/>
                <w:lang w:val="en-US" w:eastAsia="zh-CN"/>
              </w:rPr>
              <w:t>（2）锂离子电池产品生产</w:t>
            </w:r>
          </w:p>
          <w:p>
            <w:pPr>
              <w:adjustRightInd w:val="0"/>
              <w:snapToGrid w:val="0"/>
              <w:jc w:val="center"/>
              <w:rPr>
                <w:color w:val="auto"/>
              </w:rPr>
            </w:pPr>
            <w:r>
              <w:rPr>
                <w:color w:val="auto"/>
              </w:rPr>
              <w:object>
                <v:shape id="_x0000_i1030" o:spt="75" type="#_x0000_t75" style="height:94.55pt;width:423pt;" o:ole="t" filled="f" o:preferrelative="t" stroked="f" coordsize="21600,21600">
                  <v:path/>
                  <v:fill on="f" focussize="0,0"/>
                  <v:stroke on="f"/>
                  <v:imagedata r:id="rId24" o:title=""/>
                  <o:lock v:ext="edit" aspectratio="f"/>
                  <w10:wrap type="none"/>
                  <w10:anchorlock/>
                </v:shape>
                <o:OLEObject Type="Embed" ProgID="Visio.Drawing.11" ShapeID="_x0000_i1030" DrawAspect="Content" ObjectID="_1468075730" r:id="rId23">
                  <o:LockedField>false</o:LockedField>
                </o:OLEObject>
              </w:object>
            </w:r>
          </w:p>
          <w:p>
            <w:pPr>
              <w:pStyle w:val="44"/>
              <w:numPr>
                <w:ilvl w:val="0"/>
                <w:numId w:val="0"/>
              </w:numPr>
              <w:bidi w:val="0"/>
              <w:ind w:leftChars="0"/>
              <w:jc w:val="center"/>
              <w:rPr>
                <w:color w:val="auto"/>
              </w:rPr>
            </w:pPr>
            <w:r>
              <w:rPr>
                <w:rFonts w:hint="eastAsia"/>
                <w:color w:val="auto"/>
                <w:lang w:val="en-US" w:eastAsia="zh-CN"/>
              </w:rPr>
              <w:t>图5 现有项目锂离子电池组装</w:t>
            </w:r>
            <w:r>
              <w:rPr>
                <w:rFonts w:hint="eastAsia"/>
                <w:color w:val="auto"/>
              </w:rPr>
              <w:t>工艺流程图</w:t>
            </w:r>
          </w:p>
          <w:p>
            <w:pPr>
              <w:adjustRightInd w:val="0"/>
              <w:snapToGrid w:val="0"/>
              <w:ind w:firstLine="482" w:firstLineChars="200"/>
              <w:rPr>
                <w:rFonts w:hint="default"/>
                <w:b/>
                <w:bCs w:val="0"/>
                <w:color w:val="auto"/>
                <w:szCs w:val="21"/>
                <w:highlight w:val="none"/>
              </w:rPr>
            </w:pPr>
            <w:r>
              <w:rPr>
                <w:rFonts w:hint="eastAsia"/>
                <w:b/>
                <w:bCs w:val="0"/>
                <w:color w:val="auto"/>
                <w:szCs w:val="21"/>
                <w:highlight w:val="none"/>
              </w:rPr>
              <w:t>工艺说明：</w:t>
            </w:r>
          </w:p>
          <w:p>
            <w:pPr>
              <w:adjustRightInd w:val="0"/>
              <w:snapToGrid w:val="0"/>
              <w:ind w:firstLine="482" w:firstLineChars="200"/>
              <w:rPr>
                <w:rFonts w:hint="eastAsia" w:ascii="Times New Roman" w:hAnsi="Times New Roman" w:eastAsia="宋体" w:cs="Times New Roman"/>
                <w:b w:val="0"/>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1）</w:t>
            </w:r>
            <w:r>
              <w:rPr>
                <w:rFonts w:hint="eastAsia" w:cs="Times New Roman"/>
                <w:b/>
                <w:bCs w:val="0"/>
                <w:color w:val="auto"/>
                <w:szCs w:val="21"/>
                <w:highlight w:val="none"/>
                <w:lang w:val="en-US" w:eastAsia="zh-CN"/>
              </w:rPr>
              <w:t>焊接组装</w:t>
            </w:r>
            <w:r>
              <w:rPr>
                <w:rFonts w:hint="eastAsia" w:ascii="Times New Roman" w:hAnsi="Times New Roman" w:eastAsia="宋体" w:cs="Times New Roman"/>
                <w:b/>
                <w:bCs w:val="0"/>
                <w:color w:val="auto"/>
                <w:szCs w:val="21"/>
                <w:highlight w:val="none"/>
                <w:lang w:val="en-US" w:eastAsia="zh-CN"/>
              </w:rPr>
              <w:t>：</w:t>
            </w:r>
            <w:r>
              <w:rPr>
                <w:rFonts w:hint="eastAsia" w:cs="Times New Roman"/>
                <w:b w:val="0"/>
                <w:bCs/>
                <w:color w:val="auto"/>
                <w:szCs w:val="21"/>
                <w:highlight w:val="none"/>
                <w:lang w:val="en-US" w:eastAsia="zh-CN"/>
              </w:rPr>
              <w:t>将注塑好的外壳与外购的电芯与电子零件通过电烙铁焊接好之后组装起来，该过程会产生锡及其化合物、颗粒物及噪声</w:t>
            </w:r>
            <w:r>
              <w:rPr>
                <w:rFonts w:hint="eastAsia" w:ascii="Times New Roman" w:hAnsi="Times New Roman" w:eastAsia="宋体" w:cs="Times New Roman"/>
                <w:b w:val="0"/>
                <w:bCs/>
                <w:color w:val="auto"/>
                <w:szCs w:val="21"/>
                <w:highlight w:val="none"/>
                <w:lang w:val="en-US" w:eastAsia="zh-CN"/>
              </w:rPr>
              <w:t>。</w:t>
            </w:r>
          </w:p>
          <w:p>
            <w:pPr>
              <w:adjustRightInd w:val="0"/>
              <w:snapToGrid w:val="0"/>
              <w:ind w:firstLine="482" w:firstLineChars="200"/>
              <w:rPr>
                <w:rFonts w:hint="eastAsia" w:cs="Times New Roman"/>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2）</w:t>
            </w:r>
            <w:r>
              <w:rPr>
                <w:rFonts w:hint="eastAsia" w:cs="Times New Roman"/>
                <w:b/>
                <w:bCs w:val="0"/>
                <w:color w:val="auto"/>
                <w:szCs w:val="21"/>
                <w:highlight w:val="none"/>
                <w:lang w:val="en-US" w:eastAsia="zh-CN"/>
              </w:rPr>
              <w:t>测试、包装、出口：</w:t>
            </w:r>
            <w:r>
              <w:rPr>
                <w:rFonts w:hint="eastAsia" w:cs="Times New Roman"/>
                <w:b w:val="0"/>
                <w:bCs/>
                <w:color w:val="auto"/>
                <w:szCs w:val="21"/>
                <w:highlight w:val="none"/>
                <w:lang w:val="en-US" w:eastAsia="zh-CN"/>
              </w:rPr>
              <w:t>使用检测设备进行测试，合格产品直接包装好后出口。</w:t>
            </w:r>
          </w:p>
          <w:p>
            <w:pPr>
              <w:adjustRightInd w:val="0"/>
              <w:snapToGrid w:val="0"/>
              <w:ind w:firstLine="482" w:firstLineChars="200"/>
              <w:rPr>
                <w:b/>
                <w:bCs w:val="0"/>
                <w:color w:val="auto"/>
                <w:szCs w:val="21"/>
                <w:highlight w:val="none"/>
              </w:rPr>
            </w:pPr>
            <w:r>
              <w:rPr>
                <w:rFonts w:hint="eastAsia"/>
                <w:b/>
                <w:bCs w:val="0"/>
                <w:color w:val="auto"/>
                <w:szCs w:val="21"/>
                <w:highlight w:val="none"/>
              </w:rPr>
              <w:t>3、现有项目污染物产排情况</w:t>
            </w:r>
          </w:p>
          <w:p>
            <w:pPr>
              <w:adjustRightInd w:val="0"/>
              <w:snapToGrid w:val="0"/>
              <w:ind w:firstLine="482" w:firstLineChars="200"/>
              <w:rPr>
                <w:rFonts w:hint="eastAsia"/>
                <w:b/>
                <w:bCs w:val="0"/>
                <w:color w:val="auto"/>
                <w:szCs w:val="21"/>
                <w:highlight w:val="none"/>
              </w:rPr>
            </w:pPr>
            <w:r>
              <w:rPr>
                <w:rFonts w:hint="eastAsia"/>
                <w:b/>
                <w:bCs w:val="0"/>
                <w:color w:val="auto"/>
                <w:szCs w:val="21"/>
                <w:highlight w:val="none"/>
              </w:rPr>
              <w:t>（1）废水</w:t>
            </w:r>
          </w:p>
          <w:p>
            <w:pPr>
              <w:adjustRightInd w:val="0"/>
              <w:snapToGrid w:val="0"/>
              <w:ind w:firstLine="482" w:firstLineChars="200"/>
              <w:rPr>
                <w:rFonts w:hint="default" w:eastAsia="宋体"/>
                <w:b/>
                <w:bCs w:val="0"/>
                <w:color w:val="auto"/>
                <w:szCs w:val="21"/>
                <w:highlight w:val="none"/>
                <w:lang w:val="en-US" w:eastAsia="zh-CN"/>
              </w:rPr>
            </w:pPr>
            <w:r>
              <w:rPr>
                <w:rFonts w:hint="eastAsia"/>
                <w:b/>
                <w:bCs w:val="0"/>
                <w:color w:val="auto"/>
                <w:szCs w:val="21"/>
                <w:highlight w:val="none"/>
                <w:lang w:val="en-US" w:eastAsia="zh-CN"/>
              </w:rPr>
              <w:t>1）生产废水</w:t>
            </w:r>
          </w:p>
          <w:p>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现有</w:t>
            </w:r>
            <w:r>
              <w:rPr>
                <w:rFonts w:hint="default" w:ascii="Times New Roman" w:hAnsi="Times New Roman" w:eastAsia="宋体" w:cs="Times New Roman"/>
                <w:color w:val="auto"/>
                <w:sz w:val="24"/>
                <w:szCs w:val="24"/>
                <w:highlight w:val="none"/>
                <w:lang w:val="en-US" w:eastAsia="zh-CN"/>
              </w:rPr>
              <w:t>项目</w:t>
            </w:r>
            <w:r>
              <w:rPr>
                <w:rFonts w:hint="eastAsia" w:cs="Times New Roman"/>
                <w:color w:val="auto"/>
                <w:sz w:val="24"/>
                <w:szCs w:val="24"/>
                <w:highlight w:val="none"/>
                <w:lang w:val="en-US" w:eastAsia="zh-CN"/>
              </w:rPr>
              <w:t>注塑机</w:t>
            </w:r>
            <w:r>
              <w:rPr>
                <w:rFonts w:hint="default" w:ascii="Times New Roman" w:hAnsi="Times New Roman" w:eastAsia="宋体" w:cs="Times New Roman"/>
                <w:color w:val="auto"/>
                <w:sz w:val="24"/>
                <w:szCs w:val="24"/>
                <w:highlight w:val="none"/>
                <w:lang w:val="en-US" w:eastAsia="zh-CN"/>
              </w:rPr>
              <w:t>运行时需要使用冷却塔进行冷却</w:t>
            </w:r>
            <w:r>
              <w:rPr>
                <w:rFonts w:hint="eastAsia" w:cs="Times New Roman"/>
                <w:b w:val="0"/>
                <w:bCs/>
                <w:color w:val="auto"/>
                <w:sz w:val="24"/>
                <w:szCs w:val="24"/>
                <w:highlight w:val="none"/>
                <w:lang w:eastAsia="zh-CN"/>
              </w:rPr>
              <w:t>；</w:t>
            </w:r>
            <w:r>
              <w:rPr>
                <w:rFonts w:hint="eastAsia" w:cs="Times New Roman"/>
                <w:b w:val="0"/>
                <w:bCs/>
                <w:color w:val="auto"/>
                <w:sz w:val="24"/>
                <w:szCs w:val="24"/>
                <w:highlight w:val="none"/>
                <w:lang w:val="en-US" w:eastAsia="zh-CN"/>
              </w:rPr>
              <w:t>冷却塔的循环水量为24t/h，每天运行16h，年工作300天，</w:t>
            </w:r>
            <w:r>
              <w:rPr>
                <w:rFonts w:ascii="Times New Roman" w:hAnsi="Times New Roman" w:eastAsia="宋体" w:cs="Times New Roman"/>
                <w:color w:val="auto"/>
                <w:sz w:val="24"/>
                <w:highlight w:val="none"/>
              </w:rPr>
              <w:t>由于循环过程中少量的水因受热等因素损失，需定期补充冷却水，</w:t>
            </w:r>
            <w:r>
              <w:rPr>
                <w:rFonts w:ascii="Times New Roman" w:hAnsi="Times New Roman" w:eastAsia="宋体" w:cs="Times New Roman"/>
                <w:color w:val="auto"/>
                <w:kern w:val="0"/>
                <w:sz w:val="24"/>
                <w:highlight w:val="none"/>
                <w:lang w:eastAsia="zh-TW"/>
              </w:rPr>
              <w:t>补充的新鲜水</w:t>
            </w:r>
            <w:r>
              <w:rPr>
                <w:rFonts w:hint="eastAsia" w:ascii="Times New Roman" w:hAnsi="Times New Roman" w:eastAsia="宋体" w:cs="Times New Roman"/>
                <w:color w:val="auto"/>
                <w:kern w:val="0"/>
                <w:sz w:val="24"/>
                <w:highlight w:val="none"/>
              </w:rPr>
              <w:t>约</w:t>
            </w:r>
            <w:r>
              <w:rPr>
                <w:rFonts w:ascii="Times New Roman" w:hAnsi="Times New Roman" w:eastAsia="宋体" w:cs="Times New Roman"/>
                <w:color w:val="auto"/>
                <w:kern w:val="0"/>
                <w:sz w:val="24"/>
                <w:highlight w:val="none"/>
                <w:lang w:eastAsia="zh-TW"/>
              </w:rPr>
              <w:t>为</w:t>
            </w:r>
            <w:r>
              <w:rPr>
                <w:rFonts w:hint="eastAsia" w:cs="Times New Roman"/>
                <w:color w:val="auto"/>
                <w:kern w:val="0"/>
                <w:sz w:val="24"/>
                <w:highlight w:val="none"/>
                <w:lang w:val="en-US" w:eastAsia="zh-CN"/>
              </w:rPr>
              <w:t>7.68</w:t>
            </w:r>
            <w:r>
              <w:rPr>
                <w:rFonts w:ascii="Times New Roman" w:hAnsi="Times New Roman" w:eastAsia="宋体" w:cs="Times New Roman"/>
                <w:color w:val="auto"/>
                <w:sz w:val="24"/>
                <w:highlight w:val="none"/>
              </w:rPr>
              <w:t>t/d（</w:t>
            </w:r>
            <w:r>
              <w:rPr>
                <w:rFonts w:hint="eastAsia" w:cs="Times New Roman"/>
                <w:color w:val="auto"/>
                <w:sz w:val="24"/>
                <w:highlight w:val="none"/>
                <w:lang w:val="en-US" w:eastAsia="zh-CN"/>
              </w:rPr>
              <w:t>2304</w:t>
            </w:r>
            <w:r>
              <w:rPr>
                <w:rFonts w:ascii="Times New Roman" w:hAnsi="Times New Roman" w:eastAsia="宋体" w:cs="Times New Roman"/>
                <w:color w:val="auto"/>
                <w:sz w:val="24"/>
                <w:highlight w:val="none"/>
              </w:rPr>
              <w:t>t/a）。该</w:t>
            </w:r>
            <w:r>
              <w:rPr>
                <w:rFonts w:hint="default" w:ascii="Times New Roman" w:hAnsi="Times New Roman" w:eastAsia="宋体" w:cs="Times New Roman"/>
                <w:color w:val="auto"/>
                <w:sz w:val="24"/>
                <w:szCs w:val="24"/>
                <w:highlight w:val="none"/>
                <w:lang w:val="en-US" w:eastAsia="zh-CN"/>
              </w:rPr>
              <w:t>冷却方式为间接冷却，</w:t>
            </w:r>
            <w:r>
              <w:rPr>
                <w:rFonts w:hint="eastAsia" w:cs="Times New Roman"/>
                <w:color w:val="auto"/>
                <w:sz w:val="24"/>
                <w:szCs w:val="24"/>
                <w:highlight w:val="none"/>
                <w:lang w:val="en-US" w:eastAsia="zh-CN"/>
              </w:rPr>
              <w:t>冷却水</w:t>
            </w:r>
            <w:r>
              <w:rPr>
                <w:rFonts w:hint="eastAsia" w:ascii="Times New Roman" w:cs="Times New Roman"/>
                <w:color w:val="auto"/>
                <w:sz w:val="24"/>
                <w:szCs w:val="24"/>
                <w:highlight w:val="none"/>
                <w:lang w:val="en-US" w:eastAsia="zh-CN"/>
              </w:rPr>
              <w:t>循环使用，仅定期补充，不外排</w:t>
            </w:r>
            <w:r>
              <w:rPr>
                <w:rFonts w:hint="default" w:ascii="Times New Roman" w:hAnsi="Times New Roman" w:eastAsia="宋体" w:cs="Times New Roman"/>
                <w:color w:val="auto"/>
                <w:highlight w:val="none"/>
                <w:lang w:eastAsia="zh-CN"/>
              </w:rPr>
              <w:t>。</w:t>
            </w:r>
          </w:p>
          <w:p>
            <w:pPr>
              <w:adjustRightInd w:val="0"/>
              <w:snapToGrid w:val="0"/>
              <w:ind w:firstLine="482" w:firstLineChars="200"/>
              <w:rPr>
                <w:b/>
                <w:bCs w:val="0"/>
                <w:color w:val="auto"/>
                <w:szCs w:val="21"/>
              </w:rPr>
            </w:pPr>
            <w:r>
              <w:rPr>
                <w:rFonts w:hint="eastAsia"/>
                <w:b/>
                <w:bCs w:val="0"/>
                <w:color w:val="auto"/>
                <w:szCs w:val="21"/>
                <w:lang w:val="en-US" w:eastAsia="zh-CN"/>
              </w:rPr>
              <w:t>2）</w:t>
            </w:r>
            <w:r>
              <w:rPr>
                <w:rFonts w:hint="eastAsia"/>
                <w:b/>
                <w:bCs w:val="0"/>
                <w:color w:val="auto"/>
                <w:szCs w:val="21"/>
              </w:rPr>
              <w:t>生活污水</w:t>
            </w:r>
          </w:p>
          <w:p>
            <w:pPr>
              <w:adjustRightInd w:val="0"/>
              <w:snapToGrid w:val="0"/>
              <w:spacing w:line="360" w:lineRule="auto"/>
              <w:ind w:firstLine="480" w:firstLineChars="200"/>
              <w:rPr>
                <w:rFonts w:hint="default"/>
                <w:b w:val="0"/>
                <w:bCs/>
                <w:color w:val="auto"/>
                <w:sz w:val="24"/>
                <w:highlight w:val="none"/>
                <w:lang w:val="en-US" w:eastAsia="zh-CN"/>
              </w:rPr>
            </w:pPr>
            <w:r>
              <w:rPr>
                <w:rFonts w:hint="eastAsia"/>
                <w:bCs/>
                <w:color w:val="auto"/>
                <w:szCs w:val="21"/>
                <w:highlight w:val="none"/>
              </w:rPr>
              <w:t>现有项目劳动定员</w:t>
            </w:r>
            <w:r>
              <w:rPr>
                <w:rFonts w:hint="eastAsia"/>
                <w:bCs/>
                <w:color w:val="auto"/>
                <w:szCs w:val="21"/>
                <w:highlight w:val="none"/>
                <w:lang w:val="en-US" w:eastAsia="zh-CN"/>
              </w:rPr>
              <w:t>200</w:t>
            </w:r>
            <w:r>
              <w:rPr>
                <w:rFonts w:hint="eastAsia"/>
                <w:bCs/>
                <w:color w:val="auto"/>
                <w:szCs w:val="21"/>
                <w:highlight w:val="none"/>
              </w:rPr>
              <w:t>人，</w:t>
            </w:r>
            <w:r>
              <w:rPr>
                <w:rFonts w:hint="eastAsia"/>
                <w:bCs/>
                <w:color w:val="auto"/>
                <w:szCs w:val="21"/>
                <w:highlight w:val="none"/>
                <w:lang w:val="en-US" w:eastAsia="zh-CN"/>
              </w:rPr>
              <w:t>均</w:t>
            </w:r>
            <w:r>
              <w:rPr>
                <w:rFonts w:hint="default" w:ascii="Times New Roman" w:hAnsi="Times New Roman" w:cs="Times New Roman" w:eastAsiaTheme="minorEastAsia"/>
                <w:color w:val="auto"/>
                <w:sz w:val="24"/>
                <w:highlight w:val="none"/>
              </w:rPr>
              <w:t>在</w:t>
            </w:r>
            <w:r>
              <w:rPr>
                <w:rFonts w:hint="eastAsia" w:cs="Times New Roman" w:eastAsiaTheme="minorEastAsia"/>
                <w:color w:val="auto"/>
                <w:sz w:val="24"/>
                <w:highlight w:val="none"/>
                <w:lang w:val="en-US" w:eastAsia="zh-CN"/>
              </w:rPr>
              <w:t>厂区</w:t>
            </w:r>
            <w:r>
              <w:rPr>
                <w:rFonts w:hint="default" w:ascii="Times New Roman" w:hAnsi="Times New Roman" w:cs="Times New Roman" w:eastAsiaTheme="minorEastAsia"/>
                <w:color w:val="auto"/>
                <w:sz w:val="24"/>
                <w:highlight w:val="none"/>
              </w:rPr>
              <w:t>内</w:t>
            </w:r>
            <w:r>
              <w:rPr>
                <w:rFonts w:hint="eastAsia" w:ascii="Times New Roman" w:hAnsi="Times New Roman" w:cs="Times New Roman" w:eastAsiaTheme="minorEastAsia"/>
                <w:color w:val="auto"/>
                <w:sz w:val="24"/>
                <w:highlight w:val="none"/>
                <w:lang w:eastAsia="zh-CN"/>
              </w:rPr>
              <w:t>食宿</w:t>
            </w:r>
            <w:r>
              <w:rPr>
                <w:rFonts w:hint="eastAsia"/>
                <w:color w:val="auto"/>
                <w:highlight w:val="none"/>
                <w:lang w:eastAsia="zh-CN"/>
              </w:rPr>
              <w:t>，</w:t>
            </w:r>
            <w:r>
              <w:rPr>
                <w:rFonts w:hint="eastAsia"/>
                <w:color w:val="auto"/>
                <w:highlight w:val="none"/>
                <w:lang w:val="en-US" w:eastAsia="zh-CN"/>
              </w:rPr>
              <w:t>员工生活污水量为40t/d（12000</w:t>
            </w:r>
            <w:r>
              <w:rPr>
                <w:rFonts w:hint="eastAsia"/>
                <w:color w:val="auto"/>
                <w:highlight w:val="none"/>
                <w:lang w:eastAsia="zh-CN"/>
              </w:rPr>
              <w:t>t</w:t>
            </w:r>
            <w:r>
              <w:rPr>
                <w:rFonts w:hint="eastAsia"/>
                <w:color w:val="auto"/>
                <w:highlight w:val="none"/>
                <w:lang w:val="en-US" w:eastAsia="zh-CN"/>
              </w:rPr>
              <w:t>/a）</w:t>
            </w:r>
            <w:r>
              <w:rPr>
                <w:rFonts w:hint="eastAsia" w:eastAsiaTheme="minorEastAsia"/>
                <w:bCs/>
                <w:color w:val="auto"/>
                <w:szCs w:val="21"/>
                <w:highlight w:val="none"/>
                <w:lang w:eastAsia="zh-CN"/>
              </w:rPr>
              <w:t>。</w:t>
            </w:r>
            <w:r>
              <w:rPr>
                <w:rFonts w:hint="eastAsia" w:ascii="Times New Roman" w:hAnsi="Times New Roman" w:eastAsia="宋体" w:cs="Times New Roman"/>
                <w:bCs/>
                <w:color w:val="auto"/>
                <w:szCs w:val="21"/>
                <w:highlight w:val="none"/>
                <w:lang w:val="en-US" w:eastAsia="zh-CN"/>
              </w:rPr>
              <w:t>主要污染因子为COD</w:t>
            </w:r>
            <w:r>
              <w:rPr>
                <w:rFonts w:hint="eastAsia" w:ascii="Times New Roman" w:hAnsi="Times New Roman" w:eastAsia="宋体" w:cs="Times New Roman"/>
                <w:bCs/>
                <w:color w:val="auto"/>
                <w:szCs w:val="21"/>
                <w:highlight w:val="none"/>
                <w:vertAlign w:val="subscript"/>
                <w:lang w:val="en-US" w:eastAsia="zh-CN"/>
              </w:rPr>
              <w:t>Cr</w:t>
            </w:r>
            <w:r>
              <w:rPr>
                <w:rFonts w:hint="eastAsia" w:ascii="Times New Roman" w:hAnsi="Times New Roman" w:eastAsia="宋体" w:cs="Times New Roman"/>
                <w:bCs/>
                <w:color w:val="auto"/>
                <w:szCs w:val="21"/>
                <w:highlight w:val="none"/>
                <w:lang w:val="en-US" w:eastAsia="zh-CN"/>
              </w:rPr>
              <w:t>、BOD</w:t>
            </w:r>
            <w:r>
              <w:rPr>
                <w:rFonts w:hint="eastAsia" w:ascii="Times New Roman" w:hAnsi="Times New Roman" w:eastAsia="宋体" w:cs="Times New Roman"/>
                <w:bCs/>
                <w:color w:val="auto"/>
                <w:szCs w:val="21"/>
                <w:highlight w:val="none"/>
                <w:vertAlign w:val="subscript"/>
                <w:lang w:val="en-US" w:eastAsia="zh-CN"/>
              </w:rPr>
              <w:t>5</w:t>
            </w:r>
            <w:r>
              <w:rPr>
                <w:rFonts w:hint="eastAsia" w:ascii="Times New Roman" w:hAnsi="Times New Roman" w:eastAsia="宋体" w:cs="Times New Roman"/>
                <w:bCs/>
                <w:color w:val="auto"/>
                <w:szCs w:val="21"/>
                <w:highlight w:val="none"/>
                <w:lang w:val="en-US" w:eastAsia="zh-CN"/>
              </w:rPr>
              <w:t>、SS、氨氮等。</w:t>
            </w:r>
            <w:r>
              <w:rPr>
                <w:rFonts w:hint="eastAsia"/>
                <w:b w:val="0"/>
                <w:bCs/>
                <w:color w:val="auto"/>
                <w:sz w:val="24"/>
                <w:highlight w:val="none"/>
                <w:lang w:val="en-US" w:eastAsia="zh-CN"/>
              </w:rPr>
              <w:t>项目所在地属于博罗县石湾镇大牛垒生活污水处理厂纳污范围。项目生活污水经三级化粪池预处理达到广东省地方标准《水污染物排放限值》（DB44/26-2001）第二时段三级标准后纳入博罗县石湾镇大牛垒生活污水处理厂处理后排入石湾镇中心排渠，再经联和排渠汇入东江，尾水排放执行广东省地方标准《水污染物排放限值》（DB44/26-2001）第二时段一级标准及《城镇污水处理厂污染物排放标准》（GB18918-2002）一级A标准两者中的较严者，其中COD</w:t>
            </w:r>
            <w:r>
              <w:rPr>
                <w:rFonts w:hint="eastAsia"/>
                <w:b w:val="0"/>
                <w:bCs/>
                <w:color w:val="auto"/>
                <w:sz w:val="24"/>
                <w:highlight w:val="none"/>
                <w:vertAlign w:val="subscript"/>
                <w:lang w:val="en-US" w:eastAsia="zh-CN"/>
              </w:rPr>
              <w:t>Cr</w:t>
            </w:r>
            <w:r>
              <w:rPr>
                <w:rFonts w:hint="eastAsia"/>
                <w:b w:val="0"/>
                <w:bCs/>
                <w:color w:val="auto"/>
                <w:sz w:val="24"/>
                <w:highlight w:val="none"/>
                <w:lang w:val="en-US" w:eastAsia="zh-CN"/>
              </w:rPr>
              <w:t>、氨氮、总磷执行《地表水环境质量标准》（GB3838-2002）V类标准。</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现有项目生活污水产排污情况一览表</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0"/>
              <w:gridCol w:w="1497"/>
              <w:gridCol w:w="1378"/>
              <w:gridCol w:w="1453"/>
              <w:gridCol w:w="1379"/>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污水排放量（t/a）</w:t>
                  </w:r>
                </w:p>
              </w:tc>
              <w:tc>
                <w:tcPr>
                  <w:tcW w:w="858" w:type="pct"/>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污染物</w:t>
                  </w:r>
                </w:p>
              </w:tc>
              <w:tc>
                <w:tcPr>
                  <w:tcW w:w="790" w:type="pct"/>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产生浓度（mg/L）</w:t>
                  </w:r>
                </w:p>
              </w:tc>
              <w:tc>
                <w:tcPr>
                  <w:tcW w:w="833" w:type="pct"/>
                  <w:vAlign w:val="center"/>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产生量（t/a）</w:t>
                  </w:r>
                </w:p>
              </w:tc>
              <w:tc>
                <w:tcPr>
                  <w:tcW w:w="790" w:type="pct"/>
                  <w:vAlign w:val="center"/>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排放</w:t>
                  </w:r>
                  <w:r>
                    <w:rPr>
                      <w:rFonts w:hint="default" w:ascii="Times New Roman" w:hAnsi="Times New Roman" w:eastAsia="宋体" w:cs="Times New Roman"/>
                      <w:b/>
                      <w:bCs/>
                      <w:color w:val="auto"/>
                      <w:sz w:val="21"/>
                      <w:szCs w:val="21"/>
                      <w:highlight w:val="none"/>
                      <w:lang w:val="en-US" w:eastAsia="zh-CN"/>
                    </w:rPr>
                    <w:t>浓度（mg/L）</w:t>
                  </w:r>
                </w:p>
              </w:tc>
              <w:tc>
                <w:tcPr>
                  <w:tcW w:w="701" w:type="pct"/>
                  <w:vAlign w:val="center"/>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排放</w:t>
                  </w:r>
                  <w:r>
                    <w:rPr>
                      <w:rFonts w:hint="default" w:ascii="Times New Roman" w:hAnsi="Times New Roman" w:eastAsia="宋体" w:cs="Times New Roman"/>
                      <w:b/>
                      <w:bCs/>
                      <w:color w:val="auto"/>
                      <w:sz w:val="21"/>
                      <w:szCs w:val="21"/>
                      <w:highlight w:val="none"/>
                      <w:lang w:val="en-US" w:eastAsia="zh-CN"/>
                    </w:rPr>
                    <w:t>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restart"/>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12000</w:t>
                  </w: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CODcr</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280</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3.36</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40</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continue"/>
                  <w:vAlign w:val="center"/>
                </w:tcPr>
                <w:p>
                  <w:pPr>
                    <w:spacing w:line="240" w:lineRule="auto"/>
                    <w:jc w:val="center"/>
                    <w:rPr>
                      <w:rFonts w:hint="eastAsia" w:ascii="Times New Roman" w:hAnsi="Times New Roman" w:eastAsia="宋体" w:cs="Times New Roman"/>
                      <w:color w:val="auto"/>
                      <w:sz w:val="21"/>
                      <w:szCs w:val="21"/>
                      <w:highlight w:val="none"/>
                      <w:lang w:eastAsia="zh-CN"/>
                    </w:rPr>
                  </w:pP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BOD</w:t>
                  </w:r>
                  <w:r>
                    <w:rPr>
                      <w:rFonts w:ascii="Times New Roman" w:hAnsi="Times New Roman" w:eastAsia="宋体" w:cs="Times New Roman"/>
                      <w:color w:val="auto"/>
                      <w:sz w:val="21"/>
                      <w:szCs w:val="21"/>
                      <w:highlight w:val="none"/>
                      <w:vertAlign w:val="subscript"/>
                      <w:lang w:val="en-US" w:eastAsia="zh-CN"/>
                    </w:rPr>
                    <w:t>5</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160</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1.92</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10</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continue"/>
                  <w:vAlign w:val="center"/>
                </w:tcPr>
                <w:p>
                  <w:pPr>
                    <w:spacing w:line="240" w:lineRule="auto"/>
                    <w:jc w:val="center"/>
                    <w:rPr>
                      <w:rFonts w:hint="eastAsia" w:ascii="Times New Roman" w:hAnsi="Times New Roman" w:eastAsia="宋体" w:cs="Times New Roman"/>
                      <w:color w:val="auto"/>
                      <w:sz w:val="21"/>
                      <w:szCs w:val="21"/>
                      <w:highlight w:val="none"/>
                      <w:lang w:eastAsia="zh-CN"/>
                    </w:rPr>
                  </w:pP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SS</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150</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1.8</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10</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continue"/>
                  <w:vAlign w:val="center"/>
                </w:tcPr>
                <w:p>
                  <w:pPr>
                    <w:spacing w:line="240" w:lineRule="auto"/>
                    <w:jc w:val="center"/>
                    <w:rPr>
                      <w:rFonts w:hint="eastAsia" w:ascii="Times New Roman" w:hAnsi="Times New Roman" w:eastAsia="宋体" w:cs="Times New Roman"/>
                      <w:color w:val="auto"/>
                      <w:sz w:val="21"/>
                      <w:szCs w:val="21"/>
                      <w:highlight w:val="none"/>
                      <w:lang w:eastAsia="zh-CN"/>
                    </w:rPr>
                  </w:pP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NH</w:t>
                  </w:r>
                  <w:r>
                    <w:rPr>
                      <w:rFonts w:ascii="Times New Roman" w:hAnsi="Times New Roman" w:eastAsia="宋体" w:cs="Times New Roman"/>
                      <w:color w:val="auto"/>
                      <w:sz w:val="21"/>
                      <w:szCs w:val="21"/>
                      <w:highlight w:val="none"/>
                      <w:vertAlign w:val="subscript"/>
                      <w:lang w:val="en-US" w:eastAsia="zh-CN"/>
                    </w:rPr>
                    <w:t>3</w:t>
                  </w:r>
                  <w:r>
                    <w:rPr>
                      <w:rFonts w:ascii="Times New Roman" w:hAnsi="Times New Roman" w:eastAsia="宋体" w:cs="Times New Roman"/>
                      <w:color w:val="auto"/>
                      <w:sz w:val="21"/>
                      <w:szCs w:val="21"/>
                      <w:highlight w:val="none"/>
                      <w:lang w:val="en-US" w:eastAsia="zh-CN"/>
                    </w:rPr>
                    <w:t>-H</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25</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0.3</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0.024</w:t>
                  </w:r>
                </w:p>
              </w:tc>
            </w:tr>
          </w:tbl>
          <w:p>
            <w:pPr>
              <w:adjustRightInd w:val="0"/>
              <w:snapToGrid w:val="0"/>
              <w:ind w:firstLine="482" w:firstLineChars="200"/>
              <w:rPr>
                <w:b/>
                <w:bCs w:val="0"/>
                <w:color w:val="auto"/>
                <w:szCs w:val="21"/>
              </w:rPr>
            </w:pPr>
            <w:r>
              <w:rPr>
                <w:rFonts w:hint="eastAsia"/>
                <w:b/>
                <w:bCs w:val="0"/>
                <w:color w:val="auto"/>
                <w:szCs w:val="21"/>
                <w:lang w:eastAsia="zh-CN"/>
              </w:rPr>
              <w:t>（</w:t>
            </w:r>
            <w:r>
              <w:rPr>
                <w:rFonts w:hint="eastAsia"/>
                <w:b/>
                <w:bCs w:val="0"/>
                <w:color w:val="auto"/>
                <w:szCs w:val="21"/>
              </w:rPr>
              <w:t>2）废气</w:t>
            </w:r>
          </w:p>
          <w:p>
            <w:pPr>
              <w:adjustRightInd w:val="0"/>
              <w:snapToGrid w:val="0"/>
              <w:ind w:firstLine="482" w:firstLineChars="200"/>
              <w:rPr>
                <w:rFonts w:hint="default"/>
                <w:b/>
                <w:bCs w:val="0"/>
                <w:color w:val="auto"/>
                <w:szCs w:val="21"/>
                <w:highlight w:val="none"/>
                <w:lang w:val="en-US" w:eastAsia="zh-CN"/>
              </w:rPr>
            </w:pPr>
            <w:r>
              <w:rPr>
                <w:rFonts w:hint="eastAsia"/>
                <w:b/>
                <w:bCs w:val="0"/>
                <w:color w:val="auto"/>
                <w:szCs w:val="21"/>
                <w:highlight w:val="none"/>
                <w:lang w:val="en-US" w:eastAsia="zh-CN"/>
              </w:rPr>
              <w:t>1）焊接废气</w:t>
            </w:r>
          </w:p>
          <w:p>
            <w:pPr>
              <w:spacing w:line="360" w:lineRule="auto"/>
              <w:ind w:firstLine="360" w:firstLineChars="150"/>
              <w:rPr>
                <w:rFonts w:hint="eastAsia" w:eastAsia="宋体"/>
                <w:color w:val="auto"/>
                <w:sz w:val="24"/>
                <w:highlight w:val="none"/>
                <w:lang w:val="en-US" w:eastAsia="zh-CN"/>
              </w:rPr>
            </w:pPr>
            <w:r>
              <w:rPr>
                <w:color w:val="auto"/>
                <w:sz w:val="24"/>
                <w:highlight w:val="none"/>
              </w:rPr>
              <w:t>根据</w:t>
            </w:r>
            <w:r>
              <w:rPr>
                <w:bCs/>
                <w:color w:val="auto"/>
                <w:sz w:val="24"/>
                <w:highlight w:val="none"/>
              </w:rPr>
              <w:t>建设单位委托</w:t>
            </w:r>
            <w:r>
              <w:rPr>
                <w:rFonts w:hint="eastAsia"/>
                <w:bCs/>
                <w:color w:val="auto"/>
                <w:sz w:val="24"/>
                <w:highlight w:val="none"/>
              </w:rPr>
              <w:t>广东</w:t>
            </w:r>
            <w:r>
              <w:rPr>
                <w:rFonts w:hint="eastAsia"/>
                <w:bCs/>
                <w:color w:val="auto"/>
                <w:sz w:val="24"/>
                <w:highlight w:val="none"/>
                <w:lang w:val="en-US" w:eastAsia="zh-CN"/>
              </w:rPr>
              <w:t>君正</w:t>
            </w:r>
            <w:r>
              <w:rPr>
                <w:rFonts w:hint="eastAsia"/>
                <w:bCs/>
                <w:color w:val="auto"/>
                <w:sz w:val="24"/>
                <w:highlight w:val="none"/>
              </w:rPr>
              <w:t>检测技术有限公司</w:t>
            </w:r>
            <w:r>
              <w:rPr>
                <w:color w:val="auto"/>
                <w:sz w:val="24"/>
                <w:highlight w:val="none"/>
              </w:rPr>
              <w:t>于202</w:t>
            </w:r>
            <w:r>
              <w:rPr>
                <w:rFonts w:hint="eastAsia"/>
                <w:color w:val="auto"/>
                <w:sz w:val="24"/>
                <w:highlight w:val="none"/>
              </w:rPr>
              <w:t>2</w:t>
            </w:r>
            <w:r>
              <w:rPr>
                <w:color w:val="auto"/>
                <w:sz w:val="24"/>
                <w:highlight w:val="none"/>
              </w:rPr>
              <w:t>年</w:t>
            </w:r>
            <w:r>
              <w:rPr>
                <w:rFonts w:hint="eastAsia"/>
                <w:color w:val="auto"/>
                <w:sz w:val="24"/>
                <w:highlight w:val="none"/>
                <w:lang w:val="en-US" w:eastAsia="zh-CN"/>
              </w:rPr>
              <w:t>8</w:t>
            </w:r>
            <w:r>
              <w:rPr>
                <w:color w:val="auto"/>
                <w:sz w:val="24"/>
                <w:highlight w:val="none"/>
              </w:rPr>
              <w:t>月</w:t>
            </w:r>
            <w:r>
              <w:rPr>
                <w:rFonts w:hint="eastAsia"/>
                <w:color w:val="auto"/>
                <w:sz w:val="24"/>
                <w:highlight w:val="none"/>
                <w:lang w:val="en-US" w:eastAsia="zh-CN"/>
              </w:rPr>
              <w:t>31</w:t>
            </w:r>
            <w:r>
              <w:rPr>
                <w:color w:val="auto"/>
                <w:sz w:val="24"/>
                <w:highlight w:val="none"/>
              </w:rPr>
              <w:t>日</w:t>
            </w:r>
            <w:r>
              <w:rPr>
                <w:bCs/>
                <w:color w:val="auto"/>
                <w:sz w:val="24"/>
                <w:highlight w:val="none"/>
              </w:rPr>
              <w:t>检测的结果</w:t>
            </w:r>
            <w:r>
              <w:rPr>
                <w:color w:val="auto"/>
                <w:sz w:val="24"/>
                <w:highlight w:val="none"/>
              </w:rPr>
              <w:t>（</w:t>
            </w:r>
            <w:r>
              <w:rPr>
                <w:rFonts w:hint="eastAsia"/>
                <w:color w:val="auto"/>
                <w:sz w:val="24"/>
                <w:highlight w:val="none"/>
              </w:rPr>
              <w:t>检测报告编号</w:t>
            </w:r>
            <w:r>
              <w:rPr>
                <w:rFonts w:hint="eastAsia" w:eastAsia="宋体"/>
                <w:color w:val="auto"/>
                <w:sz w:val="24"/>
                <w:highlight w:val="none"/>
              </w:rPr>
              <w:t>：</w:t>
            </w:r>
            <w:r>
              <w:rPr>
                <w:rFonts w:hint="eastAsia" w:eastAsia="宋体"/>
                <w:color w:val="auto"/>
                <w:sz w:val="24"/>
                <w:highlight w:val="none"/>
                <w:lang w:val="en-US" w:eastAsia="zh-CN"/>
              </w:rPr>
              <w:t>JZ2208071</w:t>
            </w:r>
            <w:r>
              <w:rPr>
                <w:rFonts w:hint="eastAsia" w:eastAsia="宋体"/>
                <w:color w:val="auto"/>
                <w:sz w:val="24"/>
                <w:highlight w:val="none"/>
              </w:rPr>
              <w:t>，</w:t>
            </w:r>
            <w:r>
              <w:rPr>
                <w:color w:val="auto"/>
                <w:sz w:val="24"/>
                <w:highlight w:val="none"/>
              </w:rPr>
              <w:t>详见附件</w:t>
            </w:r>
            <w:r>
              <w:rPr>
                <w:rFonts w:hint="eastAsia"/>
                <w:color w:val="auto"/>
                <w:sz w:val="24"/>
                <w:highlight w:val="none"/>
                <w:lang w:val="en-US" w:eastAsia="zh-CN"/>
              </w:rPr>
              <w:t>8</w:t>
            </w:r>
            <w:r>
              <w:rPr>
                <w:color w:val="auto"/>
                <w:sz w:val="24"/>
                <w:highlight w:val="none"/>
              </w:rPr>
              <w:t>），</w:t>
            </w:r>
            <w:r>
              <w:rPr>
                <w:rFonts w:hint="eastAsia"/>
                <w:color w:val="auto"/>
                <w:sz w:val="24"/>
                <w:highlight w:val="none"/>
                <w:lang w:val="en-US" w:eastAsia="zh-CN"/>
              </w:rPr>
              <w:t>焊接</w:t>
            </w:r>
            <w:r>
              <w:rPr>
                <w:rFonts w:hint="eastAsia"/>
                <w:color w:val="auto"/>
                <w:sz w:val="24"/>
                <w:highlight w:val="none"/>
              </w:rPr>
              <w:t>工序</w:t>
            </w:r>
            <w:r>
              <w:rPr>
                <w:rFonts w:hint="eastAsia"/>
                <w:color w:val="auto"/>
                <w:sz w:val="24"/>
                <w:highlight w:val="none"/>
                <w:lang w:eastAsia="zh-CN"/>
              </w:rPr>
              <w:t>产生的</w:t>
            </w:r>
            <w:r>
              <w:rPr>
                <w:rFonts w:hint="eastAsia"/>
                <w:color w:val="auto"/>
                <w:sz w:val="24"/>
                <w:highlight w:val="none"/>
                <w:lang w:val="en-US" w:eastAsia="zh-CN"/>
              </w:rPr>
              <w:t>锡及其化合物、颗粒物</w:t>
            </w:r>
            <w:r>
              <w:rPr>
                <w:rFonts w:hint="eastAsia" w:ascii="Times New Roman" w:hAnsi="Times New Roman" w:eastAsia="宋体" w:cs="Times New Roman"/>
                <w:color w:val="auto"/>
                <w:sz w:val="24"/>
                <w:highlight w:val="none"/>
              </w:rPr>
              <w:t>有组织排放满足《广东省大气污染物排放限值》（DB44/27-2001）第二时段二级标准限值</w:t>
            </w:r>
            <w:r>
              <w:rPr>
                <w:rFonts w:hint="eastAsia"/>
                <w:color w:val="auto"/>
                <w:sz w:val="24"/>
                <w:highlight w:val="none"/>
                <w:lang w:eastAsia="zh-CN"/>
              </w:rPr>
              <w:t>，</w:t>
            </w:r>
            <w:r>
              <w:rPr>
                <w:rFonts w:hint="eastAsia" w:ascii="Times New Roman" w:hAnsi="Times New Roman" w:eastAsia="宋体" w:cs="Times New Roman"/>
                <w:color w:val="auto"/>
                <w:sz w:val="24"/>
                <w:highlight w:val="none"/>
                <w:lang w:val="en-US" w:eastAsia="zh-CN"/>
              </w:rPr>
              <w:t>无</w:t>
            </w:r>
            <w:r>
              <w:rPr>
                <w:rFonts w:hint="eastAsia" w:ascii="Times New Roman" w:hAnsi="Times New Roman" w:eastAsia="宋体" w:cs="Times New Roman"/>
                <w:color w:val="auto"/>
                <w:sz w:val="24"/>
                <w:highlight w:val="none"/>
              </w:rPr>
              <w:t>组织排放满足《广东省大气污染物排放限值》（DB44/27-2001）第二时段</w:t>
            </w:r>
            <w:r>
              <w:rPr>
                <w:rFonts w:hint="eastAsia" w:ascii="Times New Roman" w:hAnsi="Times New Roman" w:eastAsia="宋体" w:cs="Times New Roman"/>
                <w:color w:val="auto"/>
                <w:sz w:val="24"/>
                <w:highlight w:val="none"/>
                <w:lang w:val="en-US" w:eastAsia="zh-CN"/>
              </w:rPr>
              <w:t>无组织排放监控浓度点</w:t>
            </w:r>
            <w:r>
              <w:rPr>
                <w:rFonts w:hint="eastAsia" w:ascii="Times New Roman" w:hAnsi="Times New Roman" w:eastAsia="宋体" w:cs="Times New Roman"/>
                <w:color w:val="auto"/>
                <w:sz w:val="24"/>
                <w:highlight w:val="none"/>
              </w:rPr>
              <w:t>限值</w:t>
            </w:r>
            <w:r>
              <w:rPr>
                <w:rFonts w:hint="eastAsia"/>
                <w:color w:val="auto"/>
                <w:sz w:val="24"/>
                <w:highlight w:val="none"/>
                <w:lang w:eastAsia="zh-CN"/>
              </w:rPr>
              <w:t>；</w:t>
            </w:r>
            <w:r>
              <w:rPr>
                <w:rFonts w:hint="eastAsia"/>
                <w:color w:val="auto"/>
                <w:sz w:val="24"/>
                <w:highlight w:val="none"/>
                <w:lang w:val="en-US" w:eastAsia="zh-CN"/>
              </w:rPr>
              <w:t>注塑</w:t>
            </w:r>
            <w:r>
              <w:rPr>
                <w:rFonts w:hint="eastAsia"/>
                <w:color w:val="auto"/>
                <w:sz w:val="24"/>
                <w:highlight w:val="none"/>
              </w:rPr>
              <w:t>工序</w:t>
            </w:r>
            <w:r>
              <w:rPr>
                <w:rFonts w:hint="eastAsia"/>
                <w:color w:val="auto"/>
                <w:sz w:val="24"/>
                <w:highlight w:val="none"/>
                <w:lang w:eastAsia="zh-CN"/>
              </w:rPr>
              <w:t>产生的</w:t>
            </w:r>
            <w:r>
              <w:rPr>
                <w:rFonts w:hint="eastAsia"/>
                <w:color w:val="auto"/>
                <w:sz w:val="24"/>
                <w:highlight w:val="none"/>
                <w:lang w:val="en-US" w:eastAsia="zh-CN"/>
              </w:rPr>
              <w:t>非甲烷总烃</w:t>
            </w:r>
            <w:r>
              <w:rPr>
                <w:rFonts w:hint="eastAsia" w:ascii="Times New Roman" w:hAnsi="Times New Roman" w:eastAsia="宋体" w:cs="Times New Roman"/>
                <w:color w:val="auto"/>
                <w:sz w:val="24"/>
                <w:highlight w:val="none"/>
              </w:rPr>
              <w:t>有组织排放满足《合成树脂工业污染物排放标准》（GB31572-2015）中表5污染物特别排放限值</w:t>
            </w:r>
            <w:r>
              <w:rPr>
                <w:rFonts w:hint="eastAsia"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无</w:t>
            </w:r>
            <w:r>
              <w:rPr>
                <w:rFonts w:hint="eastAsia" w:ascii="Times New Roman" w:hAnsi="Times New Roman" w:eastAsia="宋体" w:cs="Times New Roman"/>
                <w:color w:val="auto"/>
                <w:sz w:val="24"/>
                <w:highlight w:val="none"/>
              </w:rPr>
              <w:t>组织排放满足《合成树脂工业污染物排放标准》（GB31572-2015）中表</w:t>
            </w:r>
            <w:r>
              <w:rPr>
                <w:rFonts w:hint="eastAsia" w:eastAsia="宋体" w:cs="Times New Roman"/>
                <w:color w:val="auto"/>
                <w:sz w:val="24"/>
                <w:highlight w:val="none"/>
                <w:lang w:val="en-US" w:eastAsia="zh-CN"/>
              </w:rPr>
              <w:t>9</w:t>
            </w:r>
            <w:r>
              <w:rPr>
                <w:rFonts w:hint="eastAsia" w:ascii="Times New Roman" w:hAnsi="Times New Roman" w:eastAsia="宋体" w:cs="Times New Roman"/>
                <w:color w:val="auto"/>
                <w:sz w:val="24"/>
                <w:highlight w:val="none"/>
              </w:rPr>
              <w:t>排放限值</w:t>
            </w:r>
            <w:r>
              <w:rPr>
                <w:rFonts w:hint="eastAsia" w:eastAsia="宋体" w:cs="Times New Roman"/>
                <w:color w:val="auto"/>
                <w:sz w:val="24"/>
                <w:highlight w:val="none"/>
                <w:lang w:eastAsia="zh-CN"/>
              </w:rPr>
              <w:t>。</w:t>
            </w:r>
          </w:p>
          <w:p>
            <w:pPr>
              <w:spacing w:line="360" w:lineRule="auto"/>
              <w:ind w:firstLine="360" w:firstLineChars="150"/>
              <w:rPr>
                <w:b/>
                <w:bCs/>
                <w:color w:val="auto"/>
                <w:sz w:val="24"/>
              </w:rPr>
            </w:pPr>
            <w:r>
              <w:rPr>
                <w:rFonts w:hint="eastAsia"/>
                <w:color w:val="auto"/>
                <w:sz w:val="24"/>
                <w:lang w:val="en-US" w:eastAsia="zh-CN"/>
              </w:rPr>
              <w:t>焊接</w:t>
            </w:r>
            <w:r>
              <w:rPr>
                <w:color w:val="auto"/>
                <w:sz w:val="24"/>
              </w:rPr>
              <w:t>废气检测结果如下表所示：</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 xml:space="preserve"> </w:t>
            </w:r>
            <w:r>
              <w:rPr>
                <w:rFonts w:hint="eastAsia" w:cs="Times New Roman"/>
                <w:color w:val="auto"/>
                <w:sz w:val="22"/>
                <w:szCs w:val="22"/>
                <w:highlight w:val="none"/>
                <w:lang w:val="en-US" w:eastAsia="zh-CN"/>
              </w:rPr>
              <w:t>有组织生产</w:t>
            </w:r>
            <w:r>
              <w:rPr>
                <w:rFonts w:hint="eastAsia" w:ascii="Times New Roman" w:hAnsi="Times New Roman" w:eastAsia="宋体" w:cs="Times New Roman"/>
                <w:color w:val="auto"/>
                <w:sz w:val="22"/>
                <w:szCs w:val="22"/>
                <w:highlight w:val="none"/>
                <w:lang w:val="en-US" w:eastAsia="zh-CN"/>
              </w:rPr>
              <w:t>废气检测结果一览表</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40"/>
              <w:gridCol w:w="823"/>
              <w:gridCol w:w="1322"/>
              <w:gridCol w:w="1104"/>
              <w:gridCol w:w="1039"/>
              <w:gridCol w:w="1078"/>
              <w:gridCol w:w="959"/>
              <w:gridCol w:w="807"/>
              <w:gridCol w:w="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9" w:type="pct"/>
                  <w:vMerge w:val="restar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采样日期</w:t>
                  </w:r>
                </w:p>
              </w:tc>
              <w:tc>
                <w:tcPr>
                  <w:tcW w:w="472" w:type="pct"/>
                  <w:vMerge w:val="restar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采样点位</w:t>
                  </w:r>
                </w:p>
              </w:tc>
              <w:tc>
                <w:tcPr>
                  <w:tcW w:w="758" w:type="pct"/>
                  <w:vMerge w:val="restar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检测项目</w:t>
                  </w:r>
                </w:p>
              </w:tc>
              <w:tc>
                <w:tcPr>
                  <w:tcW w:w="1847" w:type="pct"/>
                  <w:gridSpan w:val="3"/>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检测结果</w:t>
                  </w:r>
                </w:p>
              </w:tc>
              <w:tc>
                <w:tcPr>
                  <w:tcW w:w="1013" w:type="pct"/>
                  <w:gridSpan w:val="2"/>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标准限值</w:t>
                  </w:r>
                </w:p>
              </w:tc>
              <w:tc>
                <w:tcPr>
                  <w:tcW w:w="369"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c>
                <w:tcPr>
                  <w:tcW w:w="472"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c>
                <w:tcPr>
                  <w:tcW w:w="758"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c>
                <w:tcPr>
                  <w:tcW w:w="633"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标干流量m</w:t>
                  </w:r>
                  <w:r>
                    <w:rPr>
                      <w:rFonts w:hint="default" w:ascii="Times New Roman" w:hAnsi="Times New Roman" w:eastAsia="宋体" w:cs="Times New Roman"/>
                      <w:b/>
                      <w:bCs/>
                      <w:color w:val="auto"/>
                      <w:sz w:val="21"/>
                      <w:szCs w:val="21"/>
                      <w:highlight w:val="none"/>
                      <w:vertAlign w:val="superscript"/>
                      <w:lang w:val="en-US" w:eastAsia="zh-CN"/>
                    </w:rPr>
                    <w:t>3</w:t>
                  </w:r>
                  <w:r>
                    <w:rPr>
                      <w:rFonts w:hint="default" w:ascii="Times New Roman" w:hAnsi="Times New Roman" w:eastAsia="宋体" w:cs="Times New Roman"/>
                      <w:b/>
                      <w:bCs/>
                      <w:color w:val="auto"/>
                      <w:sz w:val="21"/>
                      <w:szCs w:val="21"/>
                      <w:highlight w:val="none"/>
                      <w:lang w:val="en-US" w:eastAsia="zh-CN"/>
                    </w:rPr>
                    <w:t>/h</w:t>
                  </w:r>
                </w:p>
              </w:tc>
              <w:tc>
                <w:tcPr>
                  <w:tcW w:w="596"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排放浓度mg/m</w:t>
                  </w:r>
                  <w:r>
                    <w:rPr>
                      <w:rFonts w:hint="default" w:ascii="Times New Roman" w:hAnsi="Times New Roman" w:eastAsia="宋体" w:cs="Times New Roman"/>
                      <w:b/>
                      <w:bCs/>
                      <w:color w:val="auto"/>
                      <w:sz w:val="21"/>
                      <w:szCs w:val="21"/>
                      <w:highlight w:val="none"/>
                      <w:vertAlign w:val="superscript"/>
                      <w:lang w:val="en-US" w:eastAsia="zh-CN"/>
                    </w:rPr>
                    <w:t>3</w:t>
                  </w:r>
                </w:p>
              </w:tc>
              <w:tc>
                <w:tcPr>
                  <w:tcW w:w="618"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排放速率kg/h</w:t>
                  </w:r>
                </w:p>
              </w:tc>
              <w:tc>
                <w:tcPr>
                  <w:tcW w:w="550"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排放浓度mg/m</w:t>
                  </w:r>
                  <w:r>
                    <w:rPr>
                      <w:rFonts w:hint="default" w:ascii="Times New Roman" w:hAnsi="Times New Roman" w:eastAsia="宋体" w:cs="Times New Roman"/>
                      <w:b/>
                      <w:bCs/>
                      <w:color w:val="auto"/>
                      <w:sz w:val="21"/>
                      <w:szCs w:val="21"/>
                      <w:highlight w:val="none"/>
                      <w:vertAlign w:val="superscript"/>
                      <w:lang w:val="en-US" w:eastAsia="zh-CN"/>
                    </w:rPr>
                    <w:t>3</w:t>
                  </w:r>
                </w:p>
              </w:tc>
              <w:tc>
                <w:tcPr>
                  <w:tcW w:w="463"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排放速率kg/h</w:t>
                  </w:r>
                </w:p>
              </w:tc>
              <w:tc>
                <w:tcPr>
                  <w:tcW w:w="36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9"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2022.</w:t>
                  </w:r>
                  <w:r>
                    <w:rPr>
                      <w:rFonts w:hint="eastAsia" w:cs="Times New Roman"/>
                      <w:color w:val="auto"/>
                      <w:sz w:val="21"/>
                      <w:szCs w:val="21"/>
                      <w:highlight w:val="none"/>
                      <w:lang w:val="en-US" w:eastAsia="zh-CN"/>
                    </w:rPr>
                    <w:t>8</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31</w:t>
                  </w:r>
                </w:p>
              </w:tc>
              <w:tc>
                <w:tcPr>
                  <w:tcW w:w="472"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DA001</w:t>
                  </w:r>
                </w:p>
              </w:tc>
              <w:tc>
                <w:tcPr>
                  <w:tcW w:w="75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锡及其化合物</w:t>
                  </w:r>
                </w:p>
              </w:tc>
              <w:tc>
                <w:tcPr>
                  <w:tcW w:w="63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8951</w:t>
                  </w:r>
                </w:p>
              </w:tc>
              <w:tc>
                <w:tcPr>
                  <w:tcW w:w="596"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eastAsia="宋体" w:cs="Times New Roman"/>
                      <w:color w:val="auto"/>
                      <w:sz w:val="21"/>
                      <w:szCs w:val="21"/>
                      <w:highlight w:val="none"/>
                      <w:vertAlign w:val="superscript"/>
                      <w:lang w:val="en-US" w:eastAsia="zh-CN"/>
                    </w:rPr>
                    <w:t>4</w:t>
                  </w:r>
                </w:p>
              </w:tc>
              <w:tc>
                <w:tcPr>
                  <w:tcW w:w="61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3.6</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cs="Times New Roman"/>
                      <w:color w:val="auto"/>
                      <w:sz w:val="21"/>
                      <w:szCs w:val="21"/>
                      <w:highlight w:val="none"/>
                      <w:vertAlign w:val="superscript"/>
                      <w:lang w:val="en-US" w:eastAsia="zh-CN"/>
                    </w:rPr>
                    <w:t>6</w:t>
                  </w:r>
                </w:p>
              </w:tc>
              <w:tc>
                <w:tcPr>
                  <w:tcW w:w="550"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8.5</w:t>
                  </w:r>
                </w:p>
              </w:tc>
              <w:tc>
                <w:tcPr>
                  <w:tcW w:w="46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0.</w:t>
                  </w:r>
                  <w:r>
                    <w:rPr>
                      <w:rFonts w:hint="eastAsia" w:cs="Times New Roman"/>
                      <w:color w:val="FF0000"/>
                      <w:sz w:val="21"/>
                      <w:szCs w:val="21"/>
                      <w:highlight w:val="none"/>
                      <w:lang w:val="en-US" w:eastAsia="zh-CN"/>
                    </w:rPr>
                    <w:t>1</w:t>
                  </w:r>
                  <w:r>
                    <w:rPr>
                      <w:rFonts w:hint="eastAsia" w:ascii="Times New Roman" w:hAnsi="Times New Roman" w:eastAsia="宋体" w:cs="Times New Roman"/>
                      <w:color w:val="FF0000"/>
                      <w:sz w:val="21"/>
                      <w:szCs w:val="21"/>
                      <w:highlight w:val="none"/>
                      <w:lang w:val="en-US" w:eastAsia="zh-CN"/>
                    </w:rPr>
                    <w:t>25</w:t>
                  </w:r>
                  <w:r>
                    <w:rPr>
                      <w:rFonts w:hint="eastAsia" w:cs="Times New Roman"/>
                      <w:color w:val="FF0000"/>
                      <w:sz w:val="21"/>
                      <w:szCs w:val="21"/>
                      <w:highlight w:val="none"/>
                      <w:lang w:val="en-US" w:eastAsia="zh-CN"/>
                    </w:rPr>
                    <w:t>*</w:t>
                  </w:r>
                </w:p>
              </w:tc>
              <w:tc>
                <w:tcPr>
                  <w:tcW w:w="369"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trPr>
              <w:tc>
                <w:tcPr>
                  <w:tcW w:w="53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472"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75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p>
              </w:tc>
              <w:tc>
                <w:tcPr>
                  <w:tcW w:w="633"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8852</w:t>
                  </w:r>
                </w:p>
              </w:tc>
              <w:tc>
                <w:tcPr>
                  <w:tcW w:w="596"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61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0.18</w:t>
                  </w:r>
                </w:p>
              </w:tc>
              <w:tc>
                <w:tcPr>
                  <w:tcW w:w="550"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w:t>
                  </w:r>
                </w:p>
              </w:tc>
              <w:tc>
                <w:tcPr>
                  <w:tcW w:w="46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none"/>
                      <w:lang w:val="en-US" w:eastAsia="zh-CN"/>
                    </w:rPr>
                    <w:t>1.45*</w:t>
                  </w:r>
                </w:p>
              </w:tc>
              <w:tc>
                <w:tcPr>
                  <w:tcW w:w="36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trPr>
              <w:tc>
                <w:tcPr>
                  <w:tcW w:w="53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472"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758" w:type="pct"/>
                  <w:noWrap w:val="0"/>
                  <w:vAlign w:val="center"/>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非甲烷总烃</w:t>
                  </w:r>
                </w:p>
              </w:tc>
              <w:tc>
                <w:tcPr>
                  <w:tcW w:w="633"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596"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2.89</w:t>
                  </w:r>
                </w:p>
              </w:tc>
              <w:tc>
                <w:tcPr>
                  <w:tcW w:w="61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2.6</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eastAsia="宋体" w:cs="Times New Roman"/>
                      <w:color w:val="auto"/>
                      <w:sz w:val="21"/>
                      <w:szCs w:val="21"/>
                      <w:highlight w:val="none"/>
                      <w:vertAlign w:val="superscript"/>
                      <w:lang w:val="en-US" w:eastAsia="zh-CN"/>
                    </w:rPr>
                    <w:t>2</w:t>
                  </w:r>
                </w:p>
              </w:tc>
              <w:tc>
                <w:tcPr>
                  <w:tcW w:w="550"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60</w:t>
                  </w:r>
                </w:p>
              </w:tc>
              <w:tc>
                <w:tcPr>
                  <w:tcW w:w="46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36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trPr>
              <w:tc>
                <w:tcPr>
                  <w:tcW w:w="5000" w:type="pct"/>
                  <w:gridSpan w:val="9"/>
                  <w:noWrap w:val="0"/>
                  <w:vAlign w:val="center"/>
                </w:tcPr>
                <w:p>
                  <w:pPr>
                    <w:spacing w:line="240" w:lineRule="auto"/>
                    <w:jc w:val="center"/>
                    <w:rPr>
                      <w:rFonts w:hint="default" w:ascii="Times New Roman" w:hAnsi="Times New Roman" w:eastAsia="宋体" w:cs="Times New Roman"/>
                      <w:color w:val="FF0000"/>
                      <w:sz w:val="21"/>
                      <w:szCs w:val="21"/>
                      <w:highlight w:val="yellow"/>
                      <w:lang w:val="en-US" w:eastAsia="zh-CN"/>
                    </w:rPr>
                  </w:pPr>
                  <w:r>
                    <w:rPr>
                      <w:rFonts w:hint="eastAsia" w:cs="Times New Roman"/>
                      <w:color w:val="FF0000"/>
                      <w:sz w:val="21"/>
                      <w:szCs w:val="21"/>
                      <w:highlight w:val="none"/>
                      <w:lang w:val="en-US" w:eastAsia="zh-CN"/>
                    </w:rPr>
                    <w:t>*</w:t>
                  </w:r>
                  <w:r>
                    <w:rPr>
                      <w:rFonts w:hint="default" w:ascii="Times New Roman" w:hAnsi="Times New Roman" w:eastAsia="宋体" w:cs="Times New Roman"/>
                      <w:color w:val="FF0000"/>
                      <w:sz w:val="21"/>
                      <w:szCs w:val="21"/>
                      <w:highlight w:val="none"/>
                      <w:lang w:val="en-US" w:eastAsia="zh-CN"/>
                    </w:rPr>
                    <w:t>项目排气筒高度未高出周围200m半径范围的最高建筑5m以上，最高允许排放速率按排放限值的50%列出</w:t>
                  </w:r>
                  <w:r>
                    <w:rPr>
                      <w:rFonts w:hint="eastAsia" w:cs="Times New Roman"/>
                      <w:color w:val="FF0000"/>
                      <w:sz w:val="21"/>
                      <w:szCs w:val="21"/>
                      <w:highlight w:val="none"/>
                      <w:lang w:val="en-US" w:eastAsia="zh-CN"/>
                    </w:rPr>
                    <w:t>。</w:t>
                  </w:r>
                </w:p>
              </w:tc>
            </w:tr>
          </w:tbl>
          <w:p>
            <w:pPr>
              <w:adjustRightInd w:val="0"/>
              <w:snapToGrid w:val="0"/>
              <w:ind w:firstLine="482" w:firstLineChars="200"/>
              <w:rPr>
                <w:rFonts w:hint="default" w:cs="Times New Roman"/>
                <w:b/>
                <w:bCs w:val="0"/>
                <w:color w:val="auto"/>
                <w:sz w:val="24"/>
                <w:szCs w:val="24"/>
                <w:highlight w:val="none"/>
                <w:lang w:val="en-US" w:eastAsia="zh-CN"/>
              </w:rPr>
            </w:pPr>
            <w:r>
              <w:rPr>
                <w:rFonts w:hint="eastAsia" w:cs="Times New Roman"/>
                <w:b/>
                <w:bCs w:val="0"/>
                <w:color w:val="auto"/>
                <w:sz w:val="24"/>
                <w:szCs w:val="24"/>
                <w:highlight w:val="none"/>
                <w:lang w:val="en-US" w:eastAsia="zh-CN"/>
              </w:rPr>
              <w:t>废气无组织监测结果如下：</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无组织生产废气检测结果一览表</w:t>
            </w:r>
          </w:p>
          <w:tbl>
            <w:tblPr>
              <w:tblStyle w:val="3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97"/>
              <w:gridCol w:w="1576"/>
              <w:gridCol w:w="2129"/>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vMerge w:val="restart"/>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检测点位</w:t>
                  </w:r>
                </w:p>
              </w:tc>
              <w:tc>
                <w:tcPr>
                  <w:tcW w:w="3338" w:type="pct"/>
                  <w:gridSpan w:val="3"/>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检测项目及检测结果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vMerge w:val="continue"/>
                </w:tcPr>
                <w:p>
                  <w:pPr>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903" w:type="pct"/>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颗粒物</w:t>
                  </w:r>
                </w:p>
              </w:tc>
              <w:tc>
                <w:tcPr>
                  <w:tcW w:w="1220" w:type="pct"/>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锡及其化合物</w:t>
                  </w:r>
                </w:p>
              </w:tc>
              <w:tc>
                <w:tcPr>
                  <w:tcW w:w="1213" w:type="pct"/>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厂界上风向参照点1#</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w:t>
                  </w:r>
                  <w:r>
                    <w:rPr>
                      <w:rFonts w:hint="eastAsia" w:cs="Times New Roman"/>
                      <w:color w:val="auto"/>
                      <w:sz w:val="21"/>
                      <w:szCs w:val="21"/>
                      <w:highlight w:val="none"/>
                      <w:lang w:val="en-US" w:eastAsia="zh-CN"/>
                    </w:rPr>
                    <w:t>73</w:t>
                  </w:r>
                </w:p>
              </w:tc>
              <w:tc>
                <w:tcPr>
                  <w:tcW w:w="1220"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厂界下风向参照点2#</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237</w:t>
                  </w:r>
                </w:p>
              </w:tc>
              <w:tc>
                <w:tcPr>
                  <w:tcW w:w="1220"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厂界下风向参照点3#</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128</w:t>
                  </w:r>
                </w:p>
              </w:tc>
              <w:tc>
                <w:tcPr>
                  <w:tcW w:w="1220"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2×10</w:t>
                  </w:r>
                  <w:r>
                    <w:rPr>
                      <w:rFonts w:hint="eastAsia" w:ascii="Times New Roman" w:hAnsi="Times New Roman" w:eastAsia="宋体"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厂界下风向参照点4#</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109</w:t>
                  </w:r>
                </w:p>
              </w:tc>
              <w:tc>
                <w:tcPr>
                  <w:tcW w:w="1220"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标准限值</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1220" w:type="pct"/>
                </w:tcPr>
                <w:p>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0.24</w:t>
                  </w:r>
                </w:p>
              </w:tc>
              <w:tc>
                <w:tcPr>
                  <w:tcW w:w="1213" w:type="pct"/>
                </w:tcPr>
                <w:p>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4.0</w:t>
                  </w:r>
                </w:p>
              </w:tc>
            </w:tr>
          </w:tbl>
          <w:p>
            <w:pPr>
              <w:numPr>
                <w:ilvl w:val="0"/>
                <w:numId w:val="0"/>
              </w:numPr>
              <w:adjustRightInd w:val="0"/>
              <w:snapToGrid w:val="0"/>
              <w:ind w:firstLine="480" w:firstLineChars="200"/>
              <w:rPr>
                <w:rFonts w:hint="eastAsia"/>
                <w:b w:val="0"/>
                <w:bCs w:val="0"/>
                <w:color w:val="auto"/>
                <w:highlight w:val="none"/>
                <w:lang w:eastAsia="zh-CN"/>
              </w:rPr>
            </w:pPr>
            <w:r>
              <w:rPr>
                <w:rFonts w:hint="eastAsia"/>
                <w:b w:val="0"/>
                <w:bCs w:val="0"/>
                <w:color w:val="auto"/>
                <w:highlight w:val="none"/>
                <w:lang w:val="en-US" w:eastAsia="zh-CN"/>
              </w:rPr>
              <w:t>根据上述检测结果可计算出非甲烷总烃有组织排放量为0.1248t/a、颗粒物有组织排放量为0.864t/a、锡及其化合物有组织排放量为0.00002t/a。</w:t>
            </w:r>
            <w:r>
              <w:rPr>
                <w:rFonts w:hint="eastAsia"/>
                <w:b w:val="0"/>
                <w:bCs w:val="0"/>
                <w:color w:val="FF0000"/>
                <w:highlight w:val="none"/>
                <w:lang w:val="en-US" w:eastAsia="zh-CN"/>
              </w:rPr>
              <w:t>由于现有项目检测报告中未体现废气处理前产生浓度及速率，本环评参照</w:t>
            </w:r>
            <w:r>
              <w:rPr>
                <w:rFonts w:hint="eastAsia" w:ascii="Times New Roman" w:hAnsi="Times New Roman" w:cs="Times New Roman"/>
                <w:b w:val="0"/>
                <w:bCs w:val="0"/>
                <w:color w:val="FF0000"/>
                <w:lang w:val="en-US" w:eastAsia="zh-CN"/>
              </w:rPr>
              <w:t>《广东省工业源挥发性有机物减排量核算方法（试行）》（粤环办[2021]92 号）表4.5-</w:t>
            </w:r>
            <w:r>
              <w:rPr>
                <w:rFonts w:hint="eastAsia" w:cs="Times New Roman"/>
                <w:b w:val="0"/>
                <w:bCs w:val="0"/>
                <w:color w:val="FF0000"/>
                <w:lang w:val="en-US" w:eastAsia="zh-CN"/>
              </w:rPr>
              <w:t>1</w:t>
            </w:r>
            <w:r>
              <w:rPr>
                <w:rFonts w:hint="eastAsia" w:ascii="Times New Roman" w:hAnsi="Times New Roman" w:cs="Times New Roman"/>
                <w:b w:val="0"/>
                <w:bCs w:val="0"/>
                <w:color w:val="FF0000"/>
                <w:lang w:val="en-US" w:eastAsia="zh-CN"/>
              </w:rPr>
              <w:t xml:space="preserve"> 废气收集集集气效率参考值</w:t>
            </w:r>
            <w:r>
              <w:rPr>
                <w:rFonts w:hint="eastAsia" w:cs="Times New Roman"/>
                <w:b w:val="0"/>
                <w:bCs w:val="0"/>
                <w:color w:val="FF0000"/>
                <w:lang w:val="en-US" w:eastAsia="zh-CN"/>
              </w:rPr>
              <w:t>：</w:t>
            </w:r>
            <w:r>
              <w:rPr>
                <w:rFonts w:hint="eastAsia" w:ascii="Times New Roman" w:hAnsi="Times New Roman" w:cs="Times New Roman"/>
                <w:b w:val="0"/>
                <w:bCs w:val="0"/>
                <w:color w:val="FF0000"/>
                <w:lang w:eastAsia="zh-CN"/>
              </w:rPr>
              <w:t>注塑工序集气罩收集效率取</w:t>
            </w:r>
            <w:r>
              <w:rPr>
                <w:rFonts w:hint="eastAsia" w:cs="Times New Roman"/>
                <w:b w:val="0"/>
                <w:bCs w:val="0"/>
                <w:color w:val="FF0000"/>
                <w:lang w:val="en-US" w:eastAsia="zh-CN"/>
              </w:rPr>
              <w:t>6</w:t>
            </w:r>
            <w:r>
              <w:rPr>
                <w:rFonts w:hint="eastAsia" w:ascii="Times New Roman" w:hAnsi="Times New Roman" w:cs="Times New Roman"/>
                <w:b w:val="0"/>
                <w:bCs w:val="0"/>
                <w:color w:val="FF0000"/>
                <w:lang w:val="en-US" w:eastAsia="zh-CN"/>
              </w:rPr>
              <w:t>0%</w:t>
            </w:r>
            <w:r>
              <w:rPr>
                <w:rFonts w:hint="eastAsia" w:cs="Times New Roman"/>
                <w:b w:val="0"/>
                <w:bCs w:val="0"/>
                <w:color w:val="FF0000"/>
                <w:lang w:val="en-US" w:eastAsia="zh-CN"/>
              </w:rPr>
              <w:t>；活性炭处理效率参照</w:t>
            </w:r>
            <w:r>
              <w:rPr>
                <w:rFonts w:hint="eastAsia"/>
                <w:color w:val="FF0000"/>
                <w:sz w:val="24"/>
                <w:lang w:val="en-US" w:eastAsia="zh-CN"/>
              </w:rPr>
              <w:t>根据</w:t>
            </w:r>
            <w:r>
              <w:rPr>
                <w:rFonts w:hint="eastAsia"/>
                <w:color w:val="FF0000"/>
                <w:sz w:val="24"/>
              </w:rPr>
              <w:t>《广东省印刷行业挥发性有机化合物废气治理技术指南》，一级活性炭吸附治理</w:t>
            </w:r>
            <w:r>
              <w:rPr>
                <w:rFonts w:hint="eastAsia"/>
                <w:color w:val="FF0000"/>
                <w:sz w:val="24"/>
                <w:lang w:val="en-US" w:eastAsia="zh-CN"/>
              </w:rPr>
              <w:t>有机废气</w:t>
            </w:r>
            <w:r>
              <w:rPr>
                <w:rFonts w:hint="eastAsia"/>
                <w:color w:val="FF0000"/>
                <w:sz w:val="24"/>
              </w:rPr>
              <w:t>效率可达治理效率</w:t>
            </w:r>
            <w:r>
              <w:rPr>
                <w:rFonts w:hint="eastAsia"/>
                <w:color w:val="FF0000"/>
                <w:sz w:val="24"/>
                <w:lang w:val="en-US" w:eastAsia="zh-CN"/>
              </w:rPr>
              <w:t>为50~80</w:t>
            </w:r>
            <w:r>
              <w:rPr>
                <w:rFonts w:hint="eastAsia"/>
                <w:color w:val="FF0000"/>
                <w:sz w:val="24"/>
              </w:rPr>
              <w:t>%</w:t>
            </w:r>
            <w:r>
              <w:rPr>
                <w:rFonts w:hint="eastAsia"/>
                <w:color w:val="FF0000"/>
                <w:sz w:val="24"/>
                <w:lang w:eastAsia="zh-CN"/>
              </w:rPr>
              <w:t>，</w:t>
            </w:r>
            <w:r>
              <w:rPr>
                <w:rFonts w:hint="eastAsia"/>
                <w:color w:val="FF0000"/>
                <w:sz w:val="24"/>
                <w:lang w:val="en-US" w:eastAsia="zh-CN"/>
              </w:rPr>
              <w:t>本项目取55</w:t>
            </w:r>
            <w:r>
              <w:rPr>
                <w:rFonts w:hint="eastAsia"/>
                <w:color w:val="FF0000"/>
                <w:sz w:val="24"/>
              </w:rPr>
              <w:t>%</w:t>
            </w:r>
            <w:r>
              <w:rPr>
                <w:rFonts w:hint="eastAsia"/>
                <w:color w:val="FF0000"/>
                <w:sz w:val="24"/>
                <w:lang w:eastAsia="zh-CN"/>
              </w:rPr>
              <w:t>；</w:t>
            </w:r>
            <w:r>
              <w:rPr>
                <w:rFonts w:hint="eastAsia"/>
                <w:color w:val="FF0000"/>
                <w:sz w:val="24"/>
                <w:lang w:val="en-US" w:eastAsia="zh-CN"/>
              </w:rPr>
              <w:t>则现有项目二级活性炭处理效率为80%。</w:t>
            </w:r>
            <w:r>
              <w:rPr>
                <w:rFonts w:hint="eastAsia"/>
                <w:b w:val="0"/>
                <w:bCs w:val="0"/>
                <w:color w:val="auto"/>
                <w:highlight w:val="none"/>
                <w:lang w:eastAsia="zh-CN"/>
              </w:rPr>
              <w:t>由此可以</w:t>
            </w:r>
            <w:r>
              <w:rPr>
                <w:rFonts w:hint="eastAsia"/>
                <w:b w:val="0"/>
                <w:bCs w:val="0"/>
                <w:color w:val="auto"/>
                <w:highlight w:val="none"/>
                <w:lang w:val="en-US" w:eastAsia="zh-CN"/>
              </w:rPr>
              <w:t>计算</w:t>
            </w:r>
            <w:r>
              <w:rPr>
                <w:rFonts w:hint="eastAsia"/>
                <w:b w:val="0"/>
                <w:bCs w:val="0"/>
                <w:color w:val="auto"/>
                <w:highlight w:val="none"/>
                <w:lang w:eastAsia="zh-CN"/>
              </w:rPr>
              <w:t>得非甲烷总烃</w:t>
            </w:r>
            <w:r>
              <w:rPr>
                <w:rFonts w:hint="eastAsia"/>
                <w:b w:val="0"/>
                <w:bCs w:val="0"/>
                <w:color w:val="auto"/>
                <w:highlight w:val="none"/>
                <w:lang w:val="en-US" w:eastAsia="zh-CN"/>
              </w:rPr>
              <w:t>总</w:t>
            </w:r>
            <w:r>
              <w:rPr>
                <w:rFonts w:hint="eastAsia"/>
                <w:b w:val="0"/>
                <w:bCs w:val="0"/>
                <w:color w:val="auto"/>
                <w:highlight w:val="none"/>
                <w:lang w:eastAsia="zh-CN"/>
              </w:rPr>
              <w:t>产生量</w:t>
            </w:r>
            <w:r>
              <w:rPr>
                <w:rFonts w:hint="eastAsia"/>
                <w:b w:val="0"/>
                <w:bCs w:val="0"/>
                <w:color w:val="auto"/>
                <w:highlight w:val="none"/>
                <w:lang w:val="en-US" w:eastAsia="zh-CN"/>
              </w:rPr>
              <w:t>≈1.04</w:t>
            </w:r>
            <w:r>
              <w:rPr>
                <w:rFonts w:hint="eastAsia"/>
                <w:b w:val="0"/>
                <w:bCs w:val="0"/>
                <w:color w:val="auto"/>
                <w:highlight w:val="none"/>
                <w:lang w:eastAsia="zh-CN"/>
              </w:rPr>
              <w:t>t/a、</w:t>
            </w:r>
            <w:r>
              <w:rPr>
                <w:rFonts w:hint="eastAsia"/>
                <w:b w:val="0"/>
                <w:bCs w:val="0"/>
                <w:color w:val="auto"/>
                <w:highlight w:val="none"/>
                <w:lang w:val="en-US" w:eastAsia="zh-CN"/>
              </w:rPr>
              <w:t>颗粒物总</w:t>
            </w:r>
            <w:r>
              <w:rPr>
                <w:rFonts w:hint="eastAsia"/>
                <w:b w:val="0"/>
                <w:bCs w:val="0"/>
                <w:color w:val="auto"/>
                <w:highlight w:val="none"/>
                <w:lang w:eastAsia="zh-CN"/>
              </w:rPr>
              <w:t>产生量</w:t>
            </w:r>
            <w:r>
              <w:rPr>
                <w:rFonts w:hint="eastAsia"/>
                <w:b w:val="0"/>
                <w:bCs w:val="0"/>
                <w:color w:val="auto"/>
                <w:highlight w:val="none"/>
                <w:lang w:val="en-US" w:eastAsia="zh-CN"/>
              </w:rPr>
              <w:t>≈7.2</w:t>
            </w:r>
            <w:r>
              <w:rPr>
                <w:rFonts w:hint="eastAsia"/>
                <w:b w:val="0"/>
                <w:bCs w:val="0"/>
                <w:color w:val="auto"/>
                <w:highlight w:val="none"/>
                <w:lang w:eastAsia="zh-CN"/>
              </w:rPr>
              <w:t>t/a、</w:t>
            </w:r>
            <w:r>
              <w:rPr>
                <w:rFonts w:hint="eastAsia"/>
                <w:b w:val="0"/>
                <w:bCs w:val="0"/>
                <w:color w:val="auto"/>
                <w:highlight w:val="none"/>
                <w:lang w:val="en-US" w:eastAsia="zh-CN"/>
              </w:rPr>
              <w:t>锡及其化合物总</w:t>
            </w:r>
            <w:r>
              <w:rPr>
                <w:rFonts w:hint="eastAsia"/>
                <w:b w:val="0"/>
                <w:bCs w:val="0"/>
                <w:color w:val="auto"/>
                <w:highlight w:val="none"/>
                <w:lang w:eastAsia="zh-CN"/>
              </w:rPr>
              <w:t>产生量</w:t>
            </w:r>
            <w:r>
              <w:rPr>
                <w:rFonts w:hint="eastAsia"/>
                <w:b w:val="0"/>
                <w:bCs w:val="0"/>
                <w:color w:val="auto"/>
                <w:highlight w:val="none"/>
                <w:lang w:val="en-US" w:eastAsia="zh-CN"/>
              </w:rPr>
              <w:t>≈0.0002</w:t>
            </w:r>
            <w:r>
              <w:rPr>
                <w:rFonts w:hint="eastAsia"/>
                <w:b w:val="0"/>
                <w:bCs w:val="0"/>
                <w:color w:val="auto"/>
                <w:highlight w:val="none"/>
                <w:lang w:eastAsia="zh-CN"/>
              </w:rPr>
              <w:t>t/a；</w:t>
            </w:r>
            <w:r>
              <w:rPr>
                <w:rFonts w:hint="eastAsia"/>
                <w:b w:val="0"/>
                <w:bCs w:val="0"/>
                <w:color w:val="auto"/>
                <w:highlight w:val="none"/>
                <w:lang w:val="en-US" w:eastAsia="zh-CN"/>
              </w:rPr>
              <w:t>经处理后</w:t>
            </w:r>
            <w:r>
              <w:rPr>
                <w:rFonts w:hint="eastAsia"/>
                <w:b w:val="0"/>
                <w:bCs w:val="0"/>
                <w:color w:val="auto"/>
                <w:highlight w:val="none"/>
                <w:lang w:eastAsia="zh-CN"/>
              </w:rPr>
              <w:t>非甲烷总烃无组织</w:t>
            </w:r>
            <w:r>
              <w:rPr>
                <w:rFonts w:hint="eastAsia"/>
                <w:b w:val="0"/>
                <w:bCs w:val="0"/>
                <w:color w:val="auto"/>
                <w:highlight w:val="none"/>
                <w:lang w:val="en-US" w:eastAsia="zh-CN"/>
              </w:rPr>
              <w:t>排放</w:t>
            </w:r>
            <w:r>
              <w:rPr>
                <w:rFonts w:hint="eastAsia"/>
                <w:b w:val="0"/>
                <w:bCs w:val="0"/>
                <w:color w:val="auto"/>
                <w:highlight w:val="none"/>
                <w:lang w:eastAsia="zh-CN"/>
              </w:rPr>
              <w:t>量</w:t>
            </w:r>
            <w:r>
              <w:rPr>
                <w:rFonts w:hint="eastAsia"/>
                <w:b w:val="0"/>
                <w:bCs w:val="0"/>
                <w:color w:val="auto"/>
                <w:highlight w:val="none"/>
                <w:lang w:val="en-US" w:eastAsia="zh-CN"/>
              </w:rPr>
              <w:t>约为0.416</w:t>
            </w:r>
            <w:r>
              <w:rPr>
                <w:rFonts w:hint="eastAsia"/>
                <w:b w:val="0"/>
                <w:bCs w:val="0"/>
                <w:color w:val="auto"/>
                <w:highlight w:val="none"/>
                <w:lang w:eastAsia="zh-CN"/>
              </w:rPr>
              <w:t>t/a、</w:t>
            </w:r>
            <w:r>
              <w:rPr>
                <w:rFonts w:hint="eastAsia"/>
                <w:b w:val="0"/>
                <w:bCs w:val="0"/>
                <w:color w:val="auto"/>
                <w:highlight w:val="none"/>
                <w:lang w:val="en-US" w:eastAsia="zh-CN"/>
              </w:rPr>
              <w:t>颗粒物</w:t>
            </w:r>
            <w:r>
              <w:rPr>
                <w:rFonts w:hint="eastAsia"/>
                <w:b w:val="0"/>
                <w:bCs w:val="0"/>
                <w:color w:val="auto"/>
                <w:highlight w:val="none"/>
                <w:lang w:eastAsia="zh-CN"/>
              </w:rPr>
              <w:t>无组织</w:t>
            </w:r>
            <w:r>
              <w:rPr>
                <w:rFonts w:hint="eastAsia"/>
                <w:b w:val="0"/>
                <w:bCs w:val="0"/>
                <w:color w:val="auto"/>
                <w:highlight w:val="none"/>
                <w:lang w:val="en-US" w:eastAsia="zh-CN"/>
              </w:rPr>
              <w:t>排放</w:t>
            </w:r>
            <w:r>
              <w:rPr>
                <w:rFonts w:hint="eastAsia"/>
                <w:b w:val="0"/>
                <w:bCs w:val="0"/>
                <w:color w:val="auto"/>
                <w:highlight w:val="none"/>
                <w:lang w:eastAsia="zh-CN"/>
              </w:rPr>
              <w:t>量</w:t>
            </w:r>
            <w:r>
              <w:rPr>
                <w:rFonts w:hint="eastAsia"/>
                <w:b w:val="0"/>
                <w:bCs w:val="0"/>
                <w:color w:val="auto"/>
                <w:highlight w:val="none"/>
                <w:lang w:val="en-US" w:eastAsia="zh-CN"/>
              </w:rPr>
              <w:t>约为2.88</w:t>
            </w:r>
            <w:r>
              <w:rPr>
                <w:rFonts w:hint="eastAsia"/>
                <w:b w:val="0"/>
                <w:bCs w:val="0"/>
                <w:color w:val="auto"/>
                <w:highlight w:val="none"/>
                <w:lang w:eastAsia="zh-CN"/>
              </w:rPr>
              <w:t>t/a、</w:t>
            </w:r>
            <w:r>
              <w:rPr>
                <w:rFonts w:hint="eastAsia"/>
                <w:b w:val="0"/>
                <w:bCs w:val="0"/>
                <w:color w:val="auto"/>
                <w:highlight w:val="none"/>
                <w:lang w:val="en-US" w:eastAsia="zh-CN"/>
              </w:rPr>
              <w:t>锡及其化合物</w:t>
            </w:r>
            <w:r>
              <w:rPr>
                <w:rFonts w:hint="eastAsia"/>
                <w:b w:val="0"/>
                <w:bCs w:val="0"/>
                <w:color w:val="auto"/>
                <w:highlight w:val="none"/>
                <w:lang w:eastAsia="zh-CN"/>
              </w:rPr>
              <w:t>无组织</w:t>
            </w:r>
            <w:r>
              <w:rPr>
                <w:rFonts w:hint="eastAsia"/>
                <w:b w:val="0"/>
                <w:bCs w:val="0"/>
                <w:color w:val="auto"/>
                <w:highlight w:val="none"/>
                <w:lang w:val="en-US" w:eastAsia="zh-CN"/>
              </w:rPr>
              <w:t>排放</w:t>
            </w:r>
            <w:r>
              <w:rPr>
                <w:rFonts w:hint="eastAsia"/>
                <w:b w:val="0"/>
                <w:bCs w:val="0"/>
                <w:color w:val="auto"/>
                <w:highlight w:val="none"/>
                <w:lang w:eastAsia="zh-CN"/>
              </w:rPr>
              <w:t>量</w:t>
            </w:r>
            <w:r>
              <w:rPr>
                <w:rFonts w:hint="eastAsia"/>
                <w:b w:val="0"/>
                <w:bCs w:val="0"/>
                <w:color w:val="auto"/>
                <w:highlight w:val="none"/>
                <w:lang w:val="en-US" w:eastAsia="zh-CN"/>
              </w:rPr>
              <w:t>约为0.00006</w:t>
            </w:r>
            <w:r>
              <w:rPr>
                <w:rFonts w:hint="eastAsia"/>
                <w:b w:val="0"/>
                <w:bCs w:val="0"/>
                <w:color w:val="auto"/>
                <w:highlight w:val="none"/>
                <w:lang w:eastAsia="zh-CN"/>
              </w:rPr>
              <w:t>t/a。</w:t>
            </w:r>
          </w:p>
          <w:p>
            <w:pPr>
              <w:pStyle w:val="53"/>
              <w:numPr>
                <w:ilvl w:val="0"/>
                <w:numId w:val="9"/>
              </w:numPr>
              <w:tabs>
                <w:tab w:val="clear" w:pos="420"/>
              </w:tabs>
              <w:ind w:left="0" w:leftChars="0" w:firstLine="403" w:firstLineChars="0"/>
              <w:jc w:val="center"/>
              <w:rPr>
                <w:color w:val="auto"/>
                <w:szCs w:val="32"/>
                <w:highlight w:val="none"/>
              </w:rPr>
            </w:pPr>
            <w:r>
              <w:rPr>
                <w:rFonts w:hint="eastAsia" w:ascii="Times New Roman" w:hAnsi="Times New Roman" w:eastAsia="宋体" w:cs="Times New Roman"/>
                <w:b/>
                <w:bCs w:val="0"/>
                <w:color w:val="auto"/>
                <w:kern w:val="0"/>
                <w:sz w:val="22"/>
                <w:szCs w:val="22"/>
                <w:highlight w:val="none"/>
                <w:lang w:val="en-US" w:eastAsia="zh-CN" w:bidi="ar-SA"/>
              </w:rPr>
              <w:t>现有项目污染物排放量汇总表</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1780"/>
              <w:gridCol w:w="1727"/>
              <w:gridCol w:w="2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Align w:val="center"/>
                </w:tcPr>
                <w:p>
                  <w:pPr>
                    <w:adjustRightInd w:val="0"/>
                    <w:snapToGrid w:val="0"/>
                    <w:spacing w:line="240" w:lineRule="auto"/>
                    <w:jc w:val="center"/>
                    <w:rPr>
                      <w:b/>
                      <w:color w:val="auto"/>
                      <w:sz w:val="21"/>
                      <w:szCs w:val="21"/>
                      <w:highlight w:val="none"/>
                    </w:rPr>
                  </w:pPr>
                  <w:r>
                    <w:rPr>
                      <w:b/>
                      <w:bCs/>
                      <w:color w:val="auto"/>
                      <w:sz w:val="21"/>
                      <w:szCs w:val="21"/>
                      <w:highlight w:val="none"/>
                      <w:lang w:bidi="ar"/>
                    </w:rPr>
                    <w:t>类型</w:t>
                  </w:r>
                </w:p>
              </w:tc>
              <w:tc>
                <w:tcPr>
                  <w:tcW w:w="2010" w:type="pct"/>
                  <w:gridSpan w:val="2"/>
                  <w:vAlign w:val="center"/>
                </w:tcPr>
                <w:p>
                  <w:pPr>
                    <w:adjustRightInd w:val="0"/>
                    <w:snapToGrid w:val="0"/>
                    <w:spacing w:line="240" w:lineRule="auto"/>
                    <w:jc w:val="center"/>
                    <w:rPr>
                      <w:b/>
                      <w:color w:val="auto"/>
                      <w:sz w:val="21"/>
                      <w:szCs w:val="21"/>
                      <w:highlight w:val="none"/>
                    </w:rPr>
                  </w:pPr>
                  <w:r>
                    <w:rPr>
                      <w:b/>
                      <w:bCs/>
                      <w:color w:val="auto"/>
                      <w:sz w:val="21"/>
                      <w:szCs w:val="21"/>
                      <w:highlight w:val="none"/>
                      <w:lang w:bidi="ar"/>
                    </w:rPr>
                    <w:t>污染物</w:t>
                  </w:r>
                </w:p>
              </w:tc>
              <w:tc>
                <w:tcPr>
                  <w:tcW w:w="1625" w:type="pct"/>
                  <w:vAlign w:val="center"/>
                </w:tcPr>
                <w:p>
                  <w:pPr>
                    <w:adjustRightInd w:val="0"/>
                    <w:snapToGrid w:val="0"/>
                    <w:spacing w:line="240" w:lineRule="auto"/>
                    <w:jc w:val="center"/>
                    <w:rPr>
                      <w:rFonts w:hint="eastAsia" w:eastAsia="宋体"/>
                      <w:b/>
                      <w:color w:val="auto"/>
                      <w:sz w:val="21"/>
                      <w:szCs w:val="21"/>
                      <w:highlight w:val="none"/>
                      <w:lang w:eastAsia="zh-CN"/>
                    </w:rPr>
                  </w:pPr>
                  <w:r>
                    <w:rPr>
                      <w:b/>
                      <w:bCs/>
                      <w:color w:val="auto"/>
                      <w:sz w:val="21"/>
                      <w:szCs w:val="21"/>
                      <w:highlight w:val="none"/>
                      <w:lang w:bidi="ar"/>
                    </w:rPr>
                    <w:t>排放量</w:t>
                  </w:r>
                  <w:r>
                    <w:rPr>
                      <w:rFonts w:hint="eastAsia"/>
                      <w:b/>
                      <w:bCs/>
                      <w:color w:val="auto"/>
                      <w:sz w:val="21"/>
                      <w:szCs w:val="21"/>
                      <w:highlight w:val="none"/>
                      <w:lang w:eastAsia="zh-CN" w:bidi="ar"/>
                    </w:rPr>
                    <w:t>（</w:t>
                  </w:r>
                  <w:r>
                    <w:rPr>
                      <w:color w:val="auto"/>
                      <w:sz w:val="21"/>
                      <w:szCs w:val="21"/>
                      <w:highlight w:val="none"/>
                      <w:lang w:bidi="ar"/>
                    </w:rPr>
                    <w:t>t/a</w:t>
                  </w:r>
                  <w:r>
                    <w:rPr>
                      <w:rFonts w:hint="eastAsia"/>
                      <w:b/>
                      <w:bCs/>
                      <w:color w:val="auto"/>
                      <w:sz w:val="21"/>
                      <w:szCs w:val="21"/>
                      <w:highlight w:val="none"/>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b/>
                      <w:color w:val="auto"/>
                      <w:sz w:val="21"/>
                      <w:szCs w:val="21"/>
                      <w:highlight w:val="none"/>
                      <w:lang w:bidi="ar"/>
                    </w:rPr>
                  </w:pPr>
                  <w:r>
                    <w:rPr>
                      <w:color w:val="auto"/>
                      <w:sz w:val="21"/>
                      <w:szCs w:val="21"/>
                      <w:highlight w:val="none"/>
                      <w:lang w:bidi="ar"/>
                    </w:rPr>
                    <w:t>生活污水</w:t>
                  </w:r>
                </w:p>
              </w:tc>
              <w:tc>
                <w:tcPr>
                  <w:tcW w:w="2010" w:type="pct"/>
                  <w:gridSpan w:val="2"/>
                  <w:vAlign w:val="center"/>
                </w:tcPr>
                <w:p>
                  <w:pPr>
                    <w:adjustRightInd w:val="0"/>
                    <w:snapToGrid w:val="0"/>
                    <w:spacing w:line="240" w:lineRule="auto"/>
                    <w:jc w:val="center"/>
                    <w:rPr>
                      <w:color w:val="auto"/>
                      <w:kern w:val="0"/>
                      <w:sz w:val="21"/>
                      <w:szCs w:val="21"/>
                      <w:highlight w:val="none"/>
                    </w:rPr>
                  </w:pPr>
                  <w:r>
                    <w:rPr>
                      <w:color w:val="auto"/>
                      <w:sz w:val="21"/>
                      <w:szCs w:val="21"/>
                      <w:highlight w:val="none"/>
                      <w:lang w:bidi="ar"/>
                    </w:rPr>
                    <w:t>污水量</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adjustRightInd w:val="0"/>
                    <w:snapToGrid w:val="0"/>
                    <w:spacing w:line="240" w:lineRule="auto"/>
                    <w:jc w:val="center"/>
                    <w:rPr>
                      <w:color w:val="auto"/>
                      <w:sz w:val="21"/>
                      <w:szCs w:val="21"/>
                      <w:highlight w:val="none"/>
                    </w:rPr>
                  </w:pPr>
                  <w:r>
                    <w:rPr>
                      <w:color w:val="auto"/>
                      <w:sz w:val="21"/>
                      <w:szCs w:val="21"/>
                      <w:highlight w:val="none"/>
                      <w:lang w:bidi="ar"/>
                    </w:rPr>
                    <w:t>COD</w:t>
                  </w:r>
                  <w:r>
                    <w:rPr>
                      <w:color w:val="auto"/>
                      <w:sz w:val="21"/>
                      <w:szCs w:val="21"/>
                      <w:highlight w:val="none"/>
                      <w:vertAlign w:val="subscript"/>
                      <w:lang w:bidi="ar"/>
                    </w:rPr>
                    <w:t>Cr</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adjustRightInd w:val="0"/>
                    <w:snapToGrid w:val="0"/>
                    <w:spacing w:line="240" w:lineRule="auto"/>
                    <w:jc w:val="center"/>
                    <w:rPr>
                      <w:color w:val="auto"/>
                      <w:kern w:val="0"/>
                      <w:sz w:val="21"/>
                      <w:szCs w:val="21"/>
                      <w:highlight w:val="none"/>
                    </w:rPr>
                  </w:pPr>
                  <w:r>
                    <w:rPr>
                      <w:color w:val="auto"/>
                      <w:sz w:val="21"/>
                      <w:szCs w:val="21"/>
                      <w:highlight w:val="none"/>
                      <w:lang w:bidi="ar"/>
                    </w:rPr>
                    <w:t>NH</w:t>
                  </w:r>
                  <w:r>
                    <w:rPr>
                      <w:color w:val="auto"/>
                      <w:sz w:val="21"/>
                      <w:szCs w:val="21"/>
                      <w:highlight w:val="none"/>
                      <w:vertAlign w:val="subscript"/>
                      <w:lang w:bidi="ar"/>
                    </w:rPr>
                    <w:t>3</w:t>
                  </w:r>
                  <w:r>
                    <w:rPr>
                      <w:color w:val="auto"/>
                      <w:sz w:val="21"/>
                      <w:szCs w:val="21"/>
                      <w:highlight w:val="none"/>
                      <w:lang w:bidi="ar"/>
                    </w:rPr>
                    <w:t>-N</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BOD</w:t>
                  </w:r>
                  <w:r>
                    <w:rPr>
                      <w:rFonts w:ascii="Times New Roman" w:hAnsi="Times New Roman" w:eastAsia="宋体" w:cs="Times New Roman"/>
                      <w:color w:val="auto"/>
                      <w:sz w:val="21"/>
                      <w:szCs w:val="21"/>
                      <w:highlight w:val="none"/>
                      <w:vertAlign w:val="subscript"/>
                      <w:lang w:val="en-US" w:eastAsia="zh-CN"/>
                    </w:rPr>
                    <w:t>5</w:t>
                  </w:r>
                </w:p>
              </w:tc>
              <w:tc>
                <w:tcPr>
                  <w:tcW w:w="1625" w:type="pct"/>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SS</w:t>
                  </w:r>
                </w:p>
              </w:tc>
              <w:tc>
                <w:tcPr>
                  <w:tcW w:w="1625" w:type="pct"/>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color w:val="auto"/>
                      <w:sz w:val="21"/>
                      <w:szCs w:val="21"/>
                      <w:highlight w:val="none"/>
                    </w:rPr>
                  </w:pPr>
                  <w:r>
                    <w:rPr>
                      <w:color w:val="auto"/>
                      <w:sz w:val="21"/>
                      <w:szCs w:val="21"/>
                      <w:highlight w:val="none"/>
                    </w:rPr>
                    <w:t>废气</w:t>
                  </w:r>
                </w:p>
              </w:tc>
              <w:tc>
                <w:tcPr>
                  <w:tcW w:w="1020" w:type="pct"/>
                  <w:vMerge w:val="restar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bCs/>
                      <w:color w:val="auto"/>
                      <w:sz w:val="21"/>
                      <w:szCs w:val="21"/>
                      <w:highlight w:val="none"/>
                      <w:lang w:val="en-US" w:eastAsia="zh-CN" w:bidi="ar"/>
                    </w:rPr>
                    <w:t>非甲烷总烃</w:t>
                  </w: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有组织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0.1248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无组织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合计</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0.5408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restar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锡及其化合物</w:t>
                  </w: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
                    </w:rPr>
                  </w:pPr>
                  <w:r>
                    <w:rPr>
                      <w:rFonts w:hint="eastAsia"/>
                      <w:bCs/>
                      <w:color w:val="auto"/>
                      <w:sz w:val="21"/>
                      <w:szCs w:val="21"/>
                      <w:highlight w:val="none"/>
                      <w:lang w:bidi="ar"/>
                    </w:rPr>
                    <w:t>有组织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
                    </w:rPr>
                  </w:pPr>
                  <w:r>
                    <w:rPr>
                      <w:rFonts w:hint="eastAsia"/>
                      <w:bCs/>
                      <w:color w:val="auto"/>
                      <w:sz w:val="21"/>
                      <w:szCs w:val="21"/>
                      <w:highlight w:val="none"/>
                      <w:lang w:bidi="ar"/>
                    </w:rPr>
                    <w:t>无组织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
                    </w:rPr>
                  </w:pPr>
                  <w:r>
                    <w:rPr>
                      <w:rFonts w:hint="eastAsia"/>
                      <w:bCs/>
                      <w:color w:val="auto"/>
                      <w:sz w:val="21"/>
                      <w:szCs w:val="21"/>
                      <w:highlight w:val="none"/>
                      <w:lang w:bidi="ar"/>
                    </w:rPr>
                    <w:t>合计</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restart"/>
                  <w:vAlign w:val="center"/>
                </w:tcPr>
                <w:p>
                  <w:pPr>
                    <w:adjustRightInd w:val="0"/>
                    <w:snapToGrid w:val="0"/>
                    <w:spacing w:line="240" w:lineRule="auto"/>
                    <w:jc w:val="center"/>
                    <w:rPr>
                      <w:bCs/>
                      <w:color w:val="auto"/>
                      <w:sz w:val="21"/>
                      <w:szCs w:val="21"/>
                      <w:highlight w:val="none"/>
                      <w:lang w:bidi="ar"/>
                    </w:rPr>
                  </w:pPr>
                  <w:r>
                    <w:rPr>
                      <w:bCs/>
                      <w:color w:val="auto"/>
                      <w:sz w:val="21"/>
                      <w:szCs w:val="21"/>
                      <w:highlight w:val="none"/>
                      <w:lang w:bidi="ar"/>
                    </w:rPr>
                    <w:t>颗粒物</w:t>
                  </w: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有组织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无组织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合计</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3.744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固体废物</w:t>
                  </w:r>
                </w:p>
              </w:tc>
              <w:tc>
                <w:tcPr>
                  <w:tcW w:w="2010" w:type="pct"/>
                  <w:gridSpan w:val="2"/>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一般固废</w:t>
                  </w:r>
                </w:p>
              </w:tc>
              <w:tc>
                <w:tcPr>
                  <w:tcW w:w="1625" w:type="pct"/>
                  <w:vAlign w:val="center"/>
                </w:tcPr>
                <w:p>
                  <w:pPr>
                    <w:adjustRightInd w:val="0"/>
                    <w:snapToGrid w:val="0"/>
                    <w:spacing w:line="240" w:lineRule="auto"/>
                    <w:jc w:val="center"/>
                    <w:rPr>
                      <w:rFonts w:hint="eastAsia" w:eastAsia="宋体"/>
                      <w:bCs/>
                      <w:color w:val="auto"/>
                      <w:kern w:val="0"/>
                      <w:sz w:val="21"/>
                      <w:szCs w:val="21"/>
                      <w:highlight w:val="none"/>
                      <w:lang w:val="en-US" w:eastAsia="zh-CN"/>
                    </w:rPr>
                  </w:pPr>
                  <w:r>
                    <w:rPr>
                      <w:rFonts w:hint="eastAsia"/>
                      <w:bCs/>
                      <w:color w:val="auto"/>
                      <w:kern w:val="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bCs/>
                      <w:color w:val="auto"/>
                      <w:kern w:val="0"/>
                      <w:sz w:val="21"/>
                      <w:szCs w:val="21"/>
                      <w:highlight w:val="none"/>
                    </w:rPr>
                  </w:pPr>
                </w:p>
              </w:tc>
              <w:tc>
                <w:tcPr>
                  <w:tcW w:w="2010" w:type="pct"/>
                  <w:gridSpan w:val="2"/>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危险废物</w:t>
                  </w:r>
                </w:p>
              </w:tc>
              <w:tc>
                <w:tcPr>
                  <w:tcW w:w="1625" w:type="pct"/>
                  <w:vAlign w:val="center"/>
                </w:tcPr>
                <w:p>
                  <w:pPr>
                    <w:adjustRightInd w:val="0"/>
                    <w:snapToGrid w:val="0"/>
                    <w:spacing w:line="240" w:lineRule="auto"/>
                    <w:jc w:val="center"/>
                    <w:rPr>
                      <w:rFonts w:hint="eastAsia" w:eastAsia="宋体"/>
                      <w:bCs/>
                      <w:color w:val="auto"/>
                      <w:kern w:val="0"/>
                      <w:sz w:val="21"/>
                      <w:szCs w:val="21"/>
                      <w:highlight w:val="none"/>
                      <w:lang w:val="en-US" w:eastAsia="zh-CN"/>
                    </w:rPr>
                  </w:pPr>
                  <w:r>
                    <w:rPr>
                      <w:rFonts w:hint="eastAsia"/>
                      <w:bCs/>
                      <w:color w:val="auto"/>
                      <w:kern w:val="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bCs/>
                      <w:color w:val="auto"/>
                      <w:kern w:val="0"/>
                      <w:sz w:val="21"/>
                      <w:szCs w:val="21"/>
                      <w:highlight w:val="none"/>
                    </w:rPr>
                  </w:pPr>
                </w:p>
              </w:tc>
              <w:tc>
                <w:tcPr>
                  <w:tcW w:w="2010" w:type="pct"/>
                  <w:gridSpan w:val="2"/>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生活垃圾</w:t>
                  </w:r>
                </w:p>
              </w:tc>
              <w:tc>
                <w:tcPr>
                  <w:tcW w:w="1625" w:type="pct"/>
                  <w:vAlign w:val="center"/>
                </w:tcPr>
                <w:p>
                  <w:pPr>
                    <w:adjustRightInd w:val="0"/>
                    <w:snapToGrid w:val="0"/>
                    <w:spacing w:line="240" w:lineRule="auto"/>
                    <w:jc w:val="center"/>
                    <w:rPr>
                      <w:rFonts w:hint="eastAsia" w:eastAsia="宋体"/>
                      <w:bCs/>
                      <w:color w:val="auto"/>
                      <w:kern w:val="0"/>
                      <w:sz w:val="21"/>
                      <w:szCs w:val="21"/>
                      <w:highlight w:val="none"/>
                      <w:lang w:val="en-US" w:eastAsia="zh-CN"/>
                    </w:rPr>
                  </w:pPr>
                  <w:r>
                    <w:rPr>
                      <w:rFonts w:hint="eastAsia"/>
                      <w:bCs/>
                      <w:color w:val="auto"/>
                      <w:kern w:val="0"/>
                      <w:sz w:val="21"/>
                      <w:szCs w:val="21"/>
                      <w:highlight w:val="none"/>
                      <w:lang w:val="en-US" w:eastAsia="zh-CN"/>
                    </w:rPr>
                    <w:t>0</w:t>
                  </w:r>
                </w:p>
              </w:tc>
            </w:tr>
          </w:tbl>
          <w:p>
            <w:pPr>
              <w:numPr>
                <w:ilvl w:val="0"/>
                <w:numId w:val="0"/>
              </w:numPr>
              <w:adjustRightInd w:val="0"/>
              <w:snapToGrid w:val="0"/>
              <w:ind w:firstLine="482" w:firstLineChars="200"/>
              <w:rPr>
                <w:color w:val="auto"/>
                <w:highlight w:val="none"/>
              </w:rPr>
            </w:pPr>
            <w:r>
              <w:rPr>
                <w:rFonts w:hint="eastAsia"/>
                <w:b/>
                <w:bCs/>
                <w:color w:val="auto"/>
                <w:highlight w:val="none"/>
                <w:lang w:eastAsia="zh-CN"/>
              </w:rPr>
              <w:t>（</w:t>
            </w:r>
            <w:r>
              <w:rPr>
                <w:rFonts w:hint="eastAsia"/>
                <w:b/>
                <w:bCs/>
                <w:color w:val="auto"/>
                <w:highlight w:val="none"/>
                <w:lang w:val="en-US" w:eastAsia="zh-CN"/>
              </w:rPr>
              <w:t>3</w:t>
            </w:r>
            <w:r>
              <w:rPr>
                <w:rFonts w:hint="eastAsia"/>
                <w:b/>
                <w:bCs/>
                <w:color w:val="auto"/>
                <w:highlight w:val="none"/>
                <w:lang w:eastAsia="zh-CN"/>
              </w:rPr>
              <w:t>）</w:t>
            </w:r>
            <w:r>
              <w:rPr>
                <w:b/>
                <w:bCs/>
                <w:color w:val="auto"/>
                <w:highlight w:val="none"/>
              </w:rPr>
              <w:t>噪声</w:t>
            </w:r>
          </w:p>
          <w:p>
            <w:pPr>
              <w:numPr>
                <w:ilvl w:val="0"/>
                <w:numId w:val="0"/>
              </w:numPr>
              <w:adjustRightInd w:val="0"/>
              <w:snapToGrid w:val="0"/>
              <w:ind w:firstLine="480" w:firstLineChars="200"/>
              <w:rPr>
                <w:rFonts w:hint="eastAsia"/>
                <w:color w:val="auto"/>
                <w:highlight w:val="none"/>
                <w:lang w:eastAsia="zh-CN"/>
              </w:rPr>
            </w:pPr>
            <w:r>
              <w:rPr>
                <w:rFonts w:hint="eastAsia"/>
                <w:b w:val="0"/>
                <w:bCs/>
                <w:color w:val="auto"/>
                <w:sz w:val="24"/>
                <w:szCs w:val="24"/>
                <w:highlight w:val="none"/>
                <w:lang w:val="en-US" w:eastAsia="zh-CN"/>
              </w:rPr>
              <w:t>现有</w:t>
            </w:r>
            <w:r>
              <w:rPr>
                <w:rFonts w:cs="Times New Roman"/>
                <w:color w:val="auto"/>
                <w:highlight w:val="none"/>
              </w:rPr>
              <w:t>项目主要噪声来源生产设备运转时产生，噪声值约在</w:t>
            </w:r>
            <w:r>
              <w:rPr>
                <w:rFonts w:hint="eastAsia" w:cs="Times New Roman"/>
                <w:color w:val="auto"/>
                <w:highlight w:val="none"/>
                <w:lang w:val="en-US" w:eastAsia="zh-CN"/>
              </w:rPr>
              <w:t>70</w:t>
            </w:r>
            <w:r>
              <w:rPr>
                <w:rFonts w:hint="eastAsia" w:cs="Times New Roman"/>
                <w:color w:val="auto"/>
                <w:highlight w:val="none"/>
              </w:rPr>
              <w:t>~</w:t>
            </w:r>
            <w:r>
              <w:rPr>
                <w:rFonts w:hint="eastAsia" w:cs="Times New Roman"/>
                <w:color w:val="auto"/>
                <w:highlight w:val="none"/>
                <w:lang w:val="en-US" w:eastAsia="zh-CN"/>
              </w:rPr>
              <w:t>85</w:t>
            </w:r>
            <w:r>
              <w:rPr>
                <w:rFonts w:cs="Times New Roman"/>
                <w:color w:val="auto"/>
                <w:highlight w:val="none"/>
              </w:rPr>
              <w:t>dB(A)之间</w:t>
            </w:r>
            <w:r>
              <w:rPr>
                <w:rFonts w:hint="eastAsia" w:cs="Times New Roman"/>
                <w:color w:val="auto"/>
                <w:highlight w:val="none"/>
                <w:lang w:eastAsia="zh-CN"/>
              </w:rPr>
              <w:t>。</w:t>
            </w:r>
            <w:r>
              <w:rPr>
                <w:color w:val="auto"/>
                <w:highlight w:val="none"/>
              </w:rPr>
              <w:t>建设单位在生产过程中均使用低噪声设备，同时通过安装隔声窗和合理布置生产线，并加强设备的日常维护和保养，根据建设单位委托</w:t>
            </w:r>
            <w:r>
              <w:rPr>
                <w:rFonts w:hint="eastAsia"/>
                <w:bCs/>
                <w:color w:val="auto"/>
                <w:sz w:val="24"/>
                <w:highlight w:val="none"/>
              </w:rPr>
              <w:t>广东</w:t>
            </w:r>
            <w:r>
              <w:rPr>
                <w:rFonts w:hint="eastAsia"/>
                <w:bCs/>
                <w:color w:val="auto"/>
                <w:sz w:val="24"/>
                <w:highlight w:val="none"/>
                <w:lang w:val="en-US" w:eastAsia="zh-CN"/>
              </w:rPr>
              <w:t>君正</w:t>
            </w:r>
            <w:r>
              <w:rPr>
                <w:rFonts w:hint="eastAsia"/>
                <w:bCs/>
                <w:color w:val="auto"/>
                <w:sz w:val="24"/>
                <w:highlight w:val="none"/>
              </w:rPr>
              <w:t>检测技术有限公司</w:t>
            </w:r>
            <w:r>
              <w:rPr>
                <w:color w:val="auto"/>
                <w:highlight w:val="none"/>
              </w:rPr>
              <w:t>于20</w:t>
            </w:r>
            <w:r>
              <w:rPr>
                <w:rFonts w:hint="eastAsia"/>
                <w:color w:val="auto"/>
                <w:highlight w:val="none"/>
                <w:lang w:val="en-US" w:eastAsia="zh-CN"/>
              </w:rPr>
              <w:t>22</w:t>
            </w:r>
            <w:r>
              <w:rPr>
                <w:color w:val="auto"/>
                <w:highlight w:val="none"/>
              </w:rPr>
              <w:t>年</w:t>
            </w:r>
            <w:r>
              <w:rPr>
                <w:rFonts w:hint="eastAsia"/>
                <w:color w:val="auto"/>
                <w:highlight w:val="none"/>
                <w:lang w:val="en-US" w:eastAsia="zh-CN"/>
              </w:rPr>
              <w:t>7</w:t>
            </w:r>
            <w:r>
              <w:rPr>
                <w:color w:val="auto"/>
                <w:highlight w:val="none"/>
              </w:rPr>
              <w:t>月</w:t>
            </w:r>
            <w:r>
              <w:rPr>
                <w:rFonts w:hint="eastAsia"/>
                <w:color w:val="auto"/>
                <w:highlight w:val="none"/>
                <w:lang w:val="en-US" w:eastAsia="zh-CN"/>
              </w:rPr>
              <w:t>22</w:t>
            </w:r>
            <w:r>
              <w:rPr>
                <w:color w:val="auto"/>
                <w:highlight w:val="none"/>
              </w:rPr>
              <w:t>日对厂界噪声的监测结果表明</w:t>
            </w:r>
            <w:r>
              <w:rPr>
                <w:rFonts w:hint="eastAsia"/>
                <w:color w:val="auto"/>
                <w:highlight w:val="none"/>
                <w:lang w:eastAsia="zh-CN"/>
              </w:rPr>
              <w:t>（</w:t>
            </w:r>
            <w:r>
              <w:rPr>
                <w:rFonts w:hint="eastAsia"/>
                <w:color w:val="auto"/>
                <w:highlight w:val="none"/>
                <w:lang w:val="en-US" w:eastAsia="zh-CN"/>
              </w:rPr>
              <w:t>报告编号：JZ2203129003</w:t>
            </w:r>
            <w:r>
              <w:rPr>
                <w:rFonts w:hint="eastAsia"/>
                <w:color w:val="auto"/>
                <w:highlight w:val="none"/>
                <w:lang w:eastAsia="zh-CN"/>
              </w:rPr>
              <w:t>）</w:t>
            </w:r>
            <w:r>
              <w:rPr>
                <w:color w:val="auto"/>
                <w:highlight w:val="none"/>
              </w:rPr>
              <w:t>，项目厂界噪声达到《工业企业厂界环境噪声排放标准》（GB12348-2008）的</w:t>
            </w:r>
            <w:r>
              <w:rPr>
                <w:rFonts w:hint="eastAsia"/>
                <w:color w:val="auto"/>
                <w:highlight w:val="none"/>
                <w:lang w:val="en-US" w:eastAsia="zh-CN"/>
              </w:rPr>
              <w:t>2</w:t>
            </w:r>
            <w:r>
              <w:rPr>
                <w:color w:val="auto"/>
                <w:highlight w:val="none"/>
              </w:rPr>
              <w:t>类标准，对周围环境的影响较小</w:t>
            </w:r>
            <w:r>
              <w:rPr>
                <w:rFonts w:hint="eastAsia"/>
                <w:color w:val="auto"/>
                <w:highlight w:val="none"/>
                <w:lang w:eastAsia="zh-CN"/>
              </w:rPr>
              <w:t>。</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厂界噪声监测结果  dB(A)</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7"/>
              <w:gridCol w:w="2334"/>
              <w:gridCol w:w="1500"/>
              <w:gridCol w:w="1746"/>
              <w:gridCol w:w="1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967" w:type="pct"/>
                  <w:vMerge w:val="restart"/>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监测时间</w:t>
                  </w:r>
                </w:p>
              </w:tc>
              <w:tc>
                <w:tcPr>
                  <w:tcW w:w="1338" w:type="pct"/>
                  <w:vMerge w:val="restart"/>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监测点位</w:t>
                  </w:r>
                </w:p>
              </w:tc>
              <w:tc>
                <w:tcPr>
                  <w:tcW w:w="2694" w:type="pct"/>
                  <w:gridSpan w:val="3"/>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967" w:type="pct"/>
                  <w:vMerge w:val="continue"/>
                  <w:tcBorders>
                    <w:tl2br w:val="nil"/>
                    <w:tr2bl w:val="nil"/>
                  </w:tcBorders>
                  <w:noWrap/>
                  <w:vAlign w:val="center"/>
                </w:tcPr>
                <w:p>
                  <w:pPr>
                    <w:adjustRightInd w:val="0"/>
                    <w:snapToGrid w:val="0"/>
                    <w:spacing w:line="240" w:lineRule="auto"/>
                    <w:jc w:val="center"/>
                    <w:rPr>
                      <w:b/>
                      <w:bCs/>
                      <w:color w:val="auto"/>
                      <w:sz w:val="21"/>
                      <w:szCs w:val="21"/>
                      <w:highlight w:val="none"/>
                    </w:rPr>
                  </w:pPr>
                </w:p>
              </w:tc>
              <w:tc>
                <w:tcPr>
                  <w:tcW w:w="1338" w:type="pct"/>
                  <w:vMerge w:val="continue"/>
                  <w:tcBorders>
                    <w:tl2br w:val="nil"/>
                    <w:tr2bl w:val="nil"/>
                  </w:tcBorders>
                  <w:noWrap/>
                  <w:vAlign w:val="center"/>
                </w:tcPr>
                <w:p>
                  <w:pPr>
                    <w:adjustRightInd w:val="0"/>
                    <w:snapToGrid w:val="0"/>
                    <w:spacing w:line="240" w:lineRule="auto"/>
                    <w:jc w:val="center"/>
                    <w:rPr>
                      <w:b/>
                      <w:bCs/>
                      <w:color w:val="auto"/>
                      <w:sz w:val="21"/>
                      <w:szCs w:val="21"/>
                      <w:highlight w:val="none"/>
                    </w:rPr>
                  </w:pPr>
                </w:p>
              </w:tc>
              <w:tc>
                <w:tcPr>
                  <w:tcW w:w="2694" w:type="pct"/>
                  <w:gridSpan w:val="3"/>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967" w:type="pct"/>
                  <w:vMerge w:val="continue"/>
                  <w:tcBorders>
                    <w:tl2br w:val="nil"/>
                    <w:tr2bl w:val="nil"/>
                  </w:tcBorders>
                  <w:noWrap/>
                  <w:vAlign w:val="center"/>
                </w:tcPr>
                <w:p>
                  <w:pPr>
                    <w:adjustRightInd w:val="0"/>
                    <w:snapToGrid w:val="0"/>
                    <w:spacing w:line="240" w:lineRule="auto"/>
                    <w:jc w:val="center"/>
                    <w:rPr>
                      <w:b/>
                      <w:bCs/>
                      <w:color w:val="auto"/>
                      <w:sz w:val="21"/>
                      <w:szCs w:val="21"/>
                      <w:highlight w:val="none"/>
                    </w:rPr>
                  </w:pPr>
                </w:p>
              </w:tc>
              <w:tc>
                <w:tcPr>
                  <w:tcW w:w="1338" w:type="pct"/>
                  <w:vMerge w:val="continue"/>
                  <w:tcBorders>
                    <w:tl2br w:val="nil"/>
                    <w:tr2bl w:val="nil"/>
                  </w:tcBorders>
                  <w:noWrap/>
                  <w:vAlign w:val="center"/>
                </w:tcPr>
                <w:p>
                  <w:pPr>
                    <w:adjustRightInd w:val="0"/>
                    <w:snapToGrid w:val="0"/>
                    <w:spacing w:line="240" w:lineRule="auto"/>
                    <w:jc w:val="center"/>
                    <w:rPr>
                      <w:b/>
                      <w:bCs/>
                      <w:color w:val="auto"/>
                      <w:sz w:val="21"/>
                      <w:szCs w:val="21"/>
                      <w:highlight w:val="none"/>
                    </w:rPr>
                  </w:pPr>
                </w:p>
              </w:tc>
              <w:tc>
                <w:tcPr>
                  <w:tcW w:w="860" w:type="pct"/>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排放值</w:t>
                  </w:r>
                </w:p>
              </w:tc>
              <w:tc>
                <w:tcPr>
                  <w:tcW w:w="1001" w:type="pct"/>
                  <w:tcBorders>
                    <w:tl2br w:val="nil"/>
                    <w:tr2bl w:val="nil"/>
                  </w:tcBorders>
                  <w:noWrap/>
                  <w:vAlign w:val="center"/>
                </w:tcPr>
                <w:p>
                  <w:pPr>
                    <w:adjustRightInd w:val="0"/>
                    <w:snapToGrid w:val="0"/>
                    <w:spacing w:line="240" w:lineRule="auto"/>
                    <w:jc w:val="center"/>
                    <w:rPr>
                      <w:rFonts w:hint="eastAsia" w:eastAsia="宋体"/>
                      <w:b/>
                      <w:bCs/>
                      <w:color w:val="auto"/>
                      <w:sz w:val="21"/>
                      <w:szCs w:val="21"/>
                      <w:highlight w:val="none"/>
                      <w:lang w:val="en-US" w:eastAsia="zh-CN"/>
                    </w:rPr>
                  </w:pPr>
                  <w:r>
                    <w:rPr>
                      <w:b/>
                      <w:bCs/>
                      <w:color w:val="auto"/>
                      <w:sz w:val="21"/>
                      <w:szCs w:val="21"/>
                      <w:highlight w:val="none"/>
                    </w:rPr>
                    <w:t>标准限值</w:t>
                  </w:r>
                </w:p>
              </w:tc>
              <w:tc>
                <w:tcPr>
                  <w:tcW w:w="832" w:type="pct"/>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7" w:type="pct"/>
                  <w:vMerge w:val="restar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2022.07.22</w:t>
                  </w:r>
                </w:p>
              </w:tc>
              <w:tc>
                <w:tcPr>
                  <w:tcW w:w="1338" w:type="pct"/>
                  <w:tcBorders>
                    <w:tl2br w:val="nil"/>
                    <w:tr2bl w:val="nil"/>
                  </w:tcBorders>
                  <w:noWrap/>
                  <w:vAlign w:val="center"/>
                </w:tcPr>
                <w:p>
                  <w:pPr>
                    <w:adjustRightInd w:val="0"/>
                    <w:snapToGrid w:val="0"/>
                    <w:spacing w:line="240" w:lineRule="auto"/>
                    <w:jc w:val="center"/>
                    <w:rPr>
                      <w:color w:val="auto"/>
                      <w:sz w:val="21"/>
                      <w:szCs w:val="21"/>
                      <w:highlight w:val="none"/>
                    </w:rPr>
                  </w:pPr>
                  <w:r>
                    <w:rPr>
                      <w:bCs/>
                      <w:color w:val="auto"/>
                      <w:sz w:val="21"/>
                      <w:szCs w:val="21"/>
                      <w:highlight w:val="none"/>
                    </w:rPr>
                    <w:t>厂界</w:t>
                  </w:r>
                  <w:r>
                    <w:rPr>
                      <w:rFonts w:hint="eastAsia"/>
                      <w:bCs/>
                      <w:color w:val="auto"/>
                      <w:sz w:val="21"/>
                      <w:szCs w:val="21"/>
                      <w:highlight w:val="none"/>
                      <w:lang w:val="en-US" w:eastAsia="zh-CN"/>
                    </w:rPr>
                    <w:t>东面</w:t>
                  </w:r>
                  <w:r>
                    <w:rPr>
                      <w:bCs/>
                      <w:color w:val="auto"/>
                      <w:sz w:val="21"/>
                      <w:szCs w:val="21"/>
                      <w:highlight w:val="none"/>
                    </w:rPr>
                    <w:t>1米处</w:t>
                  </w:r>
                </w:p>
              </w:tc>
              <w:tc>
                <w:tcPr>
                  <w:tcW w:w="860"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57.5</w:t>
                  </w:r>
                </w:p>
              </w:tc>
              <w:tc>
                <w:tcPr>
                  <w:tcW w:w="1001"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60</w:t>
                  </w:r>
                </w:p>
              </w:tc>
              <w:tc>
                <w:tcPr>
                  <w:tcW w:w="832" w:type="pct"/>
                  <w:tcBorders>
                    <w:tl2br w:val="nil"/>
                    <w:tr2bl w:val="nil"/>
                  </w:tcBorders>
                  <w:noWrap/>
                  <w:vAlign w:val="center"/>
                </w:tcPr>
                <w:p>
                  <w:pPr>
                    <w:adjustRightInd w:val="0"/>
                    <w:snapToGrid w:val="0"/>
                    <w:spacing w:line="240" w:lineRule="auto"/>
                    <w:jc w:val="center"/>
                    <w:rPr>
                      <w:color w:val="auto"/>
                      <w:sz w:val="21"/>
                      <w:szCs w:val="21"/>
                      <w:highlight w:val="none"/>
                    </w:rPr>
                  </w:pPr>
                  <w:r>
                    <w:rPr>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967" w:type="pct"/>
                  <w:vMerge w:val="continue"/>
                  <w:tcBorders>
                    <w:tl2br w:val="nil"/>
                    <w:tr2bl w:val="nil"/>
                  </w:tcBorders>
                  <w:noWrap/>
                  <w:vAlign w:val="center"/>
                </w:tcPr>
                <w:p>
                  <w:pPr>
                    <w:adjustRightInd w:val="0"/>
                    <w:snapToGrid w:val="0"/>
                    <w:spacing w:line="240" w:lineRule="auto"/>
                    <w:jc w:val="center"/>
                    <w:rPr>
                      <w:color w:val="auto"/>
                      <w:sz w:val="21"/>
                      <w:szCs w:val="21"/>
                      <w:highlight w:val="none"/>
                    </w:rPr>
                  </w:pPr>
                </w:p>
              </w:tc>
              <w:tc>
                <w:tcPr>
                  <w:tcW w:w="1338" w:type="pct"/>
                  <w:tcBorders>
                    <w:tl2br w:val="nil"/>
                    <w:tr2bl w:val="nil"/>
                  </w:tcBorders>
                  <w:noWrap/>
                  <w:vAlign w:val="center"/>
                </w:tcPr>
                <w:p>
                  <w:pPr>
                    <w:adjustRightInd w:val="0"/>
                    <w:snapToGrid w:val="0"/>
                    <w:spacing w:line="240" w:lineRule="auto"/>
                    <w:jc w:val="center"/>
                    <w:rPr>
                      <w:bCs/>
                      <w:color w:val="auto"/>
                      <w:sz w:val="21"/>
                      <w:szCs w:val="21"/>
                      <w:highlight w:val="none"/>
                    </w:rPr>
                  </w:pPr>
                  <w:r>
                    <w:rPr>
                      <w:bCs/>
                      <w:color w:val="auto"/>
                      <w:sz w:val="21"/>
                      <w:szCs w:val="21"/>
                      <w:highlight w:val="none"/>
                    </w:rPr>
                    <w:t>厂界</w:t>
                  </w:r>
                  <w:r>
                    <w:rPr>
                      <w:rFonts w:hint="eastAsia"/>
                      <w:bCs/>
                      <w:color w:val="auto"/>
                      <w:sz w:val="21"/>
                      <w:szCs w:val="21"/>
                      <w:highlight w:val="none"/>
                      <w:lang w:val="en-US" w:eastAsia="zh-CN"/>
                    </w:rPr>
                    <w:t>南面</w:t>
                  </w:r>
                  <w:r>
                    <w:rPr>
                      <w:bCs/>
                      <w:color w:val="auto"/>
                      <w:sz w:val="21"/>
                      <w:szCs w:val="21"/>
                      <w:highlight w:val="none"/>
                    </w:rPr>
                    <w:t>1米处</w:t>
                  </w:r>
                </w:p>
              </w:tc>
              <w:tc>
                <w:tcPr>
                  <w:tcW w:w="860"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58.3</w:t>
                  </w:r>
                </w:p>
              </w:tc>
              <w:tc>
                <w:tcPr>
                  <w:tcW w:w="1001"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60</w:t>
                  </w:r>
                </w:p>
              </w:tc>
              <w:tc>
                <w:tcPr>
                  <w:tcW w:w="832" w:type="pct"/>
                  <w:tcBorders>
                    <w:tl2br w:val="nil"/>
                    <w:tr2bl w:val="nil"/>
                  </w:tcBorders>
                  <w:noWrap/>
                  <w:vAlign w:val="center"/>
                </w:tcPr>
                <w:p>
                  <w:pPr>
                    <w:adjustRightInd w:val="0"/>
                    <w:snapToGrid w:val="0"/>
                    <w:spacing w:line="240" w:lineRule="auto"/>
                    <w:jc w:val="center"/>
                    <w:rPr>
                      <w:color w:val="auto"/>
                      <w:sz w:val="21"/>
                      <w:szCs w:val="21"/>
                      <w:highlight w:val="none"/>
                    </w:rPr>
                  </w:pPr>
                  <w:r>
                    <w:rPr>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967" w:type="pct"/>
                  <w:vMerge w:val="continue"/>
                  <w:tcBorders>
                    <w:tl2br w:val="nil"/>
                    <w:tr2bl w:val="nil"/>
                  </w:tcBorders>
                  <w:noWrap/>
                  <w:vAlign w:val="center"/>
                </w:tcPr>
                <w:p>
                  <w:pPr>
                    <w:adjustRightInd w:val="0"/>
                    <w:snapToGrid w:val="0"/>
                    <w:spacing w:line="240" w:lineRule="auto"/>
                    <w:jc w:val="center"/>
                    <w:rPr>
                      <w:color w:val="auto"/>
                      <w:sz w:val="21"/>
                      <w:szCs w:val="21"/>
                      <w:highlight w:val="none"/>
                    </w:rPr>
                  </w:pPr>
                </w:p>
              </w:tc>
              <w:tc>
                <w:tcPr>
                  <w:tcW w:w="1338" w:type="pct"/>
                  <w:tcBorders>
                    <w:tl2br w:val="nil"/>
                    <w:tr2bl w:val="nil"/>
                  </w:tcBorders>
                  <w:noWrap/>
                  <w:vAlign w:val="center"/>
                </w:tcPr>
                <w:p>
                  <w:pPr>
                    <w:adjustRightInd w:val="0"/>
                    <w:snapToGrid w:val="0"/>
                    <w:spacing w:line="240" w:lineRule="auto"/>
                    <w:jc w:val="center"/>
                    <w:rPr>
                      <w:bCs/>
                      <w:color w:val="auto"/>
                      <w:sz w:val="21"/>
                      <w:szCs w:val="21"/>
                      <w:highlight w:val="none"/>
                    </w:rPr>
                  </w:pPr>
                  <w:r>
                    <w:rPr>
                      <w:bCs/>
                      <w:color w:val="auto"/>
                      <w:sz w:val="21"/>
                      <w:szCs w:val="21"/>
                      <w:highlight w:val="none"/>
                    </w:rPr>
                    <w:t>厂界</w:t>
                  </w:r>
                  <w:r>
                    <w:rPr>
                      <w:rFonts w:hint="eastAsia"/>
                      <w:bCs/>
                      <w:color w:val="auto"/>
                      <w:sz w:val="21"/>
                      <w:szCs w:val="21"/>
                      <w:highlight w:val="none"/>
                      <w:lang w:val="en-US" w:eastAsia="zh-CN"/>
                    </w:rPr>
                    <w:t>西面</w:t>
                  </w:r>
                  <w:r>
                    <w:rPr>
                      <w:bCs/>
                      <w:color w:val="auto"/>
                      <w:sz w:val="21"/>
                      <w:szCs w:val="21"/>
                      <w:highlight w:val="none"/>
                    </w:rPr>
                    <w:t>1米处</w:t>
                  </w:r>
                </w:p>
              </w:tc>
              <w:tc>
                <w:tcPr>
                  <w:tcW w:w="860"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58.5</w:t>
                  </w:r>
                </w:p>
              </w:tc>
              <w:tc>
                <w:tcPr>
                  <w:tcW w:w="1001"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60</w:t>
                  </w:r>
                </w:p>
              </w:tc>
              <w:tc>
                <w:tcPr>
                  <w:tcW w:w="832" w:type="pct"/>
                  <w:tcBorders>
                    <w:tl2br w:val="nil"/>
                    <w:tr2bl w:val="nil"/>
                  </w:tcBorders>
                  <w:noWrap/>
                  <w:vAlign w:val="center"/>
                </w:tcPr>
                <w:p>
                  <w:pPr>
                    <w:adjustRightInd w:val="0"/>
                    <w:snapToGrid w:val="0"/>
                    <w:spacing w:line="240" w:lineRule="auto"/>
                    <w:jc w:val="center"/>
                    <w:rPr>
                      <w:color w:val="auto"/>
                      <w:sz w:val="21"/>
                      <w:szCs w:val="21"/>
                      <w:highlight w:val="none"/>
                    </w:rPr>
                  </w:pPr>
                  <w:r>
                    <w:rPr>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67" w:type="pct"/>
                  <w:vMerge w:val="continue"/>
                  <w:tcBorders>
                    <w:tl2br w:val="nil"/>
                    <w:tr2bl w:val="nil"/>
                  </w:tcBorders>
                  <w:noWrap/>
                  <w:vAlign w:val="center"/>
                </w:tcPr>
                <w:p>
                  <w:pPr>
                    <w:adjustRightInd w:val="0"/>
                    <w:snapToGrid w:val="0"/>
                    <w:spacing w:line="240" w:lineRule="auto"/>
                    <w:jc w:val="center"/>
                    <w:rPr>
                      <w:color w:val="auto"/>
                      <w:sz w:val="21"/>
                      <w:szCs w:val="21"/>
                      <w:highlight w:val="none"/>
                    </w:rPr>
                  </w:pPr>
                </w:p>
              </w:tc>
              <w:tc>
                <w:tcPr>
                  <w:tcW w:w="1338" w:type="pct"/>
                  <w:tcBorders>
                    <w:tl2br w:val="nil"/>
                    <w:tr2bl w:val="nil"/>
                  </w:tcBorders>
                  <w:noWrap/>
                  <w:vAlign w:val="center"/>
                </w:tcPr>
                <w:p>
                  <w:pPr>
                    <w:adjustRightInd w:val="0"/>
                    <w:snapToGrid w:val="0"/>
                    <w:spacing w:line="240" w:lineRule="auto"/>
                    <w:jc w:val="center"/>
                    <w:rPr>
                      <w:bCs/>
                      <w:color w:val="auto"/>
                      <w:sz w:val="21"/>
                      <w:szCs w:val="21"/>
                      <w:highlight w:val="none"/>
                    </w:rPr>
                  </w:pPr>
                  <w:r>
                    <w:rPr>
                      <w:bCs/>
                      <w:color w:val="auto"/>
                      <w:sz w:val="21"/>
                      <w:szCs w:val="21"/>
                      <w:highlight w:val="none"/>
                    </w:rPr>
                    <w:t>厂界</w:t>
                  </w:r>
                  <w:r>
                    <w:rPr>
                      <w:rFonts w:hint="eastAsia"/>
                      <w:bCs/>
                      <w:color w:val="auto"/>
                      <w:sz w:val="21"/>
                      <w:szCs w:val="21"/>
                      <w:highlight w:val="none"/>
                      <w:lang w:val="en-US" w:eastAsia="zh-CN"/>
                    </w:rPr>
                    <w:t>北面</w:t>
                  </w:r>
                  <w:r>
                    <w:rPr>
                      <w:bCs/>
                      <w:color w:val="auto"/>
                      <w:sz w:val="21"/>
                      <w:szCs w:val="21"/>
                      <w:highlight w:val="none"/>
                    </w:rPr>
                    <w:t>1米处</w:t>
                  </w:r>
                </w:p>
              </w:tc>
              <w:tc>
                <w:tcPr>
                  <w:tcW w:w="860" w:type="pct"/>
                  <w:tcBorders>
                    <w:tl2br w:val="nil"/>
                    <w:tr2bl w:val="nil"/>
                  </w:tcBorders>
                  <w:noWrap/>
                  <w:vAlign w:val="center"/>
                </w:tcPr>
                <w:p>
                  <w:pPr>
                    <w:pStyle w:val="42"/>
                    <w:autoSpaceDE/>
                    <w:autoSpaceDN/>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eastAsia="宋体" w:cs="Times New Roman"/>
                      <w:color w:val="auto"/>
                      <w:kern w:val="2"/>
                      <w:sz w:val="21"/>
                      <w:szCs w:val="21"/>
                      <w:highlight w:val="none"/>
                      <w:lang w:val="en-US" w:eastAsia="zh-CN" w:bidi="ar-SA"/>
                    </w:rPr>
                    <w:t>59.2</w:t>
                  </w:r>
                </w:p>
              </w:tc>
              <w:tc>
                <w:tcPr>
                  <w:tcW w:w="1001"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60</w:t>
                  </w:r>
                </w:p>
              </w:tc>
              <w:tc>
                <w:tcPr>
                  <w:tcW w:w="832" w:type="pct"/>
                  <w:tcBorders>
                    <w:tl2br w:val="nil"/>
                    <w:tr2bl w:val="nil"/>
                  </w:tcBorders>
                  <w:noWrap/>
                  <w:vAlign w:val="center"/>
                </w:tcPr>
                <w:p>
                  <w:pPr>
                    <w:adjustRightInd w:val="0"/>
                    <w:snapToGrid w:val="0"/>
                    <w:spacing w:line="240" w:lineRule="auto"/>
                    <w:jc w:val="center"/>
                    <w:rPr>
                      <w:color w:val="auto"/>
                      <w:sz w:val="21"/>
                      <w:szCs w:val="21"/>
                      <w:highlight w:val="none"/>
                    </w:rPr>
                  </w:pPr>
                  <w:r>
                    <w:rPr>
                      <w:color w:val="auto"/>
                      <w:sz w:val="21"/>
                      <w:szCs w:val="21"/>
                      <w:highlight w:val="none"/>
                    </w:rPr>
                    <w:t>达标</w:t>
                  </w:r>
                </w:p>
              </w:tc>
            </w:tr>
          </w:tbl>
          <w:p>
            <w:pPr>
              <w:numPr>
                <w:ilvl w:val="0"/>
                <w:numId w:val="0"/>
              </w:numPr>
              <w:adjustRightInd w:val="0"/>
              <w:snapToGrid w:val="0"/>
              <w:ind w:firstLine="482" w:firstLineChars="200"/>
              <w:rPr>
                <w:rFonts w:ascii="Times New Roman" w:hAnsi="Times New Roman" w:cs="Times New Roman"/>
                <w:b/>
                <w:bCs/>
                <w:color w:val="auto"/>
              </w:rPr>
            </w:pPr>
            <w:r>
              <w:rPr>
                <w:rFonts w:hint="eastAsia" w:ascii="Times New Roman" w:hAnsi="Times New Roman" w:cs="Times New Roman"/>
                <w:b/>
                <w:bCs/>
                <w:color w:val="auto"/>
                <w:lang w:eastAsia="zh-CN"/>
              </w:rPr>
              <w:t>（</w:t>
            </w:r>
            <w:r>
              <w:rPr>
                <w:rFonts w:hint="eastAsia" w:ascii="Times New Roman" w:hAnsi="Times New Roman" w:cs="Times New Roman"/>
                <w:b/>
                <w:bCs/>
                <w:color w:val="auto"/>
                <w:lang w:val="en-US" w:eastAsia="zh-CN"/>
              </w:rPr>
              <w:t>4</w:t>
            </w:r>
            <w:r>
              <w:rPr>
                <w:rFonts w:hint="eastAsia" w:ascii="Times New Roman" w:hAnsi="Times New Roman" w:cs="Times New Roman"/>
                <w:b/>
                <w:bCs/>
                <w:color w:val="auto"/>
                <w:lang w:eastAsia="zh-CN"/>
              </w:rPr>
              <w:t>）</w:t>
            </w:r>
            <w:r>
              <w:rPr>
                <w:rFonts w:ascii="Times New Roman" w:hAnsi="Times New Roman" w:cs="Times New Roman"/>
                <w:b/>
                <w:bCs/>
                <w:color w:val="auto"/>
              </w:rPr>
              <w:t>固体废物</w:t>
            </w:r>
          </w:p>
          <w:p>
            <w:pPr>
              <w:numPr>
                <w:ilvl w:val="0"/>
                <w:numId w:val="0"/>
              </w:numPr>
              <w:adjustRightInd w:val="0"/>
              <w:snapToGrid w:val="0"/>
              <w:ind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1）</w:t>
            </w:r>
            <w:r>
              <w:rPr>
                <w:rFonts w:ascii="Times New Roman" w:hAnsi="Times New Roman" w:cs="Times New Roman"/>
                <w:color w:val="auto"/>
                <w:highlight w:val="none"/>
              </w:rPr>
              <w:t>生活垃圾：</w:t>
            </w:r>
            <w:r>
              <w:rPr>
                <w:rFonts w:hint="eastAsia" w:cs="Times New Roman"/>
                <w:color w:val="auto"/>
                <w:highlight w:val="none"/>
                <w:lang w:val="en-US" w:eastAsia="zh-CN"/>
              </w:rPr>
              <w:t>现有</w:t>
            </w:r>
            <w:r>
              <w:rPr>
                <w:rFonts w:ascii="Times New Roman" w:hAnsi="Times New Roman" w:cs="Times New Roman"/>
                <w:color w:val="auto"/>
                <w:highlight w:val="none"/>
              </w:rPr>
              <w:t>项目产生的生活垃圾约</w:t>
            </w:r>
            <w:r>
              <w:rPr>
                <w:rFonts w:hint="eastAsia" w:cs="Times New Roman"/>
                <w:color w:val="auto"/>
                <w:highlight w:val="none"/>
                <w:lang w:val="en-US" w:eastAsia="zh-CN"/>
              </w:rPr>
              <w:t>60</w:t>
            </w:r>
            <w:r>
              <w:rPr>
                <w:rFonts w:ascii="Times New Roman" w:hAnsi="Times New Roman" w:cs="Times New Roman"/>
                <w:color w:val="auto"/>
                <w:highlight w:val="none"/>
              </w:rPr>
              <w:t>t/a，经分类收集后，定期交由环卫部门处理。</w:t>
            </w:r>
          </w:p>
          <w:p>
            <w:pPr>
              <w:numPr>
                <w:ilvl w:val="0"/>
                <w:numId w:val="0"/>
              </w:numPr>
              <w:adjustRightInd w:val="0"/>
              <w:snapToGrid w:val="0"/>
              <w:ind w:firstLine="482" w:firstLineChars="200"/>
              <w:rPr>
                <w:rFonts w:hint="eastAsia" w:ascii="Times New Roman" w:hAnsi="Times New Roman" w:eastAsia="宋体" w:cs="Times New Roman"/>
                <w:b/>
                <w:bCs/>
                <w:color w:val="auto"/>
                <w:highlight w:val="none"/>
                <w:lang w:eastAsia="zh-CN"/>
              </w:rPr>
            </w:pPr>
            <w:r>
              <w:rPr>
                <w:rFonts w:hint="eastAsia" w:ascii="Times New Roman" w:hAnsi="Times New Roman" w:eastAsia="宋体" w:cs="Times New Roman"/>
                <w:b/>
                <w:bCs/>
                <w:color w:val="auto"/>
                <w:highlight w:val="none"/>
                <w:lang w:val="en-US" w:eastAsia="zh-CN"/>
              </w:rPr>
              <w:t>2）</w:t>
            </w:r>
            <w:r>
              <w:rPr>
                <w:rFonts w:ascii="Times New Roman" w:hAnsi="Times New Roman" w:eastAsia="宋体" w:cs="Times New Roman"/>
                <w:b/>
                <w:bCs/>
                <w:color w:val="auto"/>
                <w:highlight w:val="none"/>
              </w:rPr>
              <w:t>一般工业废物：</w:t>
            </w:r>
          </w:p>
          <w:p>
            <w:pPr>
              <w:numPr>
                <w:ilvl w:val="0"/>
                <w:numId w:val="0"/>
              </w:numPr>
              <w:adjustRightInd w:val="0"/>
              <w:snapToGrid w:val="0"/>
              <w:ind w:firstLine="480" w:firstLineChars="20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rPr>
              <w:t>①</w:t>
            </w:r>
            <w:r>
              <w:rPr>
                <w:rFonts w:hint="eastAsia" w:cs="Times New Roman"/>
                <w:color w:val="auto"/>
                <w:highlight w:val="none"/>
                <w:lang w:val="en-US" w:eastAsia="zh-CN"/>
              </w:rPr>
              <w:t>元件边角料</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产生量</w:t>
            </w:r>
            <w:r>
              <w:rPr>
                <w:rFonts w:hint="eastAsia" w:cs="Times New Roman"/>
                <w:color w:val="auto"/>
                <w:highlight w:val="none"/>
                <w:lang w:val="en-US" w:eastAsia="zh-CN"/>
              </w:rPr>
              <w:t>约</w:t>
            </w:r>
            <w:r>
              <w:rPr>
                <w:rFonts w:hint="eastAsia" w:ascii="Times New Roman" w:hAnsi="Times New Roman" w:cs="Times New Roman"/>
                <w:color w:val="auto"/>
                <w:highlight w:val="none"/>
                <w:lang w:val="en-US" w:eastAsia="zh-CN"/>
              </w:rPr>
              <w:t>为</w:t>
            </w:r>
            <w:r>
              <w:rPr>
                <w:rFonts w:hint="eastAsia" w:cs="Times New Roman"/>
                <w:color w:val="auto"/>
                <w:highlight w:val="none"/>
                <w:lang w:val="en-US" w:eastAsia="zh-CN"/>
              </w:rPr>
              <w:t>0.3</w:t>
            </w:r>
            <w:r>
              <w:rPr>
                <w:rFonts w:hint="eastAsia" w:ascii="Times New Roman" w:hAnsi="Times New Roman" w:cs="Times New Roman"/>
                <w:color w:val="auto"/>
                <w:highlight w:val="none"/>
                <w:lang w:val="en-US" w:eastAsia="zh-CN"/>
              </w:rPr>
              <w:t>t/a，</w:t>
            </w:r>
            <w:r>
              <w:rPr>
                <w:rFonts w:ascii="Times New Roman" w:hAnsi="Times New Roman" w:cs="Times New Roman"/>
                <w:color w:val="auto"/>
                <w:highlight w:val="none"/>
              </w:rPr>
              <w:t>收集后</w:t>
            </w:r>
            <w:r>
              <w:rPr>
                <w:rFonts w:hint="default" w:ascii="Times New Roman" w:hAnsi="Times New Roman" w:cs="Times New Roman"/>
                <w:color w:val="auto"/>
                <w:highlight w:val="none"/>
                <w:lang w:val="en-US" w:eastAsia="zh-CN"/>
              </w:rPr>
              <w:t>交</w:t>
            </w:r>
            <w:r>
              <w:rPr>
                <w:rFonts w:hint="eastAsia" w:ascii="Times New Roman" w:hAnsi="Times New Roman" w:cs="Times New Roman"/>
                <w:color w:val="auto"/>
                <w:highlight w:val="none"/>
                <w:lang w:val="en-US" w:eastAsia="zh-CN"/>
              </w:rPr>
              <w:t>供应商</w:t>
            </w:r>
            <w:r>
              <w:rPr>
                <w:rFonts w:hint="default" w:ascii="Times New Roman" w:hAnsi="Times New Roman" w:cs="Times New Roman"/>
                <w:color w:val="auto"/>
                <w:highlight w:val="none"/>
                <w:lang w:val="en-US" w:eastAsia="zh-CN"/>
              </w:rPr>
              <w:t>回收处理</w:t>
            </w:r>
            <w:r>
              <w:rPr>
                <w:rFonts w:hint="eastAsia" w:ascii="Times New Roman" w:hAnsi="Times New Roman" w:cs="Times New Roman"/>
                <w:color w:val="auto"/>
                <w:highlight w:val="none"/>
                <w:lang w:val="en-US" w:eastAsia="zh-CN"/>
              </w:rPr>
              <w:t>；</w:t>
            </w:r>
          </w:p>
          <w:p>
            <w:pPr>
              <w:numPr>
                <w:ilvl w:val="0"/>
                <w:numId w:val="0"/>
              </w:numPr>
              <w:adjustRightInd w:val="0"/>
              <w:snapToGrid w:val="0"/>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②</w:t>
            </w:r>
            <w:r>
              <w:rPr>
                <w:rFonts w:hint="eastAsia" w:cs="Times New Roman"/>
                <w:color w:val="auto"/>
                <w:highlight w:val="none"/>
                <w:lang w:val="en-US" w:eastAsia="zh-CN"/>
              </w:rPr>
              <w:t>塑料边角料</w:t>
            </w:r>
            <w:r>
              <w:rPr>
                <w:rFonts w:hint="eastAsia" w:ascii="Times New Roman" w:hAnsi="Times New Roman" w:cs="Times New Roman"/>
                <w:color w:val="auto"/>
                <w:highlight w:val="none"/>
                <w:lang w:val="en-US" w:eastAsia="zh-CN"/>
              </w:rPr>
              <w:t>：产生量为</w:t>
            </w:r>
            <w:r>
              <w:rPr>
                <w:rFonts w:hint="eastAsia" w:cs="Times New Roman"/>
                <w:color w:val="auto"/>
                <w:highlight w:val="none"/>
                <w:lang w:val="en-US" w:eastAsia="zh-CN"/>
              </w:rPr>
              <w:t>10</w:t>
            </w:r>
            <w:r>
              <w:rPr>
                <w:rFonts w:hint="eastAsia" w:ascii="Times New Roman" w:hAnsi="Times New Roman" w:cs="Times New Roman"/>
                <w:color w:val="auto"/>
                <w:highlight w:val="none"/>
                <w:lang w:val="en-US" w:eastAsia="zh-CN"/>
              </w:rPr>
              <w:t>t/a，</w:t>
            </w:r>
            <w:r>
              <w:rPr>
                <w:rFonts w:ascii="Times New Roman" w:hAnsi="Times New Roman" w:cs="Times New Roman"/>
                <w:color w:val="auto"/>
                <w:highlight w:val="none"/>
              </w:rPr>
              <w:t>收集后</w:t>
            </w:r>
            <w:r>
              <w:rPr>
                <w:rFonts w:hint="default" w:ascii="Times New Roman" w:hAnsi="Times New Roman" w:cs="Times New Roman"/>
                <w:color w:val="auto"/>
                <w:highlight w:val="none"/>
                <w:lang w:val="en-US" w:eastAsia="zh-CN"/>
              </w:rPr>
              <w:t>交专业回收单位回收处理</w:t>
            </w:r>
            <w:r>
              <w:rPr>
                <w:rFonts w:hint="eastAsia" w:ascii="Times New Roman" w:hAnsi="Times New Roman" w:cs="Times New Roman"/>
                <w:color w:val="auto"/>
                <w:highlight w:val="none"/>
                <w:lang w:val="en-US" w:eastAsia="zh-CN"/>
              </w:rPr>
              <w:t>。</w:t>
            </w:r>
          </w:p>
          <w:p>
            <w:pPr>
              <w:numPr>
                <w:ilvl w:val="0"/>
                <w:numId w:val="0"/>
              </w:numPr>
              <w:adjustRightInd w:val="0"/>
              <w:snapToGrid w:val="0"/>
              <w:ind w:firstLine="482" w:firstLineChars="200"/>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3）危险废物：</w:t>
            </w:r>
          </w:p>
          <w:p>
            <w:pPr>
              <w:numPr>
                <w:ilvl w:val="0"/>
                <w:numId w:val="0"/>
              </w:numPr>
              <w:adjustRightInd w:val="0"/>
              <w:snapToGrid w:val="0"/>
              <w:ind w:firstLine="480" w:firstLineChars="200"/>
              <w:rPr>
                <w:rFonts w:hint="eastAsia" w:ascii="Times New Roman" w:hAnsi="Times New Roman" w:cs="Times New Roman"/>
                <w:color w:val="auto"/>
                <w:highlight w:val="none"/>
                <w:lang w:eastAsia="zh-CN"/>
              </w:rPr>
            </w:pPr>
            <w:r>
              <w:rPr>
                <w:rFonts w:hint="eastAsia" w:cs="Times New Roman"/>
                <w:color w:val="auto"/>
                <w:highlight w:val="none"/>
                <w:lang w:val="en-US" w:eastAsia="zh-CN"/>
              </w:rPr>
              <w:t>现有项目</w:t>
            </w:r>
            <w:r>
              <w:rPr>
                <w:rFonts w:hint="eastAsia" w:ascii="Times New Roman" w:hAnsi="Times New Roman" w:cs="Times New Roman"/>
                <w:color w:val="auto"/>
                <w:highlight w:val="none"/>
                <w:lang w:val="en-US" w:eastAsia="zh-CN"/>
              </w:rPr>
              <w:t>废</w:t>
            </w:r>
            <w:r>
              <w:rPr>
                <w:rFonts w:hint="eastAsia" w:cs="Times New Roman"/>
                <w:color w:val="auto"/>
                <w:highlight w:val="none"/>
                <w:lang w:val="en-US" w:eastAsia="zh-CN"/>
              </w:rPr>
              <w:t>活性炭</w:t>
            </w:r>
            <w:r>
              <w:rPr>
                <w:rFonts w:hint="eastAsia" w:ascii="Times New Roman" w:hAnsi="Times New Roman" w:cs="Times New Roman"/>
                <w:color w:val="auto"/>
                <w:highlight w:val="none"/>
                <w:lang w:val="en-US" w:eastAsia="zh-CN"/>
              </w:rPr>
              <w:t>产生量</w:t>
            </w:r>
            <w:r>
              <w:rPr>
                <w:rFonts w:hint="eastAsia" w:cs="Times New Roman"/>
                <w:color w:val="auto"/>
                <w:highlight w:val="none"/>
                <w:lang w:val="en-US" w:eastAsia="zh-CN"/>
              </w:rPr>
              <w:t>约</w:t>
            </w:r>
            <w:r>
              <w:rPr>
                <w:rFonts w:hint="eastAsia" w:ascii="Times New Roman" w:hAnsi="Times New Roman" w:cs="Times New Roman"/>
                <w:color w:val="auto"/>
                <w:highlight w:val="none"/>
                <w:lang w:val="en-US" w:eastAsia="zh-CN"/>
              </w:rPr>
              <w:t>为</w:t>
            </w:r>
            <w:r>
              <w:rPr>
                <w:rFonts w:hint="eastAsia" w:cs="Times New Roman"/>
                <w:color w:val="auto"/>
                <w:highlight w:val="none"/>
                <w:lang w:val="en-US" w:eastAsia="zh-CN"/>
              </w:rPr>
              <w:t>0.3</w:t>
            </w:r>
            <w:r>
              <w:rPr>
                <w:rFonts w:hint="eastAsia" w:ascii="Times New Roman" w:hAnsi="Times New Roman" w:cs="Times New Roman"/>
                <w:color w:val="auto"/>
                <w:highlight w:val="none"/>
                <w:lang w:val="en-US" w:eastAsia="zh-CN"/>
              </w:rPr>
              <w:t>t/a</w:t>
            </w:r>
            <w:r>
              <w:rPr>
                <w:rFonts w:hint="eastAsia" w:cs="Times New Roman"/>
                <w:color w:val="auto"/>
                <w:highlight w:val="none"/>
                <w:lang w:val="en-US" w:eastAsia="zh-CN"/>
              </w:rPr>
              <w:t>，</w:t>
            </w:r>
            <w:r>
              <w:rPr>
                <w:rFonts w:hint="eastAsia" w:ascii="Times New Roman" w:hAnsi="Times New Roman" w:cs="Times New Roman"/>
                <w:color w:val="0000FF"/>
                <w:highlight w:val="none"/>
                <w:lang w:val="en-US" w:eastAsia="zh-CN"/>
              </w:rPr>
              <w:t>废</w:t>
            </w:r>
            <w:r>
              <w:rPr>
                <w:rFonts w:hint="eastAsia" w:cs="Times New Roman"/>
                <w:color w:val="0000FF"/>
                <w:highlight w:val="none"/>
                <w:lang w:val="en-US" w:eastAsia="zh-CN"/>
              </w:rPr>
              <w:t>润滑油</w:t>
            </w:r>
            <w:r>
              <w:rPr>
                <w:rFonts w:hint="eastAsia" w:ascii="Times New Roman" w:hAnsi="Times New Roman" w:cs="Times New Roman"/>
                <w:color w:val="0000FF"/>
                <w:highlight w:val="none"/>
                <w:lang w:val="en-US" w:eastAsia="zh-CN"/>
              </w:rPr>
              <w:t>产生量</w:t>
            </w:r>
            <w:r>
              <w:rPr>
                <w:rFonts w:hint="eastAsia" w:cs="Times New Roman"/>
                <w:color w:val="0000FF"/>
                <w:highlight w:val="none"/>
                <w:lang w:val="en-US" w:eastAsia="zh-CN"/>
              </w:rPr>
              <w:t>约</w:t>
            </w:r>
            <w:r>
              <w:rPr>
                <w:rFonts w:hint="eastAsia" w:ascii="Times New Roman" w:hAnsi="Times New Roman" w:cs="Times New Roman"/>
                <w:color w:val="0000FF"/>
                <w:highlight w:val="none"/>
                <w:lang w:val="en-US" w:eastAsia="zh-CN"/>
              </w:rPr>
              <w:t>为</w:t>
            </w:r>
            <w:r>
              <w:rPr>
                <w:rFonts w:hint="eastAsia" w:cs="Times New Roman"/>
                <w:color w:val="0000FF"/>
                <w:highlight w:val="none"/>
                <w:lang w:val="en-US" w:eastAsia="zh-CN"/>
              </w:rPr>
              <w:t>0.08</w:t>
            </w:r>
            <w:r>
              <w:rPr>
                <w:rFonts w:hint="eastAsia" w:ascii="Times New Roman" w:hAnsi="Times New Roman" w:cs="Times New Roman"/>
                <w:color w:val="0000FF"/>
                <w:highlight w:val="none"/>
                <w:lang w:val="en-US" w:eastAsia="zh-CN"/>
              </w:rPr>
              <w:t>t/a</w:t>
            </w:r>
            <w:r>
              <w:rPr>
                <w:rFonts w:hint="eastAsia" w:cs="Times New Roman"/>
                <w:color w:val="0000FF"/>
                <w:highlight w:val="none"/>
                <w:lang w:val="en-US" w:eastAsia="zh-CN"/>
              </w:rPr>
              <w:t>，</w:t>
            </w:r>
            <w:r>
              <w:rPr>
                <w:rFonts w:hint="eastAsia" w:cs="Times New Roman"/>
                <w:color w:val="auto"/>
                <w:highlight w:val="none"/>
                <w:lang w:val="en-US" w:eastAsia="zh-CN"/>
              </w:rPr>
              <w:t>经收集后暂存于危废暂存间，定期交由东莞市丰业固体废物处理有限公司处置处理</w:t>
            </w:r>
            <w:r>
              <w:rPr>
                <w:rFonts w:hint="eastAsia" w:ascii="Times New Roman" w:hAnsi="Times New Roman" w:cs="Times New Roman"/>
                <w:color w:val="auto"/>
                <w:highlight w:val="none"/>
                <w:lang w:val="en-US" w:eastAsia="zh-CN"/>
              </w:rPr>
              <w:t>。</w:t>
            </w:r>
          </w:p>
          <w:p>
            <w:pPr>
              <w:numPr>
                <w:ilvl w:val="0"/>
                <w:numId w:val="0"/>
              </w:numPr>
              <w:adjustRightInd w:val="0"/>
              <w:snapToGrid w:val="0"/>
              <w:ind w:firstLine="480" w:firstLineChars="200"/>
              <w:rPr>
                <w:rFonts w:ascii="Times New Roman" w:hAnsi="Times New Roman" w:cs="Times New Roman"/>
                <w:color w:val="auto"/>
                <w:highlight w:val="none"/>
              </w:rPr>
            </w:pPr>
            <w:r>
              <w:rPr>
                <w:rFonts w:ascii="Times New Roman" w:hAnsi="Times New Roman" w:cs="Times New Roman"/>
                <w:color w:val="auto"/>
                <w:highlight w:val="none"/>
              </w:rPr>
              <w:t>经上述措施处理后，该项目固体废物对周围环境不产生直接影响。</w:t>
            </w:r>
          </w:p>
          <w:p>
            <w:pPr>
              <w:bidi w:val="0"/>
              <w:ind w:firstLine="482" w:firstLineChars="200"/>
              <w:rPr>
                <w:rFonts w:hint="eastAsia" w:eastAsia="宋体"/>
                <w:b/>
                <w:bCs/>
                <w:color w:val="auto"/>
                <w:lang w:val="en-US" w:eastAsia="zh-CN"/>
              </w:rPr>
            </w:pPr>
            <w:r>
              <w:rPr>
                <w:rFonts w:hint="eastAsia"/>
                <w:b/>
                <w:bCs/>
                <w:color w:val="auto"/>
                <w:lang w:val="en-US" w:eastAsia="zh-CN"/>
              </w:rPr>
              <w:t>（5）现有存在的主要环境问题及整改措施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结合上述分析可知，现有项目针对废水、废气、噪声、固体废物和环境风险等环节均采取了相应的污染防治措施，危险废物暂存间已做符合要求的基础防渗处理</w:t>
            </w:r>
            <w:r>
              <w:rPr>
                <w:rFonts w:hint="eastAsia" w:ascii="Times New Roman" w:hAnsi="Times New Roman" w:eastAsia="宋体" w:cs="Times New Roman"/>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本次扩建拟在现有项目注塑及焊接废气的处理设施前加上“水喷淋+干式过滤器”，除去注塑废气中的油雾。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adjustRightInd w:val="0"/>
              <w:snapToGrid w:val="0"/>
              <w:rPr>
                <w:rFonts w:hint="default" w:eastAsia="宋体"/>
                <w:bCs/>
                <w:color w:val="auto"/>
                <w:szCs w:val="21"/>
                <w:lang w:val="en-US" w:eastAsia="zh-CN"/>
              </w:rPr>
            </w:pPr>
          </w:p>
        </w:tc>
      </w:tr>
    </w:tbl>
    <w:p>
      <w:pPr>
        <w:pStyle w:val="42"/>
        <w:rPr>
          <w:color w:val="auto"/>
        </w:rPr>
        <w:sectPr>
          <w:footerReference r:id="rId7" w:type="default"/>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rPr>
          <w:color w:val="auto"/>
        </w:rPr>
      </w:pPr>
      <w:r>
        <w:rPr>
          <w:rFonts w:hint="eastAsia"/>
          <w:color w:val="auto"/>
        </w:rPr>
        <w:t>三、区域环境质量现状、环境保护目标及评价标准</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区域</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pPr>
              <w:adjustRightInd w:val="0"/>
              <w:snapToGrid w:val="0"/>
              <w:jc w:val="center"/>
              <w:rPr>
                <w:color w:val="auto"/>
              </w:rPr>
            </w:pPr>
            <w:r>
              <w:rPr>
                <w:rFonts w:hint="eastAsia" w:ascii="宋体" w:hAnsi="宋体" w:cs="宋体"/>
                <w:color w:val="auto"/>
                <w:kern w:val="0"/>
                <w:szCs w:val="21"/>
              </w:rPr>
              <w:t>质量现状</w:t>
            </w:r>
          </w:p>
        </w:tc>
        <w:tc>
          <w:tcPr>
            <w:tcW w:w="9314" w:type="dxa"/>
          </w:tcPr>
          <w:p>
            <w:pPr>
              <w:adjustRightInd w:val="0"/>
              <w:snapToGrid w:val="0"/>
              <w:ind w:firstLine="482" w:firstLineChars="200"/>
              <w:rPr>
                <w:b/>
                <w:bCs/>
                <w:color w:val="auto"/>
                <w:highlight w:val="none"/>
              </w:rPr>
            </w:pPr>
            <w:r>
              <w:rPr>
                <w:rFonts w:hint="eastAsia"/>
                <w:b/>
                <w:bCs/>
                <w:color w:val="auto"/>
                <w:highlight w:val="none"/>
              </w:rPr>
              <w:t>1、大气环境</w:t>
            </w:r>
          </w:p>
          <w:p>
            <w:pPr>
              <w:keepNext w:val="0"/>
              <w:keepLines w:val="0"/>
              <w:pageBreakBefore w:val="0"/>
              <w:widowControl w:val="0"/>
              <w:kinsoku/>
              <w:wordWrap/>
              <w:overflowPunct/>
              <w:topLinePunct w:val="0"/>
              <w:bidi w:val="0"/>
              <w:adjustRightInd w:val="0"/>
              <w:snapToGrid w:val="0"/>
              <w:ind w:firstLine="480" w:firstLineChars="200"/>
              <w:rPr>
                <w:color w:val="auto"/>
                <w:highlight w:val="none"/>
              </w:rPr>
            </w:pPr>
            <w:r>
              <w:rPr>
                <w:color w:val="auto"/>
                <w:highlight w:val="none"/>
              </w:rPr>
              <w:t>根据《惠州市环境空气质量功能区划分方案》（2021 年修订）（惠市环[2021]1号）</w:t>
            </w:r>
            <w:r>
              <w:rPr>
                <w:rFonts w:hint="eastAsia"/>
                <w:color w:val="auto"/>
                <w:highlight w:val="none"/>
              </w:rPr>
              <w:t>，</w:t>
            </w:r>
            <w:r>
              <w:rPr>
                <w:color w:val="auto"/>
                <w:highlight w:val="none"/>
              </w:rPr>
              <w:t>本项目所在地属环境空气质量功能区的二类区，环境空气质量应执行《环境空气质量标准》（GB3095-2012）中规定的二级标准。</w:t>
            </w:r>
          </w:p>
          <w:p>
            <w:pPr>
              <w:keepNext w:val="0"/>
              <w:keepLines w:val="0"/>
              <w:pageBreakBefore w:val="0"/>
              <w:widowControl w:val="0"/>
              <w:kinsoku/>
              <w:wordWrap/>
              <w:overflowPunct/>
              <w:topLinePunct w:val="0"/>
              <w:bidi w:val="0"/>
              <w:adjustRightInd w:val="0"/>
              <w:snapToGrid w:val="0"/>
              <w:spacing w:line="360" w:lineRule="auto"/>
              <w:ind w:firstLine="482" w:firstLineChars="200"/>
              <w:jc w:val="left"/>
              <w:rPr>
                <w:b/>
                <w:bCs/>
                <w:color w:val="auto"/>
                <w:highlight w:val="none"/>
              </w:rPr>
            </w:pPr>
            <w:r>
              <w:rPr>
                <w:b/>
                <w:bCs/>
                <w:color w:val="auto"/>
                <w:highlight w:val="none"/>
              </w:rPr>
              <w:t>（1）常规污染物</w:t>
            </w:r>
            <w:r>
              <w:rPr>
                <w:rFonts w:hint="eastAsia"/>
                <w:b/>
                <w:bCs/>
                <w:color w:val="auto"/>
                <w:highlight w:val="none"/>
              </w:rPr>
              <w:t>监测数据</w:t>
            </w:r>
          </w:p>
          <w:p>
            <w:pPr>
              <w:pStyle w:val="4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BF9000" w:themeColor="accent4" w:themeShade="BF"/>
                <w:sz w:val="24"/>
                <w:szCs w:val="24"/>
                <w:highlight w:val="none"/>
                <w:lang w:eastAsia="zh-CN"/>
              </w:rPr>
            </w:pPr>
            <w:r>
              <w:rPr>
                <w:rFonts w:hint="default" w:ascii="Times New Roman" w:hAnsi="Times New Roman" w:eastAsia="宋体" w:cs="Times New Roman"/>
                <w:color w:val="BF9000" w:themeColor="accent4" w:themeShade="BF"/>
                <w:sz w:val="24"/>
                <w:szCs w:val="24"/>
                <w:highlight w:val="none"/>
                <w:lang w:eastAsia="zh-CN"/>
              </w:rPr>
              <w:t>根据《202</w:t>
            </w:r>
            <w:r>
              <w:rPr>
                <w:rFonts w:hint="eastAsia" w:ascii="Times New Roman" w:hAnsi="Times New Roman" w:eastAsia="宋体" w:cs="Times New Roman"/>
                <w:color w:val="BF9000" w:themeColor="accent4" w:themeShade="BF"/>
                <w:sz w:val="24"/>
                <w:szCs w:val="24"/>
                <w:highlight w:val="none"/>
                <w:lang w:val="en-US" w:eastAsia="zh-CN"/>
              </w:rPr>
              <w:t>2</w:t>
            </w:r>
            <w:r>
              <w:rPr>
                <w:rFonts w:hint="default" w:ascii="Times New Roman" w:hAnsi="Times New Roman" w:eastAsia="宋体" w:cs="Times New Roman"/>
                <w:color w:val="BF9000" w:themeColor="accent4" w:themeShade="BF"/>
                <w:sz w:val="24"/>
                <w:szCs w:val="24"/>
                <w:highlight w:val="none"/>
                <w:lang w:eastAsia="zh-CN"/>
              </w:rPr>
              <w:t>年惠州市生态环境状况公报》</w:t>
            </w:r>
            <w:r>
              <w:rPr>
                <w:rFonts w:hint="eastAsia" w:ascii="Times New Roman" w:hAnsi="Times New Roman" w:eastAsia="宋体" w:cs="Times New Roman"/>
                <w:color w:val="BF9000" w:themeColor="accent4" w:themeShade="BF"/>
                <w:sz w:val="24"/>
                <w:szCs w:val="24"/>
                <w:highlight w:val="none"/>
                <w:lang w:eastAsia="zh-CN"/>
              </w:rPr>
              <w:t>：</w:t>
            </w:r>
          </w:p>
          <w:p>
            <w:pPr>
              <w:pStyle w:val="4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BF9000" w:themeColor="accent4" w:themeShade="BF"/>
                <w:sz w:val="24"/>
                <w:szCs w:val="24"/>
                <w:highlight w:val="none"/>
                <w:lang w:eastAsia="zh-CN"/>
              </w:rPr>
            </w:pPr>
            <w:r>
              <w:rPr>
                <w:rFonts w:hint="eastAsia" w:ascii="Times New Roman" w:hAnsi="Times New Roman" w:eastAsia="宋体" w:cs="Times New Roman"/>
                <w:color w:val="BF9000" w:themeColor="accent4" w:themeShade="BF"/>
                <w:sz w:val="24"/>
                <w:szCs w:val="24"/>
                <w:highlight w:val="none"/>
                <w:lang w:eastAsia="zh-CN"/>
              </w:rPr>
              <w:t>城市空气：2022年，全市环境空气质量保持良好。六项污染物中，二氧化硫、二氧化氮、一氧化碳、可吸入颗粒物PM10年评价浓度达到国家一级标准，细颗粒物PM2.5和臭氧年评价浓度达到国家二级标准；综合指数为2.58，AQI达标率为93.7%，其中，优208天，良134天，轻度污染22天，中度污染1天，超标污染物均为臭氧。</w:t>
            </w:r>
          </w:p>
          <w:p>
            <w:pPr>
              <w:pStyle w:val="4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BF9000" w:themeColor="accent4" w:themeShade="BF"/>
                <w:sz w:val="24"/>
                <w:szCs w:val="24"/>
                <w:highlight w:val="none"/>
                <w:lang w:eastAsia="zh-CN"/>
              </w:rPr>
            </w:pPr>
            <w:r>
              <w:rPr>
                <w:rFonts w:hint="eastAsia" w:ascii="Times New Roman" w:hAnsi="Times New Roman" w:eastAsia="宋体" w:cs="Times New Roman"/>
                <w:color w:val="BF9000" w:themeColor="accent4" w:themeShade="BF"/>
                <w:sz w:val="24"/>
                <w:szCs w:val="24"/>
                <w:highlight w:val="none"/>
                <w:lang w:eastAsia="zh-CN"/>
              </w:rPr>
              <w:t>与2021年相比，AQI达标率下降0.8个百分点；二氧化硫、二氧化氮、可吸入颗粒物PM10、细颗粒物PM2.5浓度分别下降37.5%、20.0%、17.5%、10.5%，一氧化碳和臭氧浓度分别上升14.3%和4.1%。</w:t>
            </w:r>
          </w:p>
          <w:p>
            <w:pPr>
              <w:pStyle w:val="4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BF9000" w:themeColor="accent4" w:themeShade="BF"/>
                <w:sz w:val="24"/>
                <w:szCs w:val="24"/>
                <w:highlight w:val="none"/>
                <w:lang w:eastAsia="zh-CN"/>
              </w:rPr>
            </w:pPr>
            <w:r>
              <w:rPr>
                <w:rFonts w:hint="eastAsia" w:ascii="Times New Roman" w:hAnsi="Times New Roman" w:eastAsia="宋体" w:cs="Times New Roman"/>
                <w:color w:val="BF9000" w:themeColor="accent4" w:themeShade="BF"/>
                <w:sz w:val="24"/>
                <w:szCs w:val="24"/>
                <w:highlight w:val="none"/>
                <w:lang w:eastAsia="zh-CN"/>
              </w:rPr>
              <w:t>各县区空气：2022年，各县区二氧化硫、二氧化氮、一氧化碳、可吸入颗粒物PM10年评价浓度达到国家一级标准，细颗粒物PM2.5和臭氧年评价浓度达到国家二级标准及以上；各县区AQI达标率范围在91.8%～97.3%之间,综合指数范围在2.31～2.70之间；首要污染物主要为臭氧。</w:t>
            </w:r>
          </w:p>
          <w:p>
            <w:pPr>
              <w:pStyle w:val="4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FF0000"/>
                <w:sz w:val="24"/>
                <w:szCs w:val="24"/>
                <w:highlight w:val="none"/>
                <w:lang w:eastAsia="zh-CN"/>
              </w:rPr>
            </w:pPr>
            <w:r>
              <w:rPr>
                <w:rFonts w:hint="eastAsia" w:ascii="Times New Roman" w:hAnsi="Times New Roman" w:eastAsia="宋体" w:cs="Times New Roman"/>
                <w:color w:val="BF9000" w:themeColor="accent4" w:themeShade="BF"/>
                <w:sz w:val="24"/>
                <w:szCs w:val="24"/>
                <w:highlight w:val="none"/>
                <w:lang w:eastAsia="zh-CN"/>
              </w:rPr>
              <w:t>2022年，环境空气质量综合指数由好到差依次排名为龙门县、惠东县、大亚湾区、惠阳区、惠城区、博罗县、仲恺区。与上年同期相比，7个县区空气质量均改善。</w:t>
            </w:r>
          </w:p>
          <w:p>
            <w:pPr>
              <w:pStyle w:val="4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baseline"/>
              <w:rPr>
                <w:rFonts w:hint="eastAsia"/>
                <w:color w:val="0000FF"/>
                <w:highlight w:val="none"/>
              </w:rPr>
            </w:pPr>
            <w:r>
              <w:rPr>
                <w:color w:val="0000FF"/>
              </w:rPr>
              <w:drawing>
                <wp:inline distT="0" distB="0" distL="114300" distR="114300">
                  <wp:extent cx="4298950" cy="2564765"/>
                  <wp:effectExtent l="0" t="0" r="6350" b="6985"/>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pic:cNvPicPr>
                        </pic:nvPicPr>
                        <pic:blipFill>
                          <a:blip r:embed="rId25"/>
                          <a:stretch>
                            <a:fillRect/>
                          </a:stretch>
                        </pic:blipFill>
                        <pic:spPr>
                          <a:xfrm>
                            <a:off x="0" y="0"/>
                            <a:ext cx="4298950" cy="2564765"/>
                          </a:xfrm>
                          <a:prstGeom prst="rect">
                            <a:avLst/>
                          </a:prstGeom>
                          <a:noFill/>
                          <a:ln>
                            <a:noFill/>
                          </a:ln>
                        </pic:spPr>
                      </pic:pic>
                    </a:graphicData>
                  </a:graphic>
                </wp:inline>
              </w:drawing>
            </w:r>
          </w:p>
          <w:p>
            <w:pPr>
              <w:snapToGrid w:val="0"/>
              <w:spacing w:line="360" w:lineRule="auto"/>
              <w:ind w:firstLine="482"/>
              <w:jc w:val="center"/>
              <w:rPr>
                <w:rFonts w:hint="default" w:ascii="Times New Roman" w:hAnsi="Times New Roman" w:eastAsia="宋体" w:cs="Times New Roman"/>
                <w:bCs/>
                <w:color w:val="BF9000" w:themeColor="accent4" w:themeShade="BF"/>
                <w:sz w:val="24"/>
                <w:szCs w:val="24"/>
                <w:highlight w:val="none"/>
              </w:rPr>
            </w:pPr>
            <w:r>
              <w:rPr>
                <w:rFonts w:ascii="Times New Roman" w:hAnsi="Times New Roman" w:eastAsia="宋体" w:cs="Times New Roman"/>
                <w:b/>
                <w:bCs/>
                <w:color w:val="BF9000" w:themeColor="accent4" w:themeShade="BF"/>
                <w:sz w:val="24"/>
                <w:szCs w:val="24"/>
                <w:highlight w:val="none"/>
              </w:rPr>
              <w:t>图</w:t>
            </w:r>
            <w:r>
              <w:rPr>
                <w:rFonts w:hint="eastAsia" w:ascii="Times New Roman" w:hAnsi="Times New Roman" w:eastAsia="宋体" w:cs="Times New Roman"/>
                <w:b/>
                <w:bCs/>
                <w:color w:val="BF9000" w:themeColor="accent4" w:themeShade="BF"/>
                <w:sz w:val="24"/>
                <w:szCs w:val="24"/>
                <w:highlight w:val="none"/>
                <w:lang w:val="en-US" w:eastAsia="zh-CN"/>
              </w:rPr>
              <w:t xml:space="preserve">6 </w:t>
            </w:r>
            <w:r>
              <w:rPr>
                <w:rFonts w:ascii="Times New Roman" w:hAnsi="Times New Roman" w:eastAsia="宋体" w:cs="Times New Roman"/>
                <w:b/>
                <w:bCs/>
                <w:color w:val="BF9000" w:themeColor="accent4" w:themeShade="BF"/>
                <w:sz w:val="24"/>
                <w:szCs w:val="24"/>
                <w:highlight w:val="none"/>
              </w:rPr>
              <w:t xml:space="preserve"> </w:t>
            </w:r>
            <w:r>
              <w:rPr>
                <w:b/>
                <w:color w:val="BF9000" w:themeColor="accent4" w:themeShade="BF"/>
                <w:sz w:val="24"/>
                <w:szCs w:val="24"/>
                <w:highlight w:val="none"/>
              </w:rPr>
              <w:t>202</w:t>
            </w:r>
            <w:r>
              <w:rPr>
                <w:rFonts w:hint="eastAsia"/>
                <w:b/>
                <w:color w:val="BF9000" w:themeColor="accent4" w:themeShade="BF"/>
                <w:sz w:val="24"/>
                <w:szCs w:val="24"/>
                <w:highlight w:val="none"/>
                <w:lang w:val="en-US" w:eastAsia="zh-CN"/>
              </w:rPr>
              <w:t>2</w:t>
            </w:r>
            <w:r>
              <w:rPr>
                <w:b/>
                <w:color w:val="BF9000" w:themeColor="accent4" w:themeShade="BF"/>
                <w:sz w:val="24"/>
                <w:szCs w:val="24"/>
                <w:highlight w:val="none"/>
              </w:rPr>
              <w:t>年</w:t>
            </w:r>
            <w:r>
              <w:rPr>
                <w:rFonts w:hint="eastAsia"/>
                <w:b/>
                <w:color w:val="BF9000" w:themeColor="accent4" w:themeShade="BF"/>
                <w:sz w:val="24"/>
                <w:szCs w:val="24"/>
                <w:highlight w:val="none"/>
              </w:rPr>
              <w:t>惠州市生态环境状况</w:t>
            </w:r>
            <w:r>
              <w:rPr>
                <w:b/>
                <w:color w:val="BF9000" w:themeColor="accent4" w:themeShade="BF"/>
                <w:sz w:val="24"/>
                <w:szCs w:val="24"/>
                <w:highlight w:val="none"/>
              </w:rPr>
              <w:t>公报截图</w:t>
            </w:r>
          </w:p>
          <w:p>
            <w:pPr>
              <w:snapToGrid w:val="0"/>
              <w:spacing w:line="360" w:lineRule="auto"/>
              <w:ind w:firstLine="482"/>
              <w:rPr>
                <w:rFonts w:hint="default" w:ascii="Times New Roman" w:hAnsi="Times New Roman" w:eastAsia="宋体" w:cs="Times New Roman"/>
                <w:color w:val="BF9000" w:themeColor="accent4" w:themeShade="BF"/>
                <w:sz w:val="24"/>
                <w:highlight w:val="none"/>
              </w:rPr>
            </w:pPr>
            <w:r>
              <w:rPr>
                <w:rFonts w:hint="default" w:ascii="Times New Roman" w:hAnsi="Times New Roman" w:eastAsia="宋体" w:cs="Times New Roman"/>
                <w:color w:val="BF9000" w:themeColor="accent4" w:themeShade="BF"/>
                <w:sz w:val="24"/>
                <w:highlight w:val="none"/>
              </w:rPr>
              <w:t>综上，项目选址区内现状大气环境质量均能达到所属功能区的标准要求，属于环境空气达标区。</w:t>
            </w:r>
          </w:p>
          <w:p>
            <w:pPr>
              <w:numPr>
                <w:ilvl w:val="0"/>
                <w:numId w:val="14"/>
              </w:numPr>
              <w:adjustRightInd w:val="0"/>
              <w:snapToGrid w:val="0"/>
              <w:ind w:firstLine="482" w:firstLineChars="200"/>
              <w:rPr>
                <w:rFonts w:hint="eastAsia"/>
                <w:b/>
                <w:bCs/>
                <w:color w:val="auto"/>
              </w:rPr>
            </w:pPr>
            <w:r>
              <w:rPr>
                <w:rFonts w:hint="eastAsia"/>
                <w:b/>
                <w:bCs/>
                <w:color w:val="auto"/>
              </w:rPr>
              <w:t>特征污染物监测数据</w:t>
            </w:r>
          </w:p>
          <w:p>
            <w:pPr>
              <w:adjustRightInd w:val="0"/>
              <w:snapToGrid w:val="0"/>
              <w:spacing w:line="360" w:lineRule="auto"/>
              <w:ind w:firstLine="480" w:firstLineChars="200"/>
              <w:rPr>
                <w:rFonts w:hint="default" w:ascii="Times New Roman" w:hAnsi="Times New Roman" w:eastAsia="宋体" w:cs="Times New Roman"/>
                <w:color w:val="BF9000" w:themeColor="accent4" w:themeShade="BF"/>
                <w:sz w:val="24"/>
                <w:highlight w:val="none"/>
                <w:lang w:val="en-US" w:eastAsia="zh-CN"/>
              </w:rPr>
            </w:pPr>
            <w:r>
              <w:rPr>
                <w:rFonts w:hint="default" w:ascii="Times New Roman" w:hAnsi="Times New Roman" w:eastAsia="宋体" w:cs="Times New Roman"/>
                <w:color w:val="BF9000" w:themeColor="accent4" w:themeShade="BF"/>
                <w:sz w:val="24"/>
                <w:highlight w:val="none"/>
                <w:lang w:val="en-US" w:eastAsia="zh-CN"/>
              </w:rPr>
              <w:t>为了解项目所在地特征因子</w:t>
            </w:r>
            <w:r>
              <w:rPr>
                <w:rFonts w:hint="eastAsia" w:ascii="Times New Roman" w:hAnsi="Times New Roman" w:eastAsia="宋体" w:cs="Times New Roman"/>
                <w:color w:val="BF9000" w:themeColor="accent4" w:themeShade="BF"/>
                <w:sz w:val="24"/>
                <w:highlight w:val="none"/>
                <w:lang w:val="en-US" w:eastAsia="zh-CN"/>
              </w:rPr>
              <w:t>非甲烷总烃</w:t>
            </w:r>
            <w:r>
              <w:rPr>
                <w:rFonts w:hint="default" w:ascii="Times New Roman" w:hAnsi="Times New Roman" w:eastAsia="宋体" w:cs="Times New Roman"/>
                <w:color w:val="BF9000" w:themeColor="accent4" w:themeShade="BF"/>
                <w:sz w:val="24"/>
                <w:highlight w:val="none"/>
                <w:lang w:val="en-US" w:eastAsia="zh-CN"/>
              </w:rPr>
              <w:t>、TVOC的现状，本报告引用《广东博罗县产业转移工业园区2021年度环境管理状况评估工作报告》中的监测数据（检测报告编号：GDHK20211127002），监测单位为</w:t>
            </w:r>
            <w:r>
              <w:rPr>
                <w:rFonts w:ascii="宋体" w:hAnsi="宋体" w:eastAsia="宋体" w:cs="宋体"/>
                <w:color w:val="BF9000" w:themeColor="accent4" w:themeShade="BF"/>
                <w:sz w:val="24"/>
                <w:szCs w:val="24"/>
              </w:rPr>
              <w:t>广东宏科检测技术有限公司</w:t>
            </w:r>
            <w:r>
              <w:rPr>
                <w:rFonts w:hint="default" w:ascii="Times New Roman" w:hAnsi="Times New Roman" w:eastAsia="宋体" w:cs="Times New Roman"/>
                <w:color w:val="BF9000" w:themeColor="accent4" w:themeShade="BF"/>
                <w:sz w:val="24"/>
                <w:highlight w:val="none"/>
                <w:lang w:val="en-US" w:eastAsia="zh-CN"/>
              </w:rPr>
              <w:t>，监测时间为202</w:t>
            </w:r>
            <w:r>
              <w:rPr>
                <w:rFonts w:hint="eastAsia" w:ascii="Times New Roman" w:hAnsi="Times New Roman" w:eastAsia="宋体" w:cs="Times New Roman"/>
                <w:color w:val="BF9000" w:themeColor="accent4" w:themeShade="BF"/>
                <w:sz w:val="24"/>
                <w:highlight w:val="none"/>
                <w:lang w:val="en-US" w:eastAsia="zh-CN"/>
              </w:rPr>
              <w:t>1</w:t>
            </w:r>
            <w:r>
              <w:rPr>
                <w:rFonts w:hint="default" w:ascii="Times New Roman" w:hAnsi="Times New Roman" w:eastAsia="宋体" w:cs="Times New Roman"/>
                <w:color w:val="BF9000" w:themeColor="accent4" w:themeShade="BF"/>
                <w:sz w:val="24"/>
                <w:highlight w:val="none"/>
                <w:lang w:val="en-US" w:eastAsia="zh-CN"/>
              </w:rPr>
              <w:t>年</w:t>
            </w:r>
            <w:r>
              <w:rPr>
                <w:rFonts w:hint="eastAsia" w:ascii="Times New Roman" w:hAnsi="Times New Roman" w:eastAsia="宋体" w:cs="Times New Roman"/>
                <w:color w:val="BF9000" w:themeColor="accent4" w:themeShade="BF"/>
                <w:sz w:val="24"/>
                <w:highlight w:val="none"/>
                <w:lang w:val="en-US" w:eastAsia="zh-CN"/>
              </w:rPr>
              <w:t>11</w:t>
            </w:r>
            <w:r>
              <w:rPr>
                <w:rFonts w:hint="default" w:ascii="Times New Roman" w:hAnsi="Times New Roman" w:eastAsia="宋体" w:cs="Times New Roman"/>
                <w:color w:val="BF9000" w:themeColor="accent4" w:themeShade="BF"/>
                <w:sz w:val="24"/>
                <w:highlight w:val="none"/>
                <w:lang w:val="en-US" w:eastAsia="zh-CN"/>
              </w:rPr>
              <w:t>月2</w:t>
            </w:r>
            <w:r>
              <w:rPr>
                <w:rFonts w:hint="eastAsia" w:ascii="Times New Roman" w:hAnsi="Times New Roman" w:eastAsia="宋体" w:cs="Times New Roman"/>
                <w:color w:val="BF9000" w:themeColor="accent4" w:themeShade="BF"/>
                <w:sz w:val="24"/>
                <w:highlight w:val="none"/>
                <w:lang w:val="en-US" w:eastAsia="zh-CN"/>
              </w:rPr>
              <w:t>8</w:t>
            </w:r>
            <w:r>
              <w:rPr>
                <w:rFonts w:hint="default" w:ascii="Times New Roman" w:hAnsi="Times New Roman" w:eastAsia="宋体" w:cs="Times New Roman"/>
                <w:color w:val="BF9000" w:themeColor="accent4" w:themeShade="BF"/>
                <w:sz w:val="24"/>
                <w:highlight w:val="none"/>
                <w:lang w:val="en-US" w:eastAsia="zh-CN"/>
              </w:rPr>
              <w:t>日～</w:t>
            </w:r>
            <w:r>
              <w:rPr>
                <w:rFonts w:hint="eastAsia" w:ascii="Times New Roman" w:hAnsi="Times New Roman" w:eastAsia="宋体" w:cs="Times New Roman"/>
                <w:color w:val="BF9000" w:themeColor="accent4" w:themeShade="BF"/>
                <w:sz w:val="24"/>
                <w:highlight w:val="none"/>
                <w:lang w:val="en-US" w:eastAsia="zh-CN"/>
              </w:rPr>
              <w:t>2021年12月04</w:t>
            </w:r>
            <w:r>
              <w:rPr>
                <w:rFonts w:hint="default" w:ascii="Times New Roman" w:hAnsi="Times New Roman" w:eastAsia="宋体" w:cs="Times New Roman"/>
                <w:color w:val="BF9000" w:themeColor="accent4" w:themeShade="BF"/>
                <w:sz w:val="24"/>
                <w:highlight w:val="none"/>
                <w:lang w:val="en-US" w:eastAsia="zh-CN"/>
              </w:rPr>
              <w:t>日，取</w:t>
            </w:r>
            <w:r>
              <w:rPr>
                <w:rFonts w:hint="eastAsia" w:ascii="Times New Roman" w:hAnsi="Times New Roman" w:eastAsia="宋体" w:cs="Times New Roman"/>
                <w:color w:val="BF9000" w:themeColor="accent4" w:themeShade="BF"/>
                <w:sz w:val="24"/>
                <w:highlight w:val="none"/>
                <w:lang w:val="en-US" w:eastAsia="zh-CN"/>
              </w:rPr>
              <w:t>A6恒丰学校</w:t>
            </w:r>
            <w:r>
              <w:rPr>
                <w:rFonts w:hint="default" w:ascii="Times New Roman" w:hAnsi="Times New Roman" w:eastAsia="宋体" w:cs="Times New Roman"/>
                <w:color w:val="BF9000" w:themeColor="accent4" w:themeShade="BF"/>
                <w:sz w:val="24"/>
                <w:highlight w:val="none"/>
                <w:lang w:val="en-US" w:eastAsia="zh-CN"/>
              </w:rPr>
              <w:t>（E</w:t>
            </w:r>
            <w:r>
              <w:rPr>
                <w:rFonts w:hint="eastAsia" w:ascii="Times New Roman" w:hAnsi="Times New Roman" w:eastAsia="宋体" w:cs="Times New Roman"/>
                <w:color w:val="BF9000" w:themeColor="accent4" w:themeShade="BF"/>
                <w:sz w:val="24"/>
                <w:highlight w:val="none"/>
                <w:lang w:val="en-US" w:eastAsia="zh-CN"/>
              </w:rPr>
              <w:t>113.897485°，</w:t>
            </w:r>
            <w:r>
              <w:rPr>
                <w:rFonts w:hint="default" w:ascii="Times New Roman" w:hAnsi="Times New Roman" w:eastAsia="宋体" w:cs="Times New Roman"/>
                <w:color w:val="BF9000" w:themeColor="accent4" w:themeShade="BF"/>
                <w:sz w:val="24"/>
                <w:highlight w:val="none"/>
                <w:lang w:val="en-US" w:eastAsia="zh-CN"/>
              </w:rPr>
              <w:t>N</w:t>
            </w:r>
            <w:r>
              <w:rPr>
                <w:rFonts w:hint="eastAsia" w:ascii="Times New Roman" w:hAnsi="Times New Roman" w:eastAsia="宋体" w:cs="Times New Roman"/>
                <w:color w:val="BF9000" w:themeColor="accent4" w:themeShade="BF"/>
                <w:sz w:val="24"/>
                <w:highlight w:val="none"/>
                <w:lang w:val="en-US" w:eastAsia="zh-CN"/>
              </w:rPr>
              <w:t>,23.174222°</w:t>
            </w:r>
            <w:r>
              <w:rPr>
                <w:rFonts w:hint="default" w:ascii="Times New Roman" w:hAnsi="Times New Roman" w:eastAsia="宋体" w:cs="Times New Roman"/>
                <w:color w:val="BF9000" w:themeColor="accent4" w:themeShade="BF"/>
                <w:sz w:val="24"/>
                <w:highlight w:val="none"/>
                <w:lang w:val="en-US" w:eastAsia="zh-CN"/>
              </w:rPr>
              <w:t>），该监测点位于本项目</w:t>
            </w:r>
            <w:r>
              <w:rPr>
                <w:rFonts w:hint="eastAsia" w:ascii="Times New Roman" w:hAnsi="Times New Roman" w:eastAsia="宋体" w:cs="Times New Roman"/>
                <w:color w:val="BF9000" w:themeColor="accent4" w:themeShade="BF"/>
                <w:sz w:val="24"/>
                <w:highlight w:val="none"/>
                <w:lang w:val="en-US" w:eastAsia="zh-CN"/>
              </w:rPr>
              <w:t>北</w:t>
            </w:r>
            <w:r>
              <w:rPr>
                <w:rFonts w:hint="default" w:ascii="Times New Roman" w:hAnsi="Times New Roman" w:eastAsia="宋体" w:cs="Times New Roman"/>
                <w:color w:val="BF9000" w:themeColor="accent4" w:themeShade="BF"/>
                <w:sz w:val="24"/>
                <w:highlight w:val="none"/>
                <w:lang w:val="en-US" w:eastAsia="zh-CN"/>
              </w:rPr>
              <w:t>面约</w:t>
            </w:r>
            <w:r>
              <w:rPr>
                <w:rFonts w:hint="eastAsia" w:ascii="Times New Roman" w:hAnsi="Times New Roman" w:eastAsia="宋体" w:cs="Times New Roman"/>
                <w:color w:val="BF9000" w:themeColor="accent4" w:themeShade="BF"/>
                <w:sz w:val="24"/>
                <w:highlight w:val="none"/>
                <w:lang w:val="en-US" w:eastAsia="zh-CN"/>
              </w:rPr>
              <w:t>3930</w:t>
            </w:r>
            <w:r>
              <w:rPr>
                <w:rFonts w:hint="default" w:ascii="Times New Roman" w:hAnsi="Times New Roman" w:eastAsia="宋体" w:cs="Times New Roman"/>
                <w:color w:val="BF9000" w:themeColor="accent4" w:themeShade="BF"/>
                <w:sz w:val="24"/>
                <w:highlight w:val="none"/>
                <w:lang w:val="en-US" w:eastAsia="zh-CN"/>
              </w:rPr>
              <w:t>m，与本项目厂界距离小于5km，监测时间未超过3年，因此引用的检测数据具有可行性。监测点位见附图</w:t>
            </w:r>
            <w:r>
              <w:rPr>
                <w:rFonts w:hint="eastAsia" w:ascii="Times New Roman" w:hAnsi="Times New Roman" w:eastAsia="宋体" w:cs="Times New Roman"/>
                <w:color w:val="BF9000" w:themeColor="accent4" w:themeShade="BF"/>
                <w:sz w:val="24"/>
                <w:highlight w:val="none"/>
                <w:lang w:val="en-US" w:eastAsia="zh-CN"/>
              </w:rPr>
              <w:t>7</w:t>
            </w:r>
            <w:r>
              <w:rPr>
                <w:rFonts w:hint="default" w:ascii="Times New Roman" w:hAnsi="Times New Roman" w:eastAsia="宋体" w:cs="Times New Roman"/>
                <w:color w:val="BF9000" w:themeColor="accent4" w:themeShade="BF"/>
                <w:sz w:val="24"/>
                <w:highlight w:val="none"/>
                <w:lang w:val="en-US" w:eastAsia="zh-CN"/>
              </w:rPr>
              <w:t>。监测期间至今，项目区域内无新增重大污染源情况，具体数据见下表：</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BF9000" w:themeColor="accent4" w:themeShade="BF"/>
                <w:sz w:val="22"/>
                <w:szCs w:val="22"/>
                <w:highlight w:val="none"/>
                <w:lang w:val="en-US" w:eastAsia="zh-CN"/>
              </w:rPr>
            </w:pPr>
            <w:r>
              <w:rPr>
                <w:rFonts w:hint="default" w:ascii="Times New Roman" w:hAnsi="Times New Roman" w:eastAsia="宋体" w:cs="Times New Roman"/>
                <w:color w:val="BF9000" w:themeColor="accent4" w:themeShade="BF"/>
                <w:sz w:val="22"/>
                <w:szCs w:val="22"/>
                <w:highlight w:val="none"/>
                <w:lang w:val="en-US" w:eastAsia="zh-CN"/>
              </w:rPr>
              <w:t>引用的特征因子监测结果</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1"/>
              <w:gridCol w:w="1757"/>
              <w:gridCol w:w="1817"/>
              <w:gridCol w:w="1498"/>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5"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监测项目</w:t>
                  </w:r>
                </w:p>
              </w:tc>
              <w:tc>
                <w:tcPr>
                  <w:tcW w:w="958"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监测结果（mg/m</w:t>
                  </w:r>
                  <w:r>
                    <w:rPr>
                      <w:rFonts w:hint="default" w:ascii="Times New Roman" w:hAnsi="Times New Roman" w:eastAsia="宋体" w:cs="Times New Roman"/>
                      <w:bCs/>
                      <w:color w:val="BF9000" w:themeColor="accent4" w:themeShade="BF"/>
                      <w:sz w:val="21"/>
                      <w:szCs w:val="21"/>
                      <w:highlight w:val="none"/>
                      <w:vertAlign w:val="superscript"/>
                      <w:lang w:val="en-US" w:eastAsia="zh-CN"/>
                    </w:rPr>
                    <w:t>3</w:t>
                  </w:r>
                  <w:r>
                    <w:rPr>
                      <w:rFonts w:hint="default" w:ascii="Times New Roman" w:hAnsi="Times New Roman" w:eastAsia="宋体" w:cs="Times New Roman"/>
                      <w:bCs/>
                      <w:color w:val="BF9000" w:themeColor="accent4" w:themeShade="BF"/>
                      <w:sz w:val="21"/>
                      <w:szCs w:val="21"/>
                      <w:highlight w:val="none"/>
                      <w:vertAlign w:val="baseline"/>
                      <w:lang w:val="en-US" w:eastAsia="zh-CN"/>
                    </w:rPr>
                    <w:t>）</w:t>
                  </w:r>
                </w:p>
              </w:tc>
              <w:tc>
                <w:tcPr>
                  <w:tcW w:w="99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最大浓度占标率（％）</w:t>
                  </w:r>
                </w:p>
              </w:tc>
              <w:tc>
                <w:tcPr>
                  <w:tcW w:w="81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标准限值（mg/m</w:t>
                  </w:r>
                  <w:r>
                    <w:rPr>
                      <w:rFonts w:hint="default" w:ascii="Times New Roman" w:hAnsi="Times New Roman" w:eastAsia="宋体" w:cs="Times New Roman"/>
                      <w:bCs/>
                      <w:color w:val="BF9000" w:themeColor="accent4" w:themeShade="BF"/>
                      <w:sz w:val="21"/>
                      <w:szCs w:val="21"/>
                      <w:highlight w:val="none"/>
                      <w:vertAlign w:val="superscript"/>
                      <w:lang w:val="en-US" w:eastAsia="zh-CN"/>
                    </w:rPr>
                    <w:t>3</w:t>
                  </w:r>
                  <w:r>
                    <w:rPr>
                      <w:rFonts w:hint="default" w:ascii="Times New Roman" w:hAnsi="Times New Roman" w:eastAsia="宋体" w:cs="Times New Roman"/>
                      <w:bCs/>
                      <w:color w:val="BF9000" w:themeColor="accent4" w:themeShade="BF"/>
                      <w:sz w:val="21"/>
                      <w:szCs w:val="21"/>
                      <w:highlight w:val="none"/>
                      <w:vertAlign w:val="baseline"/>
                      <w:lang w:val="en-US" w:eastAsia="zh-CN"/>
                    </w:rPr>
                    <w:t>）</w:t>
                  </w:r>
                </w:p>
              </w:tc>
              <w:tc>
                <w:tcPr>
                  <w:tcW w:w="7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495"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非甲烷总烃（小时均值）</w:t>
                  </w:r>
                </w:p>
              </w:tc>
              <w:tc>
                <w:tcPr>
                  <w:tcW w:w="958"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0.046</w:t>
                  </w:r>
                  <w:r>
                    <w:rPr>
                      <w:rFonts w:hint="default" w:ascii="Times New Roman" w:hAnsi="Times New Roman" w:eastAsia="宋体" w:cs="Times New Roman"/>
                      <w:bCs/>
                      <w:color w:val="BF9000" w:themeColor="accent4" w:themeShade="BF"/>
                      <w:sz w:val="21"/>
                      <w:szCs w:val="21"/>
                      <w:highlight w:val="none"/>
                      <w:vertAlign w:val="baseline"/>
                      <w:lang w:val="en-US" w:eastAsia="zh-CN"/>
                    </w:rPr>
                    <w:t>~</w:t>
                  </w:r>
                  <w:r>
                    <w:rPr>
                      <w:rFonts w:hint="eastAsia" w:ascii="Times New Roman" w:hAnsi="Times New Roman" w:eastAsia="宋体" w:cs="Times New Roman"/>
                      <w:bCs/>
                      <w:color w:val="BF9000" w:themeColor="accent4" w:themeShade="BF"/>
                      <w:sz w:val="21"/>
                      <w:szCs w:val="21"/>
                      <w:highlight w:val="none"/>
                      <w:vertAlign w:val="baseline"/>
                      <w:lang w:val="en-US" w:eastAsia="zh-CN"/>
                    </w:rPr>
                    <w:t>1.13</w:t>
                  </w:r>
                </w:p>
              </w:tc>
              <w:tc>
                <w:tcPr>
                  <w:tcW w:w="99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56.5</w:t>
                  </w:r>
                </w:p>
              </w:tc>
              <w:tc>
                <w:tcPr>
                  <w:tcW w:w="81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2</w:t>
                  </w:r>
                </w:p>
              </w:tc>
              <w:tc>
                <w:tcPr>
                  <w:tcW w:w="7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495"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TVOC（8小时均值）</w:t>
                  </w:r>
                </w:p>
              </w:tc>
              <w:tc>
                <w:tcPr>
                  <w:tcW w:w="958"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0.148-0.204</w:t>
                  </w:r>
                </w:p>
              </w:tc>
              <w:tc>
                <w:tcPr>
                  <w:tcW w:w="99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34</w:t>
                  </w:r>
                </w:p>
              </w:tc>
              <w:tc>
                <w:tcPr>
                  <w:tcW w:w="81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0.6</w:t>
                  </w:r>
                </w:p>
              </w:tc>
              <w:tc>
                <w:tcPr>
                  <w:tcW w:w="7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是</w:t>
                  </w:r>
                </w:p>
              </w:tc>
            </w:tr>
          </w:tbl>
          <w:p>
            <w:pPr>
              <w:adjustRightInd w:val="0"/>
              <w:snapToGrid w:val="0"/>
              <w:spacing w:line="360" w:lineRule="auto"/>
              <w:ind w:firstLine="480" w:firstLineChars="200"/>
              <w:rPr>
                <w:rFonts w:hint="default" w:ascii="Times New Roman" w:hAnsi="Times New Roman" w:eastAsia="宋体" w:cs="Times New Roman"/>
                <w:color w:val="BF9000" w:themeColor="accent4" w:themeShade="BF"/>
                <w:sz w:val="24"/>
                <w:highlight w:val="none"/>
                <w:lang w:val="en-US" w:eastAsia="zh-CN"/>
              </w:rPr>
            </w:pPr>
            <w:r>
              <w:rPr>
                <w:rFonts w:hint="default" w:ascii="Times New Roman" w:hAnsi="Times New Roman" w:eastAsia="宋体" w:cs="Times New Roman"/>
                <w:color w:val="BF9000" w:themeColor="accent4" w:themeShade="BF"/>
                <w:sz w:val="24"/>
                <w:highlight w:val="none"/>
                <w:lang w:val="en-US" w:eastAsia="zh-CN"/>
              </w:rPr>
              <w:t>根据上表可知，总挥发性有机物（TVOC）满足《环境影响评价技术导则-大气环境》（HJ2.2-2018）附录D中其他污染物空气质量浓度参考限值，非甲烷总烃满足《大气污染物综合排放标准详解》中的推荐值，说明区域环境空气质量较好。</w:t>
            </w:r>
          </w:p>
          <w:p>
            <w:pPr>
              <w:adjustRightInd w:val="0"/>
              <w:snapToGrid w:val="0"/>
              <w:ind w:firstLine="482" w:firstLineChars="200"/>
              <w:rPr>
                <w:b/>
                <w:bCs/>
                <w:color w:val="auto"/>
              </w:rPr>
            </w:pPr>
            <w:r>
              <w:rPr>
                <w:rFonts w:hint="eastAsia"/>
                <w:b/>
                <w:bCs/>
                <w:color w:val="auto"/>
              </w:rPr>
              <w:t>2、地表水环境</w:t>
            </w:r>
          </w:p>
          <w:p>
            <w:pPr>
              <w:adjustRightInd w:val="0"/>
              <w:snapToGrid w:val="0"/>
              <w:spacing w:line="360" w:lineRule="auto"/>
              <w:ind w:firstLine="480" w:firstLineChars="200"/>
              <w:rPr>
                <w:rFonts w:hint="default" w:ascii="Times New Roman" w:hAnsi="Times New Roman" w:eastAsia="宋体" w:cs="Times New Roman"/>
                <w:color w:val="BF9000" w:themeColor="accent4" w:themeShade="BF"/>
                <w:sz w:val="24"/>
                <w:highlight w:val="none"/>
                <w:lang w:val="en-US" w:eastAsia="zh-CN"/>
              </w:rPr>
            </w:pPr>
            <w:r>
              <w:rPr>
                <w:rFonts w:hint="default" w:ascii="Times New Roman" w:hAnsi="Times New Roman" w:eastAsia="宋体" w:cs="Times New Roman"/>
                <w:color w:val="BF9000" w:themeColor="accent4" w:themeShade="BF"/>
                <w:sz w:val="24"/>
                <w:highlight w:val="none"/>
                <w:lang w:val="en-US" w:eastAsia="zh-CN"/>
              </w:rPr>
              <w:t>根据《202</w:t>
            </w:r>
            <w:r>
              <w:rPr>
                <w:rFonts w:hint="eastAsia" w:ascii="Times New Roman" w:hAnsi="Times New Roman" w:eastAsia="宋体" w:cs="Times New Roman"/>
                <w:color w:val="BF9000" w:themeColor="accent4" w:themeShade="BF"/>
                <w:sz w:val="24"/>
                <w:highlight w:val="none"/>
                <w:lang w:val="en-US" w:eastAsia="zh-CN"/>
              </w:rPr>
              <w:t>2</w:t>
            </w:r>
            <w:r>
              <w:rPr>
                <w:rFonts w:hint="default" w:ascii="Times New Roman" w:hAnsi="Times New Roman" w:eastAsia="宋体" w:cs="Times New Roman"/>
                <w:color w:val="BF9000" w:themeColor="accent4" w:themeShade="BF"/>
                <w:sz w:val="24"/>
                <w:highlight w:val="none"/>
                <w:lang w:val="en-US" w:eastAsia="zh-CN"/>
              </w:rPr>
              <w:t>年惠州市生态环境状况公报》可知，2022年，水质优良比例为88.9%，其中，东江干流（惠州段）、西枝江、增江干流（惠州段）、吉隆河等4条河流水质优，淡水河、沙河、公庄河、淡澳河等4条河流水质良好，潼湖水水质为IV类。与2021年相比，水质优良比例上升11.1个百分点，其中，淡澳河水质由轻度污染好转为良好。2022年，11个国考地表水断面水质优良（Ⅰ～Ⅲ类）比例为100%，劣Ⅴ类水质比例为0%；与2021年相比，断面水质优良比例（Ⅰ～Ⅲ类）上升9.1个百分点，劣Ⅴ类水质比例保持0%。19个省考地表水断面水质优良（Ⅰ～Ⅲ类）比例为94.7%，劣Ⅴ类水质比例为0%；与2021年相比，断面水质优良比例（Ⅰ～Ⅲ类）上升5.3个百分点，劣Ⅴ类水质比例保持0%。</w:t>
            </w:r>
          </w:p>
          <w:p>
            <w:pPr>
              <w:adjustRightInd w:val="0"/>
              <w:snapToGrid w:val="0"/>
              <w:spacing w:line="360" w:lineRule="auto"/>
              <w:ind w:firstLine="480" w:firstLineChars="200"/>
              <w:rPr>
                <w:rFonts w:hint="default" w:ascii="Times New Roman" w:hAnsi="Times New Roman" w:eastAsia="宋体" w:cs="Times New Roman"/>
                <w:color w:val="BF9000" w:themeColor="accent4" w:themeShade="BF"/>
                <w:sz w:val="24"/>
                <w:highlight w:val="none"/>
                <w:lang w:val="en-US" w:eastAsia="zh-CN"/>
              </w:rPr>
            </w:pPr>
            <w:r>
              <w:rPr>
                <w:rFonts w:hint="default" w:ascii="Times New Roman" w:hAnsi="Times New Roman" w:eastAsia="宋体" w:cs="Times New Roman"/>
                <w:color w:val="BF9000" w:themeColor="accent4" w:themeShade="BF"/>
                <w:sz w:val="24"/>
                <w:highlight w:val="none"/>
                <w:lang w:val="en-US" w:eastAsia="zh-CN"/>
              </w:rPr>
              <w:t>为了解本项目受纳水体石湾中心排渠地表水环境质量现状，本环评引用《广东博罗县产业转移工业园区2021年度环境管理状况评估工作报告》中的监测数据（检测报告编号：GDHK20211127002），监测单位为</w:t>
            </w:r>
            <w:r>
              <w:rPr>
                <w:rFonts w:ascii="宋体" w:hAnsi="宋体" w:eastAsia="宋体" w:cs="宋体"/>
                <w:color w:val="BF9000" w:themeColor="accent4" w:themeShade="BF"/>
                <w:sz w:val="24"/>
                <w:szCs w:val="24"/>
              </w:rPr>
              <w:t>广东宏科检测技术有限公司</w:t>
            </w:r>
            <w:r>
              <w:rPr>
                <w:rFonts w:hint="default" w:ascii="Times New Roman" w:hAnsi="Times New Roman" w:eastAsia="宋体" w:cs="Times New Roman"/>
                <w:color w:val="BF9000" w:themeColor="accent4" w:themeShade="BF"/>
                <w:sz w:val="24"/>
                <w:highlight w:val="none"/>
                <w:lang w:val="en-US" w:eastAsia="zh-CN"/>
              </w:rPr>
              <w:t>，监测时间为202</w:t>
            </w:r>
            <w:r>
              <w:rPr>
                <w:rFonts w:hint="eastAsia" w:ascii="Times New Roman" w:hAnsi="Times New Roman" w:eastAsia="宋体" w:cs="Times New Roman"/>
                <w:color w:val="BF9000" w:themeColor="accent4" w:themeShade="BF"/>
                <w:sz w:val="24"/>
                <w:highlight w:val="none"/>
                <w:lang w:val="en-US" w:eastAsia="zh-CN"/>
              </w:rPr>
              <w:t>1</w:t>
            </w:r>
            <w:r>
              <w:rPr>
                <w:rFonts w:hint="default" w:ascii="Times New Roman" w:hAnsi="Times New Roman" w:eastAsia="宋体" w:cs="Times New Roman"/>
                <w:color w:val="BF9000" w:themeColor="accent4" w:themeShade="BF"/>
                <w:sz w:val="24"/>
                <w:highlight w:val="none"/>
                <w:lang w:val="en-US" w:eastAsia="zh-CN"/>
              </w:rPr>
              <w:t>年</w:t>
            </w:r>
            <w:r>
              <w:rPr>
                <w:rFonts w:hint="eastAsia" w:ascii="Times New Roman" w:hAnsi="Times New Roman" w:eastAsia="宋体" w:cs="Times New Roman"/>
                <w:color w:val="BF9000" w:themeColor="accent4" w:themeShade="BF"/>
                <w:sz w:val="24"/>
                <w:highlight w:val="none"/>
                <w:lang w:val="en-US" w:eastAsia="zh-CN"/>
              </w:rPr>
              <w:t>11</w:t>
            </w:r>
            <w:r>
              <w:rPr>
                <w:rFonts w:hint="default" w:ascii="Times New Roman" w:hAnsi="Times New Roman" w:eastAsia="宋体" w:cs="Times New Roman"/>
                <w:color w:val="BF9000" w:themeColor="accent4" w:themeShade="BF"/>
                <w:sz w:val="24"/>
                <w:highlight w:val="none"/>
                <w:lang w:val="en-US" w:eastAsia="zh-CN"/>
              </w:rPr>
              <w:t>月2</w:t>
            </w:r>
            <w:r>
              <w:rPr>
                <w:rFonts w:hint="eastAsia" w:ascii="Times New Roman" w:hAnsi="Times New Roman" w:eastAsia="宋体" w:cs="Times New Roman"/>
                <w:color w:val="BF9000" w:themeColor="accent4" w:themeShade="BF"/>
                <w:sz w:val="24"/>
                <w:highlight w:val="none"/>
                <w:lang w:val="en-US" w:eastAsia="zh-CN"/>
              </w:rPr>
              <w:t>7</w:t>
            </w:r>
            <w:r>
              <w:rPr>
                <w:rFonts w:hint="default" w:ascii="Times New Roman" w:hAnsi="Times New Roman" w:eastAsia="宋体" w:cs="Times New Roman"/>
                <w:color w:val="BF9000" w:themeColor="accent4" w:themeShade="BF"/>
                <w:sz w:val="24"/>
                <w:highlight w:val="none"/>
                <w:lang w:val="en-US" w:eastAsia="zh-CN"/>
              </w:rPr>
              <w:t>日～2</w:t>
            </w:r>
            <w:r>
              <w:rPr>
                <w:rFonts w:hint="eastAsia" w:ascii="Times New Roman" w:hAnsi="Times New Roman" w:eastAsia="宋体" w:cs="Times New Roman"/>
                <w:color w:val="BF9000" w:themeColor="accent4" w:themeShade="BF"/>
                <w:sz w:val="24"/>
                <w:highlight w:val="none"/>
                <w:lang w:val="en-US" w:eastAsia="zh-CN"/>
              </w:rPr>
              <w:t>9</w:t>
            </w:r>
            <w:r>
              <w:rPr>
                <w:rFonts w:hint="default" w:ascii="Times New Roman" w:hAnsi="Times New Roman" w:eastAsia="宋体" w:cs="Times New Roman"/>
                <w:color w:val="BF9000" w:themeColor="accent4" w:themeShade="BF"/>
                <w:sz w:val="24"/>
                <w:highlight w:val="none"/>
                <w:lang w:val="en-US" w:eastAsia="zh-CN"/>
              </w:rPr>
              <w:t>日，引用的监测数据所属河流与本项目受纳水体属同一条河流，且属于近3年的监测数据，因此引用数据具有可行性。监测断面见附图9。相关监测数据如下表所示：</w:t>
            </w:r>
          </w:p>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BF9000" w:themeColor="accent4" w:themeShade="BF"/>
                <w:sz w:val="22"/>
                <w:szCs w:val="22"/>
                <w:highlight w:val="none"/>
                <w:lang w:val="en-US" w:eastAsia="zh-CN"/>
              </w:rPr>
            </w:pPr>
            <w:r>
              <w:rPr>
                <w:rFonts w:hint="default" w:ascii="Times New Roman" w:hAnsi="Times New Roman" w:eastAsia="宋体" w:cs="Times New Roman"/>
                <w:color w:val="BF9000" w:themeColor="accent4" w:themeShade="BF"/>
                <w:sz w:val="22"/>
                <w:szCs w:val="22"/>
                <w:highlight w:val="none"/>
                <w:lang w:val="en-US" w:eastAsia="zh-CN"/>
              </w:rPr>
              <w:t>引用的地表水监测断面详情一览表</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8"/>
              <w:gridCol w:w="3741"/>
              <w:gridCol w:w="1535"/>
              <w:gridCol w:w="2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2"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sz w:val="21"/>
                      <w:szCs w:val="21"/>
                      <w:highlight w:val="none"/>
                      <w:vertAlign w:val="baseline"/>
                      <w:lang w:val="en-US" w:eastAsia="zh-CN"/>
                    </w:rPr>
                  </w:pPr>
                  <w:r>
                    <w:rPr>
                      <w:rFonts w:hint="default" w:ascii="Times New Roman" w:hAnsi="Times New Roman" w:eastAsia="宋体" w:cs="Times New Roman"/>
                      <w:b/>
                      <w:bCs w:val="0"/>
                      <w:color w:val="BF9000" w:themeColor="accent4" w:themeShade="BF"/>
                      <w:sz w:val="21"/>
                      <w:szCs w:val="21"/>
                      <w:highlight w:val="none"/>
                      <w:vertAlign w:val="baseline"/>
                      <w:lang w:val="en-US" w:eastAsia="zh-CN"/>
                    </w:rPr>
                    <w:t>监测断面编号</w:t>
                  </w:r>
                </w:p>
              </w:tc>
              <w:tc>
                <w:tcPr>
                  <w:tcW w:w="204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sz w:val="21"/>
                      <w:szCs w:val="21"/>
                      <w:highlight w:val="none"/>
                      <w:vertAlign w:val="baseline"/>
                      <w:lang w:val="en-US" w:eastAsia="zh-CN"/>
                    </w:rPr>
                  </w:pPr>
                  <w:r>
                    <w:rPr>
                      <w:rFonts w:hint="default" w:ascii="Times New Roman" w:hAnsi="Times New Roman" w:eastAsia="宋体" w:cs="Times New Roman"/>
                      <w:b/>
                      <w:bCs w:val="0"/>
                      <w:color w:val="BF9000" w:themeColor="accent4" w:themeShade="BF"/>
                      <w:sz w:val="21"/>
                      <w:szCs w:val="21"/>
                      <w:highlight w:val="none"/>
                      <w:vertAlign w:val="baseline"/>
                      <w:lang w:val="en-US" w:eastAsia="zh-CN"/>
                    </w:rPr>
                    <w:t>监测断面位置</w:t>
                  </w:r>
                </w:p>
              </w:tc>
              <w:tc>
                <w:tcPr>
                  <w:tcW w:w="8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sz w:val="21"/>
                      <w:szCs w:val="21"/>
                      <w:highlight w:val="none"/>
                      <w:vertAlign w:val="baseline"/>
                      <w:lang w:val="en-US" w:eastAsia="zh-CN"/>
                    </w:rPr>
                  </w:pPr>
                  <w:r>
                    <w:rPr>
                      <w:rFonts w:hint="default" w:ascii="Times New Roman" w:hAnsi="Times New Roman" w:eastAsia="宋体" w:cs="Times New Roman"/>
                      <w:b/>
                      <w:bCs w:val="0"/>
                      <w:color w:val="BF9000" w:themeColor="accent4" w:themeShade="BF"/>
                      <w:sz w:val="21"/>
                      <w:szCs w:val="21"/>
                      <w:highlight w:val="none"/>
                      <w:vertAlign w:val="baseline"/>
                      <w:lang w:val="en-US" w:eastAsia="zh-CN"/>
                    </w:rPr>
                    <w:t>所属河流</w:t>
                  </w:r>
                </w:p>
              </w:tc>
              <w:tc>
                <w:tcPr>
                  <w:tcW w:w="136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sz w:val="21"/>
                      <w:szCs w:val="21"/>
                      <w:highlight w:val="none"/>
                      <w:vertAlign w:val="baseline"/>
                      <w:lang w:val="en-US" w:eastAsia="zh-CN"/>
                    </w:rPr>
                  </w:pPr>
                  <w:r>
                    <w:rPr>
                      <w:rFonts w:hint="default" w:ascii="Times New Roman" w:hAnsi="Times New Roman" w:eastAsia="宋体" w:cs="Times New Roman"/>
                      <w:b/>
                      <w:bCs w:val="0"/>
                      <w:color w:val="BF9000" w:themeColor="accent4" w:themeShade="BF"/>
                      <w:sz w:val="21"/>
                      <w:szCs w:val="21"/>
                      <w:highlight w:val="none"/>
                      <w:vertAlign w:val="baseline"/>
                      <w:lang w:val="en-US" w:eastAsia="zh-CN"/>
                    </w:rPr>
                    <w:t>引用的监测因子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762"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W7</w:t>
                  </w:r>
                </w:p>
              </w:tc>
              <w:tc>
                <w:tcPr>
                  <w:tcW w:w="204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石湾镇大牛垒生活污水处理厂 排污口上游 500m</w:t>
                  </w:r>
                </w:p>
              </w:tc>
              <w:tc>
                <w:tcPr>
                  <w:tcW w:w="8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石湾镇中心排渠</w:t>
                  </w:r>
                </w:p>
              </w:tc>
              <w:tc>
                <w:tcPr>
                  <w:tcW w:w="1360"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pH、水温、CODcr、DO、</w:t>
                  </w:r>
                  <w:r>
                    <w:rPr>
                      <w:rFonts w:hint="eastAsia" w:ascii="Times New Roman" w:hAnsi="Times New Roman" w:eastAsia="宋体" w:cs="Times New Roman"/>
                      <w:bCs/>
                      <w:color w:val="BF9000" w:themeColor="accent4" w:themeShade="BF"/>
                      <w:sz w:val="21"/>
                      <w:szCs w:val="21"/>
                      <w:highlight w:val="none"/>
                      <w:vertAlign w:val="baseline"/>
                      <w:lang w:val="en-US" w:eastAsia="zh-CN"/>
                    </w:rPr>
                    <w:t>SS、</w:t>
                  </w:r>
                  <w:r>
                    <w:rPr>
                      <w:rFonts w:hint="default" w:ascii="Times New Roman" w:hAnsi="Times New Roman" w:eastAsia="宋体" w:cs="Times New Roman"/>
                      <w:bCs/>
                      <w:color w:val="BF9000" w:themeColor="accent4" w:themeShade="BF"/>
                      <w:sz w:val="21"/>
                      <w:szCs w:val="21"/>
                      <w:highlight w:val="none"/>
                      <w:vertAlign w:val="baseline"/>
                      <w:lang w:val="en-US" w:eastAsia="zh-CN"/>
                    </w:rPr>
                    <w:t>NH</w:t>
                  </w:r>
                  <w:r>
                    <w:rPr>
                      <w:rFonts w:hint="default" w:ascii="Times New Roman" w:hAnsi="Times New Roman" w:eastAsia="宋体" w:cs="Times New Roman"/>
                      <w:bCs/>
                      <w:color w:val="BF9000" w:themeColor="accent4" w:themeShade="BF"/>
                      <w:sz w:val="21"/>
                      <w:szCs w:val="21"/>
                      <w:highlight w:val="none"/>
                      <w:vertAlign w:val="subscript"/>
                      <w:lang w:val="en-US" w:eastAsia="zh-CN"/>
                    </w:rPr>
                    <w:t>3</w:t>
                  </w:r>
                  <w:r>
                    <w:rPr>
                      <w:rFonts w:hint="default" w:ascii="Times New Roman" w:hAnsi="Times New Roman" w:eastAsia="宋体" w:cs="Times New Roman"/>
                      <w:bCs/>
                      <w:color w:val="BF9000" w:themeColor="accent4" w:themeShade="BF"/>
                      <w:sz w:val="21"/>
                      <w:szCs w:val="21"/>
                      <w:highlight w:val="none"/>
                      <w:vertAlign w:val="baseline"/>
                      <w:lang w:val="en-US" w:eastAsia="zh-CN"/>
                    </w:rPr>
                    <w:t>-N、</w:t>
                  </w:r>
                  <w:r>
                    <w:rPr>
                      <w:rFonts w:hint="eastAsia" w:ascii="Times New Roman" w:hAnsi="Times New Roman" w:eastAsia="宋体" w:cs="Times New Roman"/>
                      <w:bCs/>
                      <w:color w:val="BF9000" w:themeColor="accent4" w:themeShade="BF"/>
                      <w:sz w:val="21"/>
                      <w:szCs w:val="21"/>
                      <w:highlight w:val="none"/>
                      <w:vertAlign w:val="baseline"/>
                      <w:lang w:val="en-US" w:eastAsia="zh-CN"/>
                    </w:rPr>
                    <w:t>总磷、总氮、氟化物、石油类、阴离子表面活性剂、粪大肠菌群、</w:t>
                  </w:r>
                  <w:r>
                    <w:rPr>
                      <w:rFonts w:hint="default" w:ascii="Times New Roman" w:hAnsi="Times New Roman" w:eastAsia="宋体" w:cs="Times New Roman"/>
                      <w:bCs/>
                      <w:color w:val="BF9000" w:themeColor="accent4" w:themeShade="BF"/>
                      <w:sz w:val="21"/>
                      <w:szCs w:val="21"/>
                      <w:highlight w:val="none"/>
                      <w:vertAlign w:val="baseline"/>
                      <w:lang w:val="en-US" w:eastAsia="zh-CN"/>
                    </w:rPr>
                    <w:t>BOD</w:t>
                  </w:r>
                  <w:r>
                    <w:rPr>
                      <w:rFonts w:hint="default" w:ascii="Times New Roman" w:hAnsi="Times New Roman" w:eastAsia="宋体" w:cs="Times New Roman"/>
                      <w:bCs/>
                      <w:color w:val="BF9000" w:themeColor="accent4" w:themeShade="BF"/>
                      <w:sz w:val="21"/>
                      <w:szCs w:val="21"/>
                      <w:highlight w:val="none"/>
                      <w:vertAlign w:val="subscript"/>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762"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W8</w:t>
                  </w:r>
                </w:p>
              </w:tc>
              <w:tc>
                <w:tcPr>
                  <w:tcW w:w="204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color w:val="BF9000" w:themeColor="accent4" w:themeShade="BF"/>
                      <w:sz w:val="21"/>
                      <w:szCs w:val="21"/>
                    </w:rPr>
                    <w:t>石湾镇大牛垒生活污水处理厂 排污口下游 1000m</w:t>
                  </w:r>
                </w:p>
              </w:tc>
              <w:tc>
                <w:tcPr>
                  <w:tcW w:w="8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石湾镇中心排渠</w:t>
                  </w:r>
                </w:p>
              </w:tc>
              <w:tc>
                <w:tcPr>
                  <w:tcW w:w="1360"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762"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W9</w:t>
                  </w:r>
                </w:p>
              </w:tc>
              <w:tc>
                <w:tcPr>
                  <w:tcW w:w="204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color w:val="BF9000" w:themeColor="accent4" w:themeShade="BF"/>
                      <w:sz w:val="21"/>
                      <w:szCs w:val="21"/>
                    </w:rPr>
                    <w:t>石湾镇大牛垒生活污水处理厂 排污口下游 2500m</w:t>
                  </w:r>
                </w:p>
              </w:tc>
              <w:tc>
                <w:tcPr>
                  <w:tcW w:w="8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石湾镇中心排渠</w:t>
                  </w:r>
                </w:p>
              </w:tc>
              <w:tc>
                <w:tcPr>
                  <w:tcW w:w="1360"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vertAlign w:val="baseline"/>
                      <w:lang w:val="en-US" w:eastAsia="zh-CN"/>
                    </w:rPr>
                  </w:pPr>
                </w:p>
              </w:tc>
            </w:tr>
          </w:tbl>
          <w:p>
            <w:pPr>
              <w:pStyle w:val="6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BF9000" w:themeColor="accent4" w:themeShade="BF"/>
                <w:sz w:val="22"/>
                <w:szCs w:val="22"/>
                <w:highlight w:val="none"/>
                <w:lang w:val="en-US" w:eastAsia="zh-CN"/>
              </w:rPr>
            </w:pPr>
            <w:r>
              <w:rPr>
                <w:rFonts w:hint="default" w:ascii="Times New Roman" w:hAnsi="Times New Roman" w:eastAsia="宋体" w:cs="Times New Roman"/>
                <w:color w:val="BF9000" w:themeColor="accent4" w:themeShade="BF"/>
                <w:sz w:val="22"/>
                <w:szCs w:val="22"/>
                <w:highlight w:val="none"/>
                <w:lang w:val="en-US" w:eastAsia="zh-CN"/>
              </w:rPr>
              <w:t>地表水检测数据一览表</w:t>
            </w:r>
            <w:r>
              <w:rPr>
                <w:rFonts w:hint="eastAsia" w:ascii="Times New Roman" w:hAnsi="Times New Roman" w:eastAsia="宋体" w:cs="Times New Roman"/>
                <w:color w:val="BF9000" w:themeColor="accent4" w:themeShade="BF"/>
                <w:sz w:val="22"/>
                <w:szCs w:val="22"/>
                <w:highlight w:val="none"/>
                <w:lang w:val="en-US" w:eastAsia="zh-CN"/>
              </w:rPr>
              <w:t>（单位：mg/L，pH无量纲，水温：℃）</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2161"/>
              <w:gridCol w:w="2058"/>
              <w:gridCol w:w="1926"/>
              <w:gridCol w:w="2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549"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sz w:val="21"/>
                      <w:szCs w:val="21"/>
                      <w:highlight w:val="none"/>
                      <w:vertAlign w:val="baseline"/>
                      <w:lang w:val="en-US" w:eastAsia="zh-CN"/>
                    </w:rPr>
                  </w:pPr>
                  <w:r>
                    <w:rPr>
                      <w:rFonts w:hint="default" w:ascii="Times New Roman" w:hAnsi="Times New Roman" w:eastAsia="宋体" w:cs="Times New Roman"/>
                      <w:b/>
                      <w:bCs w:val="0"/>
                      <w:color w:val="BF9000" w:themeColor="accent4" w:themeShade="BF"/>
                      <w:sz w:val="21"/>
                      <w:szCs w:val="21"/>
                      <w:highlight w:val="none"/>
                      <w:vertAlign w:val="baseline"/>
                      <w:lang w:val="en-US" w:eastAsia="zh-CN"/>
                    </w:rPr>
                    <w:t>检测项目</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
                      <w:bCs w:val="0"/>
                      <w:color w:val="BF9000" w:themeColor="accent4" w:themeShade="BF"/>
                      <w:kern w:val="2"/>
                      <w:sz w:val="21"/>
                      <w:szCs w:val="21"/>
                      <w:highlight w:val="none"/>
                      <w:vertAlign w:val="baseline"/>
                      <w:lang w:val="en-US" w:eastAsia="zh-CN" w:bidi="ar-SA"/>
                    </w:rPr>
                    <w:t>采样日期</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
                      <w:bCs w:val="0"/>
                      <w:color w:val="BF9000" w:themeColor="accent4" w:themeShade="BF"/>
                      <w:sz w:val="21"/>
                      <w:szCs w:val="21"/>
                    </w:rPr>
                    <w:t>W</w:t>
                  </w:r>
                  <w:r>
                    <w:rPr>
                      <w:rFonts w:hint="default" w:ascii="Times New Roman" w:hAnsi="Times New Roman" w:eastAsia="宋体" w:cs="Times New Roman"/>
                      <w:b/>
                      <w:bCs w:val="0"/>
                      <w:color w:val="BF9000" w:themeColor="accent4" w:themeShade="BF"/>
                      <w:sz w:val="21"/>
                      <w:szCs w:val="21"/>
                      <w:lang w:val="en-US" w:eastAsia="zh-CN"/>
                    </w:rPr>
                    <w:t>7</w:t>
                  </w:r>
                  <w:r>
                    <w:rPr>
                      <w:rFonts w:hint="default" w:ascii="Times New Roman" w:hAnsi="Times New Roman" w:eastAsia="宋体" w:cs="Times New Roman"/>
                      <w:b/>
                      <w:bCs w:val="0"/>
                      <w:color w:val="BF9000" w:themeColor="accent4" w:themeShade="BF"/>
                      <w:sz w:val="21"/>
                      <w:szCs w:val="21"/>
                    </w:rPr>
                    <w:t>石湾镇大牛垒 生活污水处理厂排污口上游500m</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
                      <w:bCs w:val="0"/>
                      <w:color w:val="BF9000" w:themeColor="accent4" w:themeShade="BF"/>
                      <w:sz w:val="21"/>
                      <w:szCs w:val="21"/>
                    </w:rPr>
                    <w:t>W8石湾镇大牛垒生活污水处理厂排污口下游1000m</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
                      <w:bCs w:val="0"/>
                      <w:color w:val="BF9000" w:themeColor="accent4" w:themeShade="BF"/>
                      <w:sz w:val="21"/>
                      <w:szCs w:val="21"/>
                    </w:rPr>
                    <w:t>W9石湾镇大牛垒 生活污水处理厂排污口下游 2500m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549" w:type="pct"/>
                  <w:vMerge w:val="restart"/>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sz w:val="21"/>
                      <w:szCs w:val="21"/>
                      <w:highlight w:val="none"/>
                    </w:rPr>
                  </w:pPr>
                  <w:r>
                    <w:rPr>
                      <w:rFonts w:hint="default" w:ascii="Times New Roman" w:hAnsi="Times New Roman" w:eastAsia="宋体" w:cs="Times New Roman"/>
                      <w:bCs/>
                      <w:color w:val="BF9000" w:themeColor="accent4" w:themeShade="BF"/>
                      <w:sz w:val="21"/>
                      <w:szCs w:val="21"/>
                      <w:highlight w:val="none"/>
                      <w:vertAlign w:val="baseline"/>
                      <w:lang w:val="en-US" w:eastAsia="zh-CN"/>
                    </w:rPr>
                    <w:t>pH</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6.8-7.2</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7-7.3</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6.7-7.2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7</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7.2</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0.03</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0.08</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kern w:val="2"/>
                      <w:sz w:val="21"/>
                      <w:szCs w:val="21"/>
                      <w:highlight w:val="none"/>
                      <w:lang w:val="en-US" w:eastAsia="zh-CN" w:bidi="ar-SA"/>
                    </w:rPr>
                  </w:pPr>
                  <w:r>
                    <w:rPr>
                      <w:rFonts w:hint="default" w:ascii="Times New Roman" w:hAnsi="Times New Roman" w:cs="Times New Roman"/>
                      <w:color w:val="BF9000" w:themeColor="accent4" w:themeShade="BF"/>
                      <w:kern w:val="2"/>
                      <w:sz w:val="21"/>
                      <w:szCs w:val="21"/>
                      <w:highlight w:val="none"/>
                      <w:lang w:val="en-US" w:eastAsia="zh-CN" w:bidi="ar-SA"/>
                    </w:rPr>
                    <w:t>水温</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16.2-16.8</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17.2-17.6</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17.3-17.7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16.6</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17.4</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CODcr</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20-27</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18-21</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23.7</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21.0</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kern w:val="2"/>
                      <w:sz w:val="21"/>
                      <w:szCs w:val="21"/>
                      <w:highlight w:val="none"/>
                      <w:lang w:val="en-US" w:eastAsia="zh-CN" w:bidi="ar-SA"/>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0.79</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0.7</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DO</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4.21-4.51</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5.02-5.19</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4.32-4.85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4.4</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5.1</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0.69</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0.59</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SS</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14-20</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13-21</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kern w:val="2"/>
                      <w:sz w:val="21"/>
                      <w:szCs w:val="21"/>
                      <w:highlight w:val="none"/>
                      <w:lang w:val="en-US" w:eastAsia="zh-CN" w:bidi="ar-SA"/>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17.3</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15.7</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0.29</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0.26</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NH</w:t>
                  </w:r>
                  <w:r>
                    <w:rPr>
                      <w:rFonts w:hint="default" w:ascii="Times New Roman" w:hAnsi="Times New Roman" w:eastAsia="宋体" w:cs="Times New Roman"/>
                      <w:bCs/>
                      <w:color w:val="BF9000" w:themeColor="accent4" w:themeShade="BF"/>
                      <w:sz w:val="21"/>
                      <w:szCs w:val="21"/>
                      <w:highlight w:val="none"/>
                      <w:vertAlign w:val="subscript"/>
                      <w:lang w:val="en-US" w:eastAsia="zh-CN"/>
                    </w:rPr>
                    <w:t>3</w:t>
                  </w:r>
                  <w:r>
                    <w:rPr>
                      <w:rFonts w:hint="default" w:ascii="Times New Roman" w:hAnsi="Times New Roman" w:eastAsia="宋体" w:cs="Times New Roman"/>
                      <w:bCs/>
                      <w:color w:val="BF9000" w:themeColor="accent4" w:themeShade="BF"/>
                      <w:sz w:val="21"/>
                      <w:szCs w:val="21"/>
                      <w:highlight w:val="none"/>
                      <w:vertAlign w:val="baseline"/>
                      <w:lang w:val="en-US" w:eastAsia="zh-CN"/>
                    </w:rPr>
                    <w:t>-N</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7.58-8.62</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3.47-5.08</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5.64-7.22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8.1</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4.3</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5.4</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2.86</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总磷</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0.28-0.32</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0.1-0.15</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0.42-0.48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0.3</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0.13</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0.42</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总氮</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8.6-8.95</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8.88-9.14</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9.76-9.98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8.8</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9.0</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49" w:type="pct"/>
                  <w:vMerge w:val="continue"/>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kern w:val="2"/>
                      <w:sz w:val="21"/>
                      <w:szCs w:val="21"/>
                      <w:highlight w:val="none"/>
                      <w:lang w:val="en-US" w:eastAsia="zh-CN" w:bidi="ar-SA"/>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氟化物</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0.24-0.28</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0.27-0.29</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0.25-0.28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0.26</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0.28</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0.17</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0.19</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石油类</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0.05-0.07</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0.02-0.04</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0.04-0.06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0.06</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0.03</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0.12</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0.06</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阴离子表面活性剂</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0.24-0.34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0.29-0.31</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0.16-0.24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0.3</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0.3</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0.96</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0.99</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粪大肠菌群</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5.5×10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-7.1×10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3.9×10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-5.7×10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3.8×10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-5.2×10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6.3×10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4.7×10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4.5×10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4.2</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BOD</w:t>
                  </w:r>
                  <w:r>
                    <w:rPr>
                      <w:rFonts w:hint="default" w:ascii="Times New Roman" w:hAnsi="Times New Roman" w:eastAsia="宋体" w:cs="Times New Roman"/>
                      <w:bCs/>
                      <w:color w:val="BF9000" w:themeColor="accent4" w:themeShade="BF"/>
                      <w:sz w:val="21"/>
                      <w:szCs w:val="21"/>
                      <w:highlight w:val="none"/>
                      <w:vertAlign w:val="subscript"/>
                      <w:lang w:val="en-US" w:eastAsia="zh-CN"/>
                    </w:rPr>
                    <w:t>5</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4.8-5.8</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4.7-5.6</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5.3</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5.3</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0.88</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0.88</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0.72</w:t>
                  </w:r>
                </w:p>
              </w:tc>
            </w:tr>
          </w:tbl>
          <w:p>
            <w:pPr>
              <w:pStyle w:val="2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BF9000" w:themeColor="accent4" w:themeShade="BF"/>
                <w:highlight w:val="none"/>
                <w:lang w:val="en-US" w:eastAsia="zh-CN"/>
              </w:rPr>
            </w:pPr>
            <w:r>
              <w:rPr>
                <w:rFonts w:hint="default" w:ascii="Times New Roman" w:hAnsi="Times New Roman" w:eastAsia="宋体" w:cs="Times New Roman"/>
                <w:color w:val="BF9000" w:themeColor="accent4" w:themeShade="BF"/>
                <w:highlight w:val="none"/>
                <w:lang w:val="en-US" w:eastAsia="zh-CN"/>
              </w:rPr>
              <w:t>从上表可以看出，</w:t>
            </w:r>
            <w:r>
              <w:rPr>
                <w:rFonts w:hint="default" w:ascii="Times New Roman" w:hAnsi="Times New Roman" w:eastAsia="宋体" w:cs="Times New Roman"/>
                <w:color w:val="BF9000" w:themeColor="accent4" w:themeShade="BF"/>
                <w:sz w:val="24"/>
                <w:szCs w:val="24"/>
              </w:rPr>
              <w:t>石湾镇中心排渠监测断面（W7-W9）中氨氮、总磷、粪大肠菌群等不能满足《地表水环境质量标准》（GB3838-2002）Ⅳ类标准，其中氨氮最大超标倍数为5.40，粪大肠菌群最大超标倍数为1.20，总磷最大超标倍数为1.50，超标较严重。根据现场调查，造成石湾镇中心排渠的主要原因是流域周边市政污水管网不够完善，导致污水收集不完全，造成石湾镇中心排渠水质超标</w:t>
            </w:r>
            <w:r>
              <w:rPr>
                <w:rFonts w:hint="default" w:ascii="Times New Roman" w:hAnsi="Times New Roman" w:eastAsia="宋体" w:cs="Times New Roman"/>
                <w:color w:val="BF9000" w:themeColor="accent4" w:themeShade="BF"/>
                <w:highlight w:val="none"/>
                <w:lang w:val="en-US" w:eastAsia="zh-CN"/>
              </w:rPr>
              <w:t>。超标主要原因是受到沿线未经处理的生活和工业废水外排影响。随着该地市政污水管网以及污水集中处理工程的日益完善，城市生活污水和工业污水处理率的提高，纳污水体的环境质量将会逐渐改善。鉴于石湾中心排渠水质尚未达标的现状，本报告表提出以下削减方案：</w:t>
            </w:r>
          </w:p>
          <w:p>
            <w:pPr>
              <w:pStyle w:val="2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BF9000" w:themeColor="accent4" w:themeShade="BF"/>
                <w:highlight w:val="none"/>
                <w:lang w:val="en-US" w:eastAsia="zh-CN"/>
              </w:rPr>
            </w:pPr>
            <w:r>
              <w:rPr>
                <w:rFonts w:hint="default" w:ascii="Times New Roman" w:hAnsi="Times New Roman" w:eastAsia="宋体" w:cs="Times New Roman"/>
                <w:color w:val="BF9000" w:themeColor="accent4" w:themeShade="BF"/>
                <w:highlight w:val="none"/>
                <w:lang w:val="en-US" w:eastAsia="zh-CN"/>
              </w:rPr>
              <w:t>①加快片区生活污水处理厂管网的建设进度；片区内部分企业生活污水直接经隔油沉渣池+三级化粪池处理后排放，这是造成水质污染日益严重的重要原因。因此，随着片区内企业的增加，片区必须尽快完善管网的建设，以削减进入中心排渠的污染物总量。该区域实行产业结构调整和水污染控制工程体系建设及减排等措施。根据区域减排计划，主要是对污水处理设施及配套管网建设，对污水处理厂提标升级改造，以完成重点领域的减排计划。随区域内污水处理厂管网铺设的完善，城市生活污水得到有效处理，每年可削减大量的水污染物，将明显的地改善纳污水体的水环境质量。</w:t>
            </w:r>
          </w:p>
          <w:p>
            <w:pPr>
              <w:pStyle w:val="2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BF9000" w:themeColor="accent4" w:themeShade="BF"/>
                <w:highlight w:val="none"/>
                <w:lang w:val="en-US" w:eastAsia="zh-CN"/>
              </w:rPr>
            </w:pPr>
            <w:r>
              <w:rPr>
                <w:rFonts w:hint="default" w:ascii="Times New Roman" w:hAnsi="Times New Roman" w:eastAsia="宋体" w:cs="Times New Roman"/>
                <w:color w:val="BF9000" w:themeColor="accent4" w:themeShade="BF"/>
                <w:highlight w:val="none"/>
                <w:lang w:val="en-US" w:eastAsia="zh-CN"/>
              </w:rPr>
              <w:t>②清理河涌淤泥，并妥善处理处置。</w:t>
            </w:r>
          </w:p>
          <w:p>
            <w:pPr>
              <w:pStyle w:val="2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BF9000" w:themeColor="accent4" w:themeShade="BF"/>
                <w:highlight w:val="none"/>
                <w:lang w:val="en-US" w:eastAsia="zh-CN"/>
              </w:rPr>
            </w:pPr>
            <w:r>
              <w:rPr>
                <w:rFonts w:hint="default" w:ascii="Times New Roman" w:hAnsi="Times New Roman" w:eastAsia="宋体" w:cs="Times New Roman"/>
                <w:color w:val="BF9000" w:themeColor="accent4" w:themeShade="BF"/>
                <w:highlight w:val="none"/>
                <w:lang w:val="en-US" w:eastAsia="zh-CN"/>
              </w:rPr>
              <w:t>③促进企业实施清洁生产，尽可能将处理后的废水回用于绿化等方面，减少废水的产生和排放。</w:t>
            </w:r>
          </w:p>
          <w:p>
            <w:pPr>
              <w:pStyle w:val="2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BF9000" w:themeColor="accent4" w:themeShade="BF"/>
                <w:highlight w:val="none"/>
                <w:lang w:val="en-US" w:eastAsia="zh-CN"/>
              </w:rPr>
              <w:t>④加快石湾镇工业企业环境管理：石湾镇排污企业偷排、漏排不达标污水以及超水量排放污水也是造成排污渠、中心排渠污染的主要因素之一，因此，环境监察部门应严查严惩石湾镇偷排漏排企业，使企业做到达标且不超水量排放。</w:t>
            </w:r>
          </w:p>
          <w:p>
            <w:pPr>
              <w:adjustRightInd w:val="0"/>
              <w:snapToGrid w:val="0"/>
              <w:ind w:firstLine="482" w:firstLineChars="200"/>
              <w:rPr>
                <w:b/>
                <w:bCs/>
                <w:color w:val="auto"/>
                <w:highlight w:val="none"/>
              </w:rPr>
            </w:pPr>
            <w:r>
              <w:rPr>
                <w:rFonts w:hint="eastAsia"/>
                <w:b/>
                <w:bCs/>
                <w:color w:val="auto"/>
                <w:highlight w:val="none"/>
              </w:rPr>
              <w:t>3、声环境</w:t>
            </w:r>
          </w:p>
          <w:p>
            <w:pPr>
              <w:autoSpaceDE w:val="0"/>
              <w:autoSpaceDN w:val="0"/>
              <w:adjustRightInd w:val="0"/>
              <w:spacing w:line="360" w:lineRule="auto"/>
              <w:ind w:firstLine="480" w:firstLineChars="200"/>
              <w:jc w:val="left"/>
              <w:rPr>
                <w:rFonts w:hint="eastAsia" w:ascii="Times New Roman" w:hAnsi="Times New Roman" w:eastAsia="宋体" w:cs="Times New Roman"/>
                <w:snapToGrid w:val="0"/>
                <w:color w:val="auto"/>
                <w:kern w:val="0"/>
                <w:sz w:val="24"/>
                <w:highlight w:val="none"/>
              </w:rPr>
            </w:pPr>
            <w:r>
              <w:rPr>
                <w:rFonts w:hint="eastAsia" w:ascii="Times New Roman" w:hAnsi="Times New Roman" w:eastAsia="宋体" w:cs="Times New Roman"/>
                <w:snapToGrid w:val="0"/>
                <w:color w:val="auto"/>
                <w:kern w:val="0"/>
                <w:sz w:val="24"/>
                <w:highlight w:val="none"/>
              </w:rPr>
              <w:t>项目厂界外周边50米范围内不存在声环境保护目标，故无需对项目周边环境进行声环境质量现状监测。</w:t>
            </w:r>
          </w:p>
          <w:p>
            <w:pPr>
              <w:adjustRightInd w:val="0"/>
              <w:snapToGrid w:val="0"/>
              <w:ind w:firstLine="482" w:firstLineChars="200"/>
              <w:rPr>
                <w:b/>
                <w:bCs/>
                <w:color w:val="auto"/>
                <w:highlight w:val="none"/>
              </w:rPr>
            </w:pPr>
            <w:r>
              <w:rPr>
                <w:rFonts w:hint="eastAsia"/>
                <w:b/>
                <w:bCs/>
                <w:color w:val="auto"/>
                <w:highlight w:val="none"/>
              </w:rPr>
              <w:t>4、生态环境</w:t>
            </w:r>
          </w:p>
          <w:p>
            <w:pPr>
              <w:adjustRightInd w:val="0"/>
              <w:snapToGrid w:val="0"/>
              <w:ind w:firstLine="480" w:firstLineChars="200"/>
              <w:rPr>
                <w:color w:val="auto"/>
                <w:highlight w:val="none"/>
              </w:rPr>
            </w:pPr>
            <w:r>
              <w:rPr>
                <w:rFonts w:hint="eastAsia"/>
                <w:color w:val="auto"/>
                <w:highlight w:val="none"/>
                <w:lang w:eastAsia="zh-CN"/>
              </w:rPr>
              <w:t>扩建项目</w:t>
            </w:r>
            <w:r>
              <w:rPr>
                <w:rFonts w:hint="eastAsia"/>
                <w:color w:val="auto"/>
                <w:highlight w:val="none"/>
              </w:rPr>
              <w:t>位于</w:t>
            </w:r>
            <w:r>
              <w:rPr>
                <w:rFonts w:hint="eastAsia"/>
                <w:color w:val="auto"/>
                <w:highlight w:val="none"/>
                <w:lang w:val="en-US" w:eastAsia="zh-CN"/>
              </w:rPr>
              <w:t>现有项目厂区内</w:t>
            </w:r>
            <w:r>
              <w:rPr>
                <w:rFonts w:hint="eastAsia"/>
                <w:color w:val="auto"/>
                <w:highlight w:val="none"/>
              </w:rPr>
              <w:t>，不涉及新增用地。</w:t>
            </w:r>
          </w:p>
          <w:p>
            <w:pPr>
              <w:adjustRightInd w:val="0"/>
              <w:snapToGrid w:val="0"/>
              <w:ind w:firstLine="482" w:firstLineChars="200"/>
              <w:rPr>
                <w:b/>
                <w:bCs/>
                <w:color w:val="auto"/>
                <w:highlight w:val="none"/>
              </w:rPr>
            </w:pPr>
            <w:r>
              <w:rPr>
                <w:rFonts w:hint="eastAsia"/>
                <w:b/>
                <w:bCs/>
                <w:color w:val="auto"/>
                <w:highlight w:val="none"/>
              </w:rPr>
              <w:t>5、地下水、土壤环境</w:t>
            </w:r>
          </w:p>
          <w:p>
            <w:pPr>
              <w:adjustRightInd w:val="0"/>
              <w:snapToGrid w:val="0"/>
              <w:ind w:firstLine="480" w:firstLineChars="200"/>
              <w:rPr>
                <w:color w:val="auto"/>
              </w:rPr>
            </w:pPr>
            <w:r>
              <w:rPr>
                <w:rFonts w:hint="eastAsia"/>
                <w:color w:val="auto"/>
                <w:highlight w:val="none"/>
              </w:rPr>
              <w:t>用地范围内均进行硬底化，不存在土壤、地下水污染途径，因此，不进行土壤、地下水环境质量现状监测。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7" w:hRule="atLeast"/>
        </w:trPr>
        <w:tc>
          <w:tcPr>
            <w:tcW w:w="540" w:type="dxa"/>
            <w:vAlign w:val="center"/>
          </w:tcPr>
          <w:p>
            <w:pPr>
              <w:adjustRightInd w:val="0"/>
              <w:snapToGrid w:val="0"/>
              <w:jc w:val="center"/>
              <w:rPr>
                <w:rFonts w:ascii="宋体" w:hAnsi="宋体" w:cs="宋体"/>
                <w:b/>
                <w:bCs/>
                <w:color w:val="auto"/>
                <w:kern w:val="0"/>
                <w:szCs w:val="21"/>
              </w:rPr>
            </w:pPr>
            <w:r>
              <w:rPr>
                <w:rFonts w:hint="eastAsia" w:ascii="宋体" w:hAnsi="宋体" w:cs="宋体"/>
                <w:b/>
                <w:bCs/>
                <w:color w:val="auto"/>
                <w:kern w:val="0"/>
                <w:szCs w:val="21"/>
              </w:rPr>
              <w:t>环境</w:t>
            </w:r>
          </w:p>
          <w:p>
            <w:pPr>
              <w:adjustRightInd w:val="0"/>
              <w:snapToGrid w:val="0"/>
              <w:jc w:val="center"/>
              <w:rPr>
                <w:rFonts w:hint="eastAsia" w:ascii="Times New Roman" w:hAnsi="Times New Roman" w:eastAsia="宋体" w:cs="Times New Roman"/>
                <w:color w:val="auto"/>
                <w:kern w:val="2"/>
                <w:sz w:val="24"/>
                <w:szCs w:val="24"/>
                <w:lang w:val="en-US" w:eastAsia="zh-CN" w:bidi="ar-SA"/>
              </w:rPr>
            </w:pPr>
            <w:r>
              <w:rPr>
                <w:rFonts w:hint="eastAsia" w:ascii="宋体" w:hAnsi="宋体" w:cs="宋体"/>
                <w:b/>
                <w:bCs/>
                <w:color w:val="auto"/>
                <w:kern w:val="0"/>
                <w:szCs w:val="21"/>
              </w:rPr>
              <w:t>保护目标</w:t>
            </w:r>
          </w:p>
        </w:tc>
        <w:tc>
          <w:tcPr>
            <w:tcW w:w="9314" w:type="dxa"/>
            <w:vAlign w:val="top"/>
          </w:tcPr>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rPr>
              <w:t>1、大气环境</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cs="宋体"/>
                <w:color w:val="auto"/>
                <w:kern w:val="0"/>
                <w:szCs w:val="21"/>
                <w:lang w:val="en-US"/>
              </w:rPr>
            </w:pPr>
            <w:r>
              <w:rPr>
                <w:rFonts w:hint="eastAsia" w:ascii="Times New Roman" w:hAnsi="Times New Roman" w:eastAsia="宋体" w:cs="Times New Roman"/>
                <w:color w:val="auto"/>
                <w:lang w:val="zh-CN" w:eastAsia="zh-CN"/>
              </w:rPr>
              <w:t>根据现场踏勘，扩建项目厂界外</w:t>
            </w:r>
            <w:r>
              <w:rPr>
                <w:rFonts w:hint="default" w:ascii="Times New Roman" w:hAnsi="Times New Roman" w:eastAsia="宋体" w:cs="Times New Roman"/>
                <w:color w:val="auto"/>
                <w:lang w:val="zh-CN" w:eastAsia="zh-CN"/>
              </w:rPr>
              <w:t>500</w:t>
            </w:r>
            <w:r>
              <w:rPr>
                <w:rFonts w:hint="eastAsia" w:ascii="Times New Roman" w:hAnsi="Times New Roman" w:eastAsia="宋体" w:cs="Times New Roman"/>
                <w:color w:val="auto"/>
                <w:lang w:val="zh-CN" w:eastAsia="zh-CN"/>
              </w:rPr>
              <w:t>米范围内的环境保护目标主要</w:t>
            </w:r>
            <w:r>
              <w:rPr>
                <w:rFonts w:hint="eastAsia" w:cs="Times New Roman"/>
                <w:color w:val="auto"/>
                <w:lang w:val="en-US" w:eastAsia="zh-CN"/>
              </w:rPr>
              <w:t>如下表：</w:t>
            </w:r>
          </w:p>
          <w:p>
            <w:pPr>
              <w:pStyle w:val="44"/>
              <w:numPr>
                <w:ilvl w:val="0"/>
                <w:numId w:val="9"/>
              </w:numPr>
              <w:tabs>
                <w:tab w:val="clear" w:pos="0"/>
              </w:tabs>
              <w:bidi w:val="0"/>
              <w:ind w:left="0" w:leftChars="0" w:firstLine="403" w:firstLineChars="0"/>
              <w:rPr>
                <w:color w:val="auto"/>
              </w:rPr>
            </w:pPr>
            <w:r>
              <w:rPr>
                <w:rFonts w:hint="eastAsia"/>
                <w:color w:val="auto"/>
              </w:rPr>
              <w:t>项目大气环境敏感保护目标一览表</w:t>
            </w:r>
          </w:p>
          <w:tbl>
            <w:tblPr>
              <w:tblStyle w:val="29"/>
              <w:tblW w:w="9219" w:type="dxa"/>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83"/>
              <w:gridCol w:w="1572"/>
              <w:gridCol w:w="1382"/>
              <w:gridCol w:w="945"/>
              <w:gridCol w:w="1065"/>
              <w:gridCol w:w="1079"/>
              <w:gridCol w:w="930"/>
              <w:gridCol w:w="1063"/>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642" w:type="pct"/>
                  <w:vMerge w:val="restart"/>
                  <w:tcBorders>
                    <w:left w:val="single" w:color="auto" w:sz="0"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敏感点</w:t>
                  </w:r>
                </w:p>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名称</w:t>
                  </w:r>
                </w:p>
              </w:tc>
              <w:tc>
                <w:tcPr>
                  <w:tcW w:w="1601" w:type="pct"/>
                  <w:gridSpan w:val="2"/>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坐标</w:t>
                  </w:r>
                </w:p>
              </w:tc>
              <w:tc>
                <w:tcPr>
                  <w:tcW w:w="512"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保护对象</w:t>
                  </w:r>
                </w:p>
              </w:tc>
              <w:tc>
                <w:tcPr>
                  <w:tcW w:w="577"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保护内容/人</w:t>
                  </w:r>
                </w:p>
              </w:tc>
              <w:tc>
                <w:tcPr>
                  <w:tcW w:w="585"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环境功能区</w:t>
                  </w:r>
                </w:p>
              </w:tc>
              <w:tc>
                <w:tcPr>
                  <w:tcW w:w="504"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相对厂址方位</w:t>
                  </w:r>
                </w:p>
              </w:tc>
              <w:tc>
                <w:tcPr>
                  <w:tcW w:w="576"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相对厂界距离/m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642"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p>
              </w:tc>
              <w:tc>
                <w:tcPr>
                  <w:tcW w:w="85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E</w:t>
                  </w:r>
                </w:p>
              </w:tc>
              <w:tc>
                <w:tcPr>
                  <w:tcW w:w="748"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N</w:t>
                  </w:r>
                </w:p>
              </w:tc>
              <w:tc>
                <w:tcPr>
                  <w:tcW w:w="512"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77"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85"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04"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76"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7" w:hRule="atLeast"/>
                <w:jc w:val="center"/>
              </w:trPr>
              <w:tc>
                <w:tcPr>
                  <w:tcW w:w="64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京师荟成学校</w:t>
                  </w:r>
                </w:p>
              </w:tc>
              <w:tc>
                <w:tcPr>
                  <w:tcW w:w="8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FF0000"/>
                      <w:sz w:val="21"/>
                      <w:szCs w:val="21"/>
                      <w:highlight w:val="none"/>
                      <w:lang w:val="en-US" w:eastAsia="zh-CN"/>
                    </w:rPr>
                  </w:pPr>
                  <w:r>
                    <w:rPr>
                      <w:rFonts w:hint="default" w:ascii="Times New Roman" w:hAnsi="Times New Roman" w:eastAsia="宋体" w:cs="Times New Roman"/>
                      <w:bCs/>
                      <w:color w:val="FF0000"/>
                      <w:sz w:val="21"/>
                      <w:szCs w:val="21"/>
                      <w:highlight w:val="none"/>
                      <w:lang w:val="en-US" w:eastAsia="zh-CN"/>
                    </w:rPr>
                    <w:t>113°53′23.298″</w:t>
                  </w:r>
                </w:p>
              </w:tc>
              <w:tc>
                <w:tcPr>
                  <w:tcW w:w="74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FF0000"/>
                      <w:sz w:val="21"/>
                      <w:szCs w:val="21"/>
                      <w:highlight w:val="none"/>
                      <w:lang w:val="en-US" w:eastAsia="zh-CN"/>
                    </w:rPr>
                  </w:pPr>
                  <w:r>
                    <w:rPr>
                      <w:rFonts w:hint="default" w:ascii="Times New Roman" w:hAnsi="Times New Roman" w:eastAsia="宋体" w:cs="Times New Roman"/>
                      <w:bCs/>
                      <w:color w:val="FF0000"/>
                      <w:sz w:val="21"/>
                      <w:szCs w:val="21"/>
                      <w:highlight w:val="none"/>
                      <w:lang w:val="en-US" w:eastAsia="zh-CN"/>
                    </w:rPr>
                    <w:t>23°8′21.192″</w:t>
                  </w:r>
                </w:p>
              </w:tc>
              <w:tc>
                <w:tcPr>
                  <w:tcW w:w="51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居民区</w:t>
                  </w:r>
                </w:p>
              </w:tc>
              <w:tc>
                <w:tcPr>
                  <w:tcW w:w="577"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约</w:t>
                  </w:r>
                  <w:r>
                    <w:rPr>
                      <w:rFonts w:hint="eastAsia" w:cs="Times New Roman"/>
                      <w:bCs/>
                      <w:color w:val="auto"/>
                      <w:sz w:val="21"/>
                      <w:szCs w:val="21"/>
                      <w:lang w:val="en-US" w:eastAsia="zh-CN"/>
                    </w:rPr>
                    <w:t>200</w:t>
                  </w:r>
                </w:p>
              </w:tc>
              <w:tc>
                <w:tcPr>
                  <w:tcW w:w="585" w:type="pct"/>
                  <w:vMerge w:val="restart"/>
                  <w:tcBorders>
                    <w:top w:val="single" w:color="auto" w:sz="4" w:space="0"/>
                    <w:left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大气环境二类区</w:t>
                  </w:r>
                </w:p>
              </w:tc>
              <w:tc>
                <w:tcPr>
                  <w:tcW w:w="504"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西</w:t>
                  </w:r>
                </w:p>
              </w:tc>
              <w:tc>
                <w:tcPr>
                  <w:tcW w:w="576"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470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5" w:hRule="atLeast"/>
                <w:jc w:val="center"/>
              </w:trPr>
              <w:tc>
                <w:tcPr>
                  <w:tcW w:w="64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丽豪酒店</w:t>
                  </w:r>
                </w:p>
              </w:tc>
              <w:tc>
                <w:tcPr>
                  <w:tcW w:w="8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FF0000"/>
                      <w:sz w:val="21"/>
                      <w:szCs w:val="21"/>
                      <w:lang w:val="en-US" w:eastAsia="zh-CN"/>
                    </w:rPr>
                  </w:pPr>
                  <w:r>
                    <w:rPr>
                      <w:rFonts w:hint="default" w:ascii="Times New Roman" w:hAnsi="Times New Roman" w:eastAsia="宋体" w:cs="Times New Roman"/>
                      <w:bCs/>
                      <w:color w:val="FF0000"/>
                      <w:sz w:val="21"/>
                      <w:szCs w:val="21"/>
                      <w:lang w:val="en-US" w:eastAsia="zh-CN"/>
                    </w:rPr>
                    <w:t>113°53′26.235″</w:t>
                  </w:r>
                </w:p>
              </w:tc>
              <w:tc>
                <w:tcPr>
                  <w:tcW w:w="74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FF0000"/>
                      <w:sz w:val="21"/>
                      <w:szCs w:val="21"/>
                      <w:lang w:val="en-US" w:eastAsia="zh-CN"/>
                    </w:rPr>
                  </w:pPr>
                  <w:r>
                    <w:rPr>
                      <w:rFonts w:hint="default" w:ascii="Times New Roman" w:hAnsi="Times New Roman" w:eastAsia="宋体" w:cs="Times New Roman"/>
                      <w:bCs/>
                      <w:color w:val="FF0000"/>
                      <w:sz w:val="21"/>
                      <w:szCs w:val="21"/>
                      <w:lang w:val="en-US" w:eastAsia="zh-CN"/>
                    </w:rPr>
                    <w:t>23°8′13.815″</w:t>
                  </w:r>
                </w:p>
              </w:tc>
              <w:tc>
                <w:tcPr>
                  <w:tcW w:w="51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居民区</w:t>
                  </w:r>
                </w:p>
              </w:tc>
              <w:tc>
                <w:tcPr>
                  <w:tcW w:w="577"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约10</w:t>
                  </w:r>
                  <w:r>
                    <w:rPr>
                      <w:rFonts w:hint="eastAsia" w:cs="Times New Roman"/>
                      <w:bCs/>
                      <w:color w:val="auto"/>
                      <w:sz w:val="21"/>
                      <w:szCs w:val="21"/>
                      <w:lang w:val="en-US" w:eastAsia="zh-CN"/>
                    </w:rPr>
                    <w:t>6</w:t>
                  </w:r>
                  <w:r>
                    <w:rPr>
                      <w:rFonts w:hint="default" w:ascii="Times New Roman" w:hAnsi="Times New Roman" w:eastAsia="宋体" w:cs="Times New Roman"/>
                      <w:bCs/>
                      <w:color w:val="auto"/>
                      <w:sz w:val="21"/>
                      <w:szCs w:val="21"/>
                      <w:lang w:val="en-US" w:eastAsia="zh-CN"/>
                    </w:rPr>
                    <w:t>0</w:t>
                  </w:r>
                </w:p>
              </w:tc>
              <w:tc>
                <w:tcPr>
                  <w:tcW w:w="585" w:type="pct"/>
                  <w:vMerge w:val="continue"/>
                  <w:tcBorders>
                    <w:left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04"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西南</w:t>
                  </w:r>
                </w:p>
              </w:tc>
              <w:tc>
                <w:tcPr>
                  <w:tcW w:w="576"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380</w:t>
                  </w:r>
                </w:p>
              </w:tc>
            </w:tr>
          </w:tbl>
          <w:p>
            <w:pPr>
              <w:numPr>
                <w:ilvl w:val="0"/>
                <w:numId w:val="0"/>
              </w:numPr>
              <w:adjustRightInd w:val="0"/>
              <w:snapToGrid w:val="0"/>
              <w:rPr>
                <w:rFonts w:ascii="宋体" w:hAnsi="宋体" w:cs="宋体"/>
                <w:b/>
                <w:bCs/>
                <w:color w:val="auto"/>
                <w:kern w:val="0"/>
                <w:szCs w:val="21"/>
              </w:rPr>
            </w:pPr>
            <w:r>
              <w:rPr>
                <w:rFonts w:hint="eastAsia" w:ascii="宋体" w:hAnsi="宋体" w:cs="宋体"/>
                <w:b/>
                <w:bCs/>
                <w:color w:val="auto"/>
                <w:kern w:val="0"/>
                <w:szCs w:val="21"/>
                <w:lang w:val="en-US" w:eastAsia="zh-CN"/>
              </w:rPr>
              <w:t xml:space="preserve">  </w:t>
            </w:r>
            <w:r>
              <w:rPr>
                <w:rFonts w:hint="default" w:ascii="Times New Roman" w:hAnsi="Times New Roman" w:cs="Times New Roman"/>
                <w:b/>
                <w:bCs/>
                <w:color w:val="auto"/>
                <w:kern w:val="0"/>
                <w:szCs w:val="21"/>
                <w:lang w:val="en-US" w:eastAsia="zh-CN"/>
              </w:rPr>
              <w:t xml:space="preserve">  2、</w:t>
            </w:r>
            <w:r>
              <w:rPr>
                <w:rFonts w:hint="default" w:ascii="Times New Roman" w:hAnsi="Times New Roman" w:cs="Times New Roman"/>
                <w:b/>
                <w:bCs/>
                <w:color w:val="auto"/>
                <w:kern w:val="0"/>
                <w:szCs w:val="21"/>
              </w:rPr>
              <w:t>声环境</w:t>
            </w:r>
          </w:p>
          <w:p>
            <w:pPr>
              <w:adjustRightInd w:val="0"/>
              <w:snapToGrid w:val="0"/>
              <w:ind w:firstLine="480" w:firstLineChars="200"/>
              <w:rPr>
                <w:color w:val="auto"/>
              </w:rPr>
            </w:pPr>
            <w:r>
              <w:rPr>
                <w:rFonts w:hint="eastAsia" w:ascii="宋体" w:hAnsi="宋体" w:cs="宋体"/>
                <w:color w:val="auto"/>
                <w:kern w:val="0"/>
                <w:lang w:bidi="ar"/>
              </w:rPr>
              <w:t>厂界外</w:t>
            </w:r>
            <w:r>
              <w:rPr>
                <w:color w:val="auto"/>
                <w:kern w:val="0"/>
                <w:lang w:bidi="ar"/>
              </w:rPr>
              <w:t>50m</w:t>
            </w:r>
            <w:r>
              <w:rPr>
                <w:rFonts w:hint="eastAsia" w:ascii="宋体" w:hAnsi="宋体" w:cs="宋体"/>
                <w:color w:val="auto"/>
                <w:kern w:val="0"/>
                <w:lang w:bidi="ar"/>
              </w:rPr>
              <w:t>范围内没有声环境保护目标。</w:t>
            </w:r>
          </w:p>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rPr>
              <w:t>3、地下水环境</w:t>
            </w:r>
          </w:p>
          <w:p>
            <w:pPr>
              <w:adjustRightInd w:val="0"/>
              <w:snapToGrid w:val="0"/>
              <w:ind w:firstLine="480" w:firstLineChars="200"/>
              <w:rPr>
                <w:rFonts w:ascii="宋体" w:hAnsi="宋体" w:cs="宋体"/>
                <w:color w:val="auto"/>
                <w:kern w:val="0"/>
                <w:szCs w:val="21"/>
              </w:rPr>
            </w:pPr>
            <w:r>
              <w:rPr>
                <w:color w:val="auto"/>
                <w:kern w:val="0"/>
                <w:szCs w:val="21"/>
              </w:rPr>
              <w:t>厂界外500m范围内无地下水集中式使用水水源和热水、矿泉水、温泉等特殊地下水资源。</w:t>
            </w:r>
          </w:p>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rPr>
              <w:t>4、生态环境</w:t>
            </w:r>
          </w:p>
          <w:p>
            <w:pPr>
              <w:adjustRightInd w:val="0"/>
              <w:snapToGrid w:val="0"/>
              <w:ind w:firstLine="480" w:firstLineChars="200"/>
              <w:rPr>
                <w:rFonts w:hint="eastAsia" w:ascii="宋体" w:hAnsi="宋体" w:eastAsia="宋体" w:cs="宋体"/>
                <w:color w:val="auto"/>
                <w:kern w:val="0"/>
                <w:sz w:val="24"/>
                <w:szCs w:val="21"/>
                <w:lang w:val="en-US" w:eastAsia="zh-CN" w:bidi="ar-SA"/>
              </w:rPr>
            </w:pPr>
            <w:r>
              <w:rPr>
                <w:rFonts w:hint="eastAsia"/>
                <w:color w:val="auto"/>
                <w:lang w:eastAsia="zh-CN"/>
              </w:rPr>
              <w:t>扩建项目</w:t>
            </w:r>
            <w:r>
              <w:rPr>
                <w:rFonts w:hint="eastAsia"/>
                <w:color w:val="auto"/>
              </w:rPr>
              <w:t>位于</w:t>
            </w:r>
            <w:r>
              <w:rPr>
                <w:rFonts w:hint="eastAsia"/>
                <w:color w:val="auto"/>
                <w:lang w:val="en-US" w:eastAsia="zh-CN"/>
              </w:rPr>
              <w:t>现有项目厂区内</w:t>
            </w:r>
            <w:r>
              <w:rPr>
                <w:rFonts w:hint="eastAsia"/>
                <w:color w:val="auto"/>
              </w:rPr>
              <w:t>，不涉及新增用地，无生态环境保护目标</w:t>
            </w:r>
            <w:r>
              <w:rPr>
                <w:rFonts w:hint="eastAsia" w:ascii="宋体" w:hAnsi="宋体" w:cs="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污染</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物排</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放控</w:t>
            </w:r>
          </w:p>
          <w:p>
            <w:pPr>
              <w:adjustRightInd w:val="0"/>
              <w:snapToGrid w:val="0"/>
              <w:jc w:val="center"/>
              <w:rPr>
                <w:color w:val="auto"/>
              </w:rPr>
            </w:pPr>
            <w:r>
              <w:rPr>
                <w:rFonts w:hint="eastAsia" w:ascii="宋体" w:hAnsi="宋体" w:cs="宋体"/>
                <w:color w:val="auto"/>
                <w:kern w:val="0"/>
                <w:szCs w:val="21"/>
              </w:rPr>
              <w:t>制标准</w:t>
            </w:r>
          </w:p>
        </w:tc>
        <w:tc>
          <w:tcPr>
            <w:tcW w:w="9314"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lang w:val="en-US" w:eastAsia="zh-CN"/>
              </w:rPr>
              <w:t>1、</w:t>
            </w:r>
            <w:r>
              <w:rPr>
                <w:rFonts w:hint="eastAsia" w:ascii="宋体" w:hAnsi="宋体" w:eastAsia="宋体" w:cs="宋体"/>
                <w:b/>
                <w:bCs/>
                <w:color w:val="auto"/>
                <w:kern w:val="0"/>
                <w:szCs w:val="21"/>
                <w:highlight w:val="none"/>
                <w:lang w:val="en-US" w:eastAsia="zh-CN"/>
              </w:rPr>
              <w:t>水污染物排放标准</w:t>
            </w:r>
          </w:p>
          <w:p>
            <w:pPr>
              <w:pStyle w:val="17"/>
              <w:keepNext w:val="0"/>
              <w:keepLines w:val="0"/>
              <w:pageBreakBefore w:val="0"/>
              <w:widowControl w:val="0"/>
              <w:numPr>
                <w:ilvl w:val="0"/>
                <w:numId w:val="0"/>
              </w:numPr>
              <w:kinsoku/>
              <w:wordWrap/>
              <w:overflowPunct/>
              <w:topLinePunct w:val="0"/>
              <w:bidi w:val="0"/>
              <w:ind w:firstLine="480" w:firstLineChars="200"/>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w:t>
            </w:r>
            <w:r>
              <w:rPr>
                <w:rFonts w:hint="default" w:ascii="Times New Roman" w:hAnsi="Times New Roman" w:eastAsia="宋体" w:cs="Times New Roman"/>
                <w:b w:val="0"/>
                <w:bCs w:val="0"/>
                <w:color w:val="auto"/>
                <w:kern w:val="2"/>
                <w:sz w:val="24"/>
                <w:szCs w:val="24"/>
                <w:highlight w:val="none"/>
                <w:lang w:val="en-US" w:eastAsia="zh-CN" w:bidi="ar-SA"/>
              </w:rPr>
              <w:t>项目无新增员工，故无新增生活污水的产生和排放</w:t>
            </w:r>
            <w:r>
              <w:rPr>
                <w:rFonts w:hint="eastAsia" w:ascii="Times New Roman" w:hAnsi="Times New Roman" w:eastAsia="宋体" w:cs="Times New Roman"/>
                <w:b w:val="0"/>
                <w:bCs w:val="0"/>
                <w:color w:val="auto"/>
                <w:kern w:val="2"/>
                <w:sz w:val="24"/>
                <w:szCs w:val="24"/>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textAlignment w:val="auto"/>
              <w:rPr>
                <w:b/>
                <w:bCs/>
                <w:color w:val="auto"/>
                <w:highlight w:val="none"/>
              </w:rPr>
            </w:pP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大气污染物排放标准</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b/>
                <w:bCs/>
                <w:color w:val="auto"/>
                <w:highlight w:val="none"/>
                <w:lang w:val="en-US" w:eastAsia="zh-CN"/>
              </w:rPr>
            </w:pPr>
            <w:r>
              <w:rPr>
                <w:rFonts w:hint="eastAsia"/>
                <w:b/>
                <w:bCs/>
                <w:color w:val="auto"/>
                <w:highlight w:val="none"/>
                <w:lang w:eastAsia="zh-CN"/>
              </w:rPr>
              <w:t>（</w:t>
            </w:r>
            <w:r>
              <w:rPr>
                <w:rFonts w:hint="eastAsia"/>
                <w:b/>
                <w:bCs/>
                <w:color w:val="auto"/>
                <w:highlight w:val="none"/>
                <w:lang w:val="en-US" w:eastAsia="zh-CN"/>
              </w:rPr>
              <w:t>1</w:t>
            </w:r>
            <w:r>
              <w:rPr>
                <w:rFonts w:hint="eastAsia"/>
                <w:b/>
                <w:bCs/>
                <w:color w:val="auto"/>
                <w:highlight w:val="none"/>
                <w:lang w:eastAsia="zh-CN"/>
              </w:rPr>
              <w:t>）</w:t>
            </w:r>
            <w:r>
              <w:rPr>
                <w:rFonts w:hint="eastAsia"/>
                <w:b/>
                <w:bCs/>
                <w:color w:val="auto"/>
                <w:highlight w:val="none"/>
                <w:lang w:val="en-US" w:eastAsia="zh-CN"/>
              </w:rPr>
              <w:t>注塑工序产生的非甲烷总烃、臭气浓度</w:t>
            </w:r>
          </w:p>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cs="Times New Roman"/>
                <w:b w:val="0"/>
                <w:bCs w:val="0"/>
                <w:color w:val="BF9000" w:themeColor="accent4" w:themeShade="BF"/>
                <w:sz w:val="24"/>
                <w:szCs w:val="24"/>
                <w:highlight w:val="none"/>
                <w:lang w:val="en-US" w:eastAsia="zh-CN"/>
              </w:rPr>
            </w:pPr>
            <w:r>
              <w:rPr>
                <w:rFonts w:hint="eastAsia" w:cs="Times New Roman"/>
                <w:b w:val="0"/>
                <w:bCs w:val="0"/>
                <w:color w:val="BF9000" w:themeColor="accent4" w:themeShade="BF"/>
                <w:sz w:val="24"/>
                <w:szCs w:val="24"/>
                <w:highlight w:val="none"/>
                <w:lang w:val="en-US" w:eastAsia="zh-CN"/>
              </w:rPr>
              <w:t>现有项目注塑废气的处理设施为1套“二级活性炭吸附装置”，本次</w:t>
            </w:r>
            <w:r>
              <w:rPr>
                <w:rFonts w:hint="eastAsia" w:cs="Times New Roman"/>
                <w:color w:val="BF9000" w:themeColor="accent4" w:themeShade="BF"/>
                <w:sz w:val="24"/>
                <w:szCs w:val="24"/>
                <w:highlight w:val="none"/>
                <w:lang w:val="en-US" w:eastAsia="zh-CN"/>
              </w:rPr>
              <w:t>扩建拟在该废气处理设施前加上“水喷淋+干式过滤器”除去注塑过程中产生的少量油雾。扩建</w:t>
            </w:r>
            <w:r>
              <w:rPr>
                <w:rFonts w:hint="eastAsia" w:cs="Times New Roman"/>
                <w:b w:val="0"/>
                <w:bCs w:val="0"/>
                <w:color w:val="BF9000" w:themeColor="accent4" w:themeShade="BF"/>
                <w:sz w:val="24"/>
                <w:szCs w:val="24"/>
                <w:highlight w:val="none"/>
                <w:lang w:val="en-US" w:eastAsia="zh-CN"/>
              </w:rPr>
              <w:t>项目注塑成型工序产生的非甲烷总烃经集气罩收集后，并入整改后的废气处理设施处理达标后经现有的15m高的排气筒DA001排放。</w:t>
            </w:r>
          </w:p>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b w:val="0"/>
                <w:bCs w:val="0"/>
                <w:color w:val="BF9000" w:themeColor="accent4" w:themeShade="BF"/>
                <w:highlight w:val="none"/>
                <w:lang w:val="en-US" w:eastAsia="zh-CN"/>
              </w:rPr>
            </w:pPr>
            <w:r>
              <w:rPr>
                <w:rFonts w:hint="eastAsia"/>
                <w:b w:val="0"/>
                <w:bCs w:val="0"/>
                <w:color w:val="BF9000" w:themeColor="accent4" w:themeShade="BF"/>
                <w:highlight w:val="none"/>
                <w:lang w:val="en-US" w:eastAsia="zh-CN"/>
              </w:rPr>
              <w:t>注塑工序产生的非甲烷总烃有组织及无组织排放分别执行《合成树脂工业污染物排放标准》（GB31572-2015）中表5污染物特别排放限值及表9企业边界大气污染物浓度限值；臭气浓度</w:t>
            </w:r>
            <w:r>
              <w:rPr>
                <w:rFonts w:hint="eastAsia" w:ascii="Times New Roman" w:hAnsi="Times New Roman" w:eastAsia="宋体" w:cs="Times New Roman"/>
                <w:b w:val="0"/>
                <w:bCs w:val="0"/>
                <w:color w:val="BF9000" w:themeColor="accent4" w:themeShade="BF"/>
                <w:highlight w:val="none"/>
                <w:lang w:val="en-US" w:eastAsia="zh-CN"/>
              </w:rPr>
              <w:t>有组织及无组织排放执行 《恶臭污染物排放标准》（GB14554-93）表2二级标准中的新改扩建标准及</w:t>
            </w:r>
            <w:r>
              <w:rPr>
                <w:rFonts w:hint="eastAsia"/>
                <w:b w:val="0"/>
                <w:bCs w:val="0"/>
                <w:color w:val="BF9000" w:themeColor="accent4" w:themeShade="BF"/>
                <w:highlight w:val="none"/>
                <w:lang w:val="en-US" w:eastAsia="zh-CN"/>
              </w:rPr>
              <w:t>表1厂界排放限值要求。</w:t>
            </w:r>
          </w:p>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color w:val="BF9000" w:themeColor="accent4" w:themeShade="BF"/>
                <w:highlight w:val="none"/>
              </w:rPr>
            </w:pPr>
            <w:r>
              <w:rPr>
                <w:rFonts w:hint="eastAsia" w:ascii="Times New Roman" w:hAnsi="Times New Roman" w:eastAsia="宋体" w:cs="Times New Roman"/>
                <w:b w:val="0"/>
                <w:bCs w:val="0"/>
                <w:color w:val="BF9000" w:themeColor="accent4" w:themeShade="BF"/>
                <w:highlight w:val="none"/>
              </w:rPr>
              <w:t>厂</w:t>
            </w:r>
            <w:r>
              <w:rPr>
                <w:rFonts w:hint="eastAsia"/>
                <w:color w:val="BF9000" w:themeColor="accent4" w:themeShade="BF"/>
                <w:highlight w:val="none"/>
              </w:rPr>
              <w:t>区内</w:t>
            </w:r>
            <w:r>
              <w:rPr>
                <w:rFonts w:hint="eastAsia"/>
                <w:color w:val="BF9000" w:themeColor="accent4" w:themeShade="BF"/>
                <w:highlight w:val="none"/>
                <w:lang w:val="en-US" w:eastAsia="zh-CN"/>
              </w:rPr>
              <w:t>有机废气</w:t>
            </w:r>
            <w:r>
              <w:rPr>
                <w:rFonts w:hint="eastAsia"/>
                <w:color w:val="BF9000" w:themeColor="accent4" w:themeShade="BF"/>
                <w:highlight w:val="none"/>
              </w:rPr>
              <w:t>无组织排放监控点浓度执行广东省地方标准《固定污染源挥发性有机物综合排放标准》（DB44/2367-2022）中的表3厂区内无组织排放限值。</w:t>
            </w:r>
          </w:p>
          <w:p>
            <w:pPr>
              <w:keepNext w:val="0"/>
              <w:keepLines w:val="0"/>
              <w:pageBreakBefore w:val="0"/>
              <w:widowControl w:val="0"/>
              <w:kinsoku/>
              <w:wordWrap/>
              <w:overflowPunct/>
              <w:topLinePunct w:val="0"/>
              <w:bidi w:val="0"/>
              <w:adjustRightInd w:val="0"/>
              <w:snapToGrid w:val="0"/>
              <w:ind w:firstLine="482" w:firstLineChars="200"/>
              <w:textAlignment w:val="auto"/>
              <w:rPr>
                <w:rFonts w:hint="eastAsia" w:eastAsia="宋体"/>
                <w:b/>
                <w:bCs/>
                <w:color w:val="auto"/>
                <w:highlight w:val="none"/>
                <w:lang w:val="en-US" w:eastAsia="zh-CN"/>
              </w:rPr>
            </w:pPr>
            <w:r>
              <w:rPr>
                <w:rFonts w:hint="eastAsia"/>
                <w:b/>
                <w:bCs/>
                <w:color w:val="auto"/>
                <w:highlight w:val="none"/>
                <w:lang w:val="en-US" w:eastAsia="zh-CN"/>
              </w:rPr>
              <w:t>（2）混料、破碎</w:t>
            </w:r>
            <w:r>
              <w:rPr>
                <w:rFonts w:hint="eastAsia"/>
                <w:b/>
                <w:bCs/>
                <w:color w:val="auto"/>
                <w:highlight w:val="none"/>
              </w:rPr>
              <w:t>过程中产生的</w:t>
            </w:r>
            <w:r>
              <w:rPr>
                <w:rFonts w:hint="eastAsia"/>
                <w:b/>
                <w:bCs/>
                <w:color w:val="auto"/>
                <w:highlight w:val="none"/>
                <w:lang w:val="en-US" w:eastAsia="zh-CN"/>
              </w:rPr>
              <w:t>颗粒物</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olor w:val="BF9000" w:themeColor="accent4" w:themeShade="BF"/>
                <w:highlight w:val="none"/>
                <w:lang w:val="en-US" w:eastAsia="zh-CN"/>
              </w:rPr>
            </w:pPr>
            <w:r>
              <w:rPr>
                <w:rFonts w:hint="eastAsia"/>
                <w:color w:val="BF9000" w:themeColor="accent4" w:themeShade="BF"/>
                <w:highlight w:val="none"/>
                <w:lang w:val="en-US" w:eastAsia="zh-CN"/>
              </w:rPr>
              <w:t>扩建项目混料及破碎工序产生的粉尘经集气罩收集后经1套“布袋除尘器”装置处理达标后经1根15m高的排气筒DA002排放。</w:t>
            </w:r>
          </w:p>
          <w:p>
            <w:pPr>
              <w:keepNext w:val="0"/>
              <w:keepLines w:val="0"/>
              <w:pageBreakBefore w:val="0"/>
              <w:widowControl w:val="0"/>
              <w:kinsoku/>
              <w:wordWrap/>
              <w:overflowPunct/>
              <w:topLinePunct w:val="0"/>
              <w:bidi w:val="0"/>
              <w:adjustRightInd w:val="0"/>
              <w:snapToGrid w:val="0"/>
              <w:ind w:firstLine="480" w:firstLineChars="200"/>
              <w:textAlignment w:val="auto"/>
              <w:rPr>
                <w:color w:val="BF9000" w:themeColor="accent4" w:themeShade="BF"/>
                <w:highlight w:val="none"/>
              </w:rPr>
            </w:pPr>
            <w:r>
              <w:rPr>
                <w:rFonts w:hint="eastAsia"/>
                <w:color w:val="BF9000" w:themeColor="accent4" w:themeShade="BF"/>
                <w:highlight w:val="none"/>
                <w:lang w:val="en-US" w:eastAsia="zh-CN"/>
              </w:rPr>
              <w:t>混料、破碎过程中产生的粉尘（以颗粒物表征）有组织及无组织排放</w:t>
            </w:r>
            <w:r>
              <w:rPr>
                <w:rFonts w:hint="eastAsia"/>
                <w:color w:val="BF9000" w:themeColor="accent4" w:themeShade="BF"/>
                <w:highlight w:val="none"/>
              </w:rPr>
              <w:t>执行《合成树脂工业污染物排放标准》（GB31572-2015）中表5污染物特别排放限值</w:t>
            </w:r>
            <w:r>
              <w:rPr>
                <w:rFonts w:hint="eastAsia"/>
                <w:color w:val="BF9000" w:themeColor="accent4" w:themeShade="BF"/>
                <w:highlight w:val="none"/>
                <w:lang w:val="en-US" w:eastAsia="zh-CN"/>
              </w:rPr>
              <w:t>及表9排放限值</w:t>
            </w:r>
            <w:r>
              <w:rPr>
                <w:rFonts w:hint="eastAsia"/>
                <w:color w:val="BF9000" w:themeColor="accent4" w:themeShade="BF"/>
                <w:highlight w:val="none"/>
                <w:lang w:eastAsia="zh-CN"/>
              </w:rPr>
              <w:t>；</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eastAsia="宋体"/>
                <w:color w:val="auto"/>
                <w:highlight w:val="none"/>
                <w:lang w:val="en-US" w:eastAsia="zh-CN"/>
              </w:rPr>
            </w:pPr>
            <w:r>
              <w:rPr>
                <w:rFonts w:hint="eastAsia" w:cs="Times New Roman"/>
                <w:b/>
                <w:bCs/>
                <w:color w:val="auto"/>
                <w:highlight w:val="none"/>
                <w:lang w:eastAsia="zh-CN"/>
              </w:rPr>
              <w:t>（</w:t>
            </w:r>
            <w:r>
              <w:rPr>
                <w:rFonts w:hint="eastAsia" w:cs="Times New Roman"/>
                <w:b/>
                <w:bCs/>
                <w:color w:val="auto"/>
                <w:highlight w:val="none"/>
                <w:lang w:val="en-US" w:eastAsia="zh-CN"/>
              </w:rPr>
              <w:t>3</w:t>
            </w:r>
            <w:r>
              <w:rPr>
                <w:rFonts w:hint="eastAsia" w:cs="Times New Roman"/>
                <w:b/>
                <w:bCs/>
                <w:color w:val="auto"/>
                <w:highlight w:val="none"/>
                <w:lang w:eastAsia="zh-CN"/>
              </w:rPr>
              <w:t>）</w:t>
            </w:r>
            <w:r>
              <w:rPr>
                <w:rFonts w:hint="eastAsia"/>
                <w:b/>
                <w:bCs/>
                <w:color w:val="auto"/>
                <w:highlight w:val="none"/>
                <w:lang w:val="en-US" w:eastAsia="zh-CN"/>
              </w:rPr>
              <w:t>喷漆</w:t>
            </w:r>
            <w:r>
              <w:rPr>
                <w:rFonts w:hint="eastAsia"/>
                <w:b/>
                <w:bCs/>
                <w:color w:val="auto"/>
                <w:highlight w:val="none"/>
              </w:rPr>
              <w:t>过程中产生的</w:t>
            </w:r>
            <w:r>
              <w:rPr>
                <w:rFonts w:hint="eastAsia"/>
                <w:b/>
                <w:bCs/>
                <w:color w:val="auto"/>
                <w:highlight w:val="none"/>
                <w:lang w:val="en-US" w:eastAsia="zh-CN"/>
              </w:rPr>
              <w:t>漆雾和</w:t>
            </w:r>
            <w:r>
              <w:rPr>
                <w:rFonts w:hint="eastAsia"/>
                <w:b/>
                <w:bCs/>
                <w:color w:val="auto"/>
                <w:highlight w:val="none"/>
              </w:rPr>
              <w:t>总VOCs</w:t>
            </w:r>
            <w:r>
              <w:rPr>
                <w:rFonts w:hint="eastAsia"/>
                <w:b/>
                <w:bCs/>
                <w:color w:val="auto"/>
                <w:highlight w:val="none"/>
                <w:lang w:eastAsia="zh-CN"/>
              </w:rPr>
              <w:t>、</w:t>
            </w:r>
            <w:r>
              <w:rPr>
                <w:rFonts w:hint="eastAsia"/>
                <w:b/>
                <w:bCs/>
                <w:color w:val="auto"/>
                <w:highlight w:val="none"/>
                <w:lang w:val="en-US" w:eastAsia="zh-CN"/>
              </w:rPr>
              <w:t>丝印过程</w:t>
            </w:r>
            <w:r>
              <w:rPr>
                <w:rFonts w:hint="eastAsia"/>
                <w:b/>
                <w:bCs/>
                <w:color w:val="auto"/>
                <w:highlight w:val="none"/>
              </w:rPr>
              <w:t>产生的总VOCs</w:t>
            </w:r>
            <w:r>
              <w:rPr>
                <w:rFonts w:hint="eastAsia"/>
                <w:b/>
                <w:bCs/>
                <w:color w:val="auto"/>
                <w:highlight w:val="none"/>
                <w:lang w:val="en-US" w:eastAsia="zh-CN"/>
              </w:rPr>
              <w:t>和非甲烷总烃</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s="Times New Roman"/>
                <w:b w:val="0"/>
                <w:bCs w:val="0"/>
                <w:color w:val="BF9000" w:themeColor="accent4" w:themeShade="BF"/>
                <w:sz w:val="24"/>
                <w:szCs w:val="24"/>
                <w:highlight w:val="none"/>
                <w:lang w:val="en-US" w:eastAsia="zh-CN"/>
              </w:rPr>
            </w:pPr>
            <w:r>
              <w:rPr>
                <w:rFonts w:hint="eastAsia" w:cs="Times New Roman"/>
                <w:color w:val="BF9000" w:themeColor="accent4" w:themeShade="BF"/>
                <w:sz w:val="24"/>
                <w:szCs w:val="24"/>
                <w:highlight w:val="none"/>
                <w:lang w:val="en-US" w:eastAsia="zh-CN"/>
              </w:rPr>
              <w:t>扩建</w:t>
            </w:r>
            <w:r>
              <w:rPr>
                <w:rFonts w:hint="eastAsia" w:cs="Times New Roman"/>
                <w:b w:val="0"/>
                <w:bCs w:val="0"/>
                <w:color w:val="BF9000" w:themeColor="accent4" w:themeShade="BF"/>
                <w:sz w:val="24"/>
                <w:szCs w:val="24"/>
                <w:highlight w:val="none"/>
                <w:lang w:val="en-US" w:eastAsia="zh-CN"/>
              </w:rPr>
              <w:t>项目喷漆产生的漆雾经水帘柜预处理后，与丝印、烘烤废气一并经1套“水喷淋+干式过滤器+二级活性炭吸附装置”处理达标后经1根15m高的排气筒DA003排放。</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color w:val="BF9000" w:themeColor="accent4" w:themeShade="BF"/>
                <w:highlight w:val="none"/>
              </w:rPr>
            </w:pPr>
            <w:r>
              <w:rPr>
                <w:rFonts w:hint="eastAsia" w:eastAsia="宋体"/>
                <w:b/>
                <w:bCs/>
                <w:color w:val="auto"/>
                <w:highlight w:val="none"/>
                <w:lang w:val="en-US" w:eastAsia="zh-CN"/>
              </w:rPr>
              <w:t>①</w:t>
            </w:r>
            <w:r>
              <w:rPr>
                <w:rFonts w:hint="eastAsia"/>
                <w:color w:val="BF9000" w:themeColor="accent4" w:themeShade="BF"/>
                <w:highlight w:val="none"/>
                <w:lang w:val="en-US" w:eastAsia="zh-CN"/>
              </w:rPr>
              <w:t>喷漆工序产生的漆雾（以颗粒物表征）有组织及无组织排放执行广东省地方标准《大气污染物排放限值》（DB44/27-2001）中第二时段二级标准限值及无组织排放监控浓度限值；喷漆工序产生的有机废气有组织排放执行广东省地方标准《固定污染源挥发性有机物综合排放标准》（DB44/2367—2022）表1非甲烷总烃与TVOC排放限值；无组织排放执行广东省地方标准《家具制造行业挥发性有机化合物排放标准》（DB44/814-2010）中的表2无组织排放监控点浓度限值；</w:t>
            </w:r>
          </w:p>
          <w:p>
            <w:pPr>
              <w:keepNext w:val="0"/>
              <w:keepLines w:val="0"/>
              <w:pageBreakBefore w:val="0"/>
              <w:widowControl w:val="0"/>
              <w:kinsoku/>
              <w:wordWrap/>
              <w:overflowPunct/>
              <w:topLinePunct w:val="0"/>
              <w:bidi w:val="0"/>
              <w:adjustRightInd w:val="0"/>
              <w:snapToGrid w:val="0"/>
              <w:ind w:firstLine="482" w:firstLineChars="200"/>
              <w:textAlignment w:val="auto"/>
              <w:rPr>
                <w:rFonts w:hint="eastAsia" w:eastAsia="宋体"/>
                <w:b/>
                <w:bCs/>
                <w:color w:val="BF9000" w:themeColor="accent4" w:themeShade="BF"/>
                <w:highlight w:val="none"/>
                <w:lang w:val="en-US" w:eastAsia="zh-CN"/>
              </w:rPr>
            </w:pPr>
            <w:r>
              <w:rPr>
                <w:rFonts w:hint="eastAsia" w:eastAsia="宋体"/>
                <w:b/>
                <w:bCs/>
                <w:color w:val="auto"/>
                <w:highlight w:val="none"/>
                <w:lang w:val="en-US" w:eastAsia="zh-CN"/>
              </w:rPr>
              <w:t>②</w:t>
            </w:r>
            <w:r>
              <w:rPr>
                <w:rFonts w:hint="eastAsia"/>
                <w:color w:val="BF9000" w:themeColor="accent4" w:themeShade="BF"/>
                <w:highlight w:val="none"/>
                <w:lang w:val="en-US" w:eastAsia="zh-CN"/>
              </w:rPr>
              <w:t>丝印及烘烤过程产生的有机废气主要为总VOCs和非甲烷总烃，非甲烷总烃有组织废气排放执行《印刷工业大气污染物排放标准》（GB 41616—2022）表1排放限值要求，总VOCs有组织废气排放执行《印刷行业挥发性有机化合物排放标准》（DB44/815-2010）表2中Ⅱ时段丝网印刷要求，厂界总VOCs无组织废气排放执行《印刷行业挥发性有机化合物排放标准》（DB44/815-2010）表3排放限制要求，厂区内（即厂房外）非甲烷总烃排放执行《印刷工业大气污染物排放标准》（GB41616-2022）表 A.1 厂区内VOCs无组织排放限值</w:t>
            </w:r>
            <w:r>
              <w:rPr>
                <w:rFonts w:hint="eastAsia"/>
                <w:color w:val="BF9000" w:themeColor="accent4" w:themeShade="BF"/>
                <w:lang w:eastAsia="zh-CN"/>
              </w:rPr>
              <w:t>。</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b/>
                <w:bCs/>
                <w:color w:val="BF9000" w:themeColor="accent4" w:themeShade="BF"/>
                <w:highlight w:val="none"/>
                <w:lang w:val="en-US" w:eastAsia="zh-CN"/>
              </w:rPr>
            </w:pPr>
            <w:r>
              <w:rPr>
                <w:rFonts w:hint="eastAsia"/>
                <w:b/>
                <w:bCs/>
                <w:color w:val="BF9000" w:themeColor="accent4" w:themeShade="BF"/>
                <w:highlight w:val="none"/>
                <w:lang w:val="en-US" w:eastAsia="zh-CN"/>
              </w:rPr>
              <w:t>综上所述，</w:t>
            </w:r>
            <w:r>
              <w:rPr>
                <w:rFonts w:hint="eastAsia" w:cs="Times New Roman"/>
                <w:b/>
                <w:bCs/>
                <w:color w:val="BF9000" w:themeColor="accent4" w:themeShade="BF"/>
                <w:sz w:val="24"/>
                <w:szCs w:val="24"/>
                <w:highlight w:val="none"/>
                <w:lang w:val="en-US" w:eastAsia="zh-CN"/>
              </w:rPr>
              <w:t>DA003有组织排放执行标准如下：</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color w:val="BF9000" w:themeColor="accent4" w:themeShade="BF"/>
                <w:highlight w:val="none"/>
                <w:lang w:val="en-US" w:eastAsia="zh-CN"/>
              </w:rPr>
            </w:pPr>
            <w:r>
              <w:rPr>
                <w:rFonts w:hint="eastAsia" w:ascii="Times New Roman" w:hAnsi="Times New Roman" w:eastAsia="宋体" w:cs="Times New Roman"/>
                <w:b/>
                <w:bCs/>
                <w:color w:val="BF9000" w:themeColor="accent4" w:themeShade="BF"/>
                <w:highlight w:val="none"/>
                <w:lang w:val="en-US" w:eastAsia="zh-CN"/>
              </w:rPr>
              <w:t>有组织排放中</w:t>
            </w:r>
            <w:r>
              <w:rPr>
                <w:rFonts w:hint="eastAsia"/>
                <w:color w:val="BF9000" w:themeColor="accent4" w:themeShade="BF"/>
                <w:highlight w:val="none"/>
                <w:lang w:val="en-US" w:eastAsia="zh-CN"/>
              </w:rPr>
              <w:t>颗粒物执行广东省地方标准《大气污染物排放限值》（DB44/27-2001）中第二时段二级标准限值，非甲烷总烃有组织废气排放执行《印刷工业大气污染物排放标准》（GB 41616—2022）表1排放限值要求与广东省地方标准《固定污染源挥发性有机物综合排放标准》（DB44/2367—2022）表1非甲烷总烃排放限值两者较严，总VOCs有组织废气排放执行《印刷行业挥发性有机化合物排放标准》（DB44/815-2010）表2中Ⅱ时段丝网印刷要求，TVOC执行广东省地方标准《固定污染源挥发性有机物综合排放标准》（DB44/2367—2022）表1挥发性有机物排放限值；</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color w:val="BF9000" w:themeColor="accent4" w:themeShade="BF"/>
                <w:highlight w:val="none"/>
                <w:lang w:val="en-US" w:eastAsia="zh-CN"/>
              </w:rPr>
            </w:pPr>
            <w:r>
              <w:rPr>
                <w:rFonts w:hint="eastAsia"/>
                <w:b/>
                <w:bCs/>
                <w:color w:val="BF9000" w:themeColor="accent4" w:themeShade="BF"/>
                <w:highlight w:val="none"/>
                <w:lang w:val="en-US" w:eastAsia="zh-CN"/>
              </w:rPr>
              <w:t>无组织排放中</w:t>
            </w:r>
            <w:r>
              <w:rPr>
                <w:rFonts w:hint="eastAsia"/>
                <w:color w:val="BF9000" w:themeColor="accent4" w:themeShade="BF"/>
                <w:highlight w:val="none"/>
                <w:lang w:val="en-US" w:eastAsia="zh-CN"/>
              </w:rPr>
              <w:t>颗粒物执行广东省地方标准《大气污染物排放限值》（DB44/27-2001）中第二时段无组织排放监控浓度限值，总VOCs无组织排放执行广东省地方标准《家具制造行业挥发性有机化合物排放标准》（DB44/814-2010）中的表2无组织排放监控点浓度限值。</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color w:val="BF9000" w:themeColor="accent4" w:themeShade="BF"/>
                <w:highlight w:val="none"/>
              </w:rPr>
            </w:pPr>
            <w:r>
              <w:rPr>
                <w:rFonts w:hint="eastAsia" w:ascii="Times New Roman" w:hAnsi="Times New Roman" w:eastAsia="宋体" w:cs="Times New Roman"/>
                <w:b/>
                <w:bCs/>
                <w:color w:val="BF9000" w:themeColor="accent4" w:themeShade="BF"/>
                <w:highlight w:val="none"/>
              </w:rPr>
              <w:t>厂</w:t>
            </w:r>
            <w:r>
              <w:rPr>
                <w:rFonts w:hint="eastAsia"/>
                <w:b/>
                <w:bCs/>
                <w:color w:val="BF9000" w:themeColor="accent4" w:themeShade="BF"/>
                <w:highlight w:val="none"/>
              </w:rPr>
              <w:t>区内</w:t>
            </w:r>
            <w:r>
              <w:rPr>
                <w:rFonts w:hint="eastAsia"/>
                <w:b/>
                <w:bCs/>
                <w:color w:val="BF9000" w:themeColor="accent4" w:themeShade="BF"/>
                <w:highlight w:val="none"/>
                <w:lang w:val="en-US" w:eastAsia="zh-CN"/>
              </w:rPr>
              <w:t>有机废气</w:t>
            </w:r>
            <w:r>
              <w:rPr>
                <w:rFonts w:hint="eastAsia"/>
                <w:b/>
                <w:bCs/>
                <w:color w:val="BF9000" w:themeColor="accent4" w:themeShade="BF"/>
                <w:highlight w:val="none"/>
              </w:rPr>
              <w:t>无组织排放</w:t>
            </w:r>
            <w:r>
              <w:rPr>
                <w:rFonts w:hint="eastAsia"/>
                <w:color w:val="BF9000" w:themeColor="accent4" w:themeShade="BF"/>
                <w:highlight w:val="none"/>
              </w:rPr>
              <w:t>监控点浓度执行广东省地方标准《固定污染源挥发性有机物综合排放标准》（DB44/2367-2022）中的表3厂区内无组织排放限值</w:t>
            </w:r>
            <w:r>
              <w:rPr>
                <w:rFonts w:hint="eastAsia"/>
                <w:color w:val="BF9000" w:themeColor="accent4" w:themeShade="BF"/>
                <w:highlight w:val="none"/>
                <w:lang w:val="en-US" w:eastAsia="zh-CN"/>
              </w:rPr>
              <w:t>与《印刷工业大气污染物排放标准》（GB41616-2022）表 A.1 厂区内VOCs无组织排放限值两者较严</w:t>
            </w:r>
            <w:r>
              <w:rPr>
                <w:rFonts w:hint="eastAsia"/>
                <w:color w:val="BF9000" w:themeColor="accent4" w:themeShade="BF"/>
                <w:highlight w:val="none"/>
              </w:rPr>
              <w:t>。</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b/>
                <w:bCs/>
                <w:color w:val="auto"/>
                <w:highlight w:val="none"/>
                <w:lang w:val="en-US" w:eastAsia="zh-CN"/>
              </w:rPr>
            </w:pPr>
            <w:r>
              <w:rPr>
                <w:rFonts w:hint="eastAsia"/>
                <w:b/>
                <w:bCs/>
                <w:color w:val="auto"/>
                <w:highlight w:val="none"/>
                <w:lang w:eastAsia="zh-CN"/>
              </w:rPr>
              <w:t>（</w:t>
            </w:r>
            <w:r>
              <w:rPr>
                <w:rFonts w:hint="eastAsia"/>
                <w:b/>
                <w:bCs/>
                <w:color w:val="auto"/>
                <w:highlight w:val="none"/>
                <w:lang w:val="en-US" w:eastAsia="zh-CN"/>
              </w:rPr>
              <w:t>4</w:t>
            </w:r>
            <w:r>
              <w:rPr>
                <w:rFonts w:hint="eastAsia"/>
                <w:b/>
                <w:bCs/>
                <w:color w:val="auto"/>
                <w:highlight w:val="none"/>
                <w:lang w:eastAsia="zh-CN"/>
              </w:rPr>
              <w:t>）</w:t>
            </w:r>
            <w:r>
              <w:rPr>
                <w:rFonts w:hint="eastAsia"/>
                <w:b/>
                <w:bCs/>
                <w:color w:val="auto"/>
                <w:highlight w:val="none"/>
                <w:lang w:val="en-US" w:eastAsia="zh-CN"/>
              </w:rPr>
              <w:t>雕刻</w:t>
            </w:r>
            <w:r>
              <w:rPr>
                <w:rFonts w:hint="eastAsia"/>
                <w:b/>
                <w:bCs/>
                <w:color w:val="auto"/>
                <w:highlight w:val="none"/>
                <w:lang w:eastAsia="zh-CN"/>
              </w:rPr>
              <w:t>、</w:t>
            </w:r>
            <w:r>
              <w:rPr>
                <w:rFonts w:hint="eastAsia"/>
                <w:b/>
                <w:bCs/>
                <w:color w:val="auto"/>
                <w:highlight w:val="none"/>
                <w:lang w:val="en-US" w:eastAsia="zh-CN"/>
              </w:rPr>
              <w:t>电火花</w:t>
            </w:r>
            <w:r>
              <w:rPr>
                <w:rFonts w:hint="eastAsia"/>
                <w:b/>
                <w:bCs/>
                <w:color w:val="auto"/>
                <w:highlight w:val="none"/>
              </w:rPr>
              <w:t>过程中产生的非甲烷总烃</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olor w:val="auto"/>
                <w:highlight w:val="none"/>
              </w:rPr>
            </w:pPr>
            <w:r>
              <w:rPr>
                <w:rFonts w:hint="eastAsia"/>
                <w:b w:val="0"/>
                <w:bCs w:val="0"/>
                <w:color w:val="BF9000" w:themeColor="accent4" w:themeShade="BF"/>
                <w:highlight w:val="none"/>
                <w:lang w:val="en-US" w:eastAsia="zh-CN"/>
              </w:rPr>
              <w:t>火花机、锣床、雕刻机产生的油雾收集后经设备自带的油雾净化器处理后无组织排放。</w:t>
            </w:r>
            <w:r>
              <w:rPr>
                <w:rFonts w:hint="eastAsia"/>
                <w:color w:val="BF9000" w:themeColor="accent4" w:themeShade="BF"/>
                <w:highlight w:val="none"/>
                <w:lang w:val="en-US" w:eastAsia="zh-CN"/>
              </w:rPr>
              <w:t>本项目雕刻、电火花产生的油雾（以非甲烷总烃表征）无组织排放执行广东省地方标准《大气污染物排放限值》（DB44/27-2001）中第二时段无组织排放监控浓度限值。</w:t>
            </w:r>
            <w:r>
              <w:rPr>
                <w:rFonts w:hint="eastAsia" w:ascii="Times New Roman" w:hAnsi="Times New Roman" w:eastAsia="宋体" w:cs="Times New Roman"/>
                <w:b w:val="0"/>
                <w:bCs w:val="0"/>
                <w:color w:val="BF9000" w:themeColor="accent4" w:themeShade="BF"/>
                <w:highlight w:val="none"/>
              </w:rPr>
              <w:t>厂</w:t>
            </w:r>
            <w:r>
              <w:rPr>
                <w:rFonts w:hint="eastAsia"/>
                <w:color w:val="BF9000" w:themeColor="accent4" w:themeShade="BF"/>
                <w:highlight w:val="none"/>
              </w:rPr>
              <w:t>区内</w:t>
            </w:r>
            <w:r>
              <w:rPr>
                <w:rFonts w:hint="eastAsia"/>
                <w:color w:val="BF9000" w:themeColor="accent4" w:themeShade="BF"/>
                <w:highlight w:val="none"/>
                <w:lang w:val="en-US" w:eastAsia="zh-CN"/>
              </w:rPr>
              <w:t>有机废气</w:t>
            </w:r>
            <w:r>
              <w:rPr>
                <w:rFonts w:hint="eastAsia"/>
                <w:color w:val="BF9000" w:themeColor="accent4" w:themeShade="BF"/>
                <w:highlight w:val="none"/>
              </w:rPr>
              <w:t>无组织排放监控点浓度执行广东省地方标准《固定污染源挥发性有机物综合排放标准》（DB44/2367-2022）中的表3厂区内无组织排放限值。</w:t>
            </w:r>
          </w:p>
          <w:p>
            <w:pPr>
              <w:pStyle w:val="42"/>
              <w:ind w:firstLine="482" w:firstLineChars="200"/>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w:t>
            </w:r>
            <w:r>
              <w:rPr>
                <w:rFonts w:hint="eastAsia" w:ascii="Times New Roman" w:eastAsia="宋体" w:cs="Times New Roman"/>
                <w:b/>
                <w:bCs/>
                <w:color w:val="auto"/>
                <w:kern w:val="2"/>
                <w:sz w:val="24"/>
                <w:szCs w:val="24"/>
                <w:highlight w:val="none"/>
                <w:lang w:val="en-US" w:eastAsia="zh-CN" w:bidi="ar-SA"/>
              </w:rPr>
              <w:t>5</w:t>
            </w:r>
            <w:r>
              <w:rPr>
                <w:rFonts w:hint="eastAsia" w:ascii="Times New Roman" w:hAnsi="Times New Roman" w:eastAsia="宋体" w:cs="Times New Roman"/>
                <w:b/>
                <w:bCs/>
                <w:color w:val="auto"/>
                <w:kern w:val="2"/>
                <w:sz w:val="24"/>
                <w:szCs w:val="24"/>
                <w:highlight w:val="none"/>
                <w:lang w:val="en-US" w:eastAsia="zh-CN" w:bidi="ar-SA"/>
              </w:rPr>
              <w:t>）机加工、打磨过程产生的粉尘（以颗粒物表征）</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olor w:val="BF9000" w:themeColor="accent4" w:themeShade="BF"/>
                <w:highlight w:val="none"/>
                <w:lang w:val="en-US" w:eastAsia="zh-CN"/>
              </w:rPr>
            </w:pPr>
            <w:r>
              <w:rPr>
                <w:rFonts w:hint="eastAsia"/>
                <w:color w:val="BF9000" w:themeColor="accent4" w:themeShade="BF"/>
                <w:highlight w:val="none"/>
                <w:lang w:val="en-US" w:eastAsia="zh-CN"/>
              </w:rPr>
              <w:t>机加工、打磨工序产生的粉尘经集气罩收集后经1套“布袋除尘器”装置处理达标后经1根15m高的排气筒DA004排放。本项目机加工、打磨过程产生的粉尘（以颗粒物表征）排放执行广东省地方标准《大气污染物排放限值》（DB44/27-2001）中第二时段二级标准及无组织排放监控浓度限值。</w:t>
            </w:r>
          </w:p>
          <w:p>
            <w:pPr>
              <w:pStyle w:val="2"/>
              <w:numPr>
                <w:ilvl w:val="0"/>
                <w:numId w:val="9"/>
              </w:numPr>
              <w:ind w:left="0" w:leftChars="0" w:firstLine="403" w:firstLineChars="0"/>
              <w:jc w:val="center"/>
              <w:rPr>
                <w:rFonts w:hint="default" w:ascii="Times New Roman" w:hAnsi="Times New Roman" w:eastAsia="宋体" w:cs="Times New Roman"/>
                <w:b/>
                <w:bCs/>
                <w:color w:val="auto"/>
                <w:sz w:val="22"/>
                <w:szCs w:val="22"/>
                <w:lang w:val="en-US" w:eastAsia="zh-CN"/>
              </w:rPr>
            </w:pPr>
            <w:r>
              <w:rPr>
                <w:rFonts w:hint="eastAsia" w:ascii="Times New Roman" w:hAnsi="Times New Roman" w:eastAsia="宋体" w:cs="Times New Roman"/>
                <w:b/>
                <w:bCs/>
                <w:color w:val="auto"/>
                <w:sz w:val="22"/>
                <w:szCs w:val="22"/>
                <w:lang w:val="en-US" w:eastAsia="zh-CN"/>
              </w:rPr>
              <w:t>有组织废气排放标准</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827"/>
              <w:gridCol w:w="3056"/>
              <w:gridCol w:w="1164"/>
              <w:gridCol w:w="1164"/>
              <w:gridCol w:w="1223"/>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排气筒编号</w:t>
                  </w:r>
                </w:p>
              </w:tc>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工序</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执行标准</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污染物</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2"/>
                      <w:sz w:val="21"/>
                      <w:szCs w:val="21"/>
                      <w:highlight w:val="none"/>
                      <w:vertAlign w:val="baseline"/>
                      <w:lang w:val="en-US" w:eastAsia="zh-CN" w:bidi="ar-SA"/>
                    </w:rPr>
                  </w:pPr>
                  <w:r>
                    <w:rPr>
                      <w:rFonts w:hint="eastAsia"/>
                      <w:b/>
                      <w:bCs/>
                      <w:color w:val="auto"/>
                      <w:sz w:val="21"/>
                      <w:szCs w:val="21"/>
                      <w:highlight w:val="none"/>
                      <w:vertAlign w:val="baseline"/>
                      <w:lang w:val="en-US" w:eastAsia="zh-CN"/>
                    </w:rPr>
                    <w:t>最高允许排放浓度</w:t>
                  </w:r>
                  <w:r>
                    <w:rPr>
                      <w:rFonts w:ascii="Times New Roman" w:hAnsi="Times New Roman" w:eastAsia="宋体" w:cs="Times New Roman"/>
                      <w:b/>
                      <w:bCs/>
                      <w:color w:val="auto"/>
                      <w:sz w:val="21"/>
                      <w:szCs w:val="21"/>
                      <w:highlight w:val="none"/>
                    </w:rPr>
                    <w:t>mg/m</w:t>
                  </w:r>
                  <w:r>
                    <w:rPr>
                      <w:rFonts w:ascii="Times New Roman" w:hAnsi="Times New Roman" w:eastAsia="宋体" w:cs="Times New Roman"/>
                      <w:b/>
                      <w:bCs/>
                      <w:color w:val="auto"/>
                      <w:sz w:val="21"/>
                      <w:szCs w:val="21"/>
                      <w:highlight w:val="none"/>
                      <w:vertAlign w:val="superscript"/>
                    </w:rPr>
                    <w:t>3</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最高允许排放速率（kg/h）</w:t>
                  </w:r>
                </w:p>
              </w:tc>
              <w:tc>
                <w:tcPr>
                  <w:tcW w:w="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DA001</w:t>
                  </w:r>
                </w:p>
              </w:tc>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注塑</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 xml:space="preserve"> 《恶臭污染物排放标准》（GB14554-93）表2二级标准中的新改扩建标准</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臭气浓度</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2000（无量纲）</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w:t>
                  </w:r>
                </w:p>
              </w:tc>
              <w:tc>
                <w:tcPr>
                  <w:tcW w:w="48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sz w:val="21"/>
                      <w:szCs w:val="21"/>
                      <w:highlight w:val="none"/>
                      <w:vertAlign w:val="baseline"/>
                      <w:lang w:val="en-US" w:eastAsia="zh-CN"/>
                    </w:rPr>
                  </w:pPr>
                  <w:r>
                    <w:rPr>
                      <w:rFonts w:hint="eastAsia" w:cs="Times New Roman"/>
                      <w:color w:val="BF9000" w:themeColor="accent4" w:themeShade="BF"/>
                      <w:sz w:val="21"/>
                      <w:szCs w:val="21"/>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《合成树脂工业污染物排放标准》（GB31572-2015）中表5污染物特别排放限值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非甲烷总烃</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60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w:t>
                  </w:r>
                </w:p>
              </w:tc>
              <w:tc>
                <w:tcPr>
                  <w:tcW w:w="48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DA002</w:t>
                  </w:r>
                </w:p>
              </w:tc>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混料及破碎</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《合成树脂工业污染物排放标准》（GB31572-2015）中表5污染物特别排放限值</w:t>
                  </w:r>
                </w:p>
              </w:tc>
              <w:tc>
                <w:tcPr>
                  <w:tcW w:w="63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颗粒物</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w:t>
                  </w:r>
                </w:p>
              </w:tc>
              <w:tc>
                <w:tcPr>
                  <w:tcW w:w="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highlight w:val="none"/>
                      <w:vertAlign w:val="baseline"/>
                      <w:lang w:val="en-US" w:eastAsia="zh-CN"/>
                    </w:rPr>
                  </w:pPr>
                  <w:r>
                    <w:rPr>
                      <w:rFonts w:hint="eastAsia" w:cs="Times New Roman"/>
                      <w:color w:val="BF9000" w:themeColor="accent4" w:themeShade="BF"/>
                      <w:sz w:val="21"/>
                      <w:szCs w:val="21"/>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DA004</w:t>
                  </w:r>
                </w:p>
              </w:tc>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机加工及打磨</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广东省地方标准《大气污染物排放限值》（DB44/27-2001）中第二时段二级标准限值</w:t>
                  </w:r>
                </w:p>
              </w:tc>
              <w:tc>
                <w:tcPr>
                  <w:tcW w:w="63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lang w:val="en-US" w:eastAsia="zh-CN" w:bidi="ar-SA"/>
                    </w:rPr>
                  </w:pP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s="Times New Roman"/>
                      <w:color w:val="BF9000" w:themeColor="accent4" w:themeShade="BF"/>
                      <w:kern w:val="2"/>
                      <w:sz w:val="21"/>
                      <w:szCs w:val="21"/>
                      <w:highlight w:val="none"/>
                      <w:vertAlign w:val="baseline"/>
                      <w:lang w:val="en-US" w:eastAsia="zh-CN" w:bidi="ar-SA"/>
                    </w:rPr>
                    <w:t>1.45</w:t>
                  </w:r>
                  <w:r>
                    <w:rPr>
                      <w:rFonts w:hint="default"/>
                      <w:b/>
                      <w:bCs/>
                      <w:color w:val="BF9000" w:themeColor="accent4" w:themeShade="BF"/>
                      <w:sz w:val="21"/>
                      <w:szCs w:val="21"/>
                      <w:highlight w:val="none"/>
                      <w:vertAlign w:val="baseline"/>
                      <w:lang w:val="en-US" w:eastAsia="zh-CN"/>
                    </w:rPr>
                    <w:t>*</w:t>
                  </w:r>
                </w:p>
              </w:tc>
              <w:tc>
                <w:tcPr>
                  <w:tcW w:w="481" w:type="pct"/>
                  <w:noWrap w:val="0"/>
                  <w:vAlign w:val="center"/>
                </w:tcPr>
                <w:p>
                  <w:pPr>
                    <w:jc w:val="center"/>
                    <w:rPr>
                      <w:rFonts w:hint="eastAsia" w:ascii="Times New Roman" w:hAnsi="Times New Roman" w:eastAsia="宋体" w:cs="Times New Roman"/>
                      <w:color w:val="BF9000" w:themeColor="accent4" w:themeShade="BF"/>
                      <w:kern w:val="2"/>
                      <w:sz w:val="24"/>
                      <w:szCs w:val="24"/>
                      <w:highlight w:val="none"/>
                      <w:vertAlign w:val="baseline"/>
                      <w:lang w:val="en-US" w:eastAsia="zh-CN" w:bidi="ar-SA"/>
                    </w:rPr>
                  </w:pPr>
                  <w:r>
                    <w:rPr>
                      <w:rFonts w:hint="eastAsia" w:cs="Times New Roman"/>
                      <w:color w:val="BF9000" w:themeColor="accent4" w:themeShade="BF"/>
                      <w:sz w:val="21"/>
                      <w:szCs w:val="21"/>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DA003</w:t>
                  </w:r>
                </w:p>
              </w:tc>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喷漆</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广东省地方标准《大气污染物排放限值》（DB44/27-2001）中第二时段二级标准限值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lang w:val="en-US" w:eastAsia="zh-CN" w:bidi="ar-SA"/>
                    </w:rPr>
                  </w:pPr>
                  <w:r>
                    <w:rPr>
                      <w:rFonts w:hint="eastAsia"/>
                      <w:color w:val="BF9000" w:themeColor="accent4" w:themeShade="BF"/>
                      <w:sz w:val="21"/>
                      <w:szCs w:val="21"/>
                      <w:highlight w:val="none"/>
                      <w:lang w:val="en-US" w:eastAsia="zh-CN"/>
                    </w:rPr>
                    <w:t>颗粒物</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s="Times New Roman"/>
                      <w:color w:val="BF9000" w:themeColor="accent4" w:themeShade="BF"/>
                      <w:kern w:val="2"/>
                      <w:sz w:val="21"/>
                      <w:szCs w:val="21"/>
                      <w:highlight w:val="none"/>
                      <w:vertAlign w:val="baseline"/>
                      <w:lang w:val="en-US" w:eastAsia="zh-CN" w:bidi="ar-SA"/>
                    </w:rPr>
                    <w:t>1.45</w:t>
                  </w:r>
                  <w:r>
                    <w:rPr>
                      <w:rFonts w:hint="default"/>
                      <w:b/>
                      <w:bCs/>
                      <w:color w:val="BF9000" w:themeColor="accent4" w:themeShade="BF"/>
                      <w:sz w:val="21"/>
                      <w:szCs w:val="21"/>
                      <w:highlight w:val="none"/>
                      <w:vertAlign w:val="baseline"/>
                      <w:lang w:val="en-US" w:eastAsia="zh-CN"/>
                    </w:rPr>
                    <w:t>*</w:t>
                  </w:r>
                </w:p>
              </w:tc>
              <w:tc>
                <w:tcPr>
                  <w:tcW w:w="48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highlight w:val="yellow"/>
                      <w:vertAlign w:val="baseline"/>
                      <w:lang w:val="en-US" w:eastAsia="zh-CN"/>
                    </w:rPr>
                  </w:pPr>
                  <w:r>
                    <w:rPr>
                      <w:rFonts w:hint="eastAsia" w:cs="Times New Roman"/>
                      <w:color w:val="BF9000" w:themeColor="accent4" w:themeShade="BF"/>
                      <w:sz w:val="21"/>
                      <w:szCs w:val="21"/>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166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lang w:val="en-US" w:eastAsia="zh-CN"/>
                    </w:rPr>
                    <w:t>广东省地方标准《固定污染源挥发性有机物综合排放标准》（DB44/2367—2022）表1挥发性有机物排放限值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lang w:val="en-US" w:eastAsia="zh-CN"/>
                    </w:rPr>
                    <w:t>TVOC</w:t>
                  </w:r>
                  <w:r>
                    <w:rPr>
                      <w:rFonts w:hint="default"/>
                      <w:b/>
                      <w:bCs/>
                      <w:color w:val="BF9000" w:themeColor="accent4" w:themeShade="BF"/>
                      <w:sz w:val="21"/>
                      <w:szCs w:val="21"/>
                      <w:highlight w:val="none"/>
                      <w:vertAlign w:val="baseline"/>
                      <w:lang w:val="en-US" w:eastAsia="zh-CN"/>
                    </w:rPr>
                    <w:t>*</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100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s="Times New Roman"/>
                      <w:color w:val="BF9000" w:themeColor="accent4" w:themeShade="BF"/>
                      <w:kern w:val="2"/>
                      <w:sz w:val="21"/>
                      <w:szCs w:val="21"/>
                      <w:highlight w:val="none"/>
                      <w:vertAlign w:val="baseline"/>
                      <w:lang w:val="en-US" w:eastAsia="zh-CN" w:bidi="ar-SA"/>
                    </w:rPr>
                    <w:t>/</w:t>
                  </w:r>
                </w:p>
              </w:tc>
              <w:tc>
                <w:tcPr>
                  <w:tcW w:w="481"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p>
              </w:tc>
              <w:tc>
                <w:tcPr>
                  <w:tcW w:w="166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lang w:val="en-US" w:eastAsia="zh-CN"/>
                    </w:rPr>
                    <w:t>非甲烷总烃</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80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s="Times New Roman"/>
                      <w:color w:val="BF9000" w:themeColor="accent4" w:themeShade="BF"/>
                      <w:kern w:val="2"/>
                      <w:sz w:val="21"/>
                      <w:szCs w:val="21"/>
                      <w:highlight w:val="none"/>
                      <w:vertAlign w:val="baseline"/>
                      <w:lang w:val="en-US" w:eastAsia="zh-CN" w:bidi="ar-SA"/>
                    </w:rPr>
                    <w:t>/</w:t>
                  </w:r>
                </w:p>
              </w:tc>
              <w:tc>
                <w:tcPr>
                  <w:tcW w:w="481"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丝印</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lang w:val="en-US" w:eastAsia="zh-CN"/>
                    </w:rPr>
                    <w:t>《印刷行业挥发性有机化合物排放标准》（DB44/815-2010）表2中Ⅱ时段丝网印刷</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vertAlign w:val="baseline"/>
                      <w:lang w:val="en-US" w:eastAsia="zh-CN"/>
                    </w:rPr>
                    <w:t>总VOCs</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2.55</w:t>
                  </w:r>
                  <w:r>
                    <w:rPr>
                      <w:rFonts w:hint="default"/>
                      <w:b/>
                      <w:bCs/>
                      <w:color w:val="BF9000" w:themeColor="accent4" w:themeShade="BF"/>
                      <w:sz w:val="21"/>
                      <w:szCs w:val="21"/>
                      <w:highlight w:val="none"/>
                      <w:vertAlign w:val="baseline"/>
                      <w:lang w:val="en-US" w:eastAsia="zh-CN"/>
                    </w:rPr>
                    <w:t>*</w:t>
                  </w:r>
                </w:p>
              </w:tc>
              <w:tc>
                <w:tcPr>
                  <w:tcW w:w="481"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《印刷工业大气污染物排放标准》（GB 41616—2022）表1排放限值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lang w:val="en-US" w:eastAsia="zh-CN"/>
                    </w:rPr>
                    <w:t>非甲烷总烃</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70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s="Times New Roman"/>
                      <w:color w:val="BF9000" w:themeColor="accent4" w:themeShade="BF"/>
                      <w:kern w:val="2"/>
                      <w:sz w:val="21"/>
                      <w:szCs w:val="21"/>
                      <w:highlight w:val="none"/>
                      <w:vertAlign w:val="baseline"/>
                      <w:lang w:val="en-US" w:eastAsia="zh-CN" w:bidi="ar-SA"/>
                    </w:rPr>
                    <w:t>/</w:t>
                  </w:r>
                </w:p>
              </w:tc>
              <w:tc>
                <w:tcPr>
                  <w:tcW w:w="481"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yellow"/>
                      <w:vertAlign w:val="baseline"/>
                      <w:lang w:val="en-US" w:eastAsia="zh-CN"/>
                    </w:rPr>
                  </w:pPr>
                </w:p>
              </w:tc>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合计（喷漆、丝印）</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广东省地方标准《大气污染物排放限值》（DB44/27-2001）中第二时段二级标准限值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lang w:val="en-US" w:eastAsia="zh-CN" w:bidi="ar-SA"/>
                    </w:rPr>
                  </w:pPr>
                  <w:r>
                    <w:rPr>
                      <w:rFonts w:hint="eastAsia"/>
                      <w:color w:val="BF9000" w:themeColor="accent4" w:themeShade="BF"/>
                      <w:sz w:val="21"/>
                      <w:szCs w:val="21"/>
                      <w:highlight w:val="none"/>
                      <w:lang w:val="en-US" w:eastAsia="zh-CN"/>
                    </w:rPr>
                    <w:t>颗粒物</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s="Times New Roman"/>
                      <w:color w:val="BF9000" w:themeColor="accent4" w:themeShade="BF"/>
                      <w:kern w:val="2"/>
                      <w:sz w:val="21"/>
                      <w:szCs w:val="21"/>
                      <w:highlight w:val="none"/>
                      <w:vertAlign w:val="baseline"/>
                      <w:lang w:val="en-US" w:eastAsia="zh-CN" w:bidi="ar-SA"/>
                    </w:rPr>
                    <w:t>1.45</w:t>
                  </w:r>
                  <w:r>
                    <w:rPr>
                      <w:rFonts w:hint="default"/>
                      <w:b/>
                      <w:bCs/>
                      <w:color w:val="BF9000" w:themeColor="accent4" w:themeShade="BF"/>
                      <w:sz w:val="21"/>
                      <w:szCs w:val="21"/>
                      <w:highlight w:val="none"/>
                      <w:vertAlign w:val="baseline"/>
                      <w:lang w:val="en-US" w:eastAsia="zh-CN"/>
                    </w:rPr>
                    <w:t>*</w:t>
                  </w:r>
                </w:p>
              </w:tc>
              <w:tc>
                <w:tcPr>
                  <w:tcW w:w="481"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yellow"/>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default"/>
                      <w:color w:val="BF9000" w:themeColor="accent4" w:themeShade="BF"/>
                      <w:sz w:val="21"/>
                      <w:szCs w:val="21"/>
                      <w:highlight w:val="none"/>
                      <w:vertAlign w:val="baseline"/>
                      <w:lang w:val="en-US" w:eastAsia="zh-CN"/>
                    </w:rPr>
                    <w:t>广东省地方标准《固定污染源挥发性有机物综合排放标准》（DB44/2367—2022）表1排放限值</w:t>
                  </w:r>
                  <w:r>
                    <w:rPr>
                      <w:rFonts w:hint="eastAsia"/>
                      <w:color w:val="BF9000" w:themeColor="accent4" w:themeShade="BF"/>
                      <w:sz w:val="21"/>
                      <w:szCs w:val="21"/>
                      <w:highlight w:val="none"/>
                      <w:vertAlign w:val="baseline"/>
                      <w:lang w:val="en-US" w:eastAsia="zh-CN"/>
                    </w:rPr>
                    <w:t>与</w:t>
                  </w:r>
                  <w:r>
                    <w:rPr>
                      <w:rFonts w:hint="eastAsia"/>
                      <w:color w:val="BF9000" w:themeColor="accent4" w:themeShade="BF"/>
                      <w:sz w:val="21"/>
                      <w:szCs w:val="21"/>
                      <w:highlight w:val="none"/>
                      <w:lang w:val="en-US" w:eastAsia="zh-CN"/>
                    </w:rPr>
                    <w:t>《印刷工业大气污染物排放标准》（GB 41616—2022）表1排放限值两者较严</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非甲烷总烃</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70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w:t>
                  </w:r>
                </w:p>
              </w:tc>
              <w:tc>
                <w:tcPr>
                  <w:tcW w:w="481"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yellow"/>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lang w:val="en-US" w:eastAsia="zh-CN"/>
                    </w:rPr>
                    <w:t>广东省地方标准《固定污染源挥发性有机物综合排放标准》（DB44/2367—2022）表1挥发性有机物排放限值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TVOC</w:t>
                  </w:r>
                  <w:r>
                    <w:rPr>
                      <w:rFonts w:hint="default"/>
                      <w:b/>
                      <w:bCs/>
                      <w:color w:val="BF9000" w:themeColor="accent4" w:themeShade="BF"/>
                      <w:sz w:val="21"/>
                      <w:szCs w:val="21"/>
                      <w:highlight w:val="none"/>
                      <w:vertAlign w:val="baseline"/>
                      <w:lang w:val="en-US" w:eastAsia="zh-CN"/>
                    </w:rPr>
                    <w:t>*</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100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w:t>
                  </w:r>
                </w:p>
              </w:tc>
              <w:tc>
                <w:tcPr>
                  <w:tcW w:w="481"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yellow"/>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《印刷行业挥发性有机化合物排放标准》（DB44/815-2010）表2中第Ⅱ时段丝网印刷</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总VOCs</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120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2.55</w:t>
                  </w:r>
                  <w:r>
                    <w:rPr>
                      <w:rFonts w:hint="default"/>
                      <w:b/>
                      <w:bCs/>
                      <w:color w:val="BF9000" w:themeColor="accent4" w:themeShade="BF"/>
                      <w:sz w:val="21"/>
                      <w:szCs w:val="21"/>
                      <w:highlight w:val="none"/>
                      <w:vertAlign w:val="baseline"/>
                      <w:lang w:val="en-US" w:eastAsia="zh-CN"/>
                    </w:rPr>
                    <w:t>*</w:t>
                  </w:r>
                </w:p>
              </w:tc>
              <w:tc>
                <w:tcPr>
                  <w:tcW w:w="481"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5000" w:type="pct"/>
                  <w:gridSpan w:val="7"/>
                  <w:noWrap w:val="0"/>
                  <w:vAlign w:val="center"/>
                </w:tcPr>
                <w:p>
                  <w:pPr>
                    <w:adjustRightInd w:val="0"/>
                    <w:snapToGrid w:val="0"/>
                    <w:spacing w:line="264" w:lineRule="auto"/>
                    <w:jc w:val="left"/>
                    <w:rPr>
                      <w:rFonts w:hint="eastAsia"/>
                      <w:color w:val="auto"/>
                      <w:sz w:val="21"/>
                      <w:szCs w:val="18"/>
                      <w:lang w:val="en-US" w:eastAsia="zh-CN"/>
                    </w:rPr>
                  </w:pPr>
                  <w:r>
                    <w:rPr>
                      <w:rFonts w:hint="eastAsia"/>
                      <w:color w:val="auto"/>
                      <w:sz w:val="21"/>
                      <w:szCs w:val="18"/>
                      <w:lang w:val="en-US" w:eastAsia="zh-CN"/>
                    </w:rPr>
                    <w:t>*注：①项目排气筒高度未高出周围200m半径范围的最高建筑5m以上，最高允许排放速率按排放限值的50%列出；</w:t>
                  </w:r>
                </w:p>
                <w:p>
                  <w:pPr>
                    <w:jc w:val="both"/>
                    <w:rPr>
                      <w:rFonts w:hint="eastAsia"/>
                      <w:color w:val="auto"/>
                      <w:sz w:val="21"/>
                      <w:szCs w:val="18"/>
                      <w:lang w:val="en-US" w:eastAsia="zh-CN"/>
                    </w:rPr>
                  </w:pPr>
                  <w:r>
                    <w:rPr>
                      <w:rFonts w:hint="eastAsia"/>
                      <w:color w:val="auto"/>
                      <w:sz w:val="21"/>
                      <w:szCs w:val="18"/>
                      <w:lang w:val="en-US" w:eastAsia="zh-CN"/>
                    </w:rPr>
                    <w:t>②TVOC待国家污染物监测技术规定发布后实施。</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ascii="Times New Roman" w:hAnsi="Times New Roman" w:eastAsia="宋体" w:cs="Times New Roman"/>
                <w:b/>
                <w:bCs/>
                <w:color w:val="auto"/>
                <w:sz w:val="24"/>
                <w:lang w:eastAsia="zh-CN"/>
              </w:rPr>
              <w:t>（</w:t>
            </w:r>
            <w:r>
              <w:rPr>
                <w:rFonts w:hint="eastAsia" w:cs="Times New Roman"/>
                <w:b/>
                <w:bCs/>
                <w:color w:val="auto"/>
                <w:sz w:val="24"/>
                <w:lang w:val="en-US" w:eastAsia="zh-CN"/>
              </w:rPr>
              <w:t>2</w:t>
            </w:r>
            <w:r>
              <w:rPr>
                <w:rFonts w:hint="eastAsia" w:ascii="Times New Roman" w:hAnsi="Times New Roman" w:eastAsia="宋体" w:cs="Times New Roman"/>
                <w:b/>
                <w:bCs/>
                <w:color w:val="auto"/>
                <w:sz w:val="24"/>
                <w:lang w:eastAsia="zh-CN"/>
              </w:rPr>
              <w:t>）</w:t>
            </w:r>
            <w:r>
              <w:rPr>
                <w:rFonts w:hint="eastAsia"/>
                <w:b/>
                <w:bCs/>
                <w:color w:val="auto"/>
                <w:sz w:val="24"/>
                <w:szCs w:val="24"/>
                <w:lang w:val="en-US" w:eastAsia="zh-CN"/>
              </w:rPr>
              <w:t>无组织废气</w:t>
            </w:r>
          </w:p>
          <w:p>
            <w:pPr>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firstLine="403" w:firstLineChars="0"/>
              <w:jc w:val="center"/>
              <w:textAlignment w:val="auto"/>
              <w:rPr>
                <w:rFonts w:hint="eastAsia" w:ascii="Times New Roman" w:hAnsi="Times New Roman" w:eastAsia="宋体" w:cs="Times New Roman"/>
                <w:b/>
                <w:bCs/>
                <w:color w:val="auto"/>
                <w:sz w:val="22"/>
                <w:szCs w:val="22"/>
                <w:lang w:val="en-US" w:eastAsia="zh-CN"/>
              </w:rPr>
            </w:pPr>
            <w:r>
              <w:rPr>
                <w:rFonts w:hint="eastAsia" w:ascii="Times New Roman" w:hAnsi="Times New Roman" w:eastAsia="宋体" w:cs="Times New Roman"/>
                <w:b/>
                <w:bCs/>
                <w:color w:val="auto"/>
                <w:sz w:val="22"/>
                <w:szCs w:val="22"/>
                <w:lang w:val="en-US" w:eastAsia="zh-CN"/>
              </w:rPr>
              <w:t>无组织废气排放标准</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990"/>
              <w:gridCol w:w="1431"/>
              <w:gridCol w:w="4888"/>
              <w:gridCol w:w="1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noWrap w:val="0"/>
                  <w:vAlign w:val="center"/>
                </w:tcPr>
                <w:p>
                  <w:pPr>
                    <w:pStyle w:val="4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监控点</w:t>
                  </w:r>
                </w:p>
              </w:tc>
              <w:tc>
                <w:tcPr>
                  <w:tcW w:w="540" w:type="pct"/>
                  <w:noWrap w:val="0"/>
                  <w:vAlign w:val="center"/>
                </w:tcPr>
                <w:p>
                  <w:pPr>
                    <w:pStyle w:val="4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污染物</w:t>
                  </w:r>
                </w:p>
              </w:tc>
              <w:tc>
                <w:tcPr>
                  <w:tcW w:w="780" w:type="pct"/>
                  <w:noWrap w:val="0"/>
                  <w:vAlign w:val="center"/>
                </w:tcPr>
                <w:p>
                  <w:pPr>
                    <w:pStyle w:val="4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eastAsia="宋体" w:cs="Times New Roman"/>
                      <w:b/>
                      <w:bCs/>
                      <w:color w:val="auto"/>
                      <w:kern w:val="0"/>
                      <w:sz w:val="21"/>
                      <w:szCs w:val="21"/>
                      <w:highlight w:val="none"/>
                      <w:lang w:val="en-US" w:eastAsia="zh-CN" w:bidi="ar-SA"/>
                    </w:rPr>
                    <w:t>工序</w:t>
                  </w:r>
                </w:p>
              </w:tc>
              <w:tc>
                <w:tcPr>
                  <w:tcW w:w="2665" w:type="pct"/>
                  <w:noWrap w:val="0"/>
                  <w:vAlign w:val="center"/>
                </w:tcPr>
                <w:p>
                  <w:pPr>
                    <w:pStyle w:val="4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排放标准</w:t>
                  </w:r>
                </w:p>
              </w:tc>
              <w:tc>
                <w:tcPr>
                  <w:tcW w:w="599" w:type="pct"/>
                  <w:noWrap w:val="0"/>
                  <w:vAlign w:val="center"/>
                </w:tcPr>
                <w:p>
                  <w:pPr>
                    <w:pStyle w:val="4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排放限值</w:t>
                  </w:r>
                  <w:r>
                    <w:rPr>
                      <w:rFonts w:ascii="Times New Roman" w:hAnsi="Times New Roman" w:eastAsia="宋体" w:cs="Times New Roman"/>
                      <w:b/>
                      <w:bCs/>
                      <w:color w:val="auto"/>
                      <w:sz w:val="21"/>
                      <w:szCs w:val="21"/>
                      <w:highlight w:val="none"/>
                    </w:rPr>
                    <w:t>mg/m</w:t>
                  </w:r>
                  <w:r>
                    <w:rPr>
                      <w:rFonts w:ascii="Times New Roman" w:hAnsi="Times New Roman" w:eastAsia="宋体" w:cs="Times New Roman"/>
                      <w:b/>
                      <w:bCs/>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restar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厂界</w:t>
                  </w:r>
                </w:p>
              </w:tc>
              <w:tc>
                <w:tcPr>
                  <w:tcW w:w="540" w:type="pct"/>
                  <w:vMerge w:val="restar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颗粒物</w:t>
                  </w:r>
                </w:p>
              </w:tc>
              <w:tc>
                <w:tcPr>
                  <w:tcW w:w="780"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混料及破碎</w:t>
                  </w:r>
                </w:p>
              </w:tc>
              <w:tc>
                <w:tcPr>
                  <w:tcW w:w="2665"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default" w:ascii="Times New Roman" w:hAnsi="Times New Roman" w:eastAsia="宋体" w:cs="Times New Roman"/>
                      <w:color w:val="BF9000" w:themeColor="accent4" w:themeShade="BF"/>
                      <w:kern w:val="0"/>
                      <w:sz w:val="21"/>
                      <w:szCs w:val="21"/>
                      <w:highlight w:val="none"/>
                      <w:lang w:val="en-US" w:eastAsia="zh-CN" w:bidi="ar-SA"/>
                    </w:rPr>
                    <w:t>《合成树脂工业污染物排放标准》（GB31572-2015）中表9企业边界大气污染物浓度限值</w:t>
                  </w:r>
                </w:p>
              </w:tc>
              <w:tc>
                <w:tcPr>
                  <w:tcW w:w="599"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喷漆、机加工及打磨</w:t>
                  </w:r>
                </w:p>
              </w:tc>
              <w:tc>
                <w:tcPr>
                  <w:tcW w:w="2665"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广东省地方标准《大气污染物排放限值》（DB44/27-2001）中第二时段无组织排放监控浓度限值</w:t>
                  </w:r>
                </w:p>
              </w:tc>
              <w:tc>
                <w:tcPr>
                  <w:tcW w:w="599"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b/>
                      <w:bCs/>
                      <w:color w:val="BF9000" w:themeColor="accent4" w:themeShade="BF"/>
                      <w:kern w:val="0"/>
                      <w:sz w:val="21"/>
                      <w:szCs w:val="21"/>
                      <w:highlight w:val="none"/>
                      <w:lang w:val="en-US" w:eastAsia="zh-CN" w:bidi="ar-SA"/>
                    </w:rPr>
                    <w:t>合计</w:t>
                  </w:r>
                </w:p>
              </w:tc>
              <w:tc>
                <w:tcPr>
                  <w:tcW w:w="2665"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上述标准</w:t>
                  </w:r>
                  <w:r>
                    <w:rPr>
                      <w:rFonts w:hint="eastAsia" w:ascii="Times New Roman" w:hAnsi="Times New Roman" w:eastAsia="宋体" w:cs="Times New Roman"/>
                      <w:color w:val="BF9000" w:themeColor="accent4" w:themeShade="BF"/>
                      <w:kern w:val="0"/>
                      <w:sz w:val="21"/>
                      <w:szCs w:val="21"/>
                      <w:highlight w:val="none"/>
                      <w:lang w:val="en-US" w:eastAsia="zh-CN" w:bidi="ar-SA"/>
                    </w:rPr>
                    <w:t>两者较严</w:t>
                  </w:r>
                </w:p>
              </w:tc>
              <w:tc>
                <w:tcPr>
                  <w:tcW w:w="599"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restar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总VOCs</w:t>
                  </w:r>
                </w:p>
              </w:tc>
              <w:tc>
                <w:tcPr>
                  <w:tcW w:w="780"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default" w:ascii="Times New Roman" w:hAnsi="Times New Roman" w:eastAsia="宋体" w:cs="Times New Roman"/>
                      <w:color w:val="BF9000" w:themeColor="accent4" w:themeShade="BF"/>
                      <w:kern w:val="0"/>
                      <w:sz w:val="21"/>
                      <w:szCs w:val="21"/>
                      <w:highlight w:val="none"/>
                      <w:lang w:val="en-US" w:eastAsia="zh-CN" w:bidi="ar-SA"/>
                    </w:rPr>
                    <w:t>喷漆</w:t>
                  </w:r>
                </w:p>
              </w:tc>
              <w:tc>
                <w:tcPr>
                  <w:tcW w:w="2665"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《家具制造行业挥发性有机化合物排放标准》（DB44/814-2010）中的表2无组织排放监控点浓度限值</w:t>
                  </w:r>
                </w:p>
              </w:tc>
              <w:tc>
                <w:tcPr>
                  <w:tcW w:w="599"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丝印</w:t>
                  </w:r>
                </w:p>
              </w:tc>
              <w:tc>
                <w:tcPr>
                  <w:tcW w:w="2665"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《印刷行业挥发性有机化合物排放标准》（DB44/815-2010）无组织排放监控点浓度限值</w:t>
                  </w:r>
                </w:p>
              </w:tc>
              <w:tc>
                <w:tcPr>
                  <w:tcW w:w="599"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合计</w:t>
                  </w:r>
                </w:p>
              </w:tc>
              <w:tc>
                <w:tcPr>
                  <w:tcW w:w="2665"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上述标准</w:t>
                  </w:r>
                  <w:r>
                    <w:rPr>
                      <w:rFonts w:hint="eastAsia" w:ascii="Times New Roman" w:hAnsi="Times New Roman" w:eastAsia="宋体" w:cs="Times New Roman"/>
                      <w:color w:val="BF9000" w:themeColor="accent4" w:themeShade="BF"/>
                      <w:kern w:val="0"/>
                      <w:sz w:val="21"/>
                      <w:szCs w:val="21"/>
                      <w:highlight w:val="none"/>
                      <w:lang w:val="en-US" w:eastAsia="zh-CN" w:bidi="ar-SA"/>
                    </w:rPr>
                    <w:t>两者较严</w:t>
                  </w:r>
                </w:p>
              </w:tc>
              <w:tc>
                <w:tcPr>
                  <w:tcW w:w="599"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restar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非甲烷总烃</w:t>
                  </w:r>
                </w:p>
              </w:tc>
              <w:tc>
                <w:tcPr>
                  <w:tcW w:w="780"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注塑</w:t>
                  </w:r>
                </w:p>
              </w:tc>
              <w:tc>
                <w:tcPr>
                  <w:tcW w:w="2665"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default" w:ascii="Times New Roman" w:hAnsi="Times New Roman" w:eastAsia="宋体" w:cs="Times New Roman"/>
                      <w:color w:val="BF9000" w:themeColor="accent4" w:themeShade="BF"/>
                      <w:kern w:val="0"/>
                      <w:sz w:val="21"/>
                      <w:szCs w:val="21"/>
                      <w:highlight w:val="none"/>
                      <w:lang w:val="en-US" w:eastAsia="zh-CN" w:bidi="ar-SA"/>
                    </w:rPr>
                    <w:t>《合成树脂工业污染物排放标准》（GB31572-2015）中表9企业边界大气污染物浓度限值</w:t>
                  </w:r>
                </w:p>
              </w:tc>
              <w:tc>
                <w:tcPr>
                  <w:tcW w:w="599"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电火花、雕刻</w:t>
                  </w:r>
                </w:p>
              </w:tc>
              <w:tc>
                <w:tcPr>
                  <w:tcW w:w="2665"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广东省地方标准《大气污染物排放限值》（DB44/27-2001）中第二时段无组织排放监控浓度限值</w:t>
                  </w:r>
                </w:p>
              </w:tc>
              <w:tc>
                <w:tcPr>
                  <w:tcW w:w="599"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合计</w:t>
                  </w:r>
                </w:p>
              </w:tc>
              <w:tc>
                <w:tcPr>
                  <w:tcW w:w="2665"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上述标准</w:t>
                  </w:r>
                  <w:r>
                    <w:rPr>
                      <w:rFonts w:hint="eastAsia" w:ascii="Times New Roman" w:hAnsi="Times New Roman" w:eastAsia="宋体" w:cs="Times New Roman"/>
                      <w:color w:val="BF9000" w:themeColor="accent4" w:themeShade="BF"/>
                      <w:kern w:val="0"/>
                      <w:sz w:val="21"/>
                      <w:szCs w:val="21"/>
                      <w:highlight w:val="none"/>
                      <w:lang w:val="en-US" w:eastAsia="zh-CN" w:bidi="ar-SA"/>
                    </w:rPr>
                    <w:t>两者较严</w:t>
                  </w:r>
                </w:p>
              </w:tc>
              <w:tc>
                <w:tcPr>
                  <w:tcW w:w="599"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臭气浓度</w:t>
                  </w:r>
                </w:p>
              </w:tc>
              <w:tc>
                <w:tcPr>
                  <w:tcW w:w="780"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注塑</w:t>
                  </w:r>
                </w:p>
              </w:tc>
              <w:tc>
                <w:tcPr>
                  <w:tcW w:w="2665"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default" w:ascii="Times New Roman" w:hAnsi="Times New Roman" w:eastAsia="宋体" w:cs="Times New Roman"/>
                      <w:color w:val="BF9000" w:themeColor="accent4" w:themeShade="BF"/>
                      <w:kern w:val="0"/>
                      <w:sz w:val="21"/>
                      <w:szCs w:val="21"/>
                      <w:highlight w:val="none"/>
                      <w:lang w:val="en-US" w:eastAsia="zh-CN" w:bidi="ar-SA"/>
                    </w:rPr>
                    <w:t>《恶臭污染物排放标准》（GB14554-93）中的表1恶臭污染物厂界标准值</w:t>
                  </w:r>
                </w:p>
              </w:tc>
              <w:tc>
                <w:tcPr>
                  <w:tcW w:w="599" w:type="pct"/>
                  <w:noWrap w:val="0"/>
                  <w:vAlign w:val="center"/>
                </w:tcPr>
                <w:p>
                  <w:pPr>
                    <w:pStyle w:val="42"/>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20（无量纲）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restar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厂区内</w:t>
                  </w:r>
                </w:p>
              </w:tc>
              <w:tc>
                <w:tcPr>
                  <w:tcW w:w="540" w:type="pct"/>
                  <w:vMerge w:val="restar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NMHC</w:t>
                  </w:r>
                </w:p>
              </w:tc>
              <w:tc>
                <w:tcPr>
                  <w:tcW w:w="780"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监控点处1h平均浓度值</w:t>
                  </w:r>
                </w:p>
              </w:tc>
              <w:tc>
                <w:tcPr>
                  <w:tcW w:w="2665" w:type="pct"/>
                  <w:vMerge w:val="restar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广东省地方标准《固定污染源挥发性有机物综合排放标准》（DB44/2367-2022）中的表3厂区内无组织排放限值《印刷工业大气污染物排放标准》（GB41616-2022）表 A.1 厂区内VOCs无组织排放限值两者较严</w:t>
                  </w:r>
                </w:p>
              </w:tc>
              <w:tc>
                <w:tcPr>
                  <w:tcW w:w="599"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p>
              </w:tc>
              <w:tc>
                <w:tcPr>
                  <w:tcW w:w="540" w:type="pct"/>
                  <w:vMerge w:val="continue"/>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p>
              </w:tc>
              <w:tc>
                <w:tcPr>
                  <w:tcW w:w="780"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监控点处任意一次浓度值</w:t>
                  </w:r>
                </w:p>
              </w:tc>
              <w:tc>
                <w:tcPr>
                  <w:tcW w:w="2665" w:type="pct"/>
                  <w:vMerge w:val="continue"/>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p>
              </w:tc>
              <w:tc>
                <w:tcPr>
                  <w:tcW w:w="599"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20</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2" w:firstLineChars="200"/>
              <w:textAlignment w:val="auto"/>
              <w:rPr>
                <w:rFonts w:hint="eastAsia" w:ascii="宋体" w:hAnsi="宋体" w:cs="宋体"/>
                <w:b/>
                <w:bCs/>
                <w:color w:val="auto"/>
                <w:kern w:val="0"/>
                <w:szCs w:val="21"/>
              </w:rPr>
            </w:pPr>
            <w:r>
              <w:rPr>
                <w:rFonts w:hint="eastAsia" w:ascii="宋体" w:hAnsi="宋体" w:cs="宋体"/>
                <w:b/>
                <w:bCs/>
                <w:color w:val="auto"/>
                <w:kern w:val="0"/>
                <w:szCs w:val="21"/>
                <w:lang w:val="en-US" w:eastAsia="zh-CN"/>
              </w:rPr>
              <w:t>3、</w:t>
            </w:r>
            <w:r>
              <w:rPr>
                <w:rFonts w:hint="eastAsia" w:ascii="宋体" w:hAnsi="宋体" w:cs="宋体"/>
                <w:b/>
                <w:bCs/>
                <w:color w:val="auto"/>
                <w:kern w:val="0"/>
                <w:szCs w:val="21"/>
              </w:rPr>
              <w:t>噪声排放标准</w:t>
            </w:r>
          </w:p>
          <w:p>
            <w:pPr>
              <w:pStyle w:val="99"/>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olor w:val="auto"/>
                <w:szCs w:val="24"/>
                <w:highlight w:val="none"/>
              </w:rPr>
            </w:pPr>
            <w:r>
              <w:rPr>
                <w:color w:val="auto"/>
                <w:szCs w:val="24"/>
                <w:highlight w:val="none"/>
              </w:rPr>
              <w:t>项目营运期厂界噪声执行《工业企业厂界环境噪声排放标准》（GB12348-2008）中</w:t>
            </w:r>
            <w:r>
              <w:rPr>
                <w:rFonts w:hint="eastAsia"/>
                <w:color w:val="auto"/>
                <w:szCs w:val="24"/>
                <w:highlight w:val="none"/>
              </w:rPr>
              <w:t>2</w:t>
            </w:r>
            <w:r>
              <w:rPr>
                <w:color w:val="auto"/>
                <w:szCs w:val="24"/>
                <w:highlight w:val="none"/>
              </w:rPr>
              <w:t>类标准。工业企业厂界环境噪声排放标准限值详见</w:t>
            </w:r>
            <w:r>
              <w:rPr>
                <w:rFonts w:hint="eastAsia"/>
                <w:color w:val="auto"/>
                <w:szCs w:val="24"/>
                <w:highlight w:val="none"/>
              </w:rPr>
              <w:t>下表。</w:t>
            </w:r>
          </w:p>
          <w:p>
            <w:pPr>
              <w:pStyle w:val="62"/>
              <w:numPr>
                <w:ilvl w:val="0"/>
                <w:numId w:val="9"/>
              </w:numPr>
              <w:ind w:left="0" w:leftChars="0" w:right="0" w:rightChars="0" w:firstLine="403" w:firstLineChars="0"/>
              <w:rPr>
                <w:color w:val="auto"/>
                <w:sz w:val="24"/>
                <w:szCs w:val="24"/>
                <w:highlight w:val="none"/>
                <w:lang w:val="en-US" w:eastAsia="zh-CN"/>
              </w:rPr>
            </w:pPr>
            <w:r>
              <w:rPr>
                <w:color w:val="auto"/>
                <w:sz w:val="24"/>
                <w:szCs w:val="24"/>
                <w:highlight w:val="none"/>
                <w:lang w:val="en-US" w:eastAsia="zh-CN"/>
              </w:rPr>
              <w:t xml:space="preserve">工业企业厂界环境噪声排放标准 </w:t>
            </w:r>
          </w:p>
          <w:tbl>
            <w:tblPr>
              <w:tblStyle w:val="29"/>
              <w:tblW w:w="4998" w:type="pct"/>
              <w:tblInd w:w="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3870"/>
              <w:gridCol w:w="2323"/>
              <w:gridCol w:w="297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6" w:hRule="atLeast"/>
              </w:trPr>
              <w:tc>
                <w:tcPr>
                  <w:tcW w:w="2111" w:type="pct"/>
                  <w:noWrap w:val="0"/>
                  <w:vAlign w:val="center"/>
                </w:tcPr>
                <w:p>
                  <w:pPr>
                    <w:pStyle w:val="98"/>
                    <w:spacing w:line="240" w:lineRule="auto"/>
                    <w:rPr>
                      <w:b/>
                      <w:bCs/>
                      <w:color w:val="auto"/>
                      <w:sz w:val="21"/>
                      <w:szCs w:val="18"/>
                      <w:highlight w:val="none"/>
                    </w:rPr>
                  </w:pPr>
                  <w:r>
                    <w:rPr>
                      <w:b/>
                      <w:bCs/>
                      <w:color w:val="auto"/>
                      <w:sz w:val="21"/>
                      <w:szCs w:val="18"/>
                      <w:highlight w:val="none"/>
                    </w:rPr>
                    <w:t>声环境功能区类别</w:t>
                  </w:r>
                </w:p>
              </w:tc>
              <w:tc>
                <w:tcPr>
                  <w:tcW w:w="1267" w:type="pct"/>
                  <w:noWrap w:val="0"/>
                  <w:vAlign w:val="center"/>
                </w:tcPr>
                <w:p>
                  <w:pPr>
                    <w:pStyle w:val="98"/>
                    <w:spacing w:line="240" w:lineRule="auto"/>
                    <w:rPr>
                      <w:b/>
                      <w:bCs/>
                      <w:color w:val="auto"/>
                      <w:sz w:val="21"/>
                      <w:szCs w:val="18"/>
                      <w:highlight w:val="none"/>
                    </w:rPr>
                  </w:pPr>
                  <w:r>
                    <w:rPr>
                      <w:b/>
                      <w:bCs/>
                      <w:color w:val="auto"/>
                      <w:sz w:val="21"/>
                      <w:szCs w:val="18"/>
                      <w:highlight w:val="none"/>
                    </w:rPr>
                    <w:t>昼间dB(A)</w:t>
                  </w:r>
                </w:p>
              </w:tc>
              <w:tc>
                <w:tcPr>
                  <w:tcW w:w="1620" w:type="pct"/>
                  <w:noWrap w:val="0"/>
                  <w:vAlign w:val="center"/>
                </w:tcPr>
                <w:p>
                  <w:pPr>
                    <w:pStyle w:val="98"/>
                    <w:spacing w:line="240" w:lineRule="auto"/>
                    <w:rPr>
                      <w:b/>
                      <w:bCs/>
                      <w:color w:val="auto"/>
                      <w:sz w:val="21"/>
                      <w:szCs w:val="18"/>
                      <w:highlight w:val="none"/>
                    </w:rPr>
                  </w:pPr>
                  <w:r>
                    <w:rPr>
                      <w:b/>
                      <w:bCs/>
                      <w:color w:val="auto"/>
                      <w:sz w:val="21"/>
                      <w:szCs w:val="18"/>
                      <w:highlight w:val="none"/>
                    </w:rPr>
                    <w:t>夜间dB(A)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2111" w:type="pct"/>
                  <w:noWrap w:val="0"/>
                  <w:vAlign w:val="center"/>
                </w:tcPr>
                <w:p>
                  <w:pPr>
                    <w:pStyle w:val="98"/>
                    <w:spacing w:line="240" w:lineRule="auto"/>
                    <w:rPr>
                      <w:color w:val="auto"/>
                      <w:sz w:val="21"/>
                      <w:szCs w:val="18"/>
                      <w:highlight w:val="none"/>
                    </w:rPr>
                  </w:pPr>
                  <w:r>
                    <w:rPr>
                      <w:rFonts w:hint="eastAsia"/>
                      <w:color w:val="auto"/>
                      <w:sz w:val="21"/>
                      <w:szCs w:val="18"/>
                      <w:highlight w:val="none"/>
                    </w:rPr>
                    <w:t>2</w:t>
                  </w:r>
                  <w:r>
                    <w:rPr>
                      <w:color w:val="auto"/>
                      <w:sz w:val="21"/>
                      <w:szCs w:val="18"/>
                      <w:highlight w:val="none"/>
                    </w:rPr>
                    <w:t>类</w:t>
                  </w:r>
                </w:p>
              </w:tc>
              <w:tc>
                <w:tcPr>
                  <w:tcW w:w="1267" w:type="pct"/>
                  <w:noWrap w:val="0"/>
                  <w:vAlign w:val="center"/>
                </w:tcPr>
                <w:p>
                  <w:pPr>
                    <w:pStyle w:val="98"/>
                    <w:spacing w:line="240" w:lineRule="auto"/>
                    <w:rPr>
                      <w:color w:val="auto"/>
                      <w:sz w:val="21"/>
                      <w:szCs w:val="18"/>
                      <w:highlight w:val="none"/>
                    </w:rPr>
                  </w:pPr>
                  <w:r>
                    <w:rPr>
                      <w:color w:val="auto"/>
                      <w:sz w:val="21"/>
                      <w:szCs w:val="18"/>
                      <w:highlight w:val="none"/>
                    </w:rPr>
                    <w:t>6</w:t>
                  </w:r>
                  <w:r>
                    <w:rPr>
                      <w:rFonts w:hint="eastAsia"/>
                      <w:color w:val="auto"/>
                      <w:sz w:val="21"/>
                      <w:szCs w:val="18"/>
                      <w:highlight w:val="none"/>
                    </w:rPr>
                    <w:t>0</w:t>
                  </w:r>
                </w:p>
              </w:tc>
              <w:tc>
                <w:tcPr>
                  <w:tcW w:w="1620" w:type="pct"/>
                  <w:noWrap w:val="0"/>
                  <w:vAlign w:val="center"/>
                </w:tcPr>
                <w:p>
                  <w:pPr>
                    <w:pStyle w:val="98"/>
                    <w:spacing w:line="240" w:lineRule="auto"/>
                    <w:rPr>
                      <w:color w:val="auto"/>
                      <w:sz w:val="21"/>
                      <w:szCs w:val="18"/>
                      <w:highlight w:val="none"/>
                    </w:rPr>
                  </w:pPr>
                  <w:r>
                    <w:rPr>
                      <w:color w:val="auto"/>
                      <w:sz w:val="21"/>
                      <w:szCs w:val="18"/>
                      <w:highlight w:val="none"/>
                    </w:rPr>
                    <w:t>5</w:t>
                  </w:r>
                  <w:r>
                    <w:rPr>
                      <w:rFonts w:hint="eastAsia"/>
                      <w:color w:val="auto"/>
                      <w:sz w:val="21"/>
                      <w:szCs w:val="18"/>
                      <w:highlight w:val="none"/>
                    </w:rPr>
                    <w:t>0</w:t>
                  </w:r>
                </w:p>
              </w:tc>
            </w:tr>
          </w:tbl>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lang w:val="en-US" w:eastAsia="zh-CN"/>
              </w:rPr>
              <w:t>4</w:t>
            </w:r>
            <w:r>
              <w:rPr>
                <w:rFonts w:hint="eastAsia" w:ascii="宋体" w:hAnsi="宋体" w:cs="宋体"/>
                <w:b/>
                <w:bCs/>
                <w:color w:val="auto"/>
                <w:kern w:val="0"/>
                <w:szCs w:val="21"/>
              </w:rPr>
              <w:t>、固废</w:t>
            </w:r>
          </w:p>
          <w:p>
            <w:pPr>
              <w:adjustRightInd w:val="0"/>
              <w:snapToGrid w:val="0"/>
              <w:ind w:firstLine="480" w:firstLineChars="200"/>
              <w:rPr>
                <w:rFonts w:ascii="宋体" w:hAnsi="宋体" w:cs="宋体"/>
                <w:color w:val="auto"/>
                <w:kern w:val="0"/>
                <w:szCs w:val="21"/>
              </w:rPr>
            </w:pPr>
            <w:r>
              <w:rPr>
                <w:rFonts w:hint="eastAsia" w:ascii="宋体" w:hAnsi="宋体" w:cs="宋体"/>
                <w:color w:val="auto"/>
                <w:kern w:val="0"/>
                <w:szCs w:val="21"/>
              </w:rPr>
              <w:t>一般工业固体废物执行《一般工业固体废物贮存和填埋污染控制标准》</w:t>
            </w:r>
            <w:r>
              <w:rPr>
                <w:color w:val="auto"/>
                <w:kern w:val="0"/>
                <w:szCs w:val="21"/>
              </w:rPr>
              <w:t>（GB18599-20</w:t>
            </w:r>
            <w:r>
              <w:rPr>
                <w:rFonts w:hint="eastAsia"/>
                <w:color w:val="auto"/>
                <w:kern w:val="0"/>
                <w:szCs w:val="21"/>
              </w:rPr>
              <w:t>20</w:t>
            </w:r>
            <w:r>
              <w:rPr>
                <w:color w:val="auto"/>
                <w:kern w:val="0"/>
                <w:szCs w:val="21"/>
              </w:rPr>
              <w:t>）；危险废物执行</w:t>
            </w:r>
            <w:r>
              <w:rPr>
                <w:color w:val="BF9000" w:themeColor="accent4" w:themeShade="BF"/>
                <w:kern w:val="0"/>
                <w:szCs w:val="21"/>
              </w:rPr>
              <w:t>《</w:t>
            </w:r>
            <w:r>
              <w:rPr>
                <w:rFonts w:hint="eastAsia"/>
                <w:color w:val="BF9000" w:themeColor="accent4" w:themeShade="BF"/>
                <w:kern w:val="0"/>
                <w:szCs w:val="21"/>
              </w:rPr>
              <w:t>危险废物贮存污染控制标准</w:t>
            </w:r>
            <w:r>
              <w:rPr>
                <w:color w:val="BF9000" w:themeColor="accent4" w:themeShade="BF"/>
                <w:kern w:val="0"/>
                <w:szCs w:val="21"/>
              </w:rPr>
              <w:t>》（GB18597-20</w:t>
            </w:r>
            <w:r>
              <w:rPr>
                <w:rFonts w:hint="eastAsia"/>
                <w:color w:val="BF9000" w:themeColor="accent4" w:themeShade="BF"/>
                <w:kern w:val="0"/>
                <w:szCs w:val="21"/>
                <w:lang w:val="en-US" w:eastAsia="zh-CN"/>
              </w:rPr>
              <w:t>23</w:t>
            </w:r>
            <w:r>
              <w:rPr>
                <w:color w:val="BF9000" w:themeColor="accent4" w:themeShade="BF"/>
                <w:kern w:val="0"/>
                <w:szCs w:val="21"/>
              </w:rPr>
              <w:t>）</w:t>
            </w:r>
            <w:r>
              <w:rPr>
                <w:color w:val="auto"/>
                <w:szCs w:val="21"/>
                <w:highlight w:val="none"/>
              </w:rPr>
              <w:t>，以及《中华人民共和国固体废物污染环境防治法》（2004年4月12日修订）中的有关规定，同时其收集、运输、包装等应符合《危险废物污染防治技术政策》</w:t>
            </w:r>
            <w:r>
              <w:rPr>
                <w:rFonts w:hint="eastAsia" w:ascii="宋体" w:hAnsi="宋体" w:cs="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1" w:hRule="atLeast"/>
        </w:trPr>
        <w:tc>
          <w:tcPr>
            <w:tcW w:w="54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总量</w:t>
            </w:r>
          </w:p>
          <w:p>
            <w:pPr>
              <w:adjustRightInd w:val="0"/>
              <w:snapToGrid w:val="0"/>
              <w:jc w:val="center"/>
              <w:rPr>
                <w:color w:val="auto"/>
              </w:rPr>
            </w:pPr>
            <w:r>
              <w:rPr>
                <w:rFonts w:hint="eastAsia" w:ascii="宋体" w:hAnsi="宋体" w:cs="宋体"/>
                <w:color w:val="auto"/>
                <w:kern w:val="0"/>
                <w:szCs w:val="21"/>
              </w:rPr>
              <w:t>控制指标</w:t>
            </w:r>
          </w:p>
        </w:tc>
        <w:tc>
          <w:tcPr>
            <w:tcW w:w="9314" w:type="dxa"/>
          </w:tcPr>
          <w:p>
            <w:pPr>
              <w:pStyle w:val="44"/>
              <w:numPr>
                <w:ilvl w:val="0"/>
                <w:numId w:val="9"/>
              </w:numPr>
              <w:tabs>
                <w:tab w:val="clear" w:pos="0"/>
              </w:tabs>
              <w:bidi w:val="0"/>
              <w:ind w:left="0" w:leftChars="0" w:firstLine="403" w:firstLineChars="0"/>
              <w:rPr>
                <w:color w:val="auto"/>
                <w:highlight w:val="none"/>
              </w:rPr>
            </w:pPr>
            <w:r>
              <w:rPr>
                <w:rFonts w:hint="eastAsia"/>
                <w:color w:val="auto"/>
                <w:highlight w:val="none"/>
              </w:rPr>
              <w:t>本项目总量控制建议指标</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742"/>
              <w:gridCol w:w="885"/>
              <w:gridCol w:w="1081"/>
              <w:gridCol w:w="1065"/>
              <w:gridCol w:w="1102"/>
              <w:gridCol w:w="1281"/>
              <w:gridCol w:w="1232"/>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5"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kern w:val="0"/>
                      <w:sz w:val="21"/>
                      <w:szCs w:val="21"/>
                    </w:rPr>
                  </w:pPr>
                  <w:r>
                    <w:rPr>
                      <w:rFonts w:ascii="Times New Roman" w:hAnsi="Times New Roman" w:eastAsia="宋体" w:cs="Times New Roman"/>
                      <w:b/>
                      <w:bCs/>
                      <w:color w:val="auto"/>
                      <w:sz w:val="21"/>
                      <w:szCs w:val="21"/>
                    </w:rPr>
                    <w:t>类别</w:t>
                  </w:r>
                </w:p>
              </w:tc>
              <w:tc>
                <w:tcPr>
                  <w:tcW w:w="887" w:type="pct"/>
                  <w:gridSpan w:val="2"/>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控制指标</w:t>
                  </w:r>
                </w:p>
              </w:tc>
              <w:tc>
                <w:tcPr>
                  <w:tcW w:w="590"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现</w:t>
                  </w:r>
                  <w:r>
                    <w:rPr>
                      <w:rFonts w:ascii="Times New Roman" w:hAnsi="Times New Roman" w:eastAsia="宋体" w:cs="Times New Roman"/>
                      <w:b/>
                      <w:bCs/>
                      <w:color w:val="auto"/>
                      <w:sz w:val="21"/>
                      <w:szCs w:val="21"/>
                    </w:rPr>
                    <w:t>有项目排放量（t/a）</w:t>
                  </w:r>
                </w:p>
              </w:tc>
              <w:tc>
                <w:tcPr>
                  <w:tcW w:w="581"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扩建项目排放量（t/a）</w:t>
                  </w:r>
                </w:p>
              </w:tc>
              <w:tc>
                <w:tcPr>
                  <w:tcW w:w="601"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以新带老削减量</w:t>
                  </w:r>
                  <w:r>
                    <w:rPr>
                      <w:rFonts w:ascii="Times New Roman" w:hAnsi="Times New Roman" w:eastAsia="宋体" w:cs="Times New Roman"/>
                      <w:b/>
                      <w:bCs/>
                      <w:color w:val="auto"/>
                      <w:sz w:val="21"/>
                      <w:szCs w:val="21"/>
                    </w:rPr>
                    <w:t>（t/a）</w:t>
                  </w:r>
                </w:p>
              </w:tc>
              <w:tc>
                <w:tcPr>
                  <w:tcW w:w="699"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扩建后全厂排放量（t/a）</w:t>
                  </w:r>
                </w:p>
              </w:tc>
              <w:tc>
                <w:tcPr>
                  <w:tcW w:w="672"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hint="eastAsia" w:cs="Times New Roman"/>
                      <w:b/>
                      <w:bCs/>
                      <w:color w:val="auto"/>
                      <w:sz w:val="21"/>
                      <w:szCs w:val="21"/>
                      <w:lang w:val="en-US" w:eastAsia="zh-CN"/>
                    </w:rPr>
                    <w:t>全厂</w:t>
                  </w:r>
                  <w:r>
                    <w:rPr>
                      <w:rFonts w:ascii="Times New Roman" w:hAnsi="Times New Roman" w:eastAsia="宋体" w:cs="Times New Roman"/>
                      <w:b/>
                      <w:bCs/>
                      <w:color w:val="auto"/>
                      <w:sz w:val="21"/>
                      <w:szCs w:val="21"/>
                    </w:rPr>
                    <w:t>总量控制指标（t/a）</w:t>
                  </w:r>
                </w:p>
              </w:tc>
              <w:tc>
                <w:tcPr>
                  <w:tcW w:w="631"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hint="eastAsia" w:eastAsia="宋体"/>
                      <w:color w:val="auto"/>
                      <w:lang w:val="en-US" w:eastAsia="zh-CN"/>
                    </w:rPr>
                  </w:pPr>
                  <w:r>
                    <w:rPr>
                      <w:rFonts w:hint="eastAsia" w:ascii="Times New Roman" w:hAnsi="Times New Roman" w:eastAsia="宋体" w:cs="Times New Roman"/>
                      <w:b/>
                      <w:bCs/>
                      <w:color w:val="auto"/>
                      <w:sz w:val="21"/>
                      <w:szCs w:val="21"/>
                      <w:lang w:val="en-US" w:eastAsia="zh-CN"/>
                    </w:rPr>
                    <w:t>增减量</w:t>
                  </w:r>
                  <w:r>
                    <w:rPr>
                      <w:rFonts w:ascii="Times New Roman" w:hAnsi="Times New Roman" w:eastAsia="宋体" w:cs="Times New Roman"/>
                      <w:b/>
                      <w:bCs/>
                      <w:color w:val="auto"/>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5" w:type="pct"/>
                  <w:vMerge w:val="restart"/>
                  <w:tcBorders>
                    <w:top w:val="single" w:color="auto" w:sz="4" w:space="0"/>
                    <w:left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sz w:val="21"/>
                      <w:szCs w:val="21"/>
                    </w:rPr>
                    <w:t>生活污水</w:t>
                  </w:r>
                </w:p>
              </w:tc>
              <w:tc>
                <w:tcPr>
                  <w:tcW w:w="887" w:type="pct"/>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生活污水量</w:t>
                  </w:r>
                </w:p>
              </w:tc>
              <w:tc>
                <w:tcPr>
                  <w:tcW w:w="590"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12000</w:t>
                  </w:r>
                </w:p>
              </w:tc>
              <w:tc>
                <w:tcPr>
                  <w:tcW w:w="58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60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99"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12000</w:t>
                  </w:r>
                </w:p>
              </w:tc>
              <w:tc>
                <w:tcPr>
                  <w:tcW w:w="67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12000</w:t>
                  </w:r>
                </w:p>
              </w:tc>
              <w:tc>
                <w:tcPr>
                  <w:tcW w:w="63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p>
              </w:tc>
              <w:tc>
                <w:tcPr>
                  <w:tcW w:w="887" w:type="pct"/>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kern w:val="0"/>
                      <w:sz w:val="21"/>
                      <w:szCs w:val="21"/>
                    </w:rPr>
                    <w:t>COD</w:t>
                  </w:r>
                  <w:r>
                    <w:rPr>
                      <w:rFonts w:ascii="Times New Roman" w:hAnsi="Times New Roman" w:eastAsia="宋体" w:cs="Times New Roman"/>
                      <w:color w:val="auto"/>
                      <w:kern w:val="0"/>
                      <w:sz w:val="21"/>
                      <w:szCs w:val="21"/>
                      <w:vertAlign w:val="subscript"/>
                    </w:rPr>
                    <w:t>Cr</w:t>
                  </w:r>
                </w:p>
              </w:tc>
              <w:tc>
                <w:tcPr>
                  <w:tcW w:w="590"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0.48</w:t>
                  </w:r>
                </w:p>
              </w:tc>
              <w:tc>
                <w:tcPr>
                  <w:tcW w:w="58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60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99"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p>
              </w:tc>
              <w:tc>
                <w:tcPr>
                  <w:tcW w:w="67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p>
              </w:tc>
              <w:tc>
                <w:tcPr>
                  <w:tcW w:w="63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p>
              </w:tc>
              <w:tc>
                <w:tcPr>
                  <w:tcW w:w="887" w:type="pct"/>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kern w:val="0"/>
                      <w:sz w:val="21"/>
                      <w:szCs w:val="21"/>
                    </w:rPr>
                    <w:t>NH</w:t>
                  </w:r>
                  <w:r>
                    <w:rPr>
                      <w:rFonts w:ascii="Times New Roman" w:hAnsi="Times New Roman" w:eastAsia="宋体" w:cs="Times New Roman"/>
                      <w:color w:val="auto"/>
                      <w:kern w:val="0"/>
                      <w:sz w:val="21"/>
                      <w:szCs w:val="21"/>
                      <w:vertAlign w:val="subscript"/>
                    </w:rPr>
                    <w:t>3</w:t>
                  </w:r>
                  <w:r>
                    <w:rPr>
                      <w:rFonts w:ascii="Times New Roman" w:hAnsi="Times New Roman" w:eastAsia="宋体" w:cs="Times New Roman"/>
                      <w:color w:val="auto"/>
                      <w:kern w:val="0"/>
                      <w:sz w:val="21"/>
                      <w:szCs w:val="21"/>
                    </w:rPr>
                    <w:t>-N</w:t>
                  </w:r>
                </w:p>
              </w:tc>
              <w:tc>
                <w:tcPr>
                  <w:tcW w:w="590"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0.024</w:t>
                  </w:r>
                </w:p>
              </w:tc>
              <w:tc>
                <w:tcPr>
                  <w:tcW w:w="58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60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99"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0.024</w:t>
                  </w:r>
                </w:p>
              </w:tc>
              <w:tc>
                <w:tcPr>
                  <w:tcW w:w="67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0.024</w:t>
                  </w:r>
                </w:p>
              </w:tc>
              <w:tc>
                <w:tcPr>
                  <w:tcW w:w="63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 w:hRule="atLeast"/>
                <w:jc w:val="center"/>
              </w:trPr>
              <w:tc>
                <w:tcPr>
                  <w:tcW w:w="335" w:type="pct"/>
                  <w:vMerge w:val="restart"/>
                  <w:tcBorders>
                    <w:top w:val="single" w:color="auto" w:sz="4" w:space="0"/>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废气</w:t>
                  </w:r>
                </w:p>
              </w:tc>
              <w:tc>
                <w:tcPr>
                  <w:tcW w:w="404" w:type="pct"/>
                  <w:vMerge w:val="restar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r>
                    <w:rPr>
                      <w:rFonts w:hint="eastAsia" w:ascii="Times New Roman" w:hAnsi="Times New Roman" w:eastAsia="宋体" w:cs="Times New Roman"/>
                      <w:color w:val="auto"/>
                      <w:kern w:val="0"/>
                      <w:sz w:val="21"/>
                      <w:szCs w:val="21"/>
                      <w:lang w:bidi="ar"/>
                    </w:rPr>
                    <w:t>颗粒物</w:t>
                  </w: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eastAsia="zh-CN" w:bidi="ar"/>
                    </w:rPr>
                  </w:pPr>
                  <w:r>
                    <w:rPr>
                      <w:rFonts w:hint="eastAsia" w:ascii="Times New Roman" w:hAnsi="Times New Roman" w:eastAsia="宋体" w:cs="Times New Roman"/>
                      <w:color w:val="auto"/>
                      <w:kern w:val="0"/>
                      <w:sz w:val="21"/>
                      <w:szCs w:val="21"/>
                      <w:lang w:eastAsia="zh-CN" w:bidi="ar"/>
                    </w:rPr>
                    <w:t>有组织</w:t>
                  </w:r>
                </w:p>
              </w:tc>
              <w:tc>
                <w:tcPr>
                  <w:tcW w:w="590"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BF9000" w:themeColor="accent4" w:themeShade="BF"/>
                      <w:sz w:val="21"/>
                      <w:szCs w:val="21"/>
                      <w:highlight w:val="none"/>
                      <w:lang w:val="en-US" w:eastAsia="zh-CN"/>
                    </w:rPr>
                  </w:pPr>
                  <w:r>
                    <w:rPr>
                      <w:rFonts w:hint="eastAsia" w:cs="Times New Roman"/>
                      <w:color w:val="BF9000" w:themeColor="accent4" w:themeShade="BF"/>
                      <w:sz w:val="21"/>
                      <w:szCs w:val="21"/>
                      <w:highlight w:val="none"/>
                      <w:lang w:val="en-US" w:eastAsia="zh-CN"/>
                    </w:rPr>
                    <w:t>0.864</w:t>
                  </w:r>
                </w:p>
              </w:tc>
              <w:tc>
                <w:tcPr>
                  <w:tcW w:w="581"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0.0052</w:t>
                  </w:r>
                </w:p>
              </w:tc>
              <w:tc>
                <w:tcPr>
                  <w:tcW w:w="601"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0.85104</w:t>
                  </w:r>
                </w:p>
              </w:tc>
              <w:tc>
                <w:tcPr>
                  <w:tcW w:w="699"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0.01816</w:t>
                  </w:r>
                </w:p>
              </w:tc>
              <w:tc>
                <w:tcPr>
                  <w:tcW w:w="672"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0</w:t>
                  </w:r>
                </w:p>
              </w:tc>
              <w:tc>
                <w:tcPr>
                  <w:tcW w:w="631"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-0.0385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404"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eastAsia="zh-CN" w:bidi="ar"/>
                    </w:rPr>
                  </w:pPr>
                  <w:r>
                    <w:rPr>
                      <w:rFonts w:hint="eastAsia" w:ascii="Times New Roman" w:hAnsi="Times New Roman" w:eastAsia="宋体" w:cs="Times New Roman"/>
                      <w:color w:val="auto"/>
                      <w:kern w:val="0"/>
                      <w:sz w:val="21"/>
                      <w:szCs w:val="21"/>
                      <w:lang w:eastAsia="zh-CN" w:bidi="ar"/>
                    </w:rPr>
                    <w:t>无组织</w:t>
                  </w:r>
                </w:p>
              </w:tc>
              <w:tc>
                <w:tcPr>
                  <w:tcW w:w="590"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default" w:ascii="Times New Roman" w:hAnsi="Times New Roman" w:eastAsia="宋体" w:cs="Times New Roman"/>
                      <w:color w:val="BF9000" w:themeColor="accent4" w:themeShade="BF"/>
                      <w:kern w:val="0"/>
                      <w:sz w:val="21"/>
                      <w:szCs w:val="21"/>
                      <w:highlight w:val="none"/>
                      <w:lang w:val="en-US" w:eastAsia="zh-CN" w:bidi="ar"/>
                    </w:rPr>
                  </w:pPr>
                  <w:r>
                    <w:rPr>
                      <w:rFonts w:hint="eastAsia" w:cs="Times New Roman"/>
                      <w:color w:val="BF9000" w:themeColor="accent4" w:themeShade="BF"/>
                      <w:kern w:val="0"/>
                      <w:sz w:val="21"/>
                      <w:szCs w:val="21"/>
                      <w:highlight w:val="none"/>
                      <w:lang w:val="en-US" w:eastAsia="zh-CN" w:bidi="ar"/>
                    </w:rPr>
                    <w:t>2.88</w:t>
                  </w:r>
                </w:p>
              </w:tc>
              <w:tc>
                <w:tcPr>
                  <w:tcW w:w="581"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0.0333</w:t>
                  </w:r>
                </w:p>
              </w:tc>
              <w:tc>
                <w:tcPr>
                  <w:tcW w:w="601"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2.88</w:t>
                  </w:r>
                </w:p>
              </w:tc>
              <w:tc>
                <w:tcPr>
                  <w:tcW w:w="699"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2.9133</w:t>
                  </w:r>
                </w:p>
              </w:tc>
              <w:tc>
                <w:tcPr>
                  <w:tcW w:w="672"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0</w:t>
                  </w:r>
                </w:p>
              </w:tc>
              <w:tc>
                <w:tcPr>
                  <w:tcW w:w="631"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04" w:type="pct"/>
                  <w:vMerge w:val="continue"/>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eastAsia="zh-CN" w:bidi="ar"/>
                    </w:rPr>
                  </w:pPr>
                  <w:r>
                    <w:rPr>
                      <w:rFonts w:hint="eastAsia" w:ascii="Times New Roman" w:hAnsi="Times New Roman" w:eastAsia="宋体" w:cs="Times New Roman"/>
                      <w:color w:val="auto"/>
                      <w:kern w:val="0"/>
                      <w:sz w:val="21"/>
                      <w:szCs w:val="21"/>
                      <w:lang w:eastAsia="zh-CN" w:bidi="ar"/>
                    </w:rPr>
                    <w:t>合计</w:t>
                  </w:r>
                </w:p>
              </w:tc>
              <w:tc>
                <w:tcPr>
                  <w:tcW w:w="590"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3.744</w:t>
                  </w:r>
                </w:p>
              </w:tc>
              <w:tc>
                <w:tcPr>
                  <w:tcW w:w="581"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0.0385</w:t>
                  </w:r>
                </w:p>
              </w:tc>
              <w:tc>
                <w:tcPr>
                  <w:tcW w:w="601"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3.73104</w:t>
                  </w:r>
                </w:p>
              </w:tc>
              <w:tc>
                <w:tcPr>
                  <w:tcW w:w="699"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2.9315</w:t>
                  </w:r>
                </w:p>
              </w:tc>
              <w:tc>
                <w:tcPr>
                  <w:tcW w:w="672"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0</w:t>
                  </w:r>
                </w:p>
              </w:tc>
              <w:tc>
                <w:tcPr>
                  <w:tcW w:w="631"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-0.0385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p>
              </w:tc>
              <w:tc>
                <w:tcPr>
                  <w:tcW w:w="404" w:type="pct"/>
                  <w:vMerge w:val="restar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kern w:val="0"/>
                      <w:sz w:val="21"/>
                      <w:szCs w:val="21"/>
                      <w:lang w:bidi="ar"/>
                    </w:rPr>
                  </w:pPr>
                  <w:r>
                    <w:rPr>
                      <w:rFonts w:hint="eastAsia" w:cs="Times New Roman"/>
                      <w:color w:val="auto"/>
                      <w:kern w:val="0"/>
                      <w:sz w:val="21"/>
                      <w:szCs w:val="21"/>
                      <w:lang w:val="en-US" w:eastAsia="zh-CN" w:bidi="ar"/>
                    </w:rPr>
                    <w:t>总</w:t>
                  </w:r>
                  <w:r>
                    <w:rPr>
                      <w:rFonts w:hint="eastAsia" w:ascii="Times New Roman" w:hAnsi="Times New Roman" w:eastAsia="宋体" w:cs="Times New Roman"/>
                      <w:color w:val="auto"/>
                      <w:kern w:val="0"/>
                      <w:sz w:val="21"/>
                      <w:szCs w:val="21"/>
                      <w:lang w:bidi="ar"/>
                    </w:rPr>
                    <w:t>VOCs</w:t>
                  </w: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有组织</w:t>
                  </w:r>
                </w:p>
              </w:tc>
              <w:tc>
                <w:tcPr>
                  <w:tcW w:w="590"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0.1248</w:t>
                  </w:r>
                </w:p>
              </w:tc>
              <w:tc>
                <w:tcPr>
                  <w:tcW w:w="581"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0.0258</w:t>
                  </w:r>
                </w:p>
              </w:tc>
              <w:tc>
                <w:tcPr>
                  <w:tcW w:w="601"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w:t>
                  </w:r>
                </w:p>
              </w:tc>
              <w:tc>
                <w:tcPr>
                  <w:tcW w:w="699"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0.1506</w:t>
                  </w:r>
                </w:p>
              </w:tc>
              <w:tc>
                <w:tcPr>
                  <w:tcW w:w="672"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0.1506</w:t>
                  </w:r>
                </w:p>
              </w:tc>
              <w:tc>
                <w:tcPr>
                  <w:tcW w:w="631"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BF9000" w:themeColor="accent4" w:themeShade="BF"/>
                      <w:kern w:val="2"/>
                      <w:sz w:val="21"/>
                      <w:szCs w:val="21"/>
                      <w:highlight w:val="none"/>
                      <w:lang w:val="en-US" w:eastAsia="zh-CN" w:bidi="ar-SA"/>
                    </w:rPr>
                  </w:pPr>
                  <w:r>
                    <w:rPr>
                      <w:rFonts w:hint="eastAsia" w:cs="Times New Roman"/>
                      <w:i w:val="0"/>
                      <w:iCs w:val="0"/>
                      <w:color w:val="BF9000" w:themeColor="accent4" w:themeShade="BF"/>
                      <w:kern w:val="0"/>
                      <w:sz w:val="21"/>
                      <w:szCs w:val="21"/>
                      <w:u w:val="none"/>
                      <w:lang w:val="en-US" w:eastAsia="zh-CN" w:bidi="ar"/>
                    </w:rPr>
                    <w:t>+</w:t>
                  </w:r>
                  <w:r>
                    <w:rPr>
                      <w:rFonts w:hint="default" w:ascii="Times New Roman" w:hAnsi="Times New Roman" w:eastAsia="宋体" w:cs="Times New Roman"/>
                      <w:i w:val="0"/>
                      <w:iCs w:val="0"/>
                      <w:color w:val="BF9000" w:themeColor="accent4" w:themeShade="BF"/>
                      <w:kern w:val="0"/>
                      <w:sz w:val="21"/>
                      <w:szCs w:val="21"/>
                      <w:u w:val="none"/>
                      <w:lang w:val="en-US" w:eastAsia="zh-CN" w:bidi="ar"/>
                    </w:rPr>
                    <w:t>0.0258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404"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无组织</w:t>
                  </w:r>
                </w:p>
              </w:tc>
              <w:tc>
                <w:tcPr>
                  <w:tcW w:w="590"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0.416</w:t>
                  </w:r>
                </w:p>
              </w:tc>
              <w:tc>
                <w:tcPr>
                  <w:tcW w:w="581"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0.0831</w:t>
                  </w:r>
                </w:p>
              </w:tc>
              <w:tc>
                <w:tcPr>
                  <w:tcW w:w="601"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s="Times New Roman"/>
                      <w:color w:val="BF9000" w:themeColor="accent4" w:themeShade="BF"/>
                      <w:kern w:val="2"/>
                      <w:sz w:val="21"/>
                      <w:szCs w:val="21"/>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w:t>
                  </w:r>
                </w:p>
              </w:tc>
              <w:tc>
                <w:tcPr>
                  <w:tcW w:w="699"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0.4991</w:t>
                  </w:r>
                </w:p>
              </w:tc>
              <w:tc>
                <w:tcPr>
                  <w:tcW w:w="672"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0.4991</w:t>
                  </w:r>
                </w:p>
              </w:tc>
              <w:tc>
                <w:tcPr>
                  <w:tcW w:w="631"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BF9000" w:themeColor="accent4" w:themeShade="BF"/>
                      <w:kern w:val="2"/>
                      <w:sz w:val="21"/>
                      <w:szCs w:val="21"/>
                      <w:highlight w:val="none"/>
                      <w:lang w:val="en-US" w:eastAsia="zh-CN" w:bidi="ar-SA"/>
                    </w:rPr>
                  </w:pPr>
                  <w:r>
                    <w:rPr>
                      <w:rFonts w:hint="eastAsia" w:cs="Times New Roman"/>
                      <w:i w:val="0"/>
                      <w:iCs w:val="0"/>
                      <w:color w:val="BF9000" w:themeColor="accent4" w:themeShade="BF"/>
                      <w:kern w:val="0"/>
                      <w:sz w:val="21"/>
                      <w:szCs w:val="21"/>
                      <w:u w:val="none"/>
                      <w:lang w:val="en-US" w:eastAsia="zh-CN" w:bidi="ar"/>
                    </w:rPr>
                    <w:t>+</w:t>
                  </w:r>
                  <w:r>
                    <w:rPr>
                      <w:rFonts w:hint="default" w:ascii="Times New Roman" w:hAnsi="Times New Roman" w:eastAsia="宋体" w:cs="Times New Roman"/>
                      <w:i w:val="0"/>
                      <w:iCs w:val="0"/>
                      <w:color w:val="BF9000" w:themeColor="accent4" w:themeShade="BF"/>
                      <w:kern w:val="0"/>
                      <w:sz w:val="21"/>
                      <w:szCs w:val="21"/>
                      <w:u w:val="none"/>
                      <w:lang w:val="en-US" w:eastAsia="zh-CN" w:bidi="ar"/>
                    </w:rPr>
                    <w:t>0.0831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04" w:type="pct"/>
                  <w:vMerge w:val="continue"/>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合计</w:t>
                  </w:r>
                </w:p>
              </w:tc>
              <w:tc>
                <w:tcPr>
                  <w:tcW w:w="590"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0.5408</w:t>
                  </w:r>
                </w:p>
              </w:tc>
              <w:tc>
                <w:tcPr>
                  <w:tcW w:w="581"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0.1089</w:t>
                  </w:r>
                </w:p>
              </w:tc>
              <w:tc>
                <w:tcPr>
                  <w:tcW w:w="601"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w:t>
                  </w:r>
                </w:p>
              </w:tc>
              <w:tc>
                <w:tcPr>
                  <w:tcW w:w="699"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0.6497</w:t>
                  </w:r>
                </w:p>
              </w:tc>
              <w:tc>
                <w:tcPr>
                  <w:tcW w:w="672"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u w:val="none"/>
                      <w:lang w:val="en-US" w:eastAsia="zh-CN" w:bidi="ar"/>
                    </w:rPr>
                    <w:t>0.6497</w:t>
                  </w:r>
                </w:p>
              </w:tc>
              <w:tc>
                <w:tcPr>
                  <w:tcW w:w="631"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BF9000" w:themeColor="accent4" w:themeShade="BF"/>
                      <w:kern w:val="2"/>
                      <w:sz w:val="21"/>
                      <w:szCs w:val="21"/>
                      <w:highlight w:val="none"/>
                      <w:lang w:val="en-US" w:eastAsia="zh-CN" w:bidi="ar-SA"/>
                    </w:rPr>
                  </w:pPr>
                  <w:r>
                    <w:rPr>
                      <w:rFonts w:hint="eastAsia" w:cs="Times New Roman"/>
                      <w:i w:val="0"/>
                      <w:iCs w:val="0"/>
                      <w:color w:val="BF9000" w:themeColor="accent4" w:themeShade="BF"/>
                      <w:kern w:val="0"/>
                      <w:sz w:val="21"/>
                      <w:szCs w:val="21"/>
                      <w:u w:val="none"/>
                      <w:lang w:val="en-US" w:eastAsia="zh-CN" w:bidi="ar"/>
                    </w:rPr>
                    <w:t>+</w:t>
                  </w:r>
                  <w:r>
                    <w:rPr>
                      <w:rFonts w:hint="default" w:ascii="Times New Roman" w:hAnsi="Times New Roman" w:eastAsia="宋体" w:cs="Times New Roman"/>
                      <w:i w:val="0"/>
                      <w:iCs w:val="0"/>
                      <w:color w:val="BF9000" w:themeColor="accent4" w:themeShade="BF"/>
                      <w:kern w:val="0"/>
                      <w:sz w:val="21"/>
                      <w:szCs w:val="21"/>
                      <w:u w:val="none"/>
                      <w:lang w:val="en-US" w:eastAsia="zh-CN" w:bidi="ar"/>
                    </w:rPr>
                    <w:t>0.1089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5000" w:type="pct"/>
                  <w:gridSpan w:val="9"/>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both"/>
                    <w:rPr>
                      <w:rFonts w:ascii="Times New Roman" w:hAnsi="Times New Roman" w:eastAsia="宋体" w:cs="Times New Roman"/>
                      <w:b/>
                      <w:bCs/>
                      <w:color w:val="auto"/>
                      <w:spacing w:val="-6"/>
                      <w:sz w:val="21"/>
                      <w:szCs w:val="21"/>
                    </w:rPr>
                  </w:pPr>
                  <w:r>
                    <w:rPr>
                      <w:rFonts w:ascii="Times New Roman" w:hAnsi="Times New Roman" w:eastAsia="宋体" w:cs="Times New Roman"/>
                      <w:b/>
                      <w:bCs/>
                      <w:color w:val="auto"/>
                      <w:spacing w:val="-6"/>
                      <w:sz w:val="21"/>
                      <w:szCs w:val="21"/>
                    </w:rPr>
                    <w:t>注：</w:t>
                  </w:r>
                  <w:r>
                    <w:rPr>
                      <w:rFonts w:hint="eastAsia" w:ascii="Times New Roman" w:hAnsi="Times New Roman" w:eastAsia="宋体" w:cs="Times New Roman"/>
                      <w:b/>
                      <w:bCs/>
                      <w:color w:val="auto"/>
                      <w:spacing w:val="-6"/>
                      <w:sz w:val="21"/>
                      <w:szCs w:val="21"/>
                      <w:lang w:val="en-US" w:eastAsia="zh-CN"/>
                    </w:rPr>
                    <w:t>本次扩建项目不新增生活污水排放量</w:t>
                  </w:r>
                  <w:r>
                    <w:rPr>
                      <w:rFonts w:hint="eastAsia" w:cs="Times New Roman"/>
                      <w:b/>
                      <w:bCs/>
                      <w:color w:val="auto"/>
                      <w:spacing w:val="-6"/>
                      <w:sz w:val="21"/>
                      <w:szCs w:val="21"/>
                      <w:lang w:val="en-US" w:eastAsia="zh-CN"/>
                    </w:rPr>
                    <w:t>，无需申请总量指标；</w:t>
                  </w:r>
                  <w:r>
                    <w:rPr>
                      <w:rFonts w:hint="eastAsia" w:cs="Times New Roman"/>
                      <w:b/>
                      <w:bCs/>
                      <w:color w:val="FF0000"/>
                      <w:spacing w:val="-6"/>
                      <w:sz w:val="21"/>
                      <w:szCs w:val="21"/>
                      <w:lang w:val="en-US" w:eastAsia="zh-CN"/>
                    </w:rPr>
                    <w:t>颗粒物无需申请总量，</w:t>
                  </w:r>
                  <w:r>
                    <w:rPr>
                      <w:rFonts w:hint="eastAsia" w:cs="Times New Roman"/>
                      <w:b/>
                      <w:bCs/>
                      <w:color w:val="BF9000" w:themeColor="accent4" w:themeShade="BF"/>
                      <w:spacing w:val="-6"/>
                      <w:sz w:val="21"/>
                      <w:szCs w:val="21"/>
                      <w:lang w:val="en-US" w:eastAsia="zh-CN"/>
                    </w:rPr>
                    <w:t>非甲烷总烃归于总VOCs，本项目需申请总量为0.6497t/a，</w:t>
                  </w:r>
                  <w:r>
                    <w:rPr>
                      <w:rFonts w:hint="eastAsia" w:cs="Times New Roman"/>
                      <w:b/>
                      <w:bCs/>
                      <w:color w:val="auto"/>
                      <w:spacing w:val="-6"/>
                      <w:sz w:val="21"/>
                      <w:szCs w:val="21"/>
                      <w:lang w:val="en-US" w:eastAsia="zh-CN"/>
                    </w:rPr>
                    <w:t>由惠州市生态环境局博罗分局分配。</w:t>
                  </w:r>
                </w:p>
              </w:tc>
            </w:tr>
          </w:tbl>
          <w:p>
            <w:pPr>
              <w:adjustRightInd w:val="0"/>
              <w:snapToGrid w:val="0"/>
              <w:rPr>
                <w:rFonts w:ascii="宋体" w:hAnsi="宋体" w:cs="宋体"/>
                <w:color w:val="auto"/>
                <w:kern w:val="0"/>
                <w:szCs w:val="21"/>
              </w:rPr>
            </w:pP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rPr>
          <w:color w:val="auto"/>
        </w:rPr>
      </w:pPr>
      <w:r>
        <w:rPr>
          <w:rFonts w:hint="eastAsia"/>
          <w:color w:val="auto"/>
        </w:rPr>
        <w:t>四、主要环境影响和保护措施</w:t>
      </w:r>
    </w:p>
    <w:tbl>
      <w:tblPr>
        <w:tblStyle w:val="30"/>
        <w:tblW w:w="9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9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1" w:hRule="atLeast"/>
        </w:trPr>
        <w:tc>
          <w:tcPr>
            <w:tcW w:w="625" w:type="dxa"/>
            <w:vAlign w:val="center"/>
          </w:tcPr>
          <w:p>
            <w:pPr>
              <w:pStyle w:val="25"/>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施工</w:t>
            </w:r>
          </w:p>
          <w:p>
            <w:pPr>
              <w:pStyle w:val="25"/>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期环</w:t>
            </w:r>
          </w:p>
          <w:p>
            <w:pPr>
              <w:pStyle w:val="25"/>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境保</w:t>
            </w:r>
          </w:p>
          <w:p>
            <w:pPr>
              <w:pStyle w:val="25"/>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护措</w:t>
            </w:r>
          </w:p>
          <w:p>
            <w:pPr>
              <w:pStyle w:val="25"/>
              <w:adjustRightInd w:val="0"/>
              <w:snapToGrid w:val="0"/>
              <w:spacing w:before="0" w:beforeAutospacing="0" w:after="0" w:afterAutospacing="0"/>
              <w:jc w:val="center"/>
              <w:rPr>
                <w:color w:val="auto"/>
              </w:rPr>
            </w:pPr>
            <w:r>
              <w:rPr>
                <w:rFonts w:hint="eastAsia" w:cs="宋体"/>
                <w:color w:val="auto"/>
                <w:kern w:val="2"/>
                <w:szCs w:val="24"/>
              </w:rPr>
              <w:t>施</w:t>
            </w:r>
          </w:p>
        </w:tc>
        <w:tc>
          <w:tcPr>
            <w:tcW w:w="9232" w:type="dxa"/>
            <w:vAlign w:val="center"/>
          </w:tcPr>
          <w:p>
            <w:pPr>
              <w:pStyle w:val="25"/>
              <w:adjustRightInd w:val="0"/>
              <w:snapToGrid w:val="0"/>
              <w:spacing w:before="0" w:beforeAutospacing="0" w:after="0" w:afterAutospacing="0"/>
              <w:ind w:firstLine="480" w:firstLineChars="200"/>
              <w:jc w:val="left"/>
              <w:rPr>
                <w:rFonts w:cs="宋体"/>
                <w:color w:val="auto"/>
                <w:kern w:val="2"/>
                <w:szCs w:val="24"/>
              </w:rPr>
            </w:pPr>
            <w:r>
              <w:rPr>
                <w:color w:val="auto"/>
                <w:sz w:val="24"/>
              </w:rPr>
              <w:t>项目</w:t>
            </w:r>
            <w:r>
              <w:rPr>
                <w:rFonts w:hint="eastAsia"/>
                <w:color w:val="auto"/>
                <w:sz w:val="24"/>
              </w:rPr>
              <w:t>建筑物均</w:t>
            </w:r>
            <w:r>
              <w:rPr>
                <w:color w:val="auto"/>
                <w:sz w:val="24"/>
              </w:rPr>
              <w:t>已建成</w:t>
            </w:r>
            <w:r>
              <w:rPr>
                <w:bCs/>
                <w:color w:val="auto"/>
                <w:spacing w:val="-10"/>
                <w:sz w:val="24"/>
              </w:rPr>
              <w:t>，</w:t>
            </w:r>
            <w:r>
              <w:rPr>
                <w:rFonts w:hint="eastAsia"/>
                <w:bCs/>
                <w:color w:val="auto"/>
                <w:spacing w:val="-10"/>
                <w:sz w:val="24"/>
              </w:rPr>
              <w:t>因此无需分析施工期废水、废气、噪声和固废对周边环境的影响及其保护措施。</w:t>
            </w: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30"/>
        <w:tblW w:w="147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4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 w:type="dxa"/>
          </w:tcPr>
          <w:p>
            <w:pPr>
              <w:adjustRightInd w:val="0"/>
              <w:snapToGrid w:val="0"/>
              <w:jc w:val="center"/>
              <w:rPr>
                <w:rFonts w:ascii="宋体" w:hAnsi="宋体" w:cs="宋体"/>
                <w:bCs/>
                <w:color w:val="auto"/>
                <w:szCs w:val="21"/>
              </w:rPr>
            </w:pPr>
          </w:p>
          <w:p>
            <w:pPr>
              <w:adjustRightInd w:val="0"/>
              <w:snapToGrid w:val="0"/>
              <w:jc w:val="center"/>
              <w:rPr>
                <w:rFonts w:ascii="宋体" w:hAnsi="宋体" w:cs="宋体"/>
                <w:bCs/>
                <w:color w:val="auto"/>
                <w:szCs w:val="21"/>
              </w:rPr>
            </w:pPr>
          </w:p>
          <w:p>
            <w:pPr>
              <w:adjustRightInd w:val="0"/>
              <w:snapToGrid w:val="0"/>
              <w:jc w:val="center"/>
              <w:rPr>
                <w:rFonts w:ascii="宋体" w:hAnsi="宋体" w:cs="宋体"/>
                <w:bCs/>
                <w:color w:val="auto"/>
                <w:szCs w:val="21"/>
              </w:rPr>
            </w:pPr>
          </w:p>
          <w:p>
            <w:pPr>
              <w:adjustRightInd w:val="0"/>
              <w:snapToGrid w:val="0"/>
              <w:jc w:val="center"/>
              <w:rPr>
                <w:rFonts w:ascii="宋体" w:hAnsi="宋体" w:cs="宋体"/>
                <w:bCs/>
                <w:color w:val="auto"/>
                <w:szCs w:val="21"/>
              </w:rPr>
            </w:pPr>
          </w:p>
          <w:p>
            <w:pPr>
              <w:adjustRightInd w:val="0"/>
              <w:snapToGrid w:val="0"/>
              <w:rPr>
                <w:rFonts w:ascii="宋体" w:hAnsi="宋体" w:cs="宋体"/>
                <w:bCs/>
                <w:color w:val="auto"/>
                <w:szCs w:val="21"/>
              </w:rPr>
            </w:pPr>
            <w:r>
              <w:rPr>
                <w:rFonts w:hint="eastAsia" w:ascii="宋体" w:hAnsi="宋体" w:cs="宋体"/>
                <w:bCs/>
                <w:color w:val="auto"/>
                <w:szCs w:val="21"/>
              </w:rPr>
              <w:t>运营</w:t>
            </w:r>
          </w:p>
          <w:p>
            <w:pPr>
              <w:adjustRightInd w:val="0"/>
              <w:snapToGrid w:val="0"/>
              <w:jc w:val="center"/>
              <w:rPr>
                <w:rFonts w:ascii="宋体" w:hAnsi="宋体" w:cs="宋体"/>
                <w:bCs/>
                <w:color w:val="auto"/>
                <w:szCs w:val="21"/>
              </w:rPr>
            </w:pPr>
            <w:r>
              <w:rPr>
                <w:rFonts w:hint="eastAsia" w:ascii="宋体" w:hAnsi="宋体" w:cs="宋体"/>
                <w:bCs/>
                <w:color w:val="auto"/>
                <w:szCs w:val="21"/>
              </w:rPr>
              <w:t>期环</w:t>
            </w:r>
          </w:p>
          <w:p>
            <w:pPr>
              <w:adjustRightInd w:val="0"/>
              <w:snapToGrid w:val="0"/>
              <w:jc w:val="center"/>
              <w:rPr>
                <w:rFonts w:ascii="宋体" w:hAnsi="宋体" w:cs="宋体"/>
                <w:bCs/>
                <w:color w:val="auto"/>
                <w:szCs w:val="21"/>
              </w:rPr>
            </w:pPr>
            <w:r>
              <w:rPr>
                <w:rFonts w:hint="eastAsia" w:ascii="宋体" w:hAnsi="宋体" w:cs="宋体"/>
                <w:bCs/>
                <w:color w:val="auto"/>
                <w:szCs w:val="21"/>
              </w:rPr>
              <w:t>境影</w:t>
            </w:r>
          </w:p>
          <w:p>
            <w:pPr>
              <w:adjustRightInd w:val="0"/>
              <w:snapToGrid w:val="0"/>
              <w:jc w:val="center"/>
              <w:rPr>
                <w:rFonts w:ascii="宋体" w:hAnsi="宋体" w:cs="宋体"/>
                <w:bCs/>
                <w:color w:val="auto"/>
                <w:szCs w:val="21"/>
              </w:rPr>
            </w:pPr>
            <w:r>
              <w:rPr>
                <w:rFonts w:hint="eastAsia" w:ascii="宋体" w:hAnsi="宋体" w:cs="宋体"/>
                <w:bCs/>
                <w:color w:val="auto"/>
                <w:szCs w:val="21"/>
              </w:rPr>
              <w:t>响和</w:t>
            </w:r>
          </w:p>
          <w:p>
            <w:pPr>
              <w:adjustRightInd w:val="0"/>
              <w:snapToGrid w:val="0"/>
              <w:jc w:val="center"/>
              <w:rPr>
                <w:rFonts w:ascii="宋体" w:hAnsi="宋体" w:cs="宋体"/>
                <w:bCs/>
                <w:color w:val="auto"/>
                <w:szCs w:val="21"/>
              </w:rPr>
            </w:pPr>
            <w:r>
              <w:rPr>
                <w:rFonts w:hint="eastAsia" w:ascii="宋体" w:hAnsi="宋体" w:cs="宋体"/>
                <w:bCs/>
                <w:color w:val="auto"/>
                <w:szCs w:val="21"/>
              </w:rPr>
              <w:t>保护</w:t>
            </w:r>
          </w:p>
          <w:p>
            <w:pPr>
              <w:adjustRightInd w:val="0"/>
              <w:snapToGrid w:val="0"/>
              <w:spacing w:line="240" w:lineRule="auto"/>
              <w:jc w:val="center"/>
              <w:rPr>
                <w:rFonts w:ascii="宋体" w:hAnsi="宋体" w:cs="宋体"/>
                <w:bCs/>
                <w:color w:val="auto"/>
              </w:rPr>
            </w:pPr>
            <w:r>
              <w:rPr>
                <w:rFonts w:hint="eastAsia" w:ascii="宋体" w:hAnsi="宋体" w:cs="宋体"/>
                <w:bCs/>
                <w:color w:val="auto"/>
                <w:szCs w:val="21"/>
              </w:rPr>
              <w:t>措施</w:t>
            </w:r>
          </w:p>
        </w:tc>
        <w:tc>
          <w:tcPr>
            <w:tcW w:w="14272" w:type="dxa"/>
          </w:tcPr>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一、</w:t>
            </w:r>
            <w:r>
              <w:rPr>
                <w:rFonts w:hint="eastAsia" w:ascii="宋体" w:hAnsi="宋体" w:cs="宋体"/>
                <w:b/>
                <w:color w:val="auto"/>
                <w:szCs w:val="21"/>
              </w:rPr>
              <w:t>废气</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eastAsia" w:eastAsia="宋体"/>
                <w:color w:val="auto"/>
                <w:sz w:val="24"/>
                <w:szCs w:val="24"/>
                <w:highlight w:val="none"/>
                <w:lang w:eastAsia="zh-CN"/>
              </w:rPr>
            </w:pPr>
            <w:r>
              <w:rPr>
                <w:color w:val="auto"/>
                <w:sz w:val="24"/>
                <w:szCs w:val="24"/>
                <w:highlight w:val="none"/>
              </w:rPr>
              <w:t>根据工程分析和企业提供的资料，本项目不设备用发动机、锅炉等设备</w:t>
            </w:r>
            <w:r>
              <w:rPr>
                <w:rFonts w:hint="eastAsia"/>
                <w:color w:val="auto"/>
                <w:sz w:val="24"/>
                <w:szCs w:val="24"/>
                <w:highlight w:val="none"/>
              </w:rPr>
              <w:t>。本项目的</w:t>
            </w:r>
            <w:r>
              <w:rPr>
                <w:color w:val="auto"/>
                <w:sz w:val="24"/>
                <w:szCs w:val="24"/>
                <w:highlight w:val="none"/>
              </w:rPr>
              <w:t>大气污染物主要为</w:t>
            </w:r>
            <w:r>
              <w:rPr>
                <w:rFonts w:hint="eastAsia"/>
                <w:color w:val="auto"/>
                <w:sz w:val="24"/>
                <w:szCs w:val="24"/>
                <w:highlight w:val="none"/>
                <w:lang w:eastAsia="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bCs/>
                <w:color w:val="auto"/>
                <w:kern w:val="10"/>
                <w:sz w:val="24"/>
                <w:szCs w:val="24"/>
                <w:highlight w:val="none"/>
                <w:lang w:val="en-US" w:eastAsia="zh-CN"/>
              </w:rPr>
            </w:pPr>
            <w:r>
              <w:rPr>
                <w:rFonts w:hint="eastAsia"/>
                <w:color w:val="auto"/>
                <w:sz w:val="24"/>
                <w:szCs w:val="24"/>
                <w:highlight w:val="none"/>
                <w:lang w:val="en-US" w:eastAsia="zh-CN"/>
              </w:rPr>
              <w:t>①机加工、打磨工序产生的粉尘（以颗粒物表征）；②电火花、雕刻工序</w:t>
            </w:r>
            <w:r>
              <w:rPr>
                <w:rFonts w:hint="eastAsia" w:cs="Times New Roman"/>
                <w:bCs/>
                <w:color w:val="auto"/>
                <w:kern w:val="10"/>
                <w:sz w:val="24"/>
                <w:szCs w:val="24"/>
                <w:highlight w:val="none"/>
                <w:lang w:val="en-US" w:eastAsia="zh-CN"/>
              </w:rPr>
              <w:t>产生的油雾</w:t>
            </w:r>
            <w:r>
              <w:rPr>
                <w:rFonts w:hint="eastAsia"/>
                <w:color w:val="auto"/>
                <w:sz w:val="24"/>
                <w:szCs w:val="24"/>
                <w:highlight w:val="none"/>
                <w:lang w:val="en-US" w:eastAsia="zh-CN"/>
              </w:rPr>
              <w:t>（以非甲烷总烃表征）；</w:t>
            </w:r>
            <w:r>
              <w:rPr>
                <w:rFonts w:hint="default" w:ascii="Times New Roman" w:hAnsi="Times New Roman" w:cs="Times New Roman"/>
                <w:bCs/>
                <w:color w:val="auto"/>
                <w:kern w:val="10"/>
                <w:sz w:val="24"/>
                <w:szCs w:val="24"/>
                <w:highlight w:val="none"/>
                <w:lang w:eastAsia="zh-CN"/>
              </w:rPr>
              <w:t>③</w:t>
            </w:r>
            <w:r>
              <w:rPr>
                <w:rFonts w:hint="eastAsia"/>
                <w:color w:val="auto"/>
                <w:sz w:val="24"/>
                <w:szCs w:val="24"/>
                <w:highlight w:val="none"/>
                <w:lang w:val="en-US" w:eastAsia="zh-CN"/>
              </w:rPr>
              <w:t>混料、破碎工序产生的粉尘（以颗粒物表征）；④注塑成型工序产生的有机废气（以非甲烷总烃表征）；⑤喷漆工序产生的漆雾（以颗粒物表征）；⑥</w:t>
            </w:r>
            <w:r>
              <w:rPr>
                <w:rFonts w:hint="eastAsia" w:cs="Times New Roman"/>
                <w:bCs/>
                <w:color w:val="auto"/>
                <w:kern w:val="10"/>
                <w:sz w:val="24"/>
                <w:szCs w:val="24"/>
                <w:highlight w:val="none"/>
                <w:lang w:val="en-US" w:eastAsia="zh-CN"/>
              </w:rPr>
              <w:t>喷漆烘烤工序、</w:t>
            </w:r>
            <w:r>
              <w:rPr>
                <w:rFonts w:hint="eastAsia"/>
                <w:bCs/>
                <w:color w:val="auto"/>
                <w:kern w:val="10"/>
                <w:sz w:val="24"/>
                <w:szCs w:val="24"/>
                <w:highlight w:val="none"/>
                <w:lang w:val="en-US" w:eastAsia="zh-CN"/>
              </w:rPr>
              <w:t>丝印烘烤工序</w:t>
            </w:r>
            <w:r>
              <w:rPr>
                <w:rFonts w:hint="eastAsia" w:cs="Times New Roman"/>
                <w:bCs/>
                <w:color w:val="auto"/>
                <w:kern w:val="10"/>
                <w:sz w:val="24"/>
                <w:szCs w:val="24"/>
                <w:highlight w:val="none"/>
                <w:lang w:val="en-US" w:eastAsia="zh-CN"/>
              </w:rPr>
              <w:t>产生的有机废气（</w:t>
            </w:r>
            <w:r>
              <w:rPr>
                <w:rFonts w:hint="eastAsia"/>
                <w:color w:val="auto"/>
                <w:sz w:val="24"/>
                <w:szCs w:val="24"/>
                <w:highlight w:val="none"/>
                <w:lang w:val="en-US" w:eastAsia="zh-CN"/>
              </w:rPr>
              <w:t>以</w:t>
            </w:r>
            <w:r>
              <w:rPr>
                <w:rFonts w:hint="eastAsia"/>
                <w:color w:val="BF9000" w:themeColor="accent4" w:themeShade="BF"/>
                <w:sz w:val="24"/>
                <w:szCs w:val="24"/>
                <w:highlight w:val="none"/>
                <w:lang w:val="en-US" w:eastAsia="zh-CN"/>
              </w:rPr>
              <w:t>非甲烷总烃</w:t>
            </w:r>
            <w:r>
              <w:rPr>
                <w:rFonts w:hint="eastAsia"/>
                <w:color w:val="auto"/>
                <w:sz w:val="24"/>
                <w:szCs w:val="24"/>
                <w:highlight w:val="none"/>
                <w:lang w:val="en-US" w:eastAsia="zh-CN"/>
              </w:rPr>
              <w:t>表征</w:t>
            </w:r>
            <w:r>
              <w:rPr>
                <w:rFonts w:hint="eastAsia" w:cs="Times New Roman"/>
                <w:bCs/>
                <w:color w:val="auto"/>
                <w:kern w:val="10"/>
                <w:sz w:val="24"/>
                <w:szCs w:val="24"/>
                <w:highlight w:val="none"/>
                <w:lang w:val="en-US" w:eastAsia="zh-CN"/>
              </w:rPr>
              <w:t>）</w:t>
            </w:r>
            <w:r>
              <w:rPr>
                <w:rFonts w:hint="eastAsia"/>
                <w:color w:val="auto"/>
                <w:sz w:val="24"/>
                <w:szCs w:val="24"/>
                <w:highlight w:val="none"/>
                <w:lang w:val="en-US" w:eastAsia="zh-CN"/>
              </w:rPr>
              <w:t>。</w:t>
            </w:r>
          </w:p>
          <w:p>
            <w:pPr>
              <w:pStyle w:val="42"/>
              <w:keepNext w:val="0"/>
              <w:keepLines w:val="0"/>
              <w:pageBreakBefore w:val="0"/>
              <w:widowControl w:val="0"/>
              <w:kinsoku/>
              <w:wordWrap/>
              <w:overflowPunct/>
              <w:topLinePunct w:val="0"/>
              <w:bidi w:val="0"/>
              <w:adjustRightInd w:val="0"/>
              <w:spacing w:line="360" w:lineRule="auto"/>
              <w:ind w:firstLine="482" w:firstLineChars="200"/>
              <w:textAlignment w:val="auto"/>
              <w:rPr>
                <w:rFonts w:hint="default" w:ascii="Times New Roman" w:hAnsi="Times New Roman" w:eastAsia="宋体" w:cs="Times New Roman"/>
                <w:color w:val="auto"/>
                <w:sz w:val="24"/>
                <w:szCs w:val="24"/>
                <w:highlight w:val="none"/>
              </w:rPr>
            </w:pPr>
            <w:r>
              <w:rPr>
                <w:rFonts w:hint="eastAsia" w:ascii="Times New Roman" w:eastAsia="宋体"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rPr>
              <w:t>废气源强</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color w:val="auto"/>
                <w:sz w:val="24"/>
                <w:szCs w:val="24"/>
                <w:highlight w:val="none"/>
              </w:rPr>
            </w:pPr>
            <w:r>
              <w:rPr>
                <w:rFonts w:hint="eastAsia"/>
                <w:color w:val="auto"/>
                <w:sz w:val="24"/>
                <w:szCs w:val="24"/>
                <w:highlight w:val="none"/>
                <w:lang w:val="en-US" w:eastAsia="zh-CN"/>
              </w:rPr>
              <w:t>扩建</w:t>
            </w:r>
            <w:r>
              <w:rPr>
                <w:color w:val="auto"/>
                <w:sz w:val="24"/>
                <w:szCs w:val="24"/>
                <w:highlight w:val="none"/>
              </w:rPr>
              <w:t>项目废气源强核算详见下表：</w:t>
            </w:r>
          </w:p>
          <w:p>
            <w:pPr>
              <w:pStyle w:val="44"/>
              <w:numPr>
                <w:ilvl w:val="0"/>
                <w:numId w:val="9"/>
              </w:numPr>
              <w:tabs>
                <w:tab w:val="clear" w:pos="0"/>
              </w:tabs>
              <w:bidi w:val="0"/>
              <w:ind w:left="0" w:leftChars="0" w:firstLine="403" w:firstLineChars="0"/>
              <w:rPr>
                <w:color w:val="auto"/>
              </w:rPr>
            </w:pPr>
            <w:r>
              <w:rPr>
                <w:rFonts w:hint="eastAsia"/>
                <w:color w:val="auto"/>
                <w:lang w:val="en-US" w:eastAsia="zh-CN"/>
              </w:rPr>
              <w:t>扩建项目</w:t>
            </w:r>
            <w:r>
              <w:rPr>
                <w:color w:val="auto"/>
              </w:rPr>
              <w:t>废气污染源源强核算结果及相关参数一览表</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716"/>
              <w:gridCol w:w="700"/>
              <w:gridCol w:w="733"/>
              <w:gridCol w:w="832"/>
              <w:gridCol w:w="655"/>
              <w:gridCol w:w="913"/>
              <w:gridCol w:w="859"/>
              <w:gridCol w:w="832"/>
              <w:gridCol w:w="941"/>
              <w:gridCol w:w="1180"/>
              <w:gridCol w:w="669"/>
              <w:gridCol w:w="668"/>
              <w:gridCol w:w="832"/>
              <w:gridCol w:w="777"/>
              <w:gridCol w:w="1042"/>
              <w:gridCol w:w="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tblHeader/>
              </w:trPr>
              <w:tc>
                <w:tcPr>
                  <w:tcW w:w="324" w:type="pct"/>
                  <w:vMerge w:val="restar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产污环节</w:t>
                  </w:r>
                </w:p>
              </w:tc>
              <w:tc>
                <w:tcPr>
                  <w:tcW w:w="255" w:type="pct"/>
                  <w:vMerge w:val="restar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污染物种类</w:t>
                  </w:r>
                </w:p>
              </w:tc>
              <w:tc>
                <w:tcPr>
                  <w:tcW w:w="249" w:type="pct"/>
                  <w:vMerge w:val="restar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排气筒名称及编号</w:t>
                  </w:r>
                </w:p>
              </w:tc>
              <w:tc>
                <w:tcPr>
                  <w:tcW w:w="261" w:type="pct"/>
                  <w:vMerge w:val="restar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产生量（t/a）</w:t>
                  </w:r>
                </w:p>
              </w:tc>
              <w:tc>
                <w:tcPr>
                  <w:tcW w:w="296" w:type="pct"/>
                  <w:vMerge w:val="restar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排放形式</w:t>
                  </w:r>
                </w:p>
              </w:tc>
              <w:tc>
                <w:tcPr>
                  <w:tcW w:w="233" w:type="pct"/>
                  <w:vMerge w:val="restar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收集效率</w:t>
                  </w:r>
                </w:p>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w:t>
                  </w:r>
                </w:p>
              </w:tc>
              <w:tc>
                <w:tcPr>
                  <w:tcW w:w="1262" w:type="pct"/>
                  <w:gridSpan w:val="4"/>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污染物产生情况</w:t>
                  </w:r>
                </w:p>
              </w:tc>
              <w:tc>
                <w:tcPr>
                  <w:tcW w:w="896" w:type="pct"/>
                  <w:gridSpan w:val="3"/>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治理措施</w:t>
                  </w:r>
                </w:p>
              </w:tc>
              <w:tc>
                <w:tcPr>
                  <w:tcW w:w="944" w:type="pct"/>
                  <w:gridSpan w:val="3"/>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排放情况</w:t>
                  </w:r>
                </w:p>
              </w:tc>
              <w:tc>
                <w:tcPr>
                  <w:tcW w:w="277" w:type="pct"/>
                  <w:vMerge w:val="restar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lang w:val="en-US" w:eastAsia="zh-CN"/>
                    </w:rPr>
                  </w:pPr>
                  <w:r>
                    <w:rPr>
                      <w:rFonts w:hint="eastAsia" w:ascii="Times New Roman" w:eastAsia="宋体" w:cs="Times New Roman"/>
                      <w:b/>
                      <w:bCs/>
                      <w:color w:val="auto"/>
                      <w:sz w:val="18"/>
                      <w:szCs w:val="18"/>
                      <w:highlight w:val="none"/>
                      <w:lang w:val="en-US" w:eastAsia="zh-CN"/>
                    </w:rPr>
                    <w:t>工作时间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blHeader/>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255"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249"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261"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296"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233"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325" w:type="pc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lang w:val="en-US" w:eastAsia="zh-CN"/>
                    </w:rPr>
                    <w:t>废气量（m</w:t>
                  </w:r>
                  <w:r>
                    <w:rPr>
                      <w:rFonts w:hint="default" w:ascii="Times New Roman" w:hAnsi="Times New Roman" w:eastAsia="宋体" w:cs="Times New Roman"/>
                      <w:b/>
                      <w:bCs/>
                      <w:color w:val="auto"/>
                      <w:sz w:val="18"/>
                      <w:szCs w:val="18"/>
                      <w:highlight w:val="none"/>
                      <w:vertAlign w:val="superscript"/>
                      <w:lang w:val="en-US" w:eastAsia="zh-CN"/>
                    </w:rPr>
                    <w:t>3</w:t>
                  </w:r>
                  <w:r>
                    <w:rPr>
                      <w:rFonts w:hint="default" w:ascii="Times New Roman" w:hAnsi="Times New Roman" w:eastAsia="宋体" w:cs="Times New Roman"/>
                      <w:b/>
                      <w:bCs/>
                      <w:color w:val="auto"/>
                      <w:sz w:val="18"/>
                      <w:szCs w:val="18"/>
                      <w:highlight w:val="none"/>
                      <w:lang w:val="en-US" w:eastAsia="zh-CN"/>
                    </w:rPr>
                    <w:t xml:space="preserve"> /h）</w:t>
                  </w:r>
                </w:p>
              </w:tc>
              <w:tc>
                <w:tcPr>
                  <w:tcW w:w="305" w:type="pc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产生量t/a</w:t>
                  </w:r>
                </w:p>
              </w:tc>
              <w:tc>
                <w:tcPr>
                  <w:tcW w:w="296" w:type="pct"/>
                  <w:noWrap w:val="0"/>
                  <w:vAlign w:val="center"/>
                </w:tcPr>
                <w:p>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产生速率kg/h</w:t>
                  </w:r>
                </w:p>
              </w:tc>
              <w:tc>
                <w:tcPr>
                  <w:tcW w:w="335" w:type="pc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产生浓度mg/m</w:t>
                  </w:r>
                  <w:r>
                    <w:rPr>
                      <w:rFonts w:hint="default" w:ascii="Times New Roman" w:hAnsi="Times New Roman" w:eastAsia="宋体" w:cs="Times New Roman"/>
                      <w:b/>
                      <w:bCs/>
                      <w:color w:val="auto"/>
                      <w:sz w:val="18"/>
                      <w:szCs w:val="18"/>
                      <w:highlight w:val="none"/>
                      <w:vertAlign w:val="superscript"/>
                    </w:rPr>
                    <w:t>3</w:t>
                  </w:r>
                </w:p>
              </w:tc>
              <w:tc>
                <w:tcPr>
                  <w:tcW w:w="420" w:type="pc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rPr>
                    <w:t>处理措施</w:t>
                  </w:r>
                </w:p>
              </w:tc>
              <w:tc>
                <w:tcPr>
                  <w:tcW w:w="238" w:type="pc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去除效率</w:t>
                  </w:r>
                </w:p>
                <w:p>
                  <w:pPr>
                    <w:pStyle w:val="42"/>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
                      <w:bCs/>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w:t>
                  </w:r>
                </w:p>
              </w:tc>
              <w:tc>
                <w:tcPr>
                  <w:tcW w:w="237" w:type="pc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是否可行技术</w:t>
                  </w:r>
                </w:p>
              </w:tc>
              <w:tc>
                <w:tcPr>
                  <w:tcW w:w="296" w:type="pct"/>
                  <w:noWrap w:val="0"/>
                  <w:vAlign w:val="center"/>
                </w:tcPr>
                <w:p>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排放量t/a</w:t>
                  </w:r>
                </w:p>
              </w:tc>
              <w:tc>
                <w:tcPr>
                  <w:tcW w:w="276" w:type="pc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排放速率kg/h</w:t>
                  </w:r>
                </w:p>
              </w:tc>
              <w:tc>
                <w:tcPr>
                  <w:tcW w:w="371" w:type="pct"/>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排放浓度mg/m</w:t>
                  </w:r>
                  <w:r>
                    <w:rPr>
                      <w:rFonts w:hint="default" w:ascii="Times New Roman" w:hAnsi="Times New Roman" w:eastAsia="宋体" w:cs="Times New Roman"/>
                      <w:b/>
                      <w:bCs/>
                      <w:color w:val="auto"/>
                      <w:sz w:val="18"/>
                      <w:szCs w:val="18"/>
                      <w:highlight w:val="none"/>
                      <w:vertAlign w:val="superscript"/>
                    </w:rPr>
                    <w:t>3</w:t>
                  </w:r>
                </w:p>
              </w:tc>
              <w:tc>
                <w:tcPr>
                  <w:tcW w:w="277" w:type="pct"/>
                  <w:vMerge w:val="continue"/>
                  <w:noWrap w:val="0"/>
                  <w:vAlign w:val="center"/>
                </w:tcPr>
                <w:p>
                  <w:pPr>
                    <w:pStyle w:val="42"/>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24"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FF0000"/>
                      <w:sz w:val="18"/>
                      <w:szCs w:val="18"/>
                      <w:highlight w:val="green"/>
                      <w:lang w:val="en-US" w:eastAsia="zh-CN"/>
                    </w:rPr>
                  </w:pPr>
                  <w:r>
                    <w:rPr>
                      <w:rFonts w:hint="default" w:ascii="Times New Roman" w:hAnsi="Times New Roman" w:eastAsia="宋体" w:cs="Times New Roman"/>
                      <w:color w:val="FF0000"/>
                      <w:sz w:val="18"/>
                      <w:szCs w:val="18"/>
                      <w:highlight w:val="green"/>
                      <w:lang w:val="en-US" w:eastAsia="zh-CN"/>
                    </w:rPr>
                    <w:t>机加工</w:t>
                  </w:r>
                  <w:r>
                    <w:rPr>
                      <w:rFonts w:hint="eastAsia" w:ascii="Times New Roman" w:hAnsi="Times New Roman" w:eastAsia="宋体" w:cs="Times New Roman"/>
                      <w:color w:val="FF0000"/>
                      <w:sz w:val="18"/>
                      <w:szCs w:val="18"/>
                      <w:highlight w:val="green"/>
                      <w:lang w:val="en-US" w:eastAsia="zh-CN"/>
                    </w:rPr>
                    <w:t>、</w:t>
                  </w:r>
                  <w:r>
                    <w:rPr>
                      <w:rFonts w:hint="default" w:ascii="Times New Roman" w:hAnsi="Times New Roman" w:eastAsia="宋体" w:cs="Times New Roman"/>
                      <w:color w:val="FF0000"/>
                      <w:sz w:val="18"/>
                      <w:szCs w:val="18"/>
                      <w:highlight w:val="green"/>
                      <w:lang w:val="en-US" w:eastAsia="zh-CN"/>
                    </w:rPr>
                    <w:t>打磨</w:t>
                  </w:r>
                </w:p>
              </w:tc>
              <w:tc>
                <w:tcPr>
                  <w:tcW w:w="25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green"/>
                    </w:rPr>
                  </w:pPr>
                  <w:r>
                    <w:rPr>
                      <w:rFonts w:hint="default" w:ascii="Times New Roman" w:hAnsi="Times New Roman" w:eastAsia="宋体" w:cs="Times New Roman"/>
                      <w:color w:val="FF0000"/>
                      <w:sz w:val="18"/>
                      <w:szCs w:val="18"/>
                      <w:highlight w:val="green"/>
                      <w:lang w:val="en-US" w:eastAsia="zh-CN"/>
                    </w:rPr>
                    <w:t>颗粒物</w:t>
                  </w: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green"/>
                      <w:lang w:val="en-US" w:eastAsia="zh-CN"/>
                    </w:rPr>
                  </w:pPr>
                  <w:r>
                    <w:rPr>
                      <w:rFonts w:hint="default" w:ascii="Times New Roman" w:hAnsi="Times New Roman" w:eastAsia="宋体" w:cs="Times New Roman"/>
                      <w:bCs/>
                      <w:color w:val="FF0000"/>
                      <w:sz w:val="18"/>
                      <w:szCs w:val="18"/>
                      <w:highlight w:val="green"/>
                      <w:lang w:val="en-US" w:eastAsia="zh-CN"/>
                    </w:rPr>
                    <w:t>DA00</w:t>
                  </w:r>
                  <w:r>
                    <w:rPr>
                      <w:rFonts w:hint="eastAsia" w:ascii="Times New Roman" w:hAnsi="Times New Roman" w:cs="Times New Roman"/>
                      <w:bCs/>
                      <w:color w:val="FF0000"/>
                      <w:sz w:val="18"/>
                      <w:szCs w:val="18"/>
                      <w:highlight w:val="green"/>
                      <w:lang w:val="en-US" w:eastAsia="zh-CN"/>
                    </w:rPr>
                    <w:t>4</w:t>
                  </w:r>
                </w:p>
              </w:tc>
              <w:tc>
                <w:tcPr>
                  <w:tcW w:w="261"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kern w:val="2"/>
                      <w:sz w:val="18"/>
                      <w:szCs w:val="18"/>
                      <w:highlight w:val="none"/>
                      <w:lang w:val="en-US" w:eastAsia="zh-CN" w:bidi="ar-SA"/>
                    </w:rPr>
                  </w:pPr>
                  <w:r>
                    <w:rPr>
                      <w:rFonts w:hint="eastAsia" w:ascii="Times New Roman" w:hAnsi="Times New Roman" w:eastAsia="宋体" w:cs="Times New Roman"/>
                      <w:bCs/>
                      <w:color w:val="FF0000"/>
                      <w:sz w:val="18"/>
                      <w:szCs w:val="18"/>
                      <w:highlight w:val="none"/>
                      <w:lang w:val="en-US" w:eastAsia="zh-CN"/>
                    </w:rPr>
                    <w:t>0.0438</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FF0000"/>
                      <w:kern w:val="0"/>
                      <w:sz w:val="18"/>
                      <w:szCs w:val="18"/>
                      <w:highlight w:val="none"/>
                      <w:lang w:val="en-US" w:eastAsia="zh-CN" w:bidi="ar"/>
                    </w:rPr>
                  </w:pPr>
                  <w:r>
                    <w:rPr>
                      <w:rFonts w:hint="eastAsia" w:ascii="Times New Roman" w:hAnsi="Times New Roman" w:eastAsia="宋体" w:cs="Times New Roman"/>
                      <w:color w:val="FF0000"/>
                      <w:kern w:val="0"/>
                      <w:sz w:val="18"/>
                      <w:szCs w:val="18"/>
                      <w:highlight w:val="none"/>
                      <w:lang w:val="en-US" w:eastAsia="zh-CN"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none"/>
                      <w:lang w:val="en-US" w:eastAsia="zh-CN"/>
                    </w:rPr>
                  </w:pPr>
                  <w:r>
                    <w:rPr>
                      <w:rFonts w:hint="eastAsia" w:ascii="Times New Roman" w:hAnsi="Times New Roman" w:cs="Times New Roman"/>
                      <w:bCs/>
                      <w:color w:val="FF0000"/>
                      <w:sz w:val="18"/>
                      <w:szCs w:val="18"/>
                      <w:highlight w:val="none"/>
                      <w:lang w:val="en-US" w:eastAsia="zh-CN"/>
                    </w:rPr>
                    <w:t>80</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
                    </w:rPr>
                  </w:pPr>
                  <w:r>
                    <w:rPr>
                      <w:rFonts w:hint="eastAsia" w:cs="Times New Roman"/>
                      <w:bCs/>
                      <w:color w:val="FF0000"/>
                      <w:kern w:val="2"/>
                      <w:sz w:val="18"/>
                      <w:szCs w:val="18"/>
                      <w:highlight w:val="none"/>
                      <w:lang w:val="en-US" w:eastAsia="zh-CN" w:bidi="ar"/>
                    </w:rPr>
                    <w:t>7000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0.035</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0.292</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41.7143</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FF0000"/>
                      <w:kern w:val="2"/>
                      <w:sz w:val="18"/>
                      <w:szCs w:val="18"/>
                      <w:lang w:val="en-US" w:eastAsia="zh-CN" w:bidi="ar-SA"/>
                    </w:rPr>
                  </w:pPr>
                  <w:r>
                    <w:rPr>
                      <w:rFonts w:hint="default" w:ascii="Times New Roman" w:hAnsi="Times New Roman" w:eastAsia="宋体" w:cs="Times New Roman"/>
                      <w:color w:val="FF0000"/>
                      <w:kern w:val="2"/>
                      <w:sz w:val="18"/>
                      <w:szCs w:val="18"/>
                      <w:lang w:val="en-US" w:eastAsia="zh-CN" w:bidi="ar-SA"/>
                    </w:rPr>
                    <w:t>布袋除尘器</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FF0000"/>
                      <w:kern w:val="2"/>
                      <w:sz w:val="18"/>
                      <w:szCs w:val="18"/>
                      <w:highlight w:val="none"/>
                      <w:lang w:val="en-US" w:eastAsia="zh-CN" w:bidi="ar-SA"/>
                    </w:rPr>
                  </w:pPr>
                  <w:r>
                    <w:rPr>
                      <w:rFonts w:hint="default" w:ascii="Times New Roman" w:hAnsi="Times New Roman" w:eastAsia="宋体" w:cs="Times New Roman"/>
                      <w:color w:val="FF0000"/>
                      <w:sz w:val="18"/>
                      <w:szCs w:val="18"/>
                      <w:highlight w:val="none"/>
                      <w:lang w:val="en-US" w:eastAsia="zh-CN"/>
                    </w:rPr>
                    <w:t>9</w:t>
                  </w:r>
                  <w:r>
                    <w:rPr>
                      <w:rFonts w:hint="eastAsia" w:ascii="Times New Roman" w:hAnsi="Times New Roman" w:eastAsia="宋体" w:cs="Times New Roman"/>
                      <w:color w:val="FF0000"/>
                      <w:sz w:val="18"/>
                      <w:szCs w:val="18"/>
                      <w:highlight w:val="none"/>
                      <w:lang w:val="en-US" w:eastAsia="zh-CN"/>
                    </w:rPr>
                    <w:t>5</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FF0000"/>
                      <w:kern w:val="2"/>
                      <w:sz w:val="18"/>
                      <w:szCs w:val="18"/>
                      <w:highlight w:val="none"/>
                      <w:lang w:val="en-US" w:eastAsia="zh-CN" w:bidi="ar-SA"/>
                    </w:rPr>
                  </w:pPr>
                  <w:r>
                    <w:rPr>
                      <w:rFonts w:hint="default" w:ascii="Times New Roman" w:hAnsi="Times New Roman" w:eastAsia="宋体" w:cs="Times New Roman"/>
                      <w:b/>
                      <w:bCs/>
                      <w:color w:val="FF0000"/>
                      <w:sz w:val="18"/>
                      <w:szCs w:val="18"/>
                      <w:highlight w:val="none"/>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0.0022</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0.0018</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0.2607</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FF0000"/>
                      <w:sz w:val="18"/>
                      <w:szCs w:val="18"/>
                      <w:highlight w:val="none"/>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FF0000"/>
                      <w:sz w:val="18"/>
                      <w:szCs w:val="18"/>
                      <w:highlight w:val="none"/>
                      <w:lang w:val="en-US" w:eastAsia="zh-CN"/>
                    </w:rPr>
                  </w:pP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w:t>
                  </w:r>
                </w:p>
              </w:tc>
              <w:tc>
                <w:tcPr>
                  <w:tcW w:w="261"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Cs/>
                      <w:color w:val="FF0000"/>
                      <w:sz w:val="18"/>
                      <w:szCs w:val="18"/>
                      <w:highlight w:val="none"/>
                      <w:lang w:val="en-US" w:eastAsia="zh-CN"/>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color w:val="FF0000"/>
                      <w:kern w:val="0"/>
                      <w:sz w:val="18"/>
                      <w:szCs w:val="18"/>
                      <w:highlight w:val="none"/>
                      <w:lang w:val="en-US" w:eastAsia="zh-CN" w:bidi="ar"/>
                    </w:rPr>
                  </w:pPr>
                  <w:r>
                    <w:rPr>
                      <w:rFonts w:hint="default" w:ascii="Times New Roman" w:hAnsi="Times New Roman" w:eastAsia="宋体" w:cs="Times New Roman"/>
                      <w:color w:val="FF0000"/>
                      <w:kern w:val="0"/>
                      <w:sz w:val="18"/>
                      <w:szCs w:val="18"/>
                      <w:highlight w:val="none"/>
                      <w:lang w:val="en-US" w:eastAsia="zh-CN"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0.0088</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0.073</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FF0000"/>
                      <w:kern w:val="2"/>
                      <w:sz w:val="18"/>
                      <w:szCs w:val="18"/>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0.0088</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0.073</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324"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电火花、雕刻</w:t>
                  </w:r>
                </w:p>
              </w:tc>
              <w:tc>
                <w:tcPr>
                  <w:tcW w:w="25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sz w:val="18"/>
                      <w:szCs w:val="18"/>
                      <w:highlight w:val="none"/>
                      <w:lang w:val="en-US" w:eastAsia="zh-CN"/>
                    </w:rPr>
                    <w:t>非甲烷总烃</w:t>
                  </w:r>
                </w:p>
              </w:tc>
              <w:tc>
                <w:tcPr>
                  <w:tcW w:w="249"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61"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sz w:val="18"/>
                      <w:szCs w:val="18"/>
                      <w:highlight w:val="none"/>
                      <w:lang w:val="en-US" w:eastAsia="zh-CN"/>
                    </w:rPr>
                    <w:t>0.0011</w:t>
                  </w:r>
                </w:p>
              </w:tc>
              <w:tc>
                <w:tcPr>
                  <w:tcW w:w="296"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r>
                    <w:rPr>
                      <w:rFonts w:hint="eastAsia" w:ascii="Times New Roman" w:hAnsi="Times New Roman" w:eastAsia="宋体" w:cs="Times New Roman"/>
                      <w:bCs/>
                      <w:color w:val="auto"/>
                      <w:sz w:val="18"/>
                      <w:szCs w:val="18"/>
                      <w:highlight w:val="none"/>
                      <w:lang w:val="en-US" w:eastAsia="zh-CN"/>
                    </w:rPr>
                    <w:t>60</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bidi="ar"/>
                    </w:rPr>
                  </w:pPr>
                  <w:r>
                    <w:rPr>
                      <w:rFonts w:hint="eastAsia" w:cs="Times New Roman"/>
                      <w:bCs/>
                      <w:color w:val="auto"/>
                      <w:sz w:val="18"/>
                      <w:szCs w:val="18"/>
                      <w:highlight w:val="none"/>
                      <w:lang w:val="en-US" w:eastAsia="zh-CN"/>
                    </w:rPr>
                    <w:t>2</w:t>
                  </w:r>
                  <w:r>
                    <w:rPr>
                      <w:rFonts w:hint="eastAsia" w:ascii="Times New Roman" w:hAnsi="Times New Roman" w:eastAsia="宋体" w:cs="Times New Roman"/>
                      <w:bCs/>
                      <w:color w:val="auto"/>
                      <w:sz w:val="18"/>
                      <w:szCs w:val="18"/>
                      <w:highlight w:val="none"/>
                      <w:lang w:val="en-US" w:eastAsia="zh-CN"/>
                    </w:rPr>
                    <w:t>0000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w:t>
                  </w:r>
                  <w:r>
                    <w:rPr>
                      <w:rFonts w:hint="eastAsia" w:cs="Times New Roman"/>
                      <w:bCs/>
                      <w:color w:val="auto"/>
                      <w:kern w:val="2"/>
                      <w:sz w:val="18"/>
                      <w:szCs w:val="18"/>
                      <w:highlight w:val="none"/>
                      <w:lang w:val="en-US" w:eastAsia="zh-CN" w:bidi="ar-SA"/>
                    </w:rPr>
                    <w:t>7</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0.0006</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sz w:val="18"/>
                      <w:szCs w:val="18"/>
                      <w:highlight w:val="none"/>
                      <w:lang w:val="en-US" w:eastAsia="zh-CN"/>
                    </w:rPr>
                    <w:t>0.0</w:t>
                  </w:r>
                  <w:r>
                    <w:rPr>
                      <w:rFonts w:hint="eastAsia" w:cs="Times New Roman"/>
                      <w:bCs/>
                      <w:color w:val="auto"/>
                      <w:sz w:val="18"/>
                      <w:szCs w:val="18"/>
                      <w:highlight w:val="none"/>
                      <w:lang w:val="en-US" w:eastAsia="zh-CN"/>
                    </w:rPr>
                    <w:t>282</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油雾净化器</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90</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
                      <w:bCs/>
                      <w:color w:val="auto"/>
                      <w:sz w:val="18"/>
                      <w:szCs w:val="18"/>
                      <w:highlight w:val="none"/>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0.0001</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0.0001</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49"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Cs/>
                      <w:color w:val="auto"/>
                      <w:sz w:val="18"/>
                      <w:szCs w:val="18"/>
                      <w:highlight w:val="none"/>
                      <w:lang w:val="en-US" w:eastAsia="zh-CN"/>
                    </w:rPr>
                  </w:pPr>
                </w:p>
              </w:tc>
              <w:tc>
                <w:tcPr>
                  <w:tcW w:w="296"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Cs/>
                      <w:color w:val="auto"/>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0.0005</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0.0004</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Cs/>
                      <w:color w:val="auto"/>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0.0005</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0.0004</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49"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Cs/>
                      <w:color w:val="auto"/>
                      <w:sz w:val="18"/>
                      <w:szCs w:val="18"/>
                      <w:highlight w:val="none"/>
                      <w:lang w:val="en-US" w:eastAsia="zh-CN"/>
                    </w:rPr>
                  </w:pPr>
                </w:p>
              </w:tc>
              <w:tc>
                <w:tcPr>
                  <w:tcW w:w="296"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p>
              </w:tc>
              <w:tc>
                <w:tcPr>
                  <w:tcW w:w="2392" w:type="pct"/>
                  <w:gridSpan w:val="8"/>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r>
                    <w:rPr>
                      <w:rFonts w:hint="eastAsia" w:ascii="Times New Roman" w:eastAsia="宋体" w:cs="Times New Roman"/>
                      <w:bCs/>
                      <w:color w:val="auto"/>
                      <w:sz w:val="18"/>
                      <w:szCs w:val="18"/>
                      <w:highlight w:val="none"/>
                      <w:lang w:val="en-US" w:eastAsia="zh-CN"/>
                    </w:rPr>
                    <w:t>合计</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0.0006</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0.0005</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FF0000"/>
                      <w:sz w:val="18"/>
                      <w:szCs w:val="18"/>
                      <w:highlight w:val="green"/>
                      <w:lang w:val="en-US" w:eastAsia="zh-CN"/>
                    </w:rPr>
                  </w:pPr>
                  <w:r>
                    <w:rPr>
                      <w:rFonts w:hint="default" w:ascii="Times New Roman" w:hAnsi="Times New Roman" w:eastAsia="宋体" w:cs="Times New Roman"/>
                      <w:color w:val="FF0000"/>
                      <w:sz w:val="18"/>
                      <w:szCs w:val="18"/>
                      <w:highlight w:val="green"/>
                      <w:lang w:val="en-US" w:eastAsia="zh-CN"/>
                    </w:rPr>
                    <w:t>混料、破碎</w:t>
                  </w:r>
                </w:p>
              </w:tc>
              <w:tc>
                <w:tcPr>
                  <w:tcW w:w="25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green"/>
                    </w:rPr>
                  </w:pPr>
                  <w:r>
                    <w:rPr>
                      <w:rFonts w:hint="default" w:ascii="Times New Roman" w:hAnsi="Times New Roman" w:eastAsia="宋体" w:cs="Times New Roman"/>
                      <w:color w:val="FF0000"/>
                      <w:sz w:val="18"/>
                      <w:szCs w:val="18"/>
                      <w:highlight w:val="green"/>
                      <w:lang w:val="en-US" w:eastAsia="zh-CN"/>
                    </w:rPr>
                    <w:t>颗粒物</w:t>
                  </w: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green"/>
                      <w:lang w:val="en-US" w:eastAsia="zh-CN"/>
                    </w:rPr>
                  </w:pPr>
                  <w:r>
                    <w:rPr>
                      <w:rFonts w:hint="default" w:ascii="Times New Roman" w:hAnsi="Times New Roman" w:eastAsia="宋体" w:cs="Times New Roman"/>
                      <w:bCs/>
                      <w:color w:val="FF0000"/>
                      <w:sz w:val="18"/>
                      <w:szCs w:val="18"/>
                      <w:highlight w:val="green"/>
                      <w:lang w:val="en-US" w:eastAsia="zh-CN"/>
                    </w:rPr>
                    <w:t>DA002</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FF0000"/>
                      <w:kern w:val="0"/>
                      <w:sz w:val="18"/>
                      <w:szCs w:val="18"/>
                      <w:highlight w:val="none"/>
                      <w:lang w:val="en-US" w:eastAsia="zh-CN" w:bidi="ar"/>
                    </w:rPr>
                    <w:t>0.0</w:t>
                  </w:r>
                  <w:r>
                    <w:rPr>
                      <w:rFonts w:hint="eastAsia" w:cs="Times New Roman"/>
                      <w:color w:val="FF0000"/>
                      <w:kern w:val="0"/>
                      <w:sz w:val="18"/>
                      <w:szCs w:val="18"/>
                      <w:highlight w:val="none"/>
                      <w:lang w:val="en-US" w:eastAsia="zh-CN" w:bidi="ar"/>
                    </w:rPr>
                    <w:t>672</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80</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eastAsia" w:ascii="Times New Roman" w:hAnsi="Times New Roman" w:eastAsia="宋体" w:cs="Times New Roman"/>
                      <w:bCs/>
                      <w:color w:val="auto"/>
                      <w:kern w:val="2"/>
                      <w:sz w:val="18"/>
                      <w:szCs w:val="18"/>
                      <w:highlight w:val="none"/>
                      <w:lang w:val="en-US" w:eastAsia="zh-CN" w:bidi="ar"/>
                    </w:rPr>
                    <w:t>7000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0.0538</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0.1793</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25.6095</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布袋除尘器</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95</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
                      <w:bCs/>
                      <w:color w:val="auto"/>
                      <w:sz w:val="18"/>
                      <w:szCs w:val="18"/>
                      <w:highlight w:val="none"/>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0.0027</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0.009</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1.2805</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FF0000"/>
                      <w:sz w:val="18"/>
                      <w:szCs w:val="18"/>
                      <w:highlight w:val="green"/>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green"/>
                    </w:rPr>
                  </w:pP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green"/>
                      <w:lang w:val="en-US" w:eastAsia="zh-CN"/>
                    </w:rPr>
                  </w:pPr>
                  <w:r>
                    <w:rPr>
                      <w:rFonts w:hint="default" w:ascii="Times New Roman" w:hAnsi="Times New Roman" w:eastAsia="宋体" w:cs="Times New Roman"/>
                      <w:bCs/>
                      <w:color w:val="FF0000"/>
                      <w:sz w:val="18"/>
                      <w:szCs w:val="18"/>
                      <w:highlight w:val="green"/>
                      <w:lang w:val="en-US" w:eastAsia="zh-CN"/>
                    </w:rPr>
                    <w:t>--</w:t>
                  </w: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bidi="ar"/>
                    </w:rPr>
                  </w:pPr>
                  <w:r>
                    <w:rPr>
                      <w:rFonts w:hint="default" w:ascii="Times New Roman" w:hAnsi="Times New Roman" w:eastAsia="宋体" w:cs="Times New Roman"/>
                      <w:color w:val="auto"/>
                      <w:kern w:val="0"/>
                      <w:sz w:val="18"/>
                      <w:szCs w:val="18"/>
                      <w:highlight w:val="none"/>
                      <w:lang w:val="en-US" w:eastAsia="zh-CN"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bidi="ar"/>
                    </w:rPr>
                  </w:pPr>
                  <w:r>
                    <w:rPr>
                      <w:rFonts w:hint="default" w:ascii="Times New Roman" w:hAnsi="Times New Roman" w:eastAsia="宋体" w:cs="Times New Roman"/>
                      <w:bCs/>
                      <w:color w:val="auto"/>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0.0134</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0.0448</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0.0134</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0.0448</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324"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注塑成型</w:t>
                  </w:r>
                </w:p>
              </w:tc>
              <w:tc>
                <w:tcPr>
                  <w:tcW w:w="25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非甲烷总烃</w:t>
                  </w: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DA001</w:t>
                  </w:r>
                </w:p>
              </w:tc>
              <w:tc>
                <w:tcPr>
                  <w:tcW w:w="26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0.</w:t>
                  </w:r>
                  <w:r>
                    <w:rPr>
                      <w:rFonts w:hint="eastAsia" w:cs="Times New Roman"/>
                      <w:color w:val="auto"/>
                      <w:kern w:val="0"/>
                      <w:sz w:val="18"/>
                      <w:szCs w:val="18"/>
                      <w:highlight w:val="none"/>
                      <w:lang w:val="en-US" w:eastAsia="zh-CN" w:bidi="ar"/>
                    </w:rPr>
                    <w:t>2048</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sz w:val="18"/>
                      <w:szCs w:val="18"/>
                      <w:highlight w:val="none"/>
                      <w:lang w:val="en-US" w:eastAsia="zh-CN"/>
                    </w:rPr>
                    <w:t>60</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eastAsia" w:cs="Times New Roman"/>
                      <w:bCs/>
                      <w:color w:val="auto"/>
                      <w:kern w:val="2"/>
                      <w:sz w:val="18"/>
                      <w:szCs w:val="18"/>
                      <w:highlight w:val="none"/>
                      <w:lang w:val="en-US" w:eastAsia="zh-CN" w:bidi="ar"/>
                    </w:rPr>
                    <w:t>40000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0.1229</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0.0256</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0.6401</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lang w:val="en-US" w:eastAsia="zh-CN" w:bidi="ar-SA"/>
                    </w:rPr>
                  </w:pPr>
                  <w:r>
                    <w:rPr>
                      <w:rFonts w:hint="eastAsia" w:ascii="Times New Roman" w:eastAsia="宋体" w:cs="Times New Roman"/>
                      <w:color w:val="auto"/>
                      <w:kern w:val="2"/>
                      <w:sz w:val="18"/>
                      <w:szCs w:val="18"/>
                      <w:lang w:val="en-US" w:eastAsia="zh-CN" w:bidi="ar-SA"/>
                    </w:rPr>
                    <w:t>水喷淋+干式过滤+二级</w:t>
                  </w:r>
                  <w:r>
                    <w:rPr>
                      <w:rFonts w:hint="default" w:ascii="Times New Roman" w:hAnsi="Times New Roman" w:eastAsia="宋体" w:cs="Times New Roman"/>
                      <w:color w:val="auto"/>
                      <w:kern w:val="2"/>
                      <w:sz w:val="18"/>
                      <w:szCs w:val="18"/>
                      <w:lang w:val="en-US" w:eastAsia="zh-CN" w:bidi="ar-SA"/>
                    </w:rPr>
                    <w:t>活性炭吸附装置</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
                      <w:bCs/>
                      <w:color w:val="auto"/>
                      <w:sz w:val="18"/>
                      <w:szCs w:val="18"/>
                      <w:highlight w:val="none"/>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0.0247</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0.0051</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0.128</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rPr>
                  </w:pP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6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default" w:ascii="Times New Roman" w:hAnsi="Times New Roman" w:eastAsia="宋体" w:cs="Times New Roman"/>
                      <w:bCs/>
                      <w:color w:val="auto"/>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0.0819</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0.0171</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0.0819</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0.0171</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4"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FF0000"/>
                      <w:sz w:val="18"/>
                      <w:szCs w:val="18"/>
                      <w:highlight w:val="none"/>
                      <w:lang w:val="en-US" w:eastAsia="zh-CN"/>
                    </w:rPr>
                  </w:pPr>
                  <w:r>
                    <w:rPr>
                      <w:rFonts w:hint="default" w:ascii="Times New Roman" w:hAnsi="Times New Roman" w:eastAsia="宋体" w:cs="Times New Roman"/>
                      <w:color w:val="FF0000"/>
                      <w:sz w:val="18"/>
                      <w:szCs w:val="18"/>
                      <w:highlight w:val="none"/>
                      <w:lang w:val="en-US" w:eastAsia="zh-CN"/>
                    </w:rPr>
                    <w:t>注塑成型</w:t>
                  </w:r>
                </w:p>
              </w:tc>
              <w:tc>
                <w:tcPr>
                  <w:tcW w:w="25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none"/>
                      <w:lang w:val="en-US" w:eastAsia="zh-CN"/>
                    </w:rPr>
                  </w:pPr>
                  <w:r>
                    <w:rPr>
                      <w:rFonts w:hint="eastAsia" w:cs="Times New Roman"/>
                      <w:bCs/>
                      <w:color w:val="FF0000"/>
                      <w:sz w:val="18"/>
                      <w:szCs w:val="18"/>
                      <w:highlight w:val="none"/>
                      <w:lang w:val="en-US" w:eastAsia="zh-CN"/>
                    </w:rPr>
                    <w:t>臭气浓度</w:t>
                  </w:r>
                </w:p>
              </w:tc>
              <w:tc>
                <w:tcPr>
                  <w:tcW w:w="249"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DA001</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FF0000"/>
                      <w:kern w:val="0"/>
                      <w:sz w:val="18"/>
                      <w:szCs w:val="18"/>
                      <w:highlight w:val="none"/>
                      <w:lang w:val="en-US" w:eastAsia="zh-CN" w:bidi="ar"/>
                    </w:rPr>
                  </w:pPr>
                  <w:r>
                    <w:rPr>
                      <w:rFonts w:hint="eastAsia" w:cs="Times New Roman"/>
                      <w:color w:val="FF0000"/>
                      <w:kern w:val="0"/>
                      <w:sz w:val="18"/>
                      <w:szCs w:val="18"/>
                      <w:highlight w:val="none"/>
                      <w:lang w:val="en-US" w:eastAsia="zh-CN" w:bidi="ar"/>
                    </w:rPr>
                    <w:t>少量</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FF0000"/>
                      <w:kern w:val="0"/>
                      <w:sz w:val="18"/>
                      <w:szCs w:val="18"/>
                      <w:highlight w:val="none"/>
                      <w:lang w:val="en-US" w:eastAsia="zh-CN" w:bidi="ar"/>
                    </w:rPr>
                  </w:pPr>
                  <w:r>
                    <w:rPr>
                      <w:rFonts w:hint="default" w:ascii="Times New Roman" w:hAnsi="Times New Roman" w:eastAsia="宋体" w:cs="Times New Roman"/>
                      <w:color w:val="FF0000"/>
                      <w:kern w:val="0"/>
                      <w:sz w:val="18"/>
                      <w:szCs w:val="18"/>
                      <w:highlight w:val="none"/>
                      <w:lang w:val="en-US" w:eastAsia="zh-CN"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cs="Times New Roman"/>
                      <w:bCs/>
                      <w:color w:val="FF0000"/>
                      <w:kern w:val="2"/>
                      <w:sz w:val="18"/>
                      <w:szCs w:val="18"/>
                      <w:highlight w:val="none"/>
                      <w:lang w:val="en-US" w:eastAsia="zh-CN" w:bidi="ar-SA"/>
                    </w:rPr>
                  </w:pPr>
                  <w:r>
                    <w:rPr>
                      <w:rFonts w:hint="eastAsia" w:cs="Times New Roman"/>
                      <w:color w:val="FF0000"/>
                      <w:kern w:val="0"/>
                      <w:sz w:val="18"/>
                      <w:szCs w:val="18"/>
                      <w:highlight w:val="none"/>
                      <w:lang w:val="en-US" w:eastAsia="zh-CN" w:bidi="ar"/>
                    </w:rPr>
                    <w:t>少量</w:t>
                  </w:r>
                </w:p>
              </w:tc>
              <w:tc>
                <w:tcPr>
                  <w:tcW w:w="296" w:type="pct"/>
                  <w:noWrap w:val="0"/>
                  <w:vAlign w:val="center"/>
                </w:tcPr>
                <w:p>
                  <w:pPr>
                    <w:keepNext w:val="0"/>
                    <w:keepLines w:val="0"/>
                    <w:pageBreakBefore w:val="0"/>
                    <w:kinsoku/>
                    <w:wordWrap/>
                    <w:overflowPunct/>
                    <w:topLinePunct w:val="0"/>
                    <w:bidi w:val="0"/>
                    <w:snapToGrid w:val="0"/>
                    <w:spacing w:line="240" w:lineRule="auto"/>
                    <w:jc w:val="center"/>
                    <w:rPr>
                      <w:rFonts w:hint="eastAsia" w:cs="Times New Roman"/>
                      <w:bCs/>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420"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23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237"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cs="Times New Roman"/>
                      <w:bCs/>
                      <w:color w:val="FF0000"/>
                      <w:kern w:val="2"/>
                      <w:sz w:val="18"/>
                      <w:szCs w:val="18"/>
                      <w:highlight w:val="none"/>
                      <w:lang w:val="en-US" w:eastAsia="zh-CN" w:bidi="ar-SA"/>
                    </w:rPr>
                  </w:pPr>
                  <w:r>
                    <w:rPr>
                      <w:rFonts w:hint="eastAsia" w:cs="Times New Roman"/>
                      <w:color w:val="FF0000"/>
                      <w:kern w:val="0"/>
                      <w:sz w:val="18"/>
                      <w:szCs w:val="18"/>
                      <w:highlight w:val="none"/>
                      <w:lang w:val="en-US" w:eastAsia="zh-CN" w:bidi="ar"/>
                    </w:rPr>
                    <w:t>少量</w:t>
                  </w:r>
                </w:p>
              </w:tc>
              <w:tc>
                <w:tcPr>
                  <w:tcW w:w="276" w:type="pct"/>
                  <w:noWrap w:val="0"/>
                  <w:vAlign w:val="center"/>
                </w:tcPr>
                <w:p>
                  <w:pPr>
                    <w:keepNext w:val="0"/>
                    <w:keepLines w:val="0"/>
                    <w:pageBreakBefore w:val="0"/>
                    <w:kinsoku/>
                    <w:wordWrap/>
                    <w:overflowPunct/>
                    <w:topLinePunct w:val="0"/>
                    <w:bidi w:val="0"/>
                    <w:snapToGrid w:val="0"/>
                    <w:spacing w:line="240" w:lineRule="auto"/>
                    <w:jc w:val="center"/>
                    <w:rPr>
                      <w:rFonts w:hint="eastAsia" w:cs="Times New Roman"/>
                      <w:bCs/>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FF0000"/>
                      <w:kern w:val="2"/>
                      <w:sz w:val="18"/>
                      <w:szCs w:val="18"/>
                      <w:highlight w:val="none"/>
                      <w:lang w:val="en-US" w:eastAsia="zh-CN" w:bidi="ar-SA"/>
                    </w:rPr>
                    <w:t>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rPr>
                  </w:pPr>
                </w:p>
              </w:tc>
              <w:tc>
                <w:tcPr>
                  <w:tcW w:w="249"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FF0000"/>
                      <w:kern w:val="0"/>
                      <w:sz w:val="18"/>
                      <w:szCs w:val="18"/>
                      <w:highlight w:val="none"/>
                      <w:lang w:val="en-US" w:eastAsia="zh-CN"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FF0000"/>
                      <w:kern w:val="0"/>
                      <w:sz w:val="18"/>
                      <w:szCs w:val="18"/>
                      <w:highlight w:val="none"/>
                      <w:lang w:val="en-US" w:eastAsia="zh-CN" w:bidi="ar"/>
                    </w:rPr>
                  </w:pPr>
                  <w:r>
                    <w:rPr>
                      <w:rFonts w:hint="default" w:ascii="Times New Roman" w:hAnsi="Times New Roman" w:eastAsia="宋体" w:cs="Times New Roman"/>
                      <w:color w:val="FF0000"/>
                      <w:kern w:val="0"/>
                      <w:sz w:val="18"/>
                      <w:szCs w:val="18"/>
                      <w:highlight w:val="none"/>
                      <w:lang w:val="en-US" w:eastAsia="zh-CN"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cs="Times New Roman"/>
                      <w:bCs/>
                      <w:color w:val="FF0000"/>
                      <w:kern w:val="2"/>
                      <w:sz w:val="18"/>
                      <w:szCs w:val="18"/>
                      <w:highlight w:val="none"/>
                      <w:lang w:val="en-US" w:eastAsia="zh-CN" w:bidi="ar-SA"/>
                    </w:rPr>
                  </w:pPr>
                  <w:r>
                    <w:rPr>
                      <w:rFonts w:hint="eastAsia" w:cs="Times New Roman"/>
                      <w:color w:val="FF0000"/>
                      <w:kern w:val="0"/>
                      <w:sz w:val="18"/>
                      <w:szCs w:val="18"/>
                      <w:highlight w:val="none"/>
                      <w:lang w:val="en-US" w:eastAsia="zh-CN" w:bidi="ar"/>
                    </w:rPr>
                    <w:t>少量</w:t>
                  </w:r>
                </w:p>
              </w:tc>
              <w:tc>
                <w:tcPr>
                  <w:tcW w:w="296" w:type="pct"/>
                  <w:noWrap w:val="0"/>
                  <w:vAlign w:val="center"/>
                </w:tcPr>
                <w:p>
                  <w:pPr>
                    <w:keepNext w:val="0"/>
                    <w:keepLines w:val="0"/>
                    <w:pageBreakBefore w:val="0"/>
                    <w:kinsoku/>
                    <w:wordWrap/>
                    <w:overflowPunct/>
                    <w:topLinePunct w:val="0"/>
                    <w:bidi w:val="0"/>
                    <w:snapToGrid w:val="0"/>
                    <w:spacing w:line="240" w:lineRule="auto"/>
                    <w:jc w:val="center"/>
                    <w:rPr>
                      <w:rFonts w:hint="eastAsia" w:cs="Times New Roman"/>
                      <w:bCs/>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420"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23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237"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cs="Times New Roman"/>
                      <w:bCs/>
                      <w:color w:val="FF0000"/>
                      <w:kern w:val="2"/>
                      <w:sz w:val="18"/>
                      <w:szCs w:val="18"/>
                      <w:highlight w:val="none"/>
                      <w:lang w:val="en-US" w:eastAsia="zh-CN" w:bidi="ar-SA"/>
                    </w:rPr>
                  </w:pPr>
                  <w:r>
                    <w:rPr>
                      <w:rFonts w:hint="eastAsia" w:cs="Times New Roman"/>
                      <w:color w:val="FF0000"/>
                      <w:kern w:val="0"/>
                      <w:sz w:val="18"/>
                      <w:szCs w:val="18"/>
                      <w:highlight w:val="none"/>
                      <w:lang w:val="en-US" w:eastAsia="zh-CN" w:bidi="ar"/>
                    </w:rPr>
                    <w:t>少量</w:t>
                  </w:r>
                </w:p>
              </w:tc>
              <w:tc>
                <w:tcPr>
                  <w:tcW w:w="276" w:type="pct"/>
                  <w:noWrap w:val="0"/>
                  <w:vAlign w:val="center"/>
                </w:tcPr>
                <w:p>
                  <w:pPr>
                    <w:keepNext w:val="0"/>
                    <w:keepLines w:val="0"/>
                    <w:pageBreakBefore w:val="0"/>
                    <w:kinsoku/>
                    <w:wordWrap/>
                    <w:overflowPunct/>
                    <w:topLinePunct w:val="0"/>
                    <w:bidi w:val="0"/>
                    <w:snapToGrid w:val="0"/>
                    <w:spacing w:line="240" w:lineRule="auto"/>
                    <w:jc w:val="center"/>
                    <w:rPr>
                      <w:rFonts w:hint="eastAsia" w:cs="Times New Roman"/>
                      <w:bCs/>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sz w:val="18"/>
                      <w:szCs w:val="18"/>
                      <w:highlight w:val="none"/>
                      <w:lang w:val="en-US" w:eastAsia="zh-CN"/>
                    </w:rPr>
                  </w:pPr>
                  <w:r>
                    <w:rPr>
                      <w:rFonts w:hint="default" w:ascii="Times New Roman" w:hAnsi="Times New Roman" w:eastAsia="宋体" w:cs="Times New Roman"/>
                      <w:bCs/>
                      <w:color w:val="FF0000"/>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324"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喷漆</w:t>
                  </w:r>
                </w:p>
              </w:tc>
              <w:tc>
                <w:tcPr>
                  <w:tcW w:w="255"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颗粒物</w:t>
                  </w:r>
                </w:p>
              </w:tc>
              <w:tc>
                <w:tcPr>
                  <w:tcW w:w="249"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DA003</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0.</w:t>
                  </w:r>
                  <w:r>
                    <w:rPr>
                      <w:rFonts w:hint="eastAsia" w:cs="Times New Roman"/>
                      <w:color w:val="auto"/>
                      <w:kern w:val="0"/>
                      <w:sz w:val="18"/>
                      <w:szCs w:val="18"/>
                      <w:highlight w:val="none"/>
                      <w:lang w:val="en-US" w:eastAsia="zh-CN" w:bidi="ar"/>
                    </w:rPr>
                    <w:t>2215</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95</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eastAsia" w:cs="Times New Roman"/>
                      <w:bCs/>
                      <w:color w:val="auto"/>
                      <w:kern w:val="2"/>
                      <w:sz w:val="18"/>
                      <w:szCs w:val="18"/>
                      <w:highlight w:val="none"/>
                      <w:lang w:val="en-US" w:eastAsia="zh-CN" w:bidi="ar"/>
                    </w:rPr>
                    <w:t>20000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ascii="Times New Roman" w:hAnsi="Times New Roman" w:eastAsia="宋体" w:cs="Times New Roman"/>
                      <w:bCs/>
                      <w:color w:val="FF0000"/>
                      <w:kern w:val="2"/>
                      <w:sz w:val="18"/>
                      <w:szCs w:val="18"/>
                      <w:highlight w:val="none"/>
                      <w:lang w:val="en-US" w:eastAsia="zh-CN" w:bidi="ar-SA"/>
                    </w:rPr>
                    <w:t>0.</w:t>
                  </w:r>
                  <w:r>
                    <w:rPr>
                      <w:rFonts w:hint="eastAsia" w:cs="Times New Roman"/>
                      <w:bCs/>
                      <w:color w:val="FF0000"/>
                      <w:kern w:val="2"/>
                      <w:sz w:val="18"/>
                      <w:szCs w:val="18"/>
                      <w:highlight w:val="none"/>
                      <w:lang w:val="en-US" w:eastAsia="zh-CN" w:bidi="ar-SA"/>
                    </w:rPr>
                    <w:t>2104</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0.1403</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7.014</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水帘柜+水喷淋+干式过滤</w:t>
                  </w:r>
                  <w:r>
                    <w:rPr>
                      <w:rFonts w:hint="eastAsia" w:ascii="Times New Roman" w:eastAsia="宋体" w:cs="Times New Roman"/>
                      <w:color w:val="auto"/>
                      <w:kern w:val="2"/>
                      <w:sz w:val="18"/>
                      <w:szCs w:val="18"/>
                      <w:lang w:val="en-US" w:eastAsia="zh-CN" w:bidi="ar-SA"/>
                    </w:rPr>
                    <w:t>器</w:t>
                  </w:r>
                  <w:r>
                    <w:rPr>
                      <w:rFonts w:hint="default" w:ascii="Times New Roman" w:hAnsi="Times New Roman" w:eastAsia="宋体" w:cs="Times New Roman"/>
                      <w:color w:val="auto"/>
                      <w:kern w:val="2"/>
                      <w:sz w:val="18"/>
                      <w:szCs w:val="18"/>
                      <w:lang w:val="en-US" w:eastAsia="zh-CN" w:bidi="ar-SA"/>
                    </w:rPr>
                    <w:t>+二级活性炭吸附装置</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99.85</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0.0003</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0.0002</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0.0105</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rPr>
                  </w:pPr>
                </w:p>
              </w:tc>
              <w:tc>
                <w:tcPr>
                  <w:tcW w:w="255"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rPr>
                  </w:pPr>
                </w:p>
              </w:tc>
              <w:tc>
                <w:tcPr>
                  <w:tcW w:w="249"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Cs/>
                      <w:color w:val="auto"/>
                      <w:sz w:val="18"/>
                      <w:szCs w:val="18"/>
                      <w:highlight w:val="none"/>
                      <w:lang w:val="en-US" w:eastAsia="zh-CN"/>
                    </w:rPr>
                    <w:t>/</w:t>
                  </w: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default" w:ascii="Times New Roman" w:hAnsi="Times New Roman" w:eastAsia="宋体" w:cs="Times New Roman"/>
                      <w:bCs/>
                      <w:color w:val="auto"/>
                      <w:kern w:val="2"/>
                      <w:sz w:val="18"/>
                      <w:szCs w:val="18"/>
                      <w:highlight w:val="none"/>
                      <w:lang w:val="en-US" w:eastAsia="zh-CN" w:bidi="ar"/>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
                    </w:rPr>
                  </w:pPr>
                  <w:r>
                    <w:rPr>
                      <w:rFonts w:hint="eastAsia" w:ascii="Times New Roman" w:hAnsi="Times New Roman" w:eastAsia="宋体" w:cs="Times New Roman"/>
                      <w:bCs/>
                      <w:color w:val="FF0000"/>
                      <w:kern w:val="2"/>
                      <w:sz w:val="18"/>
                      <w:szCs w:val="18"/>
                      <w:highlight w:val="none"/>
                      <w:lang w:val="en-US" w:eastAsia="zh-CN" w:bidi="ar"/>
                    </w:rPr>
                    <w:t>0.0</w:t>
                  </w:r>
                  <w:r>
                    <w:rPr>
                      <w:rFonts w:hint="eastAsia" w:cs="Times New Roman"/>
                      <w:bCs/>
                      <w:color w:val="FF0000"/>
                      <w:kern w:val="2"/>
                      <w:sz w:val="18"/>
                      <w:szCs w:val="18"/>
                      <w:highlight w:val="none"/>
                      <w:lang w:val="en-US" w:eastAsia="zh-CN" w:bidi="ar"/>
                    </w:rPr>
                    <w:t>111</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0.0074</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
                    </w:rPr>
                  </w:pPr>
                  <w:r>
                    <w:rPr>
                      <w:rFonts w:hint="eastAsia" w:ascii="Times New Roman" w:hAnsi="Times New Roman" w:eastAsia="宋体" w:cs="Times New Roman"/>
                      <w:bCs/>
                      <w:color w:val="FF0000"/>
                      <w:kern w:val="2"/>
                      <w:sz w:val="18"/>
                      <w:szCs w:val="18"/>
                      <w:highlight w:val="none"/>
                      <w:lang w:val="en-US" w:eastAsia="zh-CN" w:bidi="ar"/>
                    </w:rPr>
                    <w:t>0.0</w:t>
                  </w:r>
                  <w:r>
                    <w:rPr>
                      <w:rFonts w:hint="eastAsia" w:cs="Times New Roman"/>
                      <w:bCs/>
                      <w:color w:val="FF0000"/>
                      <w:kern w:val="2"/>
                      <w:sz w:val="18"/>
                      <w:szCs w:val="18"/>
                      <w:highlight w:val="none"/>
                      <w:lang w:val="en-US" w:eastAsia="zh-CN" w:bidi="ar"/>
                    </w:rPr>
                    <w:t>111</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0.0074</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1" w:hRule="atLeast"/>
              </w:trPr>
              <w:tc>
                <w:tcPr>
                  <w:tcW w:w="324"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喷漆及烘烤</w:t>
                  </w:r>
                </w:p>
              </w:tc>
              <w:tc>
                <w:tcPr>
                  <w:tcW w:w="255"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总VOCs</w:t>
                  </w:r>
                </w:p>
              </w:tc>
              <w:tc>
                <w:tcPr>
                  <w:tcW w:w="249"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DA003</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0.00</w:t>
                  </w:r>
                  <w:r>
                    <w:rPr>
                      <w:rFonts w:hint="eastAsia" w:cs="Times New Roman"/>
                      <w:color w:val="auto"/>
                      <w:kern w:val="0"/>
                      <w:sz w:val="18"/>
                      <w:szCs w:val="18"/>
                      <w:highlight w:val="none"/>
                      <w:lang w:val="en-US" w:eastAsia="zh-CN" w:bidi="ar"/>
                    </w:rPr>
                    <w:t>53</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95</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eastAsia" w:cs="Times New Roman"/>
                      <w:bCs/>
                      <w:color w:val="auto"/>
                      <w:kern w:val="2"/>
                      <w:sz w:val="18"/>
                      <w:szCs w:val="18"/>
                      <w:highlight w:val="none"/>
                      <w:lang w:val="en-US" w:eastAsia="zh-CN" w:bidi="ar"/>
                    </w:rPr>
                    <w:t>20000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0.005</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0.002</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0.1003</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lang w:val="en-US" w:eastAsia="zh-CN" w:bidi="ar-SA"/>
                    </w:rPr>
                    <w:t>水帘柜+水喷淋+干式过滤</w:t>
                  </w:r>
                  <w:r>
                    <w:rPr>
                      <w:rFonts w:hint="eastAsia" w:ascii="Times New Roman" w:eastAsia="宋体" w:cs="Times New Roman"/>
                      <w:color w:val="auto"/>
                      <w:kern w:val="2"/>
                      <w:sz w:val="18"/>
                      <w:szCs w:val="18"/>
                      <w:lang w:val="en-US" w:eastAsia="zh-CN" w:bidi="ar-SA"/>
                    </w:rPr>
                    <w:t>器</w:t>
                  </w:r>
                  <w:r>
                    <w:rPr>
                      <w:rFonts w:hint="default" w:ascii="Times New Roman" w:hAnsi="Times New Roman" w:eastAsia="宋体" w:cs="Times New Roman"/>
                      <w:color w:val="auto"/>
                      <w:kern w:val="2"/>
                      <w:sz w:val="18"/>
                      <w:szCs w:val="18"/>
                      <w:lang w:val="en-US" w:eastAsia="zh-CN" w:bidi="ar-SA"/>
                    </w:rPr>
                    <w:t>+二级活性炭吸附装置</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80</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0.001</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0.0004</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0.0201</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49"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default" w:ascii="Times New Roman" w:hAnsi="Times New Roman" w:eastAsia="宋体" w:cs="Times New Roman"/>
                      <w:bCs/>
                      <w:color w:val="auto"/>
                      <w:kern w:val="2"/>
                      <w:sz w:val="18"/>
                      <w:szCs w:val="18"/>
                      <w:highlight w:val="none"/>
                      <w:lang w:val="en-US" w:eastAsia="zh-CN" w:bidi="ar"/>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
                    </w:rPr>
                  </w:pPr>
                  <w:r>
                    <w:rPr>
                      <w:rFonts w:hint="eastAsia" w:cs="Times New Roman"/>
                      <w:bCs/>
                      <w:color w:val="FF0000"/>
                      <w:kern w:val="2"/>
                      <w:sz w:val="18"/>
                      <w:szCs w:val="18"/>
                      <w:highlight w:val="none"/>
                      <w:lang w:val="en-US" w:eastAsia="zh-CN" w:bidi="ar"/>
                    </w:rPr>
                    <w:t>0.0003</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0.0001</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
                    </w:rPr>
                  </w:pPr>
                  <w:r>
                    <w:rPr>
                      <w:rFonts w:hint="eastAsia" w:cs="Times New Roman"/>
                      <w:bCs/>
                      <w:color w:val="FF0000"/>
                      <w:kern w:val="2"/>
                      <w:sz w:val="18"/>
                      <w:szCs w:val="18"/>
                      <w:highlight w:val="none"/>
                      <w:lang w:val="en-US" w:eastAsia="zh-CN" w:bidi="ar"/>
                    </w:rPr>
                    <w:t>0.0003</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0.0001</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default" w:ascii="Times New Roman" w:hAnsi="Times New Roman" w:eastAsia="宋体" w:cs="Times New Roman"/>
                      <w:bCs/>
                      <w:color w:val="FF0000"/>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324"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丝印及烘烤</w:t>
                  </w:r>
                </w:p>
              </w:tc>
              <w:tc>
                <w:tcPr>
                  <w:tcW w:w="255"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color w:val="BF9000" w:themeColor="accent4" w:themeShade="BF"/>
                      <w:sz w:val="18"/>
                      <w:szCs w:val="18"/>
                      <w:highlight w:val="none"/>
                      <w:lang w:val="en-US" w:eastAsia="zh-CN"/>
                    </w:rPr>
                    <w:t>非甲烷总烃</w:t>
                  </w:r>
                </w:p>
              </w:tc>
              <w:tc>
                <w:tcPr>
                  <w:tcW w:w="249"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DA003</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0.0079</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60</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eastAsia" w:cs="Times New Roman"/>
                      <w:bCs/>
                      <w:color w:val="auto"/>
                      <w:kern w:val="2"/>
                      <w:sz w:val="18"/>
                      <w:szCs w:val="18"/>
                      <w:highlight w:val="none"/>
                      <w:lang w:val="en-US" w:eastAsia="zh-CN" w:bidi="ar"/>
                    </w:rPr>
                    <w:t>20000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0.0004</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0.0003</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0.017</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lang w:val="en-US" w:eastAsia="zh-CN" w:bidi="ar-SA"/>
                    </w:rPr>
                    <w:t>水帘柜+水喷淋+干式过滤</w:t>
                  </w:r>
                  <w:r>
                    <w:rPr>
                      <w:rFonts w:hint="eastAsia" w:ascii="Times New Roman" w:eastAsia="宋体" w:cs="Times New Roman"/>
                      <w:color w:val="auto"/>
                      <w:kern w:val="2"/>
                      <w:sz w:val="18"/>
                      <w:szCs w:val="18"/>
                      <w:lang w:val="en-US" w:eastAsia="zh-CN" w:bidi="ar-SA"/>
                    </w:rPr>
                    <w:t>器</w:t>
                  </w:r>
                  <w:r>
                    <w:rPr>
                      <w:rFonts w:hint="default" w:ascii="Times New Roman" w:hAnsi="Times New Roman" w:eastAsia="宋体" w:cs="Times New Roman"/>
                      <w:color w:val="auto"/>
                      <w:kern w:val="2"/>
                      <w:sz w:val="18"/>
                      <w:szCs w:val="18"/>
                      <w:lang w:val="en-US" w:eastAsia="zh-CN" w:bidi="ar-SA"/>
                    </w:rPr>
                    <w:t>+二级活性炭吸附装置</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80</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0.0001</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0.0001</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0.0034</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FF0000"/>
                      <w:kern w:val="2"/>
                      <w:sz w:val="18"/>
                      <w:szCs w:val="18"/>
                      <w:highlight w:val="none"/>
                      <w:lang w:val="en-US" w:eastAsia="zh-CN" w:bidi="ar-SA"/>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49"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default" w:ascii="Times New Roman" w:hAnsi="Times New Roman" w:eastAsia="宋体" w:cs="Times New Roman"/>
                      <w:bCs/>
                      <w:color w:val="auto"/>
                      <w:kern w:val="2"/>
                      <w:sz w:val="18"/>
                      <w:szCs w:val="18"/>
                      <w:highlight w:val="none"/>
                      <w:lang w:val="en-US" w:eastAsia="zh-CN" w:bidi="ar"/>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eastAsia" w:ascii="Times New Roman" w:hAnsi="Times New Roman" w:eastAsia="宋体" w:cs="Times New Roman"/>
                      <w:bCs/>
                      <w:color w:val="auto"/>
                      <w:kern w:val="2"/>
                      <w:sz w:val="18"/>
                      <w:szCs w:val="18"/>
                      <w:highlight w:val="none"/>
                      <w:lang w:val="en-US" w:eastAsia="zh-CN" w:bidi="ar"/>
                    </w:rPr>
                    <w:t>0.0003</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0.0002</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420"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p>
              </w:tc>
              <w:tc>
                <w:tcPr>
                  <w:tcW w:w="238"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p>
              </w:tc>
              <w:tc>
                <w:tcPr>
                  <w:tcW w:w="237" w:type="pc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eastAsia" w:ascii="Times New Roman" w:hAnsi="Times New Roman" w:eastAsia="宋体" w:cs="Times New Roman"/>
                      <w:bCs/>
                      <w:color w:val="auto"/>
                      <w:kern w:val="2"/>
                      <w:sz w:val="18"/>
                      <w:szCs w:val="18"/>
                      <w:highlight w:val="none"/>
                      <w:lang w:val="en-US" w:eastAsia="zh-CN" w:bidi="ar"/>
                    </w:rPr>
                    <w:t>0.0003</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0.0002</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324"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eastAsia="宋体" w:cs="Times New Roman"/>
                      <w:b/>
                      <w:bCs/>
                      <w:color w:val="BF9000" w:themeColor="accent4" w:themeShade="BF"/>
                      <w:kern w:val="2"/>
                      <w:sz w:val="18"/>
                      <w:szCs w:val="18"/>
                      <w:highlight w:val="none"/>
                      <w:lang w:val="en-US" w:eastAsia="zh-CN" w:bidi="ar-SA"/>
                    </w:rPr>
                    <w:t>全厂合计</w:t>
                  </w:r>
                </w:p>
              </w:tc>
              <w:tc>
                <w:tcPr>
                  <w:tcW w:w="255"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BF9000" w:themeColor="accent4" w:themeShade="BF"/>
                      <w:sz w:val="18"/>
                      <w:szCs w:val="18"/>
                      <w:highlight w:val="none"/>
                      <w:lang w:val="en-US" w:eastAsia="zh-CN"/>
                    </w:rPr>
                  </w:pPr>
                  <w:r>
                    <w:rPr>
                      <w:rFonts w:hint="default" w:ascii="Times New Roman" w:hAnsi="Times New Roman" w:eastAsia="宋体" w:cs="Times New Roman"/>
                      <w:bCs/>
                      <w:color w:val="BF9000" w:themeColor="accent4" w:themeShade="BF"/>
                      <w:sz w:val="18"/>
                      <w:szCs w:val="18"/>
                      <w:highlight w:val="none"/>
                      <w:lang w:val="en-US" w:eastAsia="zh-CN"/>
                    </w:rPr>
                    <w:t>颗粒物</w:t>
                  </w:r>
                </w:p>
              </w:tc>
              <w:tc>
                <w:tcPr>
                  <w:tcW w:w="249"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r>
                    <w:rPr>
                      <w:rFonts w:hint="eastAsia" w:ascii="Times New Roman" w:eastAsia="宋体" w:cs="Times New Roman"/>
                      <w:bCs/>
                      <w:color w:val="auto"/>
                      <w:sz w:val="18"/>
                      <w:szCs w:val="18"/>
                      <w:highlight w:val="none"/>
                      <w:lang w:val="en-US" w:eastAsia="zh-CN"/>
                    </w:rPr>
                    <w:t>/</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val="en-US" w:eastAsia="zh-CN" w:bidi="ar"/>
                    </w:rPr>
                  </w:pPr>
                  <w:r>
                    <w:rPr>
                      <w:rFonts w:hint="eastAsia" w:cs="Times New Roman"/>
                      <w:color w:val="BF9000" w:themeColor="accent4" w:themeShade="BF"/>
                      <w:kern w:val="0"/>
                      <w:sz w:val="18"/>
                      <w:szCs w:val="18"/>
                      <w:highlight w:val="none"/>
                      <w:lang w:val="en-US" w:eastAsia="zh-CN" w:bidi="ar"/>
                    </w:rPr>
                    <w:t>0.3325</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val="en-US" w:eastAsia="zh-CN" w:bidi="ar"/>
                    </w:rPr>
                  </w:pPr>
                  <w:r>
                    <w:rPr>
                      <w:rFonts w:hint="default" w:ascii="Times New Roman" w:hAnsi="Times New Roman" w:eastAsia="宋体" w:cs="Times New Roman"/>
                      <w:color w:val="BF9000" w:themeColor="accent4" w:themeShade="BF"/>
                      <w:kern w:val="0"/>
                      <w:sz w:val="18"/>
                      <w:szCs w:val="18"/>
                      <w:highlight w:val="none"/>
                      <w:lang w:bidi="ar"/>
                    </w:rPr>
                    <w:t>有组织</w:t>
                  </w:r>
                </w:p>
              </w:tc>
              <w:tc>
                <w:tcPr>
                  <w:tcW w:w="233"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w:t>
                  </w:r>
                </w:p>
              </w:tc>
              <w:tc>
                <w:tcPr>
                  <w:tcW w:w="325"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eastAsia" w:cs="Times New Roman"/>
                      <w:bCs/>
                      <w:color w:val="auto"/>
                      <w:kern w:val="2"/>
                      <w:sz w:val="18"/>
                      <w:szCs w:val="18"/>
                      <w:highlight w:val="none"/>
                      <w:lang w:val="en-US" w:eastAsia="zh-CN" w:bidi="ar"/>
                    </w:rPr>
                    <w:t>/</w:t>
                  </w:r>
                </w:p>
              </w:tc>
              <w:tc>
                <w:tcPr>
                  <w:tcW w:w="305"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0.2992</w:t>
                  </w:r>
                </w:p>
              </w:tc>
              <w:tc>
                <w:tcPr>
                  <w:tcW w:w="29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0.6116</w:t>
                  </w:r>
                </w:p>
              </w:tc>
              <w:tc>
                <w:tcPr>
                  <w:tcW w:w="33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宋体" w:hAnsi="宋体" w:eastAsia="宋体" w:cs="宋体"/>
                      <w:i w:val="0"/>
                      <w:iCs w:val="0"/>
                      <w:color w:val="BF9000" w:themeColor="accent4" w:themeShade="BF"/>
                      <w:kern w:val="0"/>
                      <w:sz w:val="18"/>
                      <w:szCs w:val="18"/>
                      <w:u w:val="none"/>
                      <w:lang w:val="en-US" w:eastAsia="zh-CN" w:bidi="ar"/>
                    </w:rPr>
                    <w:t>74.3378</w:t>
                  </w:r>
                </w:p>
              </w:tc>
              <w:tc>
                <w:tcPr>
                  <w:tcW w:w="420"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eastAsia" w:ascii="Times New Roman" w:eastAsia="宋体" w:cs="Times New Roman"/>
                      <w:color w:val="auto"/>
                      <w:sz w:val="18"/>
                      <w:szCs w:val="18"/>
                      <w:highlight w:val="none"/>
                      <w:lang w:val="en-US" w:eastAsia="zh-CN"/>
                    </w:rPr>
                    <w:t>/</w:t>
                  </w:r>
                </w:p>
              </w:tc>
              <w:tc>
                <w:tcPr>
                  <w:tcW w:w="238"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eastAsia" w:ascii="Times New Roman" w:eastAsia="宋体" w:cs="Times New Roman"/>
                      <w:color w:val="auto"/>
                      <w:sz w:val="18"/>
                      <w:szCs w:val="18"/>
                      <w:highlight w:val="none"/>
                      <w:lang w:val="en-US" w:eastAsia="zh-CN"/>
                    </w:rPr>
                    <w:t>/</w:t>
                  </w:r>
                </w:p>
              </w:tc>
              <w:tc>
                <w:tcPr>
                  <w:tcW w:w="237"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eastAsia" w:ascii="Times New Roman" w:eastAsia="宋体" w:cs="Times New Roman"/>
                      <w:color w:val="auto"/>
                      <w:sz w:val="18"/>
                      <w:szCs w:val="18"/>
                      <w:highlight w:val="none"/>
                      <w:lang w:val="en-US" w:eastAsia="zh-CN"/>
                    </w:rPr>
                    <w:t>/</w:t>
                  </w:r>
                </w:p>
              </w:tc>
              <w:tc>
                <w:tcPr>
                  <w:tcW w:w="29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0.0052</w:t>
                  </w:r>
                </w:p>
              </w:tc>
              <w:tc>
                <w:tcPr>
                  <w:tcW w:w="27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0.011</w:t>
                  </w:r>
                </w:p>
              </w:tc>
              <w:tc>
                <w:tcPr>
                  <w:tcW w:w="371"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宋体" w:hAnsi="宋体" w:eastAsia="宋体" w:cs="宋体"/>
                      <w:i w:val="0"/>
                      <w:iCs w:val="0"/>
                      <w:color w:val="BF9000" w:themeColor="accent4" w:themeShade="BF"/>
                      <w:kern w:val="0"/>
                      <w:sz w:val="18"/>
                      <w:szCs w:val="18"/>
                      <w:u w:val="none"/>
                      <w:lang w:val="en-US" w:eastAsia="zh-CN" w:bidi="ar"/>
                    </w:rPr>
                    <w:t>1.5517</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BF9000" w:themeColor="accent4" w:themeShade="BF"/>
                      <w:sz w:val="18"/>
                      <w:szCs w:val="18"/>
                      <w:highlight w:val="none"/>
                      <w:lang w:val="en-US" w:eastAsia="zh-CN"/>
                    </w:rPr>
                  </w:pPr>
                </w:p>
              </w:tc>
              <w:tc>
                <w:tcPr>
                  <w:tcW w:w="249"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val="en-US" w:eastAsia="zh-CN" w:bidi="ar"/>
                    </w:rPr>
                  </w:pPr>
                  <w:r>
                    <w:rPr>
                      <w:rFonts w:hint="default" w:ascii="Times New Roman" w:hAnsi="Times New Roman" w:eastAsia="宋体" w:cs="Times New Roman"/>
                      <w:color w:val="BF9000" w:themeColor="accent4" w:themeShade="BF"/>
                      <w:kern w:val="0"/>
                      <w:sz w:val="18"/>
                      <w:szCs w:val="18"/>
                      <w:highlight w:val="none"/>
                      <w:lang w:bidi="ar"/>
                    </w:rPr>
                    <w:t>无组织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0.0333</w:t>
                  </w:r>
                </w:p>
              </w:tc>
              <w:tc>
                <w:tcPr>
                  <w:tcW w:w="29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0.1252</w:t>
                  </w:r>
                </w:p>
              </w:tc>
              <w:tc>
                <w:tcPr>
                  <w:tcW w:w="335" w:type="pct"/>
                  <w:noWrap w:val="0"/>
                  <w:vAlign w:val="center"/>
                </w:tcPr>
                <w:p>
                  <w:pPr>
                    <w:jc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Times New Roman" w:hAnsi="Times New Roman" w:eastAsia="宋体" w:cs="Times New Roman"/>
                      <w:bCs/>
                      <w:color w:val="BF9000" w:themeColor="accent4" w:themeShade="BF"/>
                      <w:sz w:val="18"/>
                      <w:szCs w:val="18"/>
                      <w:highlight w:val="none"/>
                      <w:lang w:val="en-US" w:eastAsia="zh-CN"/>
                    </w:rPr>
                    <w:t>--</w:t>
                  </w:r>
                </w:p>
              </w:tc>
              <w:tc>
                <w:tcPr>
                  <w:tcW w:w="420"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0.0333</w:t>
                  </w:r>
                </w:p>
              </w:tc>
              <w:tc>
                <w:tcPr>
                  <w:tcW w:w="27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0.1252</w:t>
                  </w:r>
                </w:p>
              </w:tc>
              <w:tc>
                <w:tcPr>
                  <w:tcW w:w="371" w:type="pct"/>
                  <w:noWrap w:val="0"/>
                  <w:vAlign w:val="center"/>
                </w:tcPr>
                <w:p>
                  <w:pPr>
                    <w:jc w:val="center"/>
                    <w:rPr>
                      <w:rFonts w:hint="default" w:ascii="Times New Roman" w:hAnsi="Times New Roman" w:eastAsia="宋体" w:cs="Times New Roman"/>
                      <w:bCs/>
                      <w:color w:val="BF9000" w:themeColor="accent4" w:themeShade="BF"/>
                      <w:sz w:val="18"/>
                      <w:szCs w:val="18"/>
                      <w:highlight w:val="none"/>
                      <w:lang w:val="en-US" w:eastAsia="zh-CN"/>
                    </w:rPr>
                  </w:pP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BF9000" w:themeColor="accent4" w:themeShade="BF"/>
                      <w:sz w:val="18"/>
                      <w:szCs w:val="18"/>
                      <w:highlight w:val="none"/>
                      <w:lang w:val="en-US" w:eastAsia="zh-CN"/>
                    </w:rPr>
                  </w:pPr>
                  <w:r>
                    <w:rPr>
                      <w:rFonts w:hint="default" w:ascii="Times New Roman" w:hAnsi="Times New Roman" w:eastAsia="宋体" w:cs="Times New Roman"/>
                      <w:color w:val="BF9000" w:themeColor="accent4" w:themeShade="BF"/>
                      <w:sz w:val="18"/>
                      <w:szCs w:val="18"/>
                      <w:highlight w:val="none"/>
                      <w:lang w:val="en-US" w:eastAsia="zh-CN"/>
                    </w:rPr>
                    <w:t>非甲烷总烃</w:t>
                  </w:r>
                </w:p>
              </w:tc>
              <w:tc>
                <w:tcPr>
                  <w:tcW w:w="249"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val="en-US" w:eastAsia="zh-CN" w:bidi="ar"/>
                    </w:rPr>
                  </w:pPr>
                  <w:r>
                    <w:rPr>
                      <w:rFonts w:hint="eastAsia" w:cs="Times New Roman"/>
                      <w:color w:val="BF9000" w:themeColor="accent4" w:themeShade="BF"/>
                      <w:kern w:val="0"/>
                      <w:sz w:val="18"/>
                      <w:szCs w:val="18"/>
                      <w:highlight w:val="none"/>
                      <w:lang w:val="en-US" w:eastAsia="zh-CN" w:bidi="ar"/>
                    </w:rPr>
                    <w:t>0.2059</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val="en-US" w:eastAsia="zh-CN" w:bidi="ar"/>
                    </w:rPr>
                  </w:pPr>
                  <w:r>
                    <w:rPr>
                      <w:rFonts w:hint="default" w:ascii="Times New Roman" w:hAnsi="Times New Roman" w:eastAsia="宋体" w:cs="Times New Roman"/>
                      <w:color w:val="BF9000" w:themeColor="accent4" w:themeShade="BF"/>
                      <w:kern w:val="0"/>
                      <w:sz w:val="18"/>
                      <w:szCs w:val="18"/>
                      <w:highlight w:val="none"/>
                      <w:lang w:bidi="ar"/>
                    </w:rPr>
                    <w:t>有组织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0.1233</w:t>
                  </w:r>
                </w:p>
              </w:tc>
              <w:tc>
                <w:tcPr>
                  <w:tcW w:w="29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0.0259</w:t>
                  </w:r>
                </w:p>
              </w:tc>
              <w:tc>
                <w:tcPr>
                  <w:tcW w:w="33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宋体" w:hAnsi="宋体" w:eastAsia="宋体" w:cs="宋体"/>
                      <w:i w:val="0"/>
                      <w:iCs w:val="0"/>
                      <w:color w:val="BF9000" w:themeColor="accent4" w:themeShade="BF"/>
                      <w:kern w:val="0"/>
                      <w:sz w:val="18"/>
                      <w:szCs w:val="18"/>
                      <w:u w:val="none"/>
                      <w:lang w:val="en-US" w:eastAsia="zh-CN" w:bidi="ar"/>
                    </w:rPr>
                    <w:t>0.6571</w:t>
                  </w:r>
                </w:p>
              </w:tc>
              <w:tc>
                <w:tcPr>
                  <w:tcW w:w="420"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0.0248</w:t>
                  </w:r>
                </w:p>
              </w:tc>
              <w:tc>
                <w:tcPr>
                  <w:tcW w:w="27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0.0052</w:t>
                  </w:r>
                </w:p>
              </w:tc>
              <w:tc>
                <w:tcPr>
                  <w:tcW w:w="371"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宋体" w:hAnsi="宋体" w:eastAsia="宋体" w:cs="宋体"/>
                      <w:i w:val="0"/>
                      <w:iCs w:val="0"/>
                      <w:color w:val="BF9000" w:themeColor="accent4" w:themeShade="BF"/>
                      <w:kern w:val="0"/>
                      <w:sz w:val="18"/>
                      <w:szCs w:val="18"/>
                      <w:u w:val="none"/>
                      <w:lang w:val="en-US" w:eastAsia="zh-CN" w:bidi="ar"/>
                    </w:rPr>
                    <w:t>0.1314</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BF9000" w:themeColor="accent4" w:themeShade="BF"/>
                      <w:sz w:val="18"/>
                      <w:szCs w:val="18"/>
                      <w:highlight w:val="none"/>
                      <w:lang w:val="en-US" w:eastAsia="zh-CN"/>
                    </w:rPr>
                  </w:pPr>
                </w:p>
              </w:tc>
              <w:tc>
                <w:tcPr>
                  <w:tcW w:w="249"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val="en-US" w:eastAsia="zh-CN" w:bidi="ar"/>
                    </w:rPr>
                  </w:pPr>
                  <w:r>
                    <w:rPr>
                      <w:rFonts w:hint="default" w:ascii="Times New Roman" w:hAnsi="Times New Roman" w:eastAsia="宋体" w:cs="Times New Roman"/>
                      <w:color w:val="BF9000" w:themeColor="accent4" w:themeShade="BF"/>
                      <w:kern w:val="0"/>
                      <w:sz w:val="18"/>
                      <w:szCs w:val="18"/>
                      <w:highlight w:val="none"/>
                      <w:lang w:bidi="ar"/>
                    </w:rPr>
                    <w:t>无组织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0.0015</w:t>
                  </w:r>
                </w:p>
              </w:tc>
              <w:tc>
                <w:tcPr>
                  <w:tcW w:w="29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0.0012</w:t>
                  </w:r>
                </w:p>
              </w:tc>
              <w:tc>
                <w:tcPr>
                  <w:tcW w:w="335" w:type="pct"/>
                  <w:noWrap w:val="0"/>
                  <w:vAlign w:val="center"/>
                </w:tcPr>
                <w:p>
                  <w:pPr>
                    <w:jc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Times New Roman" w:hAnsi="Times New Roman" w:eastAsia="宋体" w:cs="Times New Roman"/>
                      <w:bCs/>
                      <w:color w:val="BF9000" w:themeColor="accent4" w:themeShade="BF"/>
                      <w:sz w:val="18"/>
                      <w:szCs w:val="18"/>
                      <w:highlight w:val="none"/>
                      <w:lang w:val="en-US" w:eastAsia="zh-CN"/>
                    </w:rPr>
                    <w:t>--</w:t>
                  </w:r>
                </w:p>
              </w:tc>
              <w:tc>
                <w:tcPr>
                  <w:tcW w:w="420"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0.0828</w:t>
                  </w:r>
                </w:p>
              </w:tc>
              <w:tc>
                <w:tcPr>
                  <w:tcW w:w="27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0.0177</w:t>
                  </w:r>
                </w:p>
              </w:tc>
              <w:tc>
                <w:tcPr>
                  <w:tcW w:w="371" w:type="pct"/>
                  <w:noWrap w:val="0"/>
                  <w:vAlign w:val="center"/>
                </w:tcPr>
                <w:p>
                  <w:pPr>
                    <w:jc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Times New Roman" w:hAnsi="Times New Roman" w:eastAsia="宋体" w:cs="Times New Roman"/>
                      <w:bCs/>
                      <w:color w:val="BF9000" w:themeColor="accent4"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BF9000" w:themeColor="accent4" w:themeShade="BF"/>
                      <w:sz w:val="18"/>
                      <w:szCs w:val="18"/>
                      <w:highlight w:val="none"/>
                      <w:lang w:val="en-US" w:eastAsia="zh-CN"/>
                    </w:rPr>
                  </w:pPr>
                  <w:r>
                    <w:rPr>
                      <w:rFonts w:hint="default" w:ascii="Times New Roman" w:hAnsi="Times New Roman" w:eastAsia="宋体" w:cs="Times New Roman"/>
                      <w:bCs/>
                      <w:color w:val="BF9000" w:themeColor="accent4" w:themeShade="BF"/>
                      <w:sz w:val="18"/>
                      <w:szCs w:val="18"/>
                      <w:highlight w:val="none"/>
                      <w:lang w:val="en-US" w:eastAsia="zh-CN"/>
                    </w:rPr>
                    <w:t>总VOCs</w:t>
                  </w:r>
                </w:p>
              </w:tc>
              <w:tc>
                <w:tcPr>
                  <w:tcW w:w="249"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val="en-US" w:eastAsia="zh-CN" w:bidi="ar"/>
                    </w:rPr>
                  </w:pPr>
                  <w:r>
                    <w:rPr>
                      <w:rFonts w:hint="eastAsia" w:cs="Times New Roman"/>
                      <w:color w:val="BF9000" w:themeColor="accent4" w:themeShade="BF"/>
                      <w:kern w:val="0"/>
                      <w:sz w:val="18"/>
                      <w:szCs w:val="18"/>
                      <w:highlight w:val="none"/>
                      <w:lang w:val="en-US" w:eastAsia="zh-CN" w:bidi="ar"/>
                    </w:rPr>
                    <w:t>0.0053</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val="en-US" w:eastAsia="zh-CN" w:bidi="ar"/>
                    </w:rPr>
                  </w:pPr>
                  <w:r>
                    <w:rPr>
                      <w:rFonts w:hint="default" w:ascii="Times New Roman" w:hAnsi="Times New Roman" w:eastAsia="宋体" w:cs="Times New Roman"/>
                      <w:color w:val="BF9000" w:themeColor="accent4" w:themeShade="BF"/>
                      <w:kern w:val="0"/>
                      <w:sz w:val="18"/>
                      <w:szCs w:val="18"/>
                      <w:highlight w:val="none"/>
                      <w:lang w:bidi="ar"/>
                    </w:rPr>
                    <w:t>有组织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0.005</w:t>
                  </w:r>
                </w:p>
              </w:tc>
              <w:tc>
                <w:tcPr>
                  <w:tcW w:w="29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0.002</w:t>
                  </w:r>
                </w:p>
              </w:tc>
              <w:tc>
                <w:tcPr>
                  <w:tcW w:w="33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宋体" w:hAnsi="宋体" w:eastAsia="宋体" w:cs="宋体"/>
                      <w:i w:val="0"/>
                      <w:iCs w:val="0"/>
                      <w:color w:val="BF9000" w:themeColor="accent4" w:themeShade="BF"/>
                      <w:kern w:val="0"/>
                      <w:sz w:val="18"/>
                      <w:szCs w:val="18"/>
                      <w:u w:val="none"/>
                      <w:lang w:val="en-US" w:eastAsia="zh-CN" w:bidi="ar"/>
                    </w:rPr>
                    <w:t>0.1003</w:t>
                  </w:r>
                </w:p>
              </w:tc>
              <w:tc>
                <w:tcPr>
                  <w:tcW w:w="420"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0.001</w:t>
                  </w:r>
                </w:p>
              </w:tc>
              <w:tc>
                <w:tcPr>
                  <w:tcW w:w="27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0.0004</w:t>
                  </w:r>
                </w:p>
              </w:tc>
              <w:tc>
                <w:tcPr>
                  <w:tcW w:w="371"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宋体" w:hAnsi="宋体" w:eastAsia="宋体" w:cs="宋体"/>
                      <w:i w:val="0"/>
                      <w:iCs w:val="0"/>
                      <w:color w:val="BF9000" w:themeColor="accent4" w:themeShade="BF"/>
                      <w:kern w:val="0"/>
                      <w:sz w:val="18"/>
                      <w:szCs w:val="18"/>
                      <w:u w:val="none"/>
                      <w:lang w:val="en-US" w:eastAsia="zh-CN" w:bidi="ar"/>
                    </w:rPr>
                    <w:t>0.0201</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BF9000" w:themeColor="accent4" w:themeShade="BF"/>
                      <w:sz w:val="18"/>
                      <w:szCs w:val="18"/>
                      <w:highlight w:val="none"/>
                      <w:lang w:val="en-US" w:eastAsia="zh-CN"/>
                    </w:rPr>
                  </w:pPr>
                </w:p>
              </w:tc>
              <w:tc>
                <w:tcPr>
                  <w:tcW w:w="249"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val="en-US" w:eastAsia="zh-CN" w:bidi="ar"/>
                    </w:rPr>
                  </w:pPr>
                  <w:r>
                    <w:rPr>
                      <w:rFonts w:hint="default" w:ascii="Times New Roman" w:hAnsi="Times New Roman" w:eastAsia="宋体" w:cs="Times New Roman"/>
                      <w:color w:val="BF9000" w:themeColor="accent4" w:themeShade="BF"/>
                      <w:kern w:val="0"/>
                      <w:sz w:val="18"/>
                      <w:szCs w:val="18"/>
                      <w:highlight w:val="none"/>
                      <w:lang w:bidi="ar"/>
                    </w:rPr>
                    <w:t>无组织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0.0003</w:t>
                  </w:r>
                </w:p>
              </w:tc>
              <w:tc>
                <w:tcPr>
                  <w:tcW w:w="29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0.0001</w:t>
                  </w:r>
                </w:p>
              </w:tc>
              <w:tc>
                <w:tcPr>
                  <w:tcW w:w="335" w:type="pct"/>
                  <w:noWrap w:val="0"/>
                  <w:vAlign w:val="center"/>
                </w:tcPr>
                <w:p>
                  <w:pPr>
                    <w:jc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Times New Roman" w:hAnsi="Times New Roman" w:eastAsia="宋体" w:cs="Times New Roman"/>
                      <w:bCs/>
                      <w:color w:val="BF9000" w:themeColor="accent4" w:themeShade="BF"/>
                      <w:sz w:val="18"/>
                      <w:szCs w:val="18"/>
                      <w:highlight w:val="none"/>
                      <w:lang w:val="en-US" w:eastAsia="zh-CN"/>
                    </w:rPr>
                    <w:t>--</w:t>
                  </w:r>
                </w:p>
              </w:tc>
              <w:tc>
                <w:tcPr>
                  <w:tcW w:w="420"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宋体" w:hAnsi="宋体" w:eastAsia="宋体" w:cs="宋体"/>
                      <w:i w:val="0"/>
                      <w:iCs w:val="0"/>
                      <w:color w:val="BF9000" w:themeColor="accent4" w:themeShade="BF"/>
                      <w:kern w:val="0"/>
                      <w:sz w:val="18"/>
                      <w:szCs w:val="18"/>
                      <w:u w:val="none"/>
                      <w:lang w:val="en-US" w:eastAsia="zh-CN" w:bidi="ar"/>
                    </w:rPr>
                    <w:t>0.0003</w:t>
                  </w:r>
                </w:p>
              </w:tc>
              <w:tc>
                <w:tcPr>
                  <w:tcW w:w="27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ascii="宋体" w:hAnsi="宋体" w:eastAsia="宋体" w:cs="宋体"/>
                      <w:i w:val="0"/>
                      <w:iCs w:val="0"/>
                      <w:color w:val="BF9000" w:themeColor="accent4" w:themeShade="BF"/>
                      <w:kern w:val="0"/>
                      <w:sz w:val="18"/>
                      <w:szCs w:val="18"/>
                      <w:u w:val="none"/>
                      <w:lang w:val="en-US" w:eastAsia="zh-CN" w:bidi="ar"/>
                    </w:rPr>
                    <w:t>0.0001</w:t>
                  </w:r>
                </w:p>
              </w:tc>
              <w:tc>
                <w:tcPr>
                  <w:tcW w:w="371" w:type="pct"/>
                  <w:noWrap w:val="0"/>
                  <w:vAlign w:val="center"/>
                </w:tcPr>
                <w:p>
                  <w:pPr>
                    <w:jc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Times New Roman" w:hAnsi="Times New Roman" w:eastAsia="宋体" w:cs="Times New Roman"/>
                      <w:bCs/>
                      <w:color w:val="BF9000" w:themeColor="accent4"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restart"/>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Times New Roman" w:hAnsi="Times New Roman" w:eastAsia="宋体" w:cs="Times New Roman"/>
                      <w:color w:val="BF9000" w:themeColor="accent4" w:themeShade="BF"/>
                      <w:kern w:val="0"/>
                      <w:sz w:val="18"/>
                      <w:szCs w:val="18"/>
                      <w:highlight w:val="none"/>
                      <w:lang w:val="en-US" w:eastAsia="zh-CN" w:bidi="ar"/>
                    </w:rPr>
                    <w:t>臭气浓度</w:t>
                  </w:r>
                </w:p>
              </w:tc>
              <w:tc>
                <w:tcPr>
                  <w:tcW w:w="249"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bCs/>
                      <w:color w:val="BF9000" w:themeColor="accent4" w:themeShade="BF"/>
                      <w:kern w:val="2"/>
                      <w:sz w:val="18"/>
                      <w:szCs w:val="18"/>
                      <w:highlight w:val="none"/>
                      <w:lang w:val="en-US" w:eastAsia="zh-CN" w:bidi="ar"/>
                    </w:rPr>
                    <w:t>少量</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val="en-US" w:eastAsia="zh-CN" w:bidi="ar"/>
                    </w:rPr>
                  </w:pPr>
                  <w:r>
                    <w:rPr>
                      <w:rFonts w:hint="default" w:ascii="Times New Roman" w:hAnsi="Times New Roman" w:eastAsia="宋体" w:cs="Times New Roman"/>
                      <w:color w:val="BF9000" w:themeColor="accent4" w:themeShade="BF"/>
                      <w:kern w:val="0"/>
                      <w:sz w:val="18"/>
                      <w:szCs w:val="18"/>
                      <w:highlight w:val="none"/>
                      <w:lang w:bidi="ar"/>
                    </w:rPr>
                    <w:t>有组织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Times New Roman" w:hAnsi="Times New Roman" w:eastAsia="宋体" w:cs="Times New Roman"/>
                      <w:bCs/>
                      <w:color w:val="BF9000" w:themeColor="accent4" w:themeShade="BF"/>
                      <w:kern w:val="2"/>
                      <w:sz w:val="18"/>
                      <w:szCs w:val="18"/>
                      <w:highlight w:val="none"/>
                      <w:lang w:val="en-US" w:eastAsia="zh-CN" w:bidi="ar"/>
                    </w:rPr>
                    <w:t>少量</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BF9000" w:themeColor="accent4" w:themeShade="BF"/>
                      <w:kern w:val="2"/>
                      <w:sz w:val="18"/>
                      <w:szCs w:val="18"/>
                      <w:highlight w:val="none"/>
                      <w:lang w:val="en-US" w:eastAsia="zh-CN" w:bidi="ar-SA"/>
                    </w:rPr>
                  </w:pPr>
                  <w:r>
                    <w:rPr>
                      <w:rFonts w:hint="eastAsia" w:cs="Times New Roman"/>
                      <w:bCs/>
                      <w:color w:val="BF9000" w:themeColor="accent4" w:themeShade="BF"/>
                      <w:kern w:val="2"/>
                      <w:sz w:val="18"/>
                      <w:szCs w:val="18"/>
                      <w:highlight w:val="none"/>
                      <w:lang w:val="en-US" w:eastAsia="zh-CN" w:bidi="ar-SA"/>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cs="Times New Roman"/>
                      <w:bCs/>
                      <w:color w:val="BF9000" w:themeColor="accent4" w:themeShade="BF"/>
                      <w:sz w:val="18"/>
                      <w:szCs w:val="18"/>
                      <w:highlight w:val="none"/>
                      <w:lang w:val="en-US" w:eastAsia="zh-CN"/>
                    </w:rPr>
                    <w:t>--</w:t>
                  </w:r>
                </w:p>
              </w:tc>
              <w:tc>
                <w:tcPr>
                  <w:tcW w:w="420"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Times New Roman" w:hAnsi="Times New Roman" w:eastAsia="宋体" w:cs="Times New Roman"/>
                      <w:bCs/>
                      <w:color w:val="BF9000" w:themeColor="accent4" w:themeShade="BF"/>
                      <w:kern w:val="2"/>
                      <w:sz w:val="18"/>
                      <w:szCs w:val="18"/>
                      <w:highlight w:val="none"/>
                      <w:lang w:val="en-US" w:eastAsia="zh-CN" w:bidi="ar"/>
                    </w:rPr>
                    <w:t>少量</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BF9000" w:themeColor="accent4" w:themeShade="BF"/>
                      <w:kern w:val="2"/>
                      <w:sz w:val="18"/>
                      <w:szCs w:val="18"/>
                      <w:highlight w:val="none"/>
                      <w:lang w:val="en-US" w:eastAsia="zh-CN" w:bidi="ar-SA"/>
                    </w:rPr>
                  </w:pPr>
                  <w:r>
                    <w:rPr>
                      <w:rFonts w:hint="eastAsia" w:cs="Times New Roman"/>
                      <w:bCs/>
                      <w:color w:val="BF9000" w:themeColor="accent4" w:themeShade="BF"/>
                      <w:kern w:val="2"/>
                      <w:sz w:val="18"/>
                      <w:szCs w:val="18"/>
                      <w:highlight w:val="none"/>
                      <w:lang w:val="en-US" w:eastAsia="zh-CN" w:bidi="ar-SA"/>
                    </w:rPr>
                    <w:t>--</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cs="Times New Roman"/>
                      <w:bCs/>
                      <w:color w:val="BF9000" w:themeColor="accent4"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49"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BF9000" w:themeColor="accent4" w:themeShade="BF"/>
                      <w:kern w:val="0"/>
                      <w:sz w:val="18"/>
                      <w:szCs w:val="18"/>
                      <w:highlight w:val="none"/>
                      <w:lang w:val="en-US" w:eastAsia="zh-CN" w:bidi="ar"/>
                    </w:rPr>
                  </w:pPr>
                  <w:r>
                    <w:rPr>
                      <w:rFonts w:hint="default" w:ascii="Times New Roman" w:hAnsi="Times New Roman" w:eastAsia="宋体" w:cs="Times New Roman"/>
                      <w:color w:val="BF9000" w:themeColor="accent4" w:themeShade="BF"/>
                      <w:kern w:val="0"/>
                      <w:sz w:val="18"/>
                      <w:szCs w:val="18"/>
                      <w:highlight w:val="none"/>
                      <w:lang w:bidi="ar"/>
                    </w:rPr>
                    <w:t>无组织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Times New Roman" w:hAnsi="Times New Roman" w:eastAsia="宋体" w:cs="Times New Roman"/>
                      <w:bCs/>
                      <w:color w:val="BF9000" w:themeColor="accent4" w:themeShade="BF"/>
                      <w:kern w:val="2"/>
                      <w:sz w:val="18"/>
                      <w:szCs w:val="18"/>
                      <w:highlight w:val="none"/>
                      <w:lang w:val="en-US" w:eastAsia="zh-CN" w:bidi="ar"/>
                    </w:rPr>
                    <w:t>少量</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cs="Times New Roman"/>
                      <w:bCs/>
                      <w:color w:val="BF9000" w:themeColor="accent4" w:themeShade="BF"/>
                      <w:kern w:val="2"/>
                      <w:sz w:val="18"/>
                      <w:szCs w:val="18"/>
                      <w:highlight w:val="none"/>
                      <w:lang w:val="en-US" w:eastAsia="zh-CN" w:bidi="ar-SA"/>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Times New Roman" w:hAnsi="Times New Roman" w:eastAsia="宋体" w:cs="Times New Roman"/>
                      <w:bCs/>
                      <w:color w:val="BF9000" w:themeColor="accent4" w:themeShade="BF"/>
                      <w:sz w:val="18"/>
                      <w:szCs w:val="18"/>
                      <w:highlight w:val="none"/>
                      <w:lang w:val="en-US" w:eastAsia="zh-CN"/>
                    </w:rPr>
                    <w:t>--</w:t>
                  </w:r>
                </w:p>
              </w:tc>
              <w:tc>
                <w:tcPr>
                  <w:tcW w:w="420"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2"/>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
                    </w:rPr>
                  </w:pPr>
                  <w:r>
                    <w:rPr>
                      <w:rFonts w:hint="eastAsia" w:ascii="Times New Roman" w:hAnsi="Times New Roman" w:eastAsia="宋体" w:cs="Times New Roman"/>
                      <w:bCs/>
                      <w:color w:val="BF9000" w:themeColor="accent4" w:themeShade="BF"/>
                      <w:kern w:val="2"/>
                      <w:sz w:val="18"/>
                      <w:szCs w:val="18"/>
                      <w:highlight w:val="none"/>
                      <w:lang w:val="en-US" w:eastAsia="zh-CN" w:bidi="ar"/>
                    </w:rPr>
                    <w:t>少量</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BF9000" w:themeColor="accent4" w:themeShade="BF"/>
                      <w:kern w:val="2"/>
                      <w:sz w:val="18"/>
                      <w:szCs w:val="18"/>
                      <w:highlight w:val="none"/>
                      <w:lang w:val="en-US" w:eastAsia="zh-CN" w:bidi="ar-SA"/>
                    </w:rPr>
                  </w:pPr>
                  <w:r>
                    <w:rPr>
                      <w:rFonts w:hint="eastAsia" w:cs="Times New Roman"/>
                      <w:bCs/>
                      <w:color w:val="BF9000" w:themeColor="accent4" w:themeShade="BF"/>
                      <w:kern w:val="2"/>
                      <w:sz w:val="18"/>
                      <w:szCs w:val="18"/>
                      <w:highlight w:val="none"/>
                      <w:lang w:val="en-US" w:eastAsia="zh-CN" w:bidi="ar-SA"/>
                    </w:rPr>
                    <w:t>--</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BF9000" w:themeColor="accent4" w:themeShade="BF"/>
                      <w:sz w:val="18"/>
                      <w:szCs w:val="18"/>
                      <w:highlight w:val="none"/>
                      <w:lang w:val="en-US" w:eastAsia="zh-CN"/>
                    </w:rPr>
                  </w:pPr>
                  <w:r>
                    <w:rPr>
                      <w:rFonts w:hint="eastAsia" w:ascii="Times New Roman" w:hAnsi="Times New Roman" w:eastAsia="宋体" w:cs="Times New Roman"/>
                      <w:bCs/>
                      <w:color w:val="BF9000" w:themeColor="accent4"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eastAsia="宋体"/>
                <w:b/>
                <w:bCs/>
                <w:color w:val="auto"/>
                <w:kern w:val="21"/>
                <w:szCs w:val="21"/>
                <w:lang w:val="en-US" w:eastAsia="zh-CN"/>
              </w:rPr>
            </w:pPr>
            <w:r>
              <w:rPr>
                <w:rFonts w:hint="eastAsia"/>
                <w:b/>
                <w:bCs/>
                <w:color w:val="auto"/>
                <w:kern w:val="21"/>
                <w:szCs w:val="21"/>
                <w:lang w:val="en-US" w:eastAsia="zh-CN"/>
              </w:rPr>
              <w:t>2、源强核算详解：</w:t>
            </w:r>
          </w:p>
          <w:p>
            <w:pPr>
              <w:pStyle w:val="2"/>
              <w:rPr>
                <w:rFonts w:hint="eastAsia"/>
                <w:color w:val="auto"/>
                <w:sz w:val="24"/>
                <w:szCs w:val="24"/>
                <w:highlight w:val="none"/>
                <w:lang w:val="en-US" w:eastAsia="zh-CN"/>
              </w:rPr>
            </w:pPr>
            <w:r>
              <w:rPr>
                <w:rFonts w:hint="eastAsia"/>
                <w:color w:val="auto"/>
                <w:sz w:val="24"/>
                <w:szCs w:val="24"/>
                <w:highlight w:val="none"/>
                <w:lang w:val="en-US" w:eastAsia="zh-CN"/>
              </w:rPr>
              <w:t>扩建项目源强核算系数祥见下表：</w:t>
            </w:r>
          </w:p>
          <w:p>
            <w:pPr>
              <w:rPr>
                <w:rFonts w:hint="eastAsia"/>
                <w:lang w:val="en-US" w:eastAsia="zh-CN"/>
              </w:rPr>
            </w:pPr>
          </w:p>
          <w:p>
            <w:pPr>
              <w:pStyle w:val="44"/>
              <w:numPr>
                <w:ilvl w:val="0"/>
                <w:numId w:val="9"/>
              </w:numPr>
              <w:tabs>
                <w:tab w:val="clear" w:pos="0"/>
              </w:tabs>
              <w:bidi w:val="0"/>
              <w:ind w:left="0" w:leftChars="0" w:firstLine="403" w:firstLineChars="0"/>
              <w:rPr>
                <w:color w:val="auto"/>
                <w:lang w:val="en-US" w:eastAsia="zh-CN"/>
              </w:rPr>
            </w:pPr>
            <w:r>
              <w:rPr>
                <w:rFonts w:hint="eastAsia"/>
                <w:color w:val="auto"/>
                <w:lang w:val="en-US" w:eastAsia="zh-CN"/>
              </w:rPr>
              <w:t>扩建项目</w:t>
            </w:r>
            <w:r>
              <w:rPr>
                <w:color w:val="auto"/>
                <w:lang w:val="en-US" w:eastAsia="zh-CN"/>
              </w:rPr>
              <w:t>源强核算来源一览表</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54"/>
              <w:gridCol w:w="1098"/>
              <w:gridCol w:w="960"/>
              <w:gridCol w:w="798"/>
              <w:gridCol w:w="6796"/>
              <w:gridCol w:w="1191"/>
              <w:gridCol w:w="969"/>
              <w:gridCol w:w="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bidi="ar"/>
                    </w:rPr>
                    <w:t>生产工序</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污染物</w:t>
                  </w:r>
                </w:p>
              </w:tc>
              <w:tc>
                <w:tcPr>
                  <w:tcW w:w="34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原料名称</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val="en-US" w:eastAsia="zh-CN" w:bidi="ar"/>
                    </w:rPr>
                    <w:t>年用</w:t>
                  </w:r>
                  <w:r>
                    <w:rPr>
                      <w:rFonts w:hint="default" w:ascii="Times New Roman" w:hAnsi="Times New Roman" w:eastAsia="宋体" w:cs="Times New Roman"/>
                      <w:b/>
                      <w:bCs/>
                      <w:color w:val="auto"/>
                      <w:kern w:val="0"/>
                      <w:sz w:val="21"/>
                      <w:szCs w:val="21"/>
                      <w:lang w:bidi="ar"/>
                    </w:rPr>
                    <w:t>量</w:t>
                  </w:r>
                  <w:r>
                    <w:rPr>
                      <w:rFonts w:hint="default" w:ascii="Times New Roman" w:hAnsi="Times New Roman" w:eastAsia="宋体" w:cs="Times New Roman"/>
                      <w:b/>
                      <w:bCs/>
                      <w:color w:val="auto"/>
                      <w:sz w:val="21"/>
                      <w:szCs w:val="21"/>
                    </w:rPr>
                    <w:t>t/a</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bidi="ar"/>
                    </w:rPr>
                    <w:t>产污系数来源</w:t>
                  </w:r>
                </w:p>
              </w:tc>
              <w:tc>
                <w:tcPr>
                  <w:tcW w:w="42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bidi="ar"/>
                    </w:rPr>
                    <w:t>产污系数</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val="en-US" w:eastAsia="zh-CN" w:bidi="ar"/>
                    </w:rPr>
                    <w:t>废气</w:t>
                  </w:r>
                  <w:r>
                    <w:rPr>
                      <w:rFonts w:hint="default" w:ascii="Times New Roman" w:hAnsi="Times New Roman" w:eastAsia="宋体" w:cs="Times New Roman"/>
                      <w:b/>
                      <w:bCs/>
                      <w:color w:val="auto"/>
                      <w:kern w:val="0"/>
                      <w:sz w:val="21"/>
                      <w:szCs w:val="21"/>
                      <w:lang w:bidi="ar"/>
                    </w:rPr>
                    <w:t>产生量t/a</w:t>
                  </w:r>
                </w:p>
              </w:tc>
              <w:tc>
                <w:tcPr>
                  <w:tcW w:w="3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b/>
                      <w:bCs/>
                      <w:color w:val="auto"/>
                      <w:kern w:val="0"/>
                      <w:sz w:val="21"/>
                      <w:szCs w:val="21"/>
                      <w:lang w:bidi="ar"/>
                    </w:rPr>
                  </w:pPr>
                  <w:r>
                    <w:rPr>
                      <w:rFonts w:hint="eastAsia"/>
                      <w:b/>
                      <w:bCs/>
                      <w:color w:val="auto"/>
                      <w:kern w:val="0"/>
                      <w:sz w:val="21"/>
                      <w:szCs w:val="21"/>
                      <w:lang w:bidi="ar"/>
                    </w:rPr>
                    <w:t>对应排气筒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FF0000"/>
                      <w:sz w:val="21"/>
                      <w:szCs w:val="21"/>
                      <w:highlight w:val="green"/>
                      <w:lang w:val="en-US" w:eastAsia="zh-CN"/>
                    </w:rPr>
                  </w:pPr>
                  <w:r>
                    <w:rPr>
                      <w:rFonts w:hint="default" w:ascii="Times New Roman" w:hAnsi="Times New Roman" w:eastAsia="宋体" w:cs="Times New Roman"/>
                      <w:b w:val="0"/>
                      <w:bCs w:val="0"/>
                      <w:color w:val="FF0000"/>
                      <w:sz w:val="21"/>
                      <w:szCs w:val="21"/>
                      <w:highlight w:val="green"/>
                      <w:lang w:val="en-US" w:eastAsia="zh-CN"/>
                    </w:rPr>
                    <w:t>机加工、打磨</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FF0000"/>
                      <w:sz w:val="21"/>
                      <w:szCs w:val="21"/>
                      <w:highlight w:val="green"/>
                    </w:rPr>
                  </w:pPr>
                  <w:r>
                    <w:rPr>
                      <w:rFonts w:hint="default" w:ascii="Times New Roman" w:hAnsi="Times New Roman" w:eastAsia="宋体" w:cs="Times New Roman"/>
                      <w:color w:val="FF0000"/>
                      <w:sz w:val="21"/>
                      <w:szCs w:val="21"/>
                      <w:highlight w:val="green"/>
                      <w:lang w:val="en-US" w:eastAsia="zh-CN"/>
                    </w:rPr>
                    <w:t>颗粒物</w:t>
                  </w:r>
                </w:p>
              </w:tc>
              <w:tc>
                <w:tcPr>
                  <w:tcW w:w="34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FF0000"/>
                      <w:sz w:val="21"/>
                      <w:szCs w:val="21"/>
                      <w:highlight w:val="green"/>
                      <w:lang w:val="en-US" w:eastAsia="zh-CN"/>
                    </w:rPr>
                  </w:pPr>
                  <w:r>
                    <w:rPr>
                      <w:rFonts w:hint="default" w:ascii="Times New Roman" w:hAnsi="Times New Roman" w:eastAsia="宋体" w:cs="Times New Roman"/>
                      <w:color w:val="FF0000"/>
                      <w:sz w:val="21"/>
                      <w:szCs w:val="21"/>
                      <w:highlight w:val="green"/>
                      <w:lang w:val="en-US" w:eastAsia="zh-CN"/>
                    </w:rPr>
                    <w:t>模具钢</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0"/>
                      <w:sz w:val="21"/>
                      <w:szCs w:val="21"/>
                      <w:highlight w:val="green"/>
                      <w:lang w:val="en-US" w:eastAsia="zh-CN" w:bidi="ar"/>
                    </w:rPr>
                  </w:pPr>
                  <w:r>
                    <w:rPr>
                      <w:rFonts w:hint="eastAsia" w:ascii="Times New Roman" w:hAnsi="Times New Roman" w:eastAsia="宋体" w:cs="Times New Roman"/>
                      <w:color w:val="FF0000"/>
                      <w:kern w:val="0"/>
                      <w:sz w:val="21"/>
                      <w:szCs w:val="21"/>
                      <w:highlight w:val="green"/>
                      <w:lang w:val="en-US" w:eastAsia="zh-CN" w:bidi="ar"/>
                    </w:rPr>
                    <w:t>20</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0"/>
                      <w:sz w:val="21"/>
                      <w:szCs w:val="21"/>
                      <w:highlight w:val="green"/>
                      <w:lang w:bidi="ar"/>
                    </w:rPr>
                  </w:pPr>
                  <w:r>
                    <w:rPr>
                      <w:rFonts w:hint="default" w:ascii="Times New Roman" w:hAnsi="Times New Roman" w:eastAsia="宋体" w:cs="Times New Roman"/>
                      <w:bCs/>
                      <w:color w:val="FF0000"/>
                      <w:kern w:val="10"/>
                      <w:sz w:val="21"/>
                      <w:szCs w:val="21"/>
                      <w:highlight w:val="green"/>
                    </w:rPr>
                    <w:t>《排放源统计调查产排污核算方法和系数手册》-《33-37，431-434机械行业系数手册》-预处理-打磨工艺-颗粒物系数</w:t>
                  </w:r>
                </w:p>
              </w:tc>
              <w:tc>
                <w:tcPr>
                  <w:tcW w:w="42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0"/>
                      <w:sz w:val="21"/>
                      <w:szCs w:val="21"/>
                      <w:highlight w:val="green"/>
                      <w:lang w:bidi="ar"/>
                    </w:rPr>
                  </w:pPr>
                  <w:r>
                    <w:rPr>
                      <w:rFonts w:hint="default" w:ascii="Times New Roman" w:hAnsi="Times New Roman" w:eastAsia="宋体" w:cs="Times New Roman"/>
                      <w:color w:val="FF0000"/>
                      <w:kern w:val="0"/>
                      <w:sz w:val="21"/>
                      <w:szCs w:val="21"/>
                      <w:highlight w:val="green"/>
                      <w:lang w:bidi="ar"/>
                    </w:rPr>
                    <w:t>2.19千克/吨-原料</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0"/>
                      <w:sz w:val="21"/>
                      <w:szCs w:val="21"/>
                      <w:highlight w:val="green"/>
                      <w:lang w:val="en-US" w:eastAsia="zh-CN" w:bidi="ar"/>
                    </w:rPr>
                  </w:pPr>
                  <w:r>
                    <w:rPr>
                      <w:rFonts w:hint="eastAsia" w:ascii="Times New Roman" w:hAnsi="Times New Roman" w:eastAsia="宋体" w:cs="Times New Roman"/>
                      <w:color w:val="FF0000"/>
                      <w:kern w:val="0"/>
                      <w:sz w:val="21"/>
                      <w:szCs w:val="21"/>
                      <w:highlight w:val="green"/>
                      <w:lang w:val="en-US" w:eastAsia="zh-CN" w:bidi="ar"/>
                    </w:rPr>
                    <w:t>0.0438</w:t>
                  </w:r>
                </w:p>
              </w:tc>
              <w:tc>
                <w:tcPr>
                  <w:tcW w:w="3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color w:val="FF0000"/>
                      <w:kern w:val="0"/>
                      <w:sz w:val="21"/>
                      <w:szCs w:val="21"/>
                      <w:highlight w:val="green"/>
                      <w:lang w:val="en-US" w:eastAsia="zh-CN" w:bidi="ar"/>
                    </w:rPr>
                  </w:pPr>
                  <w:r>
                    <w:rPr>
                      <w:rFonts w:hint="eastAsia"/>
                      <w:color w:val="FF0000"/>
                      <w:kern w:val="0"/>
                      <w:sz w:val="21"/>
                      <w:szCs w:val="21"/>
                      <w:highlight w:val="green"/>
                      <w:lang w:val="en-US" w:eastAsia="zh-CN" w:bidi="ar"/>
                    </w:rPr>
                    <w:t>DA004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电火花、雕刻</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非甲烷总烃</w:t>
                  </w:r>
                </w:p>
              </w:tc>
              <w:tc>
                <w:tcPr>
                  <w:tcW w:w="34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水性切削液</w:t>
                  </w:r>
                  <w:r>
                    <w:rPr>
                      <w:rFonts w:hint="default" w:ascii="Times New Roman" w:hAnsi="Times New Roman" w:eastAsia="宋体" w:cs="Times New Roman"/>
                      <w:color w:val="auto"/>
                      <w:sz w:val="21"/>
                      <w:szCs w:val="21"/>
                      <w:lang w:val="en-US" w:eastAsia="zh-CN"/>
                    </w:rPr>
                    <w:t>+电火花油</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0.2</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bidi="ar"/>
                    </w:rPr>
                    <w:t>《排放源统计调查产排污核算方法和系数手册》-《33-37，431-434机械行业系数手册》-33金属制品业-机械加工-湿式机加工件</w:t>
                  </w:r>
                </w:p>
              </w:tc>
              <w:tc>
                <w:tcPr>
                  <w:tcW w:w="42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bidi="ar"/>
                    </w:rPr>
                    <w:t>5.64千克/吨-原料</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0.0011</w:t>
                  </w:r>
                </w:p>
              </w:tc>
              <w:tc>
                <w:tcPr>
                  <w:tcW w:w="3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混料</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34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色粉</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FF0000"/>
                      <w:kern w:val="0"/>
                      <w:sz w:val="21"/>
                      <w:szCs w:val="21"/>
                      <w:lang w:val="en-US" w:eastAsia="zh-CN" w:bidi="ar"/>
                    </w:rPr>
                    <w:t>10</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参照《排放源统计调查产排污核算方法和系数手册中《292 塑料制品业系数手册》-“2922 塑料板、管、型材制造行业系数表-配料-混合-挤出”颗粒物的源强产生系数</w:t>
                  </w:r>
                </w:p>
              </w:tc>
              <w:tc>
                <w:tcPr>
                  <w:tcW w:w="42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6千克/吨-产品</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FF0000"/>
                      <w:kern w:val="0"/>
                      <w:sz w:val="21"/>
                      <w:szCs w:val="21"/>
                      <w:lang w:val="en-US" w:eastAsia="zh-CN" w:bidi="ar"/>
                    </w:rPr>
                    <w:t>0.0</w:t>
                  </w:r>
                  <w:r>
                    <w:rPr>
                      <w:rFonts w:hint="eastAsia" w:cs="Times New Roman"/>
                      <w:color w:val="FF0000"/>
                      <w:kern w:val="0"/>
                      <w:sz w:val="21"/>
                      <w:szCs w:val="21"/>
                      <w:lang w:val="en-US" w:eastAsia="zh-CN" w:bidi="ar"/>
                    </w:rPr>
                    <w:t>6</w:t>
                  </w:r>
                </w:p>
              </w:tc>
              <w:tc>
                <w:tcPr>
                  <w:tcW w:w="346"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eastAsia="宋体"/>
                      <w:color w:val="auto"/>
                      <w:kern w:val="0"/>
                      <w:sz w:val="21"/>
                      <w:szCs w:val="21"/>
                      <w:lang w:val="en-US" w:eastAsia="zh-CN" w:bidi="ar"/>
                    </w:rPr>
                  </w:pPr>
                  <w:r>
                    <w:rPr>
                      <w:rFonts w:hint="eastAsia"/>
                      <w:color w:val="FF0000"/>
                      <w:kern w:val="0"/>
                      <w:sz w:val="21"/>
                      <w:szCs w:val="21"/>
                      <w:highlight w:val="green"/>
                      <w:lang w:bidi="ar"/>
                    </w:rPr>
                    <w:t>DA00</w:t>
                  </w:r>
                  <w:r>
                    <w:rPr>
                      <w:rFonts w:hint="eastAsia"/>
                      <w:color w:val="FF0000"/>
                      <w:kern w:val="0"/>
                      <w:sz w:val="21"/>
                      <w:szCs w:val="21"/>
                      <w:highlight w:val="green"/>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破碎</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34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次品</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FF0000"/>
                      <w:kern w:val="0"/>
                      <w:sz w:val="21"/>
                      <w:szCs w:val="21"/>
                      <w:lang w:val="en-US" w:eastAsia="zh-CN" w:bidi="ar"/>
                    </w:rPr>
                    <w:t>17*</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color w:val="auto"/>
                      <w:kern w:val="0"/>
                      <w:sz w:val="21"/>
                      <w:szCs w:val="21"/>
                      <w:lang w:bidi="ar"/>
                    </w:rPr>
                    <w:t>参考《排放源统计调查产排污核算方法和系数手册》中“42废弃资源综合利用行业系数手册-4220非金属废料和碎屑加工处理行业”产污系数</w:t>
                  </w:r>
                  <w:r>
                    <w:rPr>
                      <w:rFonts w:hint="default" w:ascii="Times New Roman" w:hAnsi="Times New Roman" w:eastAsia="宋体" w:cs="Times New Roman"/>
                      <w:color w:val="auto"/>
                      <w:kern w:val="0"/>
                      <w:sz w:val="21"/>
                      <w:szCs w:val="21"/>
                      <w:lang w:eastAsia="zh-CN" w:bidi="ar"/>
                    </w:rPr>
                    <w:t>，废PS/ABS为425g/t-原料</w:t>
                  </w:r>
                </w:p>
              </w:tc>
              <w:tc>
                <w:tcPr>
                  <w:tcW w:w="42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color w:val="auto"/>
                      <w:kern w:val="0"/>
                      <w:sz w:val="21"/>
                      <w:szCs w:val="21"/>
                      <w:lang w:eastAsia="zh-CN" w:bidi="ar"/>
                    </w:rPr>
                    <w:t>425g/t-</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eastAsia="zh-CN" w:bidi="ar"/>
                    </w:rPr>
                    <w:t>原料</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FF0000"/>
                      <w:kern w:val="0"/>
                      <w:sz w:val="21"/>
                      <w:szCs w:val="21"/>
                      <w:lang w:val="en-US" w:eastAsia="zh-CN" w:bidi="ar"/>
                    </w:rPr>
                    <w:t>0.00</w:t>
                  </w:r>
                  <w:r>
                    <w:rPr>
                      <w:rFonts w:hint="eastAsia" w:cs="Times New Roman"/>
                      <w:color w:val="FF0000"/>
                      <w:kern w:val="0"/>
                      <w:sz w:val="21"/>
                      <w:szCs w:val="21"/>
                      <w:lang w:val="en-US" w:eastAsia="zh-CN" w:bidi="ar"/>
                    </w:rPr>
                    <w:t>72</w:t>
                  </w:r>
                </w:p>
              </w:tc>
              <w:tc>
                <w:tcPr>
                  <w:tcW w:w="3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08" w:type="pct"/>
                  <w:gridSpan w:val="6"/>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b/>
                      <w:bCs/>
                      <w:color w:val="auto"/>
                      <w:sz w:val="21"/>
                      <w:szCs w:val="21"/>
                      <w:lang w:val="en-US" w:eastAsia="zh-CN"/>
                    </w:rPr>
                    <w:t>合计</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w:t>
                  </w:r>
                  <w:r>
                    <w:rPr>
                      <w:rFonts w:hint="eastAsia" w:cs="Times New Roman"/>
                      <w:color w:val="auto"/>
                      <w:kern w:val="0"/>
                      <w:sz w:val="21"/>
                      <w:szCs w:val="21"/>
                      <w:lang w:val="en-US" w:eastAsia="zh-CN" w:bidi="ar"/>
                    </w:rPr>
                    <w:t>56</w:t>
                  </w:r>
                </w:p>
              </w:tc>
              <w:tc>
                <w:tcPr>
                  <w:tcW w:w="3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注塑成型</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sz w:val="21"/>
                      <w:szCs w:val="21"/>
                    </w:rPr>
                    <w:t>非甲烷总烃</w:t>
                  </w:r>
                </w:p>
              </w:tc>
              <w:tc>
                <w:tcPr>
                  <w:tcW w:w="34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塑胶粒</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380</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《上海工业企业挥发性有机物排放量通用计算方法（试用）》中的塑料管、材制造产污系数0.539kg/t原料</w:t>
                  </w:r>
                </w:p>
              </w:tc>
              <w:tc>
                <w:tcPr>
                  <w:tcW w:w="42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eastAsia" w:cs="Times New Roman"/>
                      <w:color w:val="auto"/>
                      <w:kern w:val="0"/>
                      <w:sz w:val="21"/>
                      <w:szCs w:val="21"/>
                      <w:highlight w:val="none"/>
                      <w:lang w:val="en-US" w:eastAsia="zh-CN" w:bidi="ar"/>
                    </w:rPr>
                    <w:t>0.539</w:t>
                  </w:r>
                  <w:r>
                    <w:rPr>
                      <w:rFonts w:hint="default" w:ascii="Times New Roman" w:hAnsi="Times New Roman" w:eastAsia="宋体" w:cs="Times New Roman"/>
                      <w:color w:val="auto"/>
                      <w:kern w:val="0"/>
                      <w:sz w:val="21"/>
                      <w:szCs w:val="21"/>
                      <w:highlight w:val="none"/>
                      <w:lang w:bidi="ar"/>
                    </w:rPr>
                    <w:t>千克/吨-产品</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w:t>
                  </w:r>
                  <w:r>
                    <w:rPr>
                      <w:rFonts w:hint="eastAsia" w:cs="Times New Roman"/>
                      <w:color w:val="auto"/>
                      <w:kern w:val="0"/>
                      <w:sz w:val="21"/>
                      <w:szCs w:val="21"/>
                      <w:lang w:val="en-US" w:eastAsia="zh-CN" w:bidi="ar"/>
                    </w:rPr>
                    <w:t>2048</w:t>
                  </w:r>
                </w:p>
              </w:tc>
              <w:tc>
                <w:tcPr>
                  <w:tcW w:w="3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eastAsia="宋体"/>
                      <w:color w:val="auto"/>
                      <w:kern w:val="0"/>
                      <w:sz w:val="21"/>
                      <w:szCs w:val="21"/>
                      <w:lang w:val="en-US" w:eastAsia="zh-CN" w:bidi="ar"/>
                    </w:rPr>
                  </w:pPr>
                  <w:r>
                    <w:rPr>
                      <w:rFonts w:hint="eastAsia"/>
                      <w:color w:val="auto"/>
                      <w:kern w:val="0"/>
                      <w:sz w:val="21"/>
                      <w:szCs w:val="21"/>
                      <w:lang w:bidi="ar"/>
                    </w:rPr>
                    <w:t>DA00</w:t>
                  </w:r>
                  <w:r>
                    <w:rPr>
                      <w:rFonts w:hint="eastAsia"/>
                      <w:color w:val="auto"/>
                      <w:kern w:val="0"/>
                      <w:sz w:val="21"/>
                      <w:szCs w:val="21"/>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喷漆</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漆雾（颗粒物）</w:t>
                  </w:r>
                </w:p>
              </w:tc>
              <w:tc>
                <w:tcPr>
                  <w:tcW w:w="341"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水性漆</w:t>
                  </w:r>
                </w:p>
              </w:tc>
              <w:tc>
                <w:tcPr>
                  <w:tcW w:w="284"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0.48</w:t>
                  </w:r>
                </w:p>
              </w:tc>
              <w:tc>
                <w:tcPr>
                  <w:tcW w:w="2844"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水性漆固</w:t>
                  </w:r>
                  <w:r>
                    <w:rPr>
                      <w:rFonts w:hint="eastAsia"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bidi="ar"/>
                    </w:rPr>
                    <w:t>含量=</w:t>
                  </w:r>
                  <w:r>
                    <w:rPr>
                      <w:rFonts w:hint="eastAsia" w:cs="Times New Roman"/>
                      <w:color w:val="auto"/>
                      <w:kern w:val="0"/>
                      <w:sz w:val="21"/>
                      <w:szCs w:val="21"/>
                      <w:lang w:val="en-US" w:eastAsia="zh-CN" w:bidi="ar"/>
                    </w:rPr>
                    <w:t>83.9</w:t>
                  </w:r>
                  <w:r>
                    <w:rPr>
                      <w:rFonts w:hint="default" w:ascii="Times New Roman" w:hAnsi="Times New Roman" w:eastAsia="宋体" w:cs="Times New Roman"/>
                      <w:color w:val="auto"/>
                      <w:kern w:val="0"/>
                      <w:sz w:val="21"/>
                      <w:szCs w:val="21"/>
                      <w:lang w:bidi="ar"/>
                    </w:rPr>
                    <w:t>%，附着率</w:t>
                  </w:r>
                  <w:r>
                    <w:rPr>
                      <w:rFonts w:hint="eastAsia" w:ascii="Times New Roman" w:hAnsi="Times New Roman" w:eastAsia="宋体" w:cs="Times New Roman"/>
                      <w:color w:val="auto"/>
                      <w:kern w:val="0"/>
                      <w:sz w:val="21"/>
                      <w:szCs w:val="21"/>
                      <w:lang w:val="en-US" w:eastAsia="zh-CN" w:bidi="ar"/>
                    </w:rPr>
                    <w:t>45</w:t>
                  </w:r>
                  <w:r>
                    <w:rPr>
                      <w:rFonts w:hint="default" w:ascii="Times New Roman" w:hAnsi="Times New Roman" w:eastAsia="宋体" w:cs="Times New Roman"/>
                      <w:color w:val="auto"/>
                      <w:kern w:val="0"/>
                      <w:sz w:val="21"/>
                      <w:szCs w:val="21"/>
                      <w:lang w:bidi="ar"/>
                    </w:rPr>
                    <w:t>%，则颗粒物产生量=</w:t>
                  </w:r>
                  <w:r>
                    <w:rPr>
                      <w:rFonts w:hint="eastAsia" w:ascii="Times New Roman" w:hAnsi="Times New Roman" w:eastAsia="宋体" w:cs="Times New Roman"/>
                      <w:color w:val="auto"/>
                      <w:kern w:val="0"/>
                      <w:sz w:val="21"/>
                      <w:szCs w:val="21"/>
                      <w:lang w:val="en-US" w:eastAsia="zh-CN" w:bidi="ar"/>
                    </w:rPr>
                    <w:t>0.48</w:t>
                  </w:r>
                  <w:r>
                    <w:rPr>
                      <w:rFonts w:hint="default" w:ascii="Times New Roman" w:hAnsi="Times New Roman" w:eastAsia="宋体" w:cs="Times New Roman"/>
                      <w:color w:val="auto"/>
                      <w:kern w:val="0"/>
                      <w:sz w:val="21"/>
                      <w:szCs w:val="21"/>
                      <w:lang w:bidi="ar"/>
                    </w:rPr>
                    <w:t>×</w:t>
                  </w:r>
                  <w:r>
                    <w:rPr>
                      <w:rFonts w:hint="eastAsia" w:cs="Times New Roman"/>
                      <w:color w:val="auto"/>
                      <w:kern w:val="0"/>
                      <w:sz w:val="21"/>
                      <w:szCs w:val="21"/>
                      <w:lang w:val="en-US" w:eastAsia="zh-CN" w:bidi="ar"/>
                    </w:rPr>
                    <w:t>83.9</w:t>
                  </w:r>
                  <w:r>
                    <w:rPr>
                      <w:rFonts w:hint="default" w:ascii="Times New Roman" w:hAnsi="Times New Roman" w:eastAsia="宋体" w:cs="Times New Roman"/>
                      <w:color w:val="auto"/>
                      <w:kern w:val="0"/>
                      <w:sz w:val="21"/>
                      <w:szCs w:val="21"/>
                      <w:lang w:bidi="ar"/>
                    </w:rPr>
                    <w:t>%×（1-</w:t>
                  </w:r>
                  <w:r>
                    <w:rPr>
                      <w:rFonts w:hint="eastAsia" w:ascii="Times New Roman" w:hAnsi="Times New Roman" w:eastAsia="宋体" w:cs="Times New Roman"/>
                      <w:color w:val="auto"/>
                      <w:kern w:val="0"/>
                      <w:sz w:val="21"/>
                      <w:szCs w:val="21"/>
                      <w:lang w:val="en-US" w:eastAsia="zh-CN" w:bidi="ar"/>
                    </w:rPr>
                    <w:t>45</w:t>
                  </w:r>
                  <w:r>
                    <w:rPr>
                      <w:rFonts w:hint="default" w:ascii="Times New Roman" w:hAnsi="Times New Roman" w:eastAsia="宋体" w:cs="Times New Roman"/>
                      <w:color w:val="auto"/>
                      <w:kern w:val="0"/>
                      <w:sz w:val="21"/>
                      <w:szCs w:val="21"/>
                      <w:lang w:bidi="ar"/>
                    </w:rPr>
                    <w:t>%）</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0.2215</w:t>
                  </w:r>
                </w:p>
              </w:tc>
              <w:tc>
                <w:tcPr>
                  <w:tcW w:w="346"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kern w:val="0"/>
                      <w:sz w:val="21"/>
                      <w:szCs w:val="21"/>
                      <w:lang w:bidi="ar"/>
                    </w:rPr>
                  </w:pPr>
                  <w:r>
                    <w:rPr>
                      <w:rFonts w:hint="eastAsia"/>
                      <w:color w:val="auto"/>
                      <w:kern w:val="0"/>
                      <w:sz w:val="21"/>
                      <w:szCs w:val="21"/>
                      <w:lang w:eastAsia="zh-CN" w:bidi="ar"/>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喷漆及烘烤</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总VOCs</w:t>
                  </w:r>
                </w:p>
              </w:tc>
              <w:tc>
                <w:tcPr>
                  <w:tcW w:w="341"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p>
              </w:tc>
              <w:tc>
                <w:tcPr>
                  <w:tcW w:w="28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p>
              </w:tc>
              <w:tc>
                <w:tcPr>
                  <w:tcW w:w="2844"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水性漆挥发性有机物VOC=</w:t>
                  </w:r>
                  <w:r>
                    <w:rPr>
                      <w:rFonts w:hint="eastAsia" w:ascii="Times New Roman" w:hAnsi="Times New Roman" w:eastAsia="宋体" w:cs="Times New Roman"/>
                      <w:color w:val="auto"/>
                      <w:kern w:val="0"/>
                      <w:sz w:val="21"/>
                      <w:szCs w:val="21"/>
                      <w:lang w:val="en-US" w:eastAsia="zh-CN" w:bidi="ar"/>
                    </w:rPr>
                    <w:t>1.</w:t>
                  </w:r>
                  <w:r>
                    <w:rPr>
                      <w:rFonts w:hint="eastAsia" w:cs="Times New Roman"/>
                      <w:color w:val="auto"/>
                      <w:kern w:val="0"/>
                      <w:sz w:val="21"/>
                      <w:szCs w:val="21"/>
                      <w:lang w:val="en-US" w:eastAsia="zh-CN" w:bidi="ar"/>
                    </w:rPr>
                    <w:t>1</w:t>
                  </w:r>
                  <w:r>
                    <w:rPr>
                      <w:rFonts w:hint="default" w:ascii="Times New Roman" w:hAnsi="Times New Roman" w:eastAsia="宋体" w:cs="Times New Roman"/>
                      <w:color w:val="auto"/>
                      <w:kern w:val="0"/>
                      <w:sz w:val="21"/>
                      <w:szCs w:val="21"/>
                      <w:lang w:bidi="ar"/>
                    </w:rPr>
                    <w:t>%</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0.0053</w:t>
                  </w:r>
                </w:p>
              </w:tc>
              <w:tc>
                <w:tcPr>
                  <w:tcW w:w="3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丝印及烘烤</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BF9000" w:themeColor="accent4" w:themeShade="BF"/>
                      <w:sz w:val="21"/>
                      <w:szCs w:val="21"/>
                      <w:lang w:val="en-US" w:eastAsia="zh-CN"/>
                    </w:rPr>
                    <w:t>非甲烷总烃</w:t>
                  </w:r>
                </w:p>
              </w:tc>
              <w:tc>
                <w:tcPr>
                  <w:tcW w:w="34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水性油墨</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0.006</w:t>
                  </w:r>
                </w:p>
              </w:tc>
              <w:tc>
                <w:tcPr>
                  <w:tcW w:w="2844"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水性</w:t>
                  </w:r>
                  <w:r>
                    <w:rPr>
                      <w:rFonts w:hint="default" w:ascii="Times New Roman" w:hAnsi="Times New Roman" w:eastAsia="宋体" w:cs="Times New Roman"/>
                      <w:color w:val="auto"/>
                      <w:kern w:val="0"/>
                      <w:sz w:val="21"/>
                      <w:szCs w:val="21"/>
                      <w:lang w:val="en-US" w:eastAsia="zh-CN" w:bidi="ar"/>
                    </w:rPr>
                    <w:t>油墨</w:t>
                  </w:r>
                  <w:r>
                    <w:rPr>
                      <w:rFonts w:hint="default" w:ascii="Times New Roman" w:hAnsi="Times New Roman" w:eastAsia="宋体" w:cs="Times New Roman"/>
                      <w:color w:val="auto"/>
                      <w:kern w:val="0"/>
                      <w:sz w:val="21"/>
                      <w:szCs w:val="21"/>
                      <w:lang w:bidi="ar"/>
                    </w:rPr>
                    <w:t>挥发性有机物VOC=</w:t>
                  </w:r>
                  <w:r>
                    <w:rPr>
                      <w:rFonts w:hint="eastAsia" w:ascii="Times New Roman" w:hAnsi="Times New Roman" w:eastAsia="宋体" w:cs="Times New Roman"/>
                      <w:color w:val="auto"/>
                      <w:kern w:val="0"/>
                      <w:sz w:val="21"/>
                      <w:szCs w:val="21"/>
                      <w:lang w:val="en-US" w:eastAsia="zh-CN" w:bidi="ar"/>
                    </w:rPr>
                    <w:t>11.3</w:t>
                  </w:r>
                  <w:r>
                    <w:rPr>
                      <w:rFonts w:hint="default" w:ascii="Times New Roman" w:hAnsi="Times New Roman" w:eastAsia="宋体" w:cs="Times New Roman"/>
                      <w:color w:val="auto"/>
                      <w:kern w:val="0"/>
                      <w:sz w:val="21"/>
                      <w:szCs w:val="21"/>
                      <w:lang w:bidi="ar"/>
                    </w:rPr>
                    <w:t>%</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0.0007</w:t>
                  </w:r>
                </w:p>
              </w:tc>
              <w:tc>
                <w:tcPr>
                  <w:tcW w:w="3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000" w:type="pct"/>
                  <w:gridSpan w:val="8"/>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default" w:eastAsia="宋体"/>
                      <w:color w:val="auto"/>
                      <w:kern w:val="0"/>
                      <w:sz w:val="21"/>
                      <w:szCs w:val="21"/>
                      <w:lang w:val="en-US" w:eastAsia="zh-CN" w:bidi="ar"/>
                    </w:rPr>
                  </w:pPr>
                  <w:r>
                    <w:rPr>
                      <w:rFonts w:hint="eastAsia"/>
                      <w:b/>
                      <w:bCs/>
                      <w:color w:val="FF0000"/>
                      <w:kern w:val="0"/>
                      <w:sz w:val="21"/>
                      <w:szCs w:val="21"/>
                      <w:lang w:val="en-US" w:eastAsia="zh-CN" w:bidi="ar"/>
                    </w:rPr>
                    <w:t>注：*现有项目注塑成型产生的次品量为10t，扩建项目注塑成型预计产生的次品量为7t，因此本次扩建预计需破碎次品量为17t/a。</w:t>
                  </w:r>
                </w:p>
              </w:tc>
            </w:tr>
          </w:tbl>
          <w:p>
            <w:pPr>
              <w:pStyle w:val="53"/>
              <w:numPr>
                <w:ilvl w:val="0"/>
                <w:numId w:val="0"/>
              </w:numPr>
              <w:jc w:val="both"/>
              <w:rPr>
                <w:color w:val="auto"/>
              </w:rPr>
            </w:pPr>
          </w:p>
        </w:tc>
      </w:tr>
    </w:tbl>
    <w:p>
      <w:pPr>
        <w:pStyle w:val="2"/>
        <w:rPr>
          <w:color w:val="auto"/>
        </w:rPr>
        <w:sectPr>
          <w:pgSz w:w="16838" w:h="11906" w:orient="landscape"/>
          <w:pgMar w:top="1134" w:right="1247" w:bottom="1134" w:left="1247"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30"/>
        <w:tblW w:w="96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6"/>
        <w:gridCol w:w="9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1" w:type="dxa"/>
            <w:vAlign w:val="center"/>
          </w:tcPr>
          <w:p>
            <w:pPr>
              <w:adjustRightInd w:val="0"/>
              <w:snapToGrid w:val="0"/>
              <w:jc w:val="center"/>
              <w:rPr>
                <w:rFonts w:ascii="宋体" w:hAnsi="宋体" w:cs="宋体"/>
                <w:bCs/>
                <w:color w:val="auto"/>
                <w:szCs w:val="21"/>
              </w:rPr>
            </w:pPr>
            <w:r>
              <w:rPr>
                <w:rFonts w:hint="eastAsia" w:ascii="宋体" w:hAnsi="宋体" w:cs="宋体"/>
                <w:bCs/>
                <w:color w:val="auto"/>
                <w:szCs w:val="21"/>
              </w:rPr>
              <w:t>运营</w:t>
            </w:r>
          </w:p>
          <w:p>
            <w:pPr>
              <w:adjustRightInd w:val="0"/>
              <w:snapToGrid w:val="0"/>
              <w:jc w:val="center"/>
              <w:rPr>
                <w:rFonts w:ascii="宋体" w:hAnsi="宋体" w:cs="宋体"/>
                <w:bCs/>
                <w:color w:val="auto"/>
                <w:szCs w:val="21"/>
              </w:rPr>
            </w:pPr>
            <w:r>
              <w:rPr>
                <w:rFonts w:hint="eastAsia" w:ascii="宋体" w:hAnsi="宋体" w:cs="宋体"/>
                <w:bCs/>
                <w:color w:val="auto"/>
                <w:szCs w:val="21"/>
              </w:rPr>
              <w:t>期环</w:t>
            </w:r>
          </w:p>
          <w:p>
            <w:pPr>
              <w:adjustRightInd w:val="0"/>
              <w:snapToGrid w:val="0"/>
              <w:jc w:val="center"/>
              <w:rPr>
                <w:rFonts w:ascii="宋体" w:hAnsi="宋体" w:cs="宋体"/>
                <w:bCs/>
                <w:color w:val="auto"/>
                <w:szCs w:val="21"/>
              </w:rPr>
            </w:pPr>
            <w:r>
              <w:rPr>
                <w:rFonts w:hint="eastAsia" w:ascii="宋体" w:hAnsi="宋体" w:cs="宋体"/>
                <w:bCs/>
                <w:color w:val="auto"/>
                <w:szCs w:val="21"/>
              </w:rPr>
              <w:t>境影</w:t>
            </w:r>
          </w:p>
          <w:p>
            <w:pPr>
              <w:adjustRightInd w:val="0"/>
              <w:snapToGrid w:val="0"/>
              <w:jc w:val="center"/>
              <w:rPr>
                <w:rFonts w:ascii="宋体" w:hAnsi="宋体" w:cs="宋体"/>
                <w:bCs/>
                <w:color w:val="auto"/>
                <w:szCs w:val="21"/>
              </w:rPr>
            </w:pPr>
            <w:r>
              <w:rPr>
                <w:rFonts w:hint="eastAsia" w:ascii="宋体" w:hAnsi="宋体" w:cs="宋体"/>
                <w:bCs/>
                <w:color w:val="auto"/>
                <w:szCs w:val="21"/>
              </w:rPr>
              <w:t>响和</w:t>
            </w:r>
          </w:p>
          <w:p>
            <w:pPr>
              <w:adjustRightInd w:val="0"/>
              <w:snapToGrid w:val="0"/>
              <w:jc w:val="center"/>
              <w:rPr>
                <w:rFonts w:ascii="宋体" w:hAnsi="宋体" w:cs="宋体"/>
                <w:bCs/>
                <w:color w:val="auto"/>
                <w:szCs w:val="21"/>
              </w:rPr>
            </w:pPr>
            <w:r>
              <w:rPr>
                <w:rFonts w:hint="eastAsia" w:ascii="宋体" w:hAnsi="宋体" w:cs="宋体"/>
                <w:bCs/>
                <w:color w:val="auto"/>
                <w:szCs w:val="21"/>
              </w:rPr>
              <w:t>保护</w:t>
            </w:r>
          </w:p>
          <w:p>
            <w:pPr>
              <w:pStyle w:val="25"/>
              <w:adjustRightInd w:val="0"/>
              <w:snapToGrid w:val="0"/>
              <w:spacing w:before="0" w:beforeAutospacing="0" w:after="0" w:afterAutospacing="0"/>
              <w:jc w:val="center"/>
              <w:rPr>
                <w:rFonts w:hint="eastAsia" w:ascii="宋体" w:hAnsi="宋体" w:eastAsia="宋体" w:cs="宋体"/>
                <w:color w:val="auto"/>
                <w:kern w:val="2"/>
                <w:sz w:val="24"/>
                <w:szCs w:val="24"/>
                <w:lang w:val="en-US" w:eastAsia="zh-CN" w:bidi="ar-SA"/>
              </w:rPr>
            </w:pPr>
            <w:r>
              <w:rPr>
                <w:rFonts w:hint="eastAsia" w:cs="宋体"/>
                <w:bCs/>
                <w:color w:val="auto"/>
                <w:szCs w:val="21"/>
              </w:rPr>
              <w:t>措施</w:t>
            </w:r>
          </w:p>
        </w:tc>
        <w:tc>
          <w:tcPr>
            <w:tcW w:w="926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eastAsia="宋体" w:cs="Times New Roman"/>
                <w:b/>
                <w:bCs/>
                <w:color w:val="auto"/>
                <w:sz w:val="24"/>
                <w:szCs w:val="24"/>
                <w:highlight w:val="none"/>
                <w:lang w:val="en-US" w:eastAsia="zh-CN"/>
              </w:rPr>
            </w:pPr>
            <w:r>
              <w:rPr>
                <w:rFonts w:hint="eastAsia" w:cs="Times New Roman"/>
                <w:b/>
                <w:bCs/>
                <w:color w:val="auto"/>
                <w:sz w:val="24"/>
                <w:szCs w:val="24"/>
                <w:highlight w:val="none"/>
                <w:lang w:val="en-US" w:eastAsia="zh-CN"/>
              </w:rPr>
              <w:t>3、废气收集及处理情况</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b/>
                <w:bCs/>
                <w:color w:val="auto"/>
                <w:sz w:val="24"/>
                <w:szCs w:val="24"/>
                <w:highlight w:val="none"/>
                <w:lang w:val="en-US" w:eastAsia="zh-CN"/>
              </w:rPr>
            </w:pPr>
            <w:r>
              <w:rPr>
                <w:rFonts w:hint="eastAsia" w:cs="Times New Roman"/>
                <w:b/>
                <w:bCs/>
                <w:color w:val="auto"/>
                <w:sz w:val="24"/>
                <w:szCs w:val="24"/>
                <w:highlight w:val="none"/>
                <w:lang w:val="en-US" w:eastAsia="zh-CN"/>
              </w:rPr>
              <w:t>（1）机加工、打磨工序废气的收集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s="Times New Roman"/>
                <w:b w:val="0"/>
                <w:bCs w:val="0"/>
                <w:color w:val="FF0000"/>
                <w:sz w:val="24"/>
                <w:szCs w:val="24"/>
                <w:highlight w:val="green"/>
                <w:lang w:val="en-US" w:eastAsia="zh-CN"/>
              </w:rPr>
            </w:pPr>
            <w:r>
              <w:rPr>
                <w:rFonts w:hint="eastAsia"/>
                <w:lang w:val="en-US" w:eastAsia="zh-CN"/>
              </w:rPr>
              <w:t xml:space="preserve">    </w:t>
            </w:r>
            <w:r>
              <w:rPr>
                <w:rFonts w:hint="eastAsia" w:cs="Times New Roman"/>
                <w:color w:val="FF0000"/>
                <w:sz w:val="24"/>
                <w:szCs w:val="24"/>
                <w:highlight w:val="green"/>
                <w:lang w:val="en-US" w:eastAsia="zh-CN"/>
              </w:rPr>
              <w:t>扩建</w:t>
            </w:r>
            <w:r>
              <w:rPr>
                <w:rFonts w:hint="eastAsia" w:cs="Times New Roman"/>
                <w:b w:val="0"/>
                <w:bCs w:val="0"/>
                <w:color w:val="FF0000"/>
                <w:sz w:val="24"/>
                <w:szCs w:val="24"/>
                <w:highlight w:val="green"/>
                <w:lang w:val="en-US" w:eastAsia="zh-CN"/>
              </w:rPr>
              <w:t>项目机加工、打磨工序产生的粉尘经集气罩收集后经1套“布袋除尘器”装置处理达标后经1根15m高的排气筒DA004排放。</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FF0000"/>
                <w:sz w:val="24"/>
                <w:szCs w:val="24"/>
                <w:lang w:val="en-US" w:eastAsia="zh-CN"/>
              </w:rPr>
            </w:pPr>
            <w:r>
              <w:rPr>
                <w:rFonts w:hint="eastAsia" w:cs="Times New Roman"/>
                <w:b/>
                <w:bCs/>
                <w:color w:val="FF0000"/>
                <w:sz w:val="24"/>
                <w:szCs w:val="24"/>
                <w:highlight w:val="none"/>
                <w:lang w:val="en-US" w:eastAsia="zh-CN"/>
              </w:rPr>
              <w:t>①收集装置：</w:t>
            </w:r>
            <w:r>
              <w:rPr>
                <w:rFonts w:hint="eastAsia" w:cs="Times New Roman"/>
                <w:color w:val="FF0000"/>
                <w:sz w:val="24"/>
                <w:szCs w:val="24"/>
                <w:highlight w:val="none"/>
                <w:lang w:val="en-US" w:eastAsia="zh-CN"/>
              </w:rPr>
              <w:t>拟在车床、磨床和手动磨床上方安装集气罩，</w:t>
            </w:r>
            <w:r>
              <w:rPr>
                <w:rFonts w:hint="eastAsia"/>
                <w:color w:val="FF0000"/>
                <w:sz w:val="24"/>
                <w:lang w:val="en-US" w:eastAsia="zh-CN"/>
              </w:rPr>
              <w:t>集气罩三侧铁皮围挡，</w:t>
            </w:r>
            <w:r>
              <w:rPr>
                <w:rFonts w:hint="eastAsia" w:ascii="Times New Roman" w:hAnsi="Times New Roman" w:cs="Times New Roman"/>
                <w:b w:val="0"/>
                <w:bCs/>
                <w:color w:val="FF0000"/>
                <w:sz w:val="24"/>
                <w:szCs w:val="24"/>
                <w:lang w:val="en-US" w:eastAsia="zh-CN"/>
              </w:rPr>
              <w:t>仅保留1个操作工位面</w:t>
            </w:r>
            <w:r>
              <w:rPr>
                <w:rFonts w:hint="eastAsia" w:cs="Times New Roman"/>
                <w:b w:val="0"/>
                <w:bCs/>
                <w:color w:val="FF0000"/>
                <w:sz w:val="24"/>
                <w:szCs w:val="24"/>
                <w:lang w:val="en-US" w:eastAsia="zh-CN"/>
              </w:rPr>
              <w:t>。</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FF0000"/>
                <w:sz w:val="24"/>
                <w:szCs w:val="24"/>
                <w:lang w:val="en-US" w:eastAsia="zh-CN"/>
              </w:rPr>
            </w:pPr>
            <w:r>
              <w:rPr>
                <w:rFonts w:hint="eastAsia" w:ascii="Times New Roman" w:hAnsi="Times New Roman" w:cs="Times New Roman"/>
                <w:b/>
                <w:bCs w:val="0"/>
                <w:color w:val="FF0000"/>
                <w:sz w:val="24"/>
                <w:szCs w:val="24"/>
                <w:lang w:val="en-US" w:eastAsia="zh-CN"/>
              </w:rPr>
              <w:t>②收集效率：</w:t>
            </w:r>
            <w:r>
              <w:rPr>
                <w:rFonts w:hint="eastAsia"/>
                <w:color w:val="FF0000"/>
                <w:sz w:val="24"/>
                <w:lang w:val="en-US" w:eastAsia="zh-CN"/>
              </w:rPr>
              <w:t>参照</w:t>
            </w:r>
            <w:r>
              <w:rPr>
                <w:rFonts w:hint="eastAsia" w:ascii="宋体" w:hAnsi="宋体" w:cs="宋体"/>
                <w:b w:val="0"/>
                <w:bCs/>
                <w:color w:val="FF0000"/>
                <w:sz w:val="24"/>
                <w:szCs w:val="24"/>
                <w:lang w:val="en-US" w:eastAsia="zh-CN"/>
              </w:rPr>
              <w:t>《广东省工业源挥发性有机物减排量核算方法（试行）</w:t>
            </w:r>
            <w:r>
              <w:rPr>
                <w:rFonts w:hint="default" w:ascii="Times New Roman" w:hAnsi="Times New Roman" w:cs="Times New Roman"/>
                <w:b w:val="0"/>
                <w:bCs/>
                <w:color w:val="FF0000"/>
                <w:sz w:val="24"/>
                <w:szCs w:val="24"/>
                <w:lang w:val="en-US" w:eastAsia="zh-CN"/>
              </w:rPr>
              <w:t>》中表</w:t>
            </w:r>
            <w:r>
              <w:rPr>
                <w:rFonts w:hint="eastAsia" w:ascii="Times New Roman" w:hAnsi="Times New Roman" w:cs="Times New Roman"/>
                <w:b w:val="0"/>
                <w:bCs/>
                <w:color w:val="FF0000"/>
                <w:sz w:val="24"/>
                <w:szCs w:val="24"/>
                <w:lang w:val="en-US" w:eastAsia="zh-CN"/>
              </w:rPr>
              <w:t>4.5-1，污染物产生点四周及上下有围挡设施，仅保留1个操作工位面，敞开面控制风速不小于0.5m/s的，集气效率取值80%，本项目取80%。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2" w:firstLineChars="200"/>
              <w:textAlignment w:val="auto"/>
              <w:rPr>
                <w:b w:val="0"/>
                <w:bCs w:val="0"/>
                <w:color w:val="FF0000"/>
                <w:kern w:val="0"/>
                <w:szCs w:val="21"/>
              </w:rPr>
            </w:pPr>
            <w:r>
              <w:rPr>
                <w:rFonts w:hint="eastAsia" w:ascii="Times New Roman" w:hAnsi="Times New Roman" w:cs="Times New Roman"/>
                <w:b/>
                <w:bCs w:val="0"/>
                <w:color w:val="FF0000"/>
                <w:sz w:val="24"/>
                <w:szCs w:val="24"/>
                <w:lang w:val="en-US" w:eastAsia="zh-CN"/>
              </w:rPr>
              <w:t>③风量设计：</w:t>
            </w:r>
            <w:r>
              <w:rPr>
                <w:b w:val="0"/>
                <w:bCs w:val="0"/>
                <w:color w:val="FF0000"/>
                <w:kern w:val="0"/>
                <w:szCs w:val="21"/>
              </w:rPr>
              <w:t>根据《环境工程设计手册》中的有关公式，项目按以下经验公式计算得出产污设备所需的风量L。</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eastAsia"/>
                <w:b w:val="0"/>
                <w:bCs w:val="0"/>
                <w:color w:val="FF0000"/>
                <w:szCs w:val="21"/>
              </w:rPr>
            </w:pPr>
            <w:r>
              <w:rPr>
                <w:rFonts w:hint="eastAsia"/>
                <w:b w:val="0"/>
                <w:bCs w:val="0"/>
                <w:color w:val="FF0000"/>
                <w:kern w:val="0"/>
                <w:szCs w:val="21"/>
              </w:rPr>
              <w:t>集气罩公式：</w:t>
            </w:r>
            <w:r>
              <w:rPr>
                <w:rFonts w:hint="eastAsia"/>
                <w:b w:val="0"/>
                <w:bCs w:val="0"/>
                <w:color w:val="FF0000"/>
                <w:szCs w:val="21"/>
              </w:rPr>
              <w:t>L=kPHVx×3600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FF0000"/>
                <w:szCs w:val="21"/>
              </w:rPr>
            </w:pPr>
            <w:r>
              <w:rPr>
                <w:rFonts w:hint="eastAsia"/>
                <w:b w:val="0"/>
                <w:bCs w:val="0"/>
                <w:color w:val="FF0000"/>
                <w:szCs w:val="21"/>
                <w:lang w:val="en-US" w:eastAsia="zh-CN"/>
              </w:rPr>
              <w:t>L</w:t>
            </w:r>
            <w:r>
              <w:rPr>
                <w:rFonts w:hint="eastAsia"/>
                <w:b w:val="0"/>
                <w:bCs w:val="0"/>
                <w:color w:val="FF0000"/>
                <w:szCs w:val="21"/>
              </w:rPr>
              <w:t>-集气罩风量，m</w:t>
            </w:r>
            <w:r>
              <w:rPr>
                <w:rFonts w:hint="eastAsia"/>
                <w:b w:val="0"/>
                <w:bCs w:val="0"/>
                <w:color w:val="FF0000"/>
                <w:szCs w:val="21"/>
                <w:vertAlign w:val="superscript"/>
              </w:rPr>
              <w:t>3</w:t>
            </w:r>
            <w:r>
              <w:rPr>
                <w:rFonts w:hint="eastAsia"/>
                <w:b w:val="0"/>
                <w:bCs w:val="0"/>
                <w:color w:val="FF0000"/>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FF0000"/>
                <w:szCs w:val="21"/>
              </w:rPr>
            </w:pPr>
            <w:r>
              <w:rPr>
                <w:rFonts w:hint="eastAsia"/>
                <w:b w:val="0"/>
                <w:bCs w:val="0"/>
                <w:color w:val="FF0000"/>
                <w:szCs w:val="21"/>
              </w:rPr>
              <w:t>P--集气罩口敞开面的周长，m；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FF0000"/>
                <w:szCs w:val="21"/>
              </w:rPr>
            </w:pPr>
            <w:r>
              <w:rPr>
                <w:rFonts w:hint="eastAsia"/>
                <w:b w:val="0"/>
                <w:bCs w:val="0"/>
                <w:color w:val="FF0000"/>
                <w:szCs w:val="21"/>
              </w:rPr>
              <w:t>H--罩口至污染源距离，m；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FF0000"/>
                <w:szCs w:val="21"/>
              </w:rPr>
            </w:pPr>
            <w:r>
              <w:rPr>
                <w:rFonts w:hint="eastAsia"/>
                <w:b w:val="0"/>
                <w:bCs w:val="0"/>
                <w:color w:val="FF0000"/>
                <w:szCs w:val="21"/>
              </w:rPr>
              <w:t>Vx--污染源边缘控制风速，m/s；</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FF0000"/>
                <w:sz w:val="24"/>
                <w:lang w:val="en-US" w:eastAsia="zh-CN"/>
              </w:rPr>
            </w:pPr>
            <w:r>
              <w:rPr>
                <w:rFonts w:hint="eastAsia"/>
                <w:b w:val="0"/>
                <w:bCs w:val="0"/>
                <w:color w:val="FF0000"/>
                <w:szCs w:val="21"/>
              </w:rPr>
              <w:t>k--安全系数，一般取1.4</w:t>
            </w:r>
            <w:r>
              <w:rPr>
                <w:rFonts w:hint="eastAsia"/>
                <w:b w:val="0"/>
                <w:bCs w:val="0"/>
                <w:color w:val="FF0000"/>
                <w:szCs w:val="21"/>
                <w:lang w:eastAsia="zh-CN"/>
              </w:rPr>
              <w:t>。</w:t>
            </w:r>
          </w:p>
          <w:p>
            <w:pPr>
              <w:pStyle w:val="44"/>
              <w:numPr>
                <w:ilvl w:val="0"/>
                <w:numId w:val="9"/>
              </w:numPr>
              <w:shd w:val="clear" w:color="auto" w:fill="auto"/>
              <w:tabs>
                <w:tab w:val="clear" w:pos="0"/>
              </w:tabs>
              <w:bidi w:val="0"/>
              <w:ind w:left="0" w:leftChars="0" w:firstLine="403" w:firstLineChars="0"/>
              <w:rPr>
                <w:rFonts w:hint="default"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混料及破碎工序收集系统风量计算一览表</w:t>
            </w:r>
          </w:p>
          <w:tbl>
            <w:tblPr>
              <w:tblStyle w:val="30"/>
              <w:tblpPr w:leftFromText="180" w:rightFromText="180" w:vertAnchor="text" w:tblpXSpec="left" w:tblpY="1"/>
              <w:tblOverlap w:val="never"/>
              <w:tblW w:w="9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62"/>
              <w:gridCol w:w="980"/>
              <w:gridCol w:w="915"/>
              <w:gridCol w:w="1200"/>
              <w:gridCol w:w="1230"/>
              <w:gridCol w:w="1320"/>
              <w:gridCol w:w="1327"/>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FF0000"/>
                      <w:sz w:val="21"/>
                      <w:szCs w:val="21"/>
                      <w:lang w:val="en-US" w:eastAsia="zh-CN"/>
                    </w:rPr>
                  </w:pPr>
                  <w:r>
                    <w:rPr>
                      <w:rFonts w:hint="eastAsia" w:ascii="Times New Roman" w:hAnsi="Times New Roman" w:eastAsia="宋体" w:cs="Times New Roman"/>
                      <w:b/>
                      <w:bCs/>
                      <w:color w:val="FF0000"/>
                      <w:sz w:val="21"/>
                      <w:szCs w:val="21"/>
                      <w:lang w:val="en-US" w:eastAsia="zh-CN"/>
                    </w:rPr>
                    <w:t>设备名称</w:t>
                  </w:r>
                </w:p>
              </w:tc>
              <w:tc>
                <w:tcPr>
                  <w:tcW w:w="98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FF0000"/>
                      <w:kern w:val="2"/>
                      <w:sz w:val="21"/>
                      <w:szCs w:val="21"/>
                      <w:lang w:val="en-US" w:eastAsia="zh-CN" w:bidi="ar-SA"/>
                    </w:rPr>
                  </w:pPr>
                  <w:r>
                    <w:rPr>
                      <w:rFonts w:hint="eastAsia" w:ascii="Times New Roman" w:hAnsi="Times New Roman" w:eastAsia="宋体" w:cs="Times New Roman"/>
                      <w:b/>
                      <w:bCs/>
                      <w:color w:val="FF0000"/>
                      <w:sz w:val="21"/>
                      <w:szCs w:val="21"/>
                      <w:lang w:val="en-US" w:eastAsia="zh-CN"/>
                    </w:rPr>
                    <w:t>集气罩长度</w:t>
                  </w:r>
                  <w:r>
                    <w:rPr>
                      <w:rFonts w:hint="eastAsia" w:cs="Times New Roman"/>
                      <w:b/>
                      <w:bCs/>
                      <w:color w:val="FF0000"/>
                      <w:sz w:val="21"/>
                      <w:szCs w:val="21"/>
                      <w:lang w:val="en-US" w:eastAsia="zh-CN"/>
                    </w:rPr>
                    <w:t>（m）</w:t>
                  </w:r>
                </w:p>
              </w:tc>
              <w:tc>
                <w:tcPr>
                  <w:tcW w:w="91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FF0000"/>
                      <w:kern w:val="2"/>
                      <w:sz w:val="21"/>
                      <w:szCs w:val="21"/>
                      <w:lang w:val="en-US" w:eastAsia="zh-CN" w:bidi="ar-SA"/>
                    </w:rPr>
                  </w:pPr>
                  <w:r>
                    <w:rPr>
                      <w:rFonts w:hint="eastAsia" w:ascii="Times New Roman" w:hAnsi="Times New Roman" w:eastAsia="宋体" w:cs="Times New Roman"/>
                      <w:b/>
                      <w:bCs/>
                      <w:color w:val="FF0000"/>
                      <w:sz w:val="21"/>
                      <w:szCs w:val="21"/>
                      <w:lang w:val="en-US" w:eastAsia="zh-CN"/>
                    </w:rPr>
                    <w:t>集气罩宽度</w:t>
                  </w:r>
                  <w:r>
                    <w:rPr>
                      <w:rFonts w:hint="eastAsia" w:cs="Times New Roman"/>
                      <w:b/>
                      <w:bCs/>
                      <w:color w:val="FF0000"/>
                      <w:sz w:val="21"/>
                      <w:szCs w:val="21"/>
                      <w:lang w:val="en-US" w:eastAsia="zh-CN"/>
                    </w:rPr>
                    <w:t>（m）</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FF0000"/>
                      <w:sz w:val="21"/>
                      <w:szCs w:val="21"/>
                      <w:lang w:val="en-US" w:eastAsia="zh-CN"/>
                    </w:rPr>
                  </w:pPr>
                  <w:r>
                    <w:rPr>
                      <w:rFonts w:hint="eastAsia" w:ascii="Times New Roman" w:hAnsi="Times New Roman" w:eastAsia="宋体" w:cs="Times New Roman"/>
                      <w:b/>
                      <w:bCs/>
                      <w:color w:val="FF0000"/>
                      <w:sz w:val="21"/>
                      <w:szCs w:val="21"/>
                      <w:lang w:val="en-US" w:eastAsia="zh-CN"/>
                    </w:rPr>
                    <w:t>集气罩周长P</w:t>
                  </w:r>
                  <w:r>
                    <w:rPr>
                      <w:rFonts w:hint="eastAsia" w:cs="Times New Roman"/>
                      <w:b/>
                      <w:bCs/>
                      <w:color w:val="FF0000"/>
                      <w:sz w:val="21"/>
                      <w:szCs w:val="21"/>
                      <w:lang w:val="en-US" w:eastAsia="zh-CN"/>
                    </w:rPr>
                    <w:t>（m）</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FF0000"/>
                      <w:sz w:val="21"/>
                      <w:szCs w:val="21"/>
                      <w:lang w:val="en-US" w:eastAsia="zh-CN"/>
                    </w:rPr>
                  </w:pPr>
                  <w:r>
                    <w:rPr>
                      <w:rFonts w:hint="eastAsia"/>
                      <w:b/>
                      <w:bCs/>
                      <w:color w:val="FF0000"/>
                      <w:sz w:val="21"/>
                      <w:szCs w:val="21"/>
                    </w:rPr>
                    <w:t>罩口至污染源距离</w:t>
                  </w:r>
                  <w:r>
                    <w:rPr>
                      <w:rFonts w:hint="eastAsia"/>
                      <w:b/>
                      <w:bCs/>
                      <w:color w:val="FF0000"/>
                      <w:sz w:val="21"/>
                      <w:szCs w:val="21"/>
                      <w:lang w:val="en-US" w:eastAsia="zh-CN"/>
                    </w:rPr>
                    <w:t>H</w:t>
                  </w:r>
                  <w:r>
                    <w:rPr>
                      <w:rFonts w:hint="eastAsia" w:cs="Times New Roman"/>
                      <w:b/>
                      <w:bCs/>
                      <w:color w:val="FF0000"/>
                      <w:sz w:val="21"/>
                      <w:szCs w:val="21"/>
                      <w:lang w:val="en-US" w:eastAsia="zh-CN"/>
                    </w:rPr>
                    <w:t>（m）</w:t>
                  </w:r>
                </w:p>
              </w:tc>
              <w:tc>
                <w:tcPr>
                  <w:tcW w:w="132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FF0000"/>
                      <w:sz w:val="21"/>
                      <w:szCs w:val="21"/>
                      <w:lang w:val="en-US" w:eastAsia="zh-CN"/>
                    </w:rPr>
                  </w:pPr>
                  <w:r>
                    <w:rPr>
                      <w:rFonts w:hint="eastAsia"/>
                      <w:b/>
                      <w:bCs/>
                      <w:color w:val="FF0000"/>
                      <w:sz w:val="21"/>
                      <w:szCs w:val="21"/>
                    </w:rPr>
                    <w:t>污染源边缘控制风速</w:t>
                  </w:r>
                  <w:r>
                    <w:rPr>
                      <w:rFonts w:hint="eastAsia"/>
                      <w:b/>
                      <w:bCs/>
                      <w:color w:val="FF0000"/>
                      <w:sz w:val="21"/>
                      <w:szCs w:val="21"/>
                      <w:lang w:eastAsia="zh-CN"/>
                    </w:rPr>
                    <w:t>（</w:t>
                  </w:r>
                  <w:r>
                    <w:rPr>
                      <w:rFonts w:hint="eastAsia"/>
                      <w:b/>
                      <w:bCs/>
                      <w:color w:val="FF0000"/>
                      <w:sz w:val="21"/>
                      <w:szCs w:val="21"/>
                    </w:rPr>
                    <w:t>m/s</w:t>
                  </w:r>
                  <w:r>
                    <w:rPr>
                      <w:rFonts w:hint="eastAsia"/>
                      <w:b/>
                      <w:bCs/>
                      <w:color w:val="FF0000"/>
                      <w:sz w:val="21"/>
                      <w:szCs w:val="21"/>
                      <w:lang w:eastAsia="zh-CN"/>
                    </w:rPr>
                    <w:t>）</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FF0000"/>
                      <w:sz w:val="21"/>
                      <w:szCs w:val="21"/>
                      <w:lang w:val="en-US" w:eastAsia="zh-CN"/>
                    </w:rPr>
                  </w:pPr>
                  <w:r>
                    <w:rPr>
                      <w:rFonts w:hint="eastAsia" w:ascii="Times New Roman" w:hAnsi="Times New Roman" w:eastAsia="宋体" w:cs="Times New Roman"/>
                      <w:b/>
                      <w:bCs/>
                      <w:color w:val="FF0000"/>
                      <w:sz w:val="21"/>
                      <w:szCs w:val="21"/>
                      <w:lang w:val="en-US" w:eastAsia="zh-CN"/>
                    </w:rPr>
                    <w:t>集气罩个数</w:t>
                  </w:r>
                  <w:r>
                    <w:rPr>
                      <w:rFonts w:hint="eastAsia" w:cs="Times New Roman"/>
                      <w:b/>
                      <w:bCs/>
                      <w:color w:val="FF0000"/>
                      <w:sz w:val="21"/>
                      <w:szCs w:val="21"/>
                      <w:lang w:val="en-US" w:eastAsia="zh-CN"/>
                    </w:rPr>
                    <w:t>（个）</w:t>
                  </w:r>
                </w:p>
              </w:tc>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b/>
                      <w:bCs/>
                      <w:color w:val="FF0000"/>
                      <w:sz w:val="21"/>
                      <w:szCs w:val="21"/>
                      <w:lang w:val="en-US" w:eastAsia="zh-CN"/>
                    </w:rPr>
                  </w:pPr>
                  <w:r>
                    <w:rPr>
                      <w:rFonts w:hint="eastAsia"/>
                      <w:b/>
                      <w:bCs/>
                      <w:color w:val="FF0000"/>
                      <w:sz w:val="21"/>
                      <w:szCs w:val="21"/>
                      <w:lang w:val="en-US" w:eastAsia="zh-CN"/>
                    </w:rPr>
                    <w:t>风量（</w:t>
                  </w:r>
                  <w:r>
                    <w:rPr>
                      <w:b/>
                      <w:bCs/>
                      <w:color w:val="FF0000"/>
                      <w:kern w:val="0"/>
                      <w:sz w:val="21"/>
                      <w:szCs w:val="21"/>
                      <w:lang w:eastAsia="zh-TW"/>
                    </w:rPr>
                    <w:t>m</w:t>
                  </w:r>
                  <w:r>
                    <w:rPr>
                      <w:b/>
                      <w:bCs/>
                      <w:color w:val="FF0000"/>
                      <w:kern w:val="0"/>
                      <w:sz w:val="21"/>
                      <w:szCs w:val="21"/>
                      <w:vertAlign w:val="superscript"/>
                      <w:lang w:eastAsia="zh-TW"/>
                    </w:rPr>
                    <w:t>3</w:t>
                  </w:r>
                  <w:r>
                    <w:rPr>
                      <w:b/>
                      <w:bCs/>
                      <w:color w:val="FF0000"/>
                      <w:kern w:val="0"/>
                      <w:sz w:val="21"/>
                      <w:szCs w:val="21"/>
                      <w:lang w:eastAsia="zh-TW"/>
                    </w:rPr>
                    <w:t>/h</w:t>
                  </w:r>
                  <w:r>
                    <w:rPr>
                      <w:rFonts w:hint="eastAsia"/>
                      <w:b/>
                      <w:bCs/>
                      <w:color w:val="FF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4" w:hRule="atLeast"/>
              </w:trPr>
              <w:tc>
                <w:tcPr>
                  <w:tcW w:w="116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车床</w:t>
                  </w:r>
                </w:p>
              </w:tc>
              <w:tc>
                <w:tcPr>
                  <w:tcW w:w="98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91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1.6</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0.3</w:t>
                  </w:r>
                </w:p>
              </w:tc>
              <w:tc>
                <w:tcPr>
                  <w:tcW w:w="132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0.5</w:t>
                  </w:r>
                </w:p>
              </w:tc>
              <w:tc>
                <w:tcPr>
                  <w:tcW w:w="132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w:t>
                  </w:r>
                </w:p>
              </w:tc>
              <w:tc>
                <w:tcPr>
                  <w:tcW w:w="116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1209.6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16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磨床</w:t>
                  </w:r>
                </w:p>
              </w:tc>
              <w:tc>
                <w:tcPr>
                  <w:tcW w:w="98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91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1.6</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0.3</w:t>
                  </w:r>
                </w:p>
              </w:tc>
              <w:tc>
                <w:tcPr>
                  <w:tcW w:w="132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0.5</w:t>
                  </w:r>
                </w:p>
              </w:tc>
              <w:tc>
                <w:tcPr>
                  <w:tcW w:w="132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2</w:t>
                  </w:r>
                </w:p>
              </w:tc>
              <w:tc>
                <w:tcPr>
                  <w:tcW w:w="116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2419.2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16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手动磨床</w:t>
                  </w:r>
                </w:p>
              </w:tc>
              <w:tc>
                <w:tcPr>
                  <w:tcW w:w="98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91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1.6</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0.3</w:t>
                  </w:r>
                </w:p>
              </w:tc>
              <w:tc>
                <w:tcPr>
                  <w:tcW w:w="132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0.5</w:t>
                  </w:r>
                </w:p>
              </w:tc>
              <w:tc>
                <w:tcPr>
                  <w:tcW w:w="132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2</w:t>
                  </w:r>
                </w:p>
              </w:tc>
              <w:tc>
                <w:tcPr>
                  <w:tcW w:w="116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2419.2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8134" w:type="dxa"/>
                  <w:gridSpan w:val="7"/>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合计</w:t>
                  </w:r>
                </w:p>
              </w:tc>
              <w:tc>
                <w:tcPr>
                  <w:tcW w:w="116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6048</w:t>
                  </w:r>
                </w:p>
              </w:tc>
            </w:tr>
          </w:tbl>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color w:val="FF0000"/>
                <w:sz w:val="24"/>
                <w:szCs w:val="24"/>
                <w:highlight w:val="none"/>
                <w:lang w:val="en-US" w:eastAsia="zh-CN"/>
              </w:rPr>
            </w:pPr>
            <w:r>
              <w:rPr>
                <w:rFonts w:hint="eastAsia"/>
                <w:color w:val="FF0000"/>
                <w:sz w:val="24"/>
                <w:lang w:val="en-US" w:eastAsia="zh-CN"/>
              </w:rPr>
              <w:t>因此，</w:t>
            </w:r>
            <w:r>
              <w:rPr>
                <w:rFonts w:hint="eastAsia" w:cs="Times New Roman"/>
                <w:b w:val="0"/>
                <w:bCs w:val="0"/>
                <w:color w:val="FF0000"/>
                <w:sz w:val="24"/>
                <w:szCs w:val="24"/>
                <w:highlight w:val="none"/>
                <w:lang w:val="en-US" w:eastAsia="zh-CN"/>
              </w:rPr>
              <w:t>机加工、打磨</w:t>
            </w:r>
            <w:r>
              <w:rPr>
                <w:rFonts w:hint="eastAsia"/>
                <w:color w:val="FF0000"/>
                <w:sz w:val="24"/>
                <w:lang w:val="en-US" w:eastAsia="zh-CN"/>
              </w:rPr>
              <w:t>工序所需风量为6048</w:t>
            </w:r>
            <w:r>
              <w:rPr>
                <w:rFonts w:hint="eastAsia"/>
                <w:color w:val="FF0000"/>
                <w:sz w:val="24"/>
                <w:szCs w:val="24"/>
                <w:vertAlign w:val="baseline"/>
                <w:lang w:val="en-US" w:eastAsia="zh-CN"/>
              </w:rPr>
              <w:t>m</w:t>
            </w:r>
            <w:r>
              <w:rPr>
                <w:rFonts w:hint="eastAsia"/>
                <w:color w:val="FF0000"/>
                <w:sz w:val="24"/>
                <w:szCs w:val="24"/>
                <w:vertAlign w:val="superscript"/>
                <w:lang w:val="en-US" w:eastAsia="zh-CN"/>
              </w:rPr>
              <w:t>3</w:t>
            </w:r>
            <w:r>
              <w:rPr>
                <w:rFonts w:hint="eastAsia"/>
                <w:color w:val="FF0000"/>
                <w:sz w:val="24"/>
                <w:szCs w:val="24"/>
                <w:vertAlign w:val="baseline"/>
                <w:lang w:val="en-US" w:eastAsia="zh-CN"/>
              </w:rPr>
              <w:t>/h，</w:t>
            </w:r>
            <w:r>
              <w:rPr>
                <w:rFonts w:hint="eastAsia"/>
                <w:color w:val="FF0000"/>
                <w:sz w:val="24"/>
                <w:highlight w:val="none"/>
              </w:rPr>
              <w:t>考虑到风管损失，</w:t>
            </w:r>
            <w:r>
              <w:rPr>
                <w:rFonts w:hint="eastAsia"/>
                <w:color w:val="FF0000"/>
                <w:sz w:val="24"/>
                <w:lang w:val="en-US" w:eastAsia="zh-CN"/>
              </w:rPr>
              <w:t>该部分所需风机风量为</w:t>
            </w:r>
            <w:r>
              <w:rPr>
                <w:rFonts w:hint="eastAsia"/>
                <w:color w:val="FF0000"/>
                <w:lang w:val="en-US" w:eastAsia="zh-CN"/>
              </w:rPr>
              <w:t>7000</w:t>
            </w:r>
            <w:r>
              <w:rPr>
                <w:rFonts w:hint="eastAsia"/>
                <w:color w:val="FF0000"/>
                <w:sz w:val="24"/>
                <w:szCs w:val="24"/>
                <w:vertAlign w:val="baseline"/>
                <w:lang w:val="en-US" w:eastAsia="zh-CN"/>
              </w:rPr>
              <w:t>m</w:t>
            </w:r>
            <w:r>
              <w:rPr>
                <w:rFonts w:hint="eastAsia"/>
                <w:color w:val="FF0000"/>
                <w:sz w:val="24"/>
                <w:szCs w:val="24"/>
                <w:vertAlign w:val="superscript"/>
                <w:lang w:val="en-US" w:eastAsia="zh-CN"/>
              </w:rPr>
              <w:t>3</w:t>
            </w:r>
            <w:r>
              <w:rPr>
                <w:rFonts w:hint="eastAsia"/>
                <w:color w:val="FF0000"/>
                <w:sz w:val="24"/>
                <w:szCs w:val="24"/>
                <w:vertAlign w:val="baseli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FF0000"/>
                <w:highlight w:val="none"/>
                <w:lang w:val="en-US" w:eastAsia="zh-CN"/>
              </w:rPr>
            </w:pPr>
            <w:r>
              <w:rPr>
                <w:rFonts w:hint="eastAsia"/>
                <w:b/>
                <w:bCs/>
                <w:color w:val="FF0000"/>
                <w:highlight w:val="none"/>
                <w:lang w:val="en-US" w:eastAsia="zh-CN"/>
              </w:rPr>
              <w:t>④处理效率</w:t>
            </w:r>
          </w:p>
          <w:p>
            <w:pPr>
              <w:spacing w:line="360" w:lineRule="auto"/>
              <w:ind w:firstLine="480" w:firstLineChars="200"/>
              <w:rPr>
                <w:rFonts w:hint="eastAsia" w:eastAsia="宋体"/>
                <w:color w:val="FF0000"/>
                <w:sz w:val="24"/>
                <w:lang w:eastAsia="zh-CN"/>
              </w:rPr>
            </w:pPr>
            <w:r>
              <w:rPr>
                <w:rFonts w:hint="eastAsia"/>
                <w:color w:val="FF0000"/>
                <w:sz w:val="24"/>
              </w:rPr>
              <w:t>根据《排放源统计调查产排污核算方法和系数手册》-《33-37，431-434机械行业系数手册》-预处理-打磨工艺-颗粒物-治理技术名称为袋式除尘器针末端处理效率为95%，因此本</w:t>
            </w:r>
            <w:r>
              <w:rPr>
                <w:rFonts w:hint="eastAsia"/>
                <w:color w:val="FF0000"/>
                <w:sz w:val="24"/>
                <w:lang w:val="en-US" w:eastAsia="zh-CN"/>
              </w:rPr>
              <w:t>项目</w:t>
            </w:r>
            <w:r>
              <w:rPr>
                <w:rFonts w:hint="eastAsia" w:cs="Times New Roman"/>
                <w:b w:val="0"/>
                <w:bCs w:val="0"/>
                <w:color w:val="FF0000"/>
                <w:sz w:val="24"/>
                <w:szCs w:val="24"/>
                <w:highlight w:val="none"/>
                <w:lang w:val="en-US" w:eastAsia="zh-CN"/>
              </w:rPr>
              <w:t>机加工、打磨</w:t>
            </w:r>
            <w:r>
              <w:rPr>
                <w:rFonts w:hint="eastAsia"/>
                <w:color w:val="FF0000"/>
                <w:sz w:val="24"/>
                <w:lang w:val="en-US" w:eastAsia="zh-CN"/>
              </w:rPr>
              <w:t>工序废气治理措施</w:t>
            </w:r>
            <w:r>
              <w:rPr>
                <w:rFonts w:hint="eastAsia"/>
                <w:color w:val="FF0000"/>
                <w:sz w:val="24"/>
              </w:rPr>
              <w:t>处理效率取95%</w:t>
            </w:r>
            <w:r>
              <w:rPr>
                <w:rFonts w:hint="eastAsia"/>
                <w:color w:val="FF0000"/>
                <w:sz w:val="24"/>
                <w:lang w:eastAsia="zh-CN"/>
              </w:rPr>
              <w:t>。</w:t>
            </w:r>
          </w:p>
          <w:p>
            <w:pPr>
              <w:adjustRightInd w:val="0"/>
              <w:snapToGrid w:val="0"/>
              <w:spacing w:line="360" w:lineRule="auto"/>
              <w:ind w:firstLine="482" w:firstLineChars="200"/>
              <w:rPr>
                <w:b/>
                <w:bCs/>
                <w:color w:val="FF0000"/>
                <w:kern w:val="0"/>
                <w:sz w:val="24"/>
                <w:highlight w:val="none"/>
              </w:rPr>
            </w:pPr>
            <w:r>
              <w:rPr>
                <w:rFonts w:hint="eastAsia"/>
                <w:b/>
                <w:bCs/>
                <w:color w:val="FF0000"/>
                <w:kern w:val="0"/>
                <w:sz w:val="24"/>
                <w:highlight w:val="none"/>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FF0000"/>
                <w:highlight w:val="yellow"/>
                <w:lang w:val="en-US" w:eastAsia="zh-CN"/>
              </w:rPr>
            </w:pPr>
            <w:r>
              <w:rPr>
                <w:rFonts w:hint="eastAsia"/>
                <w:color w:val="FF0000"/>
                <w:sz w:val="24"/>
              </w:rPr>
              <w:t>根据《排污许可证申请与核发技术规范 橡胶和塑料制品工业》（HJ1122—2020）表A.2可知，本项目废气采用的“</w:t>
            </w:r>
            <w:r>
              <w:rPr>
                <w:rFonts w:hint="eastAsia"/>
                <w:color w:val="FF0000"/>
                <w:sz w:val="24"/>
                <w:lang w:val="en-US" w:eastAsia="zh-CN"/>
              </w:rPr>
              <w:t>布袋除尘器</w:t>
            </w:r>
            <w:r>
              <w:rPr>
                <w:rFonts w:hint="eastAsia"/>
                <w:color w:val="FF0000"/>
                <w:sz w:val="24"/>
              </w:rPr>
              <w:t>”为可行技术</w:t>
            </w:r>
            <w:r>
              <w:rPr>
                <w:rFonts w:hint="eastAsia"/>
                <w:color w:val="FF0000"/>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（2）电火花、雕刻工序废气的收集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 w:val="0"/>
                <w:bCs w:val="0"/>
                <w:color w:val="auto"/>
                <w:highlight w:val="none"/>
                <w:lang w:val="en-US" w:eastAsia="zh-CN"/>
              </w:rPr>
            </w:pPr>
            <w:r>
              <w:rPr>
                <w:rFonts w:hint="eastAsia"/>
                <w:b w:val="0"/>
                <w:bCs w:val="0"/>
                <w:color w:val="auto"/>
                <w:highlight w:val="none"/>
                <w:lang w:val="en-US" w:eastAsia="zh-CN"/>
              </w:rPr>
              <w:t>本项目火花机、锣床、雕刻机产生的油雾收集后经设备自带的油雾净化器处理后无组织排放。</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cs="Times New Roman"/>
                <w:b/>
                <w:bCs/>
                <w:color w:val="auto"/>
                <w:sz w:val="24"/>
                <w:szCs w:val="24"/>
                <w:highlight w:val="none"/>
                <w:lang w:val="en-US" w:eastAsia="zh-CN"/>
              </w:rPr>
              <w:t>①收集装置：</w:t>
            </w:r>
            <w:r>
              <w:rPr>
                <w:rFonts w:hint="eastAsia" w:cs="Times New Roman"/>
                <w:color w:val="auto"/>
                <w:sz w:val="24"/>
                <w:szCs w:val="24"/>
                <w:highlight w:val="none"/>
                <w:lang w:val="en-US" w:eastAsia="zh-CN"/>
              </w:rPr>
              <w:t>拟在火花机、锣床、雕刻机操作工位上方安装集气管</w:t>
            </w:r>
            <w:r>
              <w:rPr>
                <w:rFonts w:hint="eastAsia" w:cs="Times New Roman"/>
                <w:b w:val="0"/>
                <w:bCs/>
                <w:color w:val="auto"/>
                <w:sz w:val="24"/>
                <w:szCs w:val="24"/>
                <w:lang w:val="en-US" w:eastAsia="zh-CN"/>
              </w:rPr>
              <w:t>。</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r>
              <w:rPr>
                <w:rFonts w:hint="eastAsia"/>
                <w:color w:val="auto"/>
                <w:sz w:val="24"/>
                <w:lang w:val="en-US" w:eastAsia="zh-CN"/>
              </w:rPr>
              <w:t>参照</w:t>
            </w:r>
            <w:r>
              <w:rPr>
                <w:rFonts w:hint="eastAsia" w:ascii="宋体" w:hAnsi="宋体" w:cs="宋体"/>
                <w:b w:val="0"/>
                <w:bCs/>
                <w:color w:val="auto"/>
                <w:sz w:val="24"/>
                <w:szCs w:val="24"/>
                <w:lang w:val="en-US" w:eastAsia="zh-CN"/>
              </w:rPr>
              <w:t>《广东省工业源挥发性有机物减排量核算方法（试行）</w:t>
            </w:r>
            <w:r>
              <w:rPr>
                <w:rFonts w:hint="default" w:ascii="Times New Roman" w:hAnsi="Times New Roman" w:cs="Times New Roman"/>
                <w:b w:val="0"/>
                <w:bCs/>
                <w:color w:val="auto"/>
                <w:sz w:val="24"/>
                <w:szCs w:val="24"/>
                <w:lang w:val="en-US" w:eastAsia="zh-CN"/>
              </w:rPr>
              <w:t>》中表</w:t>
            </w:r>
            <w:r>
              <w:rPr>
                <w:rFonts w:hint="eastAsia" w:ascii="Times New Roman" w:hAnsi="Times New Roman" w:cs="Times New Roman"/>
                <w:b w:val="0"/>
                <w:bCs/>
                <w:color w:val="auto"/>
                <w:sz w:val="24"/>
                <w:szCs w:val="24"/>
                <w:lang w:val="en-US" w:eastAsia="zh-CN"/>
              </w:rPr>
              <w:t>4.5-1，仅保留1个操作工位面</w:t>
            </w:r>
            <w:r>
              <w:rPr>
                <w:rFonts w:hint="eastAsia" w:cs="Times New Roman"/>
                <w:b w:val="0"/>
                <w:bCs/>
                <w:color w:val="auto"/>
                <w:sz w:val="24"/>
                <w:szCs w:val="24"/>
                <w:lang w:val="en-US" w:eastAsia="zh-CN"/>
              </w:rPr>
              <w:t>，</w:t>
            </w:r>
            <w:r>
              <w:rPr>
                <w:rFonts w:hint="eastAsia" w:ascii="Times New Roman" w:hAnsi="Times New Roman" w:cs="Times New Roman"/>
                <w:b w:val="0"/>
                <w:bCs/>
                <w:color w:val="auto"/>
                <w:sz w:val="24"/>
                <w:szCs w:val="24"/>
                <w:lang w:val="en-US" w:eastAsia="zh-CN"/>
              </w:rPr>
              <w:t>仅保留物料进出通道，通道敞开面小于1个操作工位面，敞开面控制风速在0.3~0.5m/s之间，集气效率取值60%。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2" w:firstLineChars="200"/>
              <w:textAlignment w:val="auto"/>
              <w:rPr>
                <w:rFonts w:hint="eastAsia" w:eastAsia="宋体"/>
                <w:b w:val="0"/>
                <w:bCs w:val="0"/>
                <w:color w:val="auto"/>
                <w:kern w:val="0"/>
                <w:szCs w:val="21"/>
                <w:lang w:eastAsia="zh-CN"/>
              </w:rPr>
            </w:pPr>
            <w:r>
              <w:rPr>
                <w:rFonts w:hint="eastAsia" w:ascii="Times New Roman" w:hAnsi="Times New Roman" w:cs="Times New Roman"/>
                <w:b/>
                <w:bCs w:val="0"/>
                <w:color w:val="auto"/>
                <w:sz w:val="24"/>
                <w:szCs w:val="24"/>
                <w:lang w:val="en-US" w:eastAsia="zh-CN"/>
              </w:rPr>
              <w:t>③风量设计：</w:t>
            </w:r>
            <w:r>
              <w:rPr>
                <w:b w:val="0"/>
                <w:bCs w:val="0"/>
                <w:color w:val="auto"/>
                <w:kern w:val="0"/>
                <w:szCs w:val="21"/>
              </w:rPr>
              <w:t>根据《</w:t>
            </w:r>
            <w:r>
              <w:rPr>
                <w:rFonts w:hint="eastAsia"/>
                <w:b w:val="0"/>
                <w:bCs w:val="0"/>
                <w:color w:val="auto"/>
                <w:kern w:val="0"/>
                <w:szCs w:val="21"/>
                <w:lang w:val="en-US" w:eastAsia="zh-CN"/>
              </w:rPr>
              <w:t>三废工程技术手册 废气卷</w:t>
            </w:r>
            <w:r>
              <w:rPr>
                <w:b w:val="0"/>
                <w:bCs w:val="0"/>
                <w:color w:val="auto"/>
                <w:kern w:val="0"/>
                <w:szCs w:val="21"/>
              </w:rPr>
              <w:t>》中的有关公式，项目按以下经验公式计算得出产污设备所需的风量</w:t>
            </w:r>
            <w:r>
              <w:rPr>
                <w:rFonts w:hint="eastAsia"/>
                <w:b w:val="0"/>
                <w:bCs w:val="0"/>
                <w:color w:val="auto"/>
                <w:kern w:val="0"/>
                <w:szCs w:val="21"/>
                <w:lang w:val="en-US" w:eastAsia="zh-CN"/>
              </w:rPr>
              <w:t>Q：</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default" w:eastAsia="宋体"/>
                <w:b w:val="0"/>
                <w:bCs w:val="0"/>
                <w:color w:val="auto"/>
                <w:szCs w:val="21"/>
                <w:lang w:val="en-US" w:eastAsia="zh-CN"/>
              </w:rPr>
            </w:pPr>
            <w:r>
              <w:rPr>
                <w:rFonts w:hint="eastAsia"/>
                <w:b w:val="0"/>
                <w:bCs w:val="0"/>
                <w:color w:val="auto"/>
                <w:szCs w:val="21"/>
                <w:lang w:val="en-US" w:eastAsia="zh-CN"/>
              </w:rPr>
              <w:t>Q</w:t>
            </w:r>
            <w:r>
              <w:rPr>
                <w:rFonts w:hint="eastAsia"/>
                <w:b w:val="0"/>
                <w:bCs w:val="0"/>
                <w:color w:val="auto"/>
                <w:szCs w:val="21"/>
              </w:rPr>
              <w:t>=</w:t>
            </w:r>
            <w:r>
              <w:rPr>
                <w:rFonts w:hint="eastAsia"/>
                <w:b w:val="0"/>
                <w:bCs w:val="0"/>
                <w:color w:val="auto"/>
                <w:szCs w:val="21"/>
                <w:lang w:val="en-US" w:eastAsia="zh-CN"/>
              </w:rPr>
              <w:t>3600</w:t>
            </w:r>
            <w:r>
              <w:rPr>
                <w:rFonts w:hint="eastAsia"/>
                <w:b w:val="0"/>
                <w:bCs w:val="0"/>
                <w:color w:val="auto"/>
                <w:szCs w:val="21"/>
                <w:lang w:eastAsia="zh-CN"/>
              </w:rPr>
              <w:t>（</w:t>
            </w:r>
            <w:r>
              <w:rPr>
                <w:rFonts w:hint="eastAsia"/>
                <w:b w:val="0"/>
                <w:bCs w:val="0"/>
                <w:color w:val="auto"/>
                <w:szCs w:val="21"/>
                <w:lang w:val="en-US" w:eastAsia="zh-CN"/>
              </w:rPr>
              <w:t>10x</w:t>
            </w:r>
            <w:r>
              <w:rPr>
                <w:rFonts w:hint="eastAsia"/>
                <w:b w:val="0"/>
                <w:bCs w:val="0"/>
                <w:color w:val="auto"/>
                <w:szCs w:val="21"/>
                <w:vertAlign w:val="superscript"/>
                <w:lang w:val="en-US" w:eastAsia="zh-CN"/>
              </w:rPr>
              <w:t>2</w:t>
            </w:r>
            <w:r>
              <w:rPr>
                <w:rFonts w:hint="eastAsia"/>
                <w:b w:val="0"/>
                <w:bCs w:val="0"/>
                <w:color w:val="auto"/>
                <w:szCs w:val="21"/>
                <w:lang w:val="en-US" w:eastAsia="zh-CN"/>
              </w:rPr>
              <w:t>+F</w:t>
            </w:r>
            <w:r>
              <w:rPr>
                <w:rFonts w:hint="eastAsia"/>
                <w:b w:val="0"/>
                <w:bCs w:val="0"/>
                <w:color w:val="auto"/>
                <w:szCs w:val="21"/>
                <w:lang w:eastAsia="zh-CN"/>
              </w:rPr>
              <w:t>）</w:t>
            </w:r>
            <w:r>
              <w:rPr>
                <w:rFonts w:hint="eastAsia"/>
                <w:b w:val="0"/>
                <w:bCs w:val="0"/>
                <w:color w:val="auto"/>
                <w:szCs w:val="21"/>
                <w:lang w:val="en-US" w:eastAsia="zh-CN"/>
              </w:rPr>
              <w:t>Vx</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Q</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default" w:ascii="Times New Roman" w:hAnsi="Times New Roman" w:eastAsia="宋体" w:cs="Times New Roman"/>
                <w:b w:val="0"/>
                <w:bCs w:val="0"/>
                <w:color w:val="auto"/>
                <w:szCs w:val="21"/>
                <w:lang w:val="en-US" w:eastAsia="zh-CN"/>
              </w:rPr>
            </w:pPr>
            <w:r>
              <w:rPr>
                <w:rFonts w:hint="eastAsia"/>
                <w:b w:val="0"/>
                <w:bCs w:val="0"/>
                <w:color w:val="auto"/>
                <w:szCs w:val="21"/>
                <w:lang w:val="en-US" w:eastAsia="zh-CN"/>
              </w:rPr>
              <w:t>F</w:t>
            </w:r>
            <w:r>
              <w:rPr>
                <w:rFonts w:hint="eastAsia"/>
                <w:b w:val="0"/>
                <w:bCs w:val="0"/>
                <w:color w:val="auto"/>
                <w:szCs w:val="21"/>
              </w:rPr>
              <w:t>--</w:t>
            </w:r>
            <w:r>
              <w:rPr>
                <w:rFonts w:hint="eastAsia"/>
                <w:b w:val="0"/>
                <w:bCs w:val="0"/>
                <w:color w:val="auto"/>
                <w:szCs w:val="21"/>
                <w:lang w:val="en-US" w:eastAsia="zh-CN"/>
              </w:rPr>
              <w:t>罩口面积</w:t>
            </w:r>
            <w:r>
              <w:rPr>
                <w:rFonts w:hint="eastAsia"/>
                <w:b w:val="0"/>
                <w:bCs w:val="0"/>
                <w:color w:val="auto"/>
                <w:szCs w:val="21"/>
              </w:rPr>
              <w:t>，m</w:t>
            </w:r>
            <w:r>
              <w:rPr>
                <w:rFonts w:hint="eastAsia"/>
                <w:b w:val="0"/>
                <w:bCs w:val="0"/>
                <w:color w:val="auto"/>
                <w:szCs w:val="21"/>
                <w:vertAlign w:val="superscript"/>
                <w:lang w:val="en-US" w:eastAsia="zh-CN"/>
              </w:rPr>
              <w:t>2</w:t>
            </w:r>
            <w:r>
              <w:rPr>
                <w:rFonts w:hint="eastAsia"/>
                <w:b w:val="0"/>
                <w:bCs w:val="0"/>
                <w:color w:val="auto"/>
                <w:szCs w:val="21"/>
                <w:lang w:eastAsia="zh-CN"/>
              </w:rPr>
              <w:t>，</w:t>
            </w:r>
            <w:r>
              <w:rPr>
                <w:rFonts w:hint="eastAsia"/>
                <w:b w:val="0"/>
                <w:bCs w:val="0"/>
                <w:color w:val="auto"/>
                <w:szCs w:val="21"/>
                <w:lang w:val="en-US" w:eastAsia="zh-CN"/>
              </w:rPr>
              <w:t>F=Bh</w:t>
            </w:r>
            <w:r>
              <w:rPr>
                <w:rFonts w:hint="default" w:ascii="Times New Roman" w:hAnsi="Times New Roman" w:cs="Times New Roman"/>
                <w:b w:val="0"/>
                <w:bCs w:val="0"/>
                <w:color w:val="auto"/>
                <w:szCs w:val="21"/>
                <w:lang w:val="en-US" w:eastAsia="zh-CN"/>
              </w:rPr>
              <w:t>或F=π</w:t>
            </w:r>
            <w:r>
              <w:rPr>
                <w:rFonts w:hint="eastAsia" w:ascii="Times New Roman" w:hAnsi="Times New Roman" w:cs="Times New Roman"/>
                <w:b w:val="0"/>
                <w:bCs w:val="0"/>
                <w:color w:val="auto"/>
                <w:szCs w:val="21"/>
                <w:lang w:val="en-US" w:eastAsia="zh-CN"/>
              </w:rPr>
              <w:t>d</w:t>
            </w:r>
            <w:r>
              <w:rPr>
                <w:rFonts w:hint="eastAsia" w:ascii="Times New Roman" w:hAnsi="Times New Roman" w:cs="Times New Roman"/>
                <w:b w:val="0"/>
                <w:bCs w:val="0"/>
                <w:color w:val="auto"/>
                <w:szCs w:val="21"/>
                <w:vertAlign w:val="superscript"/>
                <w:lang w:val="en-US" w:eastAsia="zh-CN"/>
              </w:rPr>
              <w:t>2</w:t>
            </w:r>
            <w:r>
              <w:rPr>
                <w:rFonts w:hint="eastAsia" w:ascii="Times New Roman" w:hAnsi="Times New Roman" w:cs="Times New Roman"/>
                <w:b w:val="0"/>
                <w:bCs w:val="0"/>
                <w:color w:val="auto"/>
                <w:szCs w:val="21"/>
                <w:lang w:val="en-US" w:eastAsia="zh-CN"/>
              </w:rPr>
              <w:t>/4；</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x</w:t>
            </w:r>
            <w:r>
              <w:rPr>
                <w:rFonts w:hint="eastAsia"/>
                <w:b w:val="0"/>
                <w:bCs w:val="0"/>
                <w:color w:val="auto"/>
                <w:szCs w:val="21"/>
              </w:rPr>
              <w:t>--罩口至污染源距离，m；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Vx--污染源边缘控制风速，m/s</w:t>
            </w:r>
            <w:r>
              <w:rPr>
                <w:rFonts w:hint="eastAsia"/>
                <w:b w:val="0"/>
                <w:bCs w:val="0"/>
                <w:color w:val="auto"/>
                <w:szCs w:val="21"/>
                <w:lang w:eastAsia="zh-CN"/>
              </w:rPr>
              <w:t>。</w:t>
            </w:r>
          </w:p>
          <w:p>
            <w:pPr>
              <w:pStyle w:val="44"/>
              <w:numPr>
                <w:ilvl w:val="0"/>
                <w:numId w:val="9"/>
              </w:numPr>
              <w:shd w:val="clear" w:color="auto" w:fill="auto"/>
              <w:tabs>
                <w:tab w:val="clear" w:pos="0"/>
              </w:tabs>
              <w:bidi w:val="0"/>
              <w:ind w:left="0" w:leftChars="0" w:firstLine="403"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电火花、雕刻工序收集系统风量计算一览表</w:t>
            </w:r>
          </w:p>
          <w:tbl>
            <w:tblPr>
              <w:tblStyle w:val="30"/>
              <w:tblpPr w:leftFromText="180" w:rightFromText="180" w:vertAnchor="text" w:tblpXSpec="left" w:tblpY="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56"/>
              <w:gridCol w:w="1228"/>
              <w:gridCol w:w="1458"/>
              <w:gridCol w:w="1615"/>
              <w:gridCol w:w="1312"/>
              <w:gridCol w:w="1323"/>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3" w:hRule="atLeast"/>
              </w:trPr>
              <w:tc>
                <w:tcPr>
                  <w:tcW w:w="62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设备名称</w:t>
                  </w:r>
                </w:p>
              </w:tc>
              <w:tc>
                <w:tcPr>
                  <w:tcW w:w="66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sz w:val="21"/>
                      <w:szCs w:val="21"/>
                      <w:lang w:val="en-US" w:eastAsia="zh-CN"/>
                    </w:rPr>
                    <w:t>集气</w:t>
                  </w:r>
                  <w:r>
                    <w:rPr>
                      <w:rFonts w:hint="default" w:ascii="Times New Roman" w:hAnsi="Times New Roman" w:cs="Times New Roman"/>
                      <w:b/>
                      <w:bCs/>
                      <w:color w:val="auto"/>
                      <w:sz w:val="21"/>
                      <w:szCs w:val="21"/>
                      <w:lang w:val="en-US" w:eastAsia="zh-CN"/>
                    </w:rPr>
                    <w:t>管直径</w:t>
                  </w:r>
                  <w:r>
                    <w:rPr>
                      <w:rFonts w:hint="eastAsia" w:ascii="Times New Roman" w:hAnsi="Times New Roman" w:cs="Times New Roman"/>
                      <w:b/>
                      <w:bCs/>
                      <w:color w:val="auto"/>
                      <w:sz w:val="21"/>
                      <w:szCs w:val="21"/>
                      <w:lang w:val="en-US" w:eastAsia="zh-CN"/>
                    </w:rPr>
                    <w:t>d（</w:t>
                  </w:r>
                  <w:r>
                    <w:rPr>
                      <w:rFonts w:hint="default" w:ascii="Times New Roman" w:hAnsi="Times New Roman" w:eastAsia="宋体" w:cs="Times New Roman"/>
                      <w:b/>
                      <w:bCs/>
                      <w:color w:val="auto"/>
                      <w:sz w:val="21"/>
                      <w:szCs w:val="21"/>
                      <w:lang w:val="en-US" w:eastAsia="zh-CN"/>
                    </w:rPr>
                    <w:t>m</w:t>
                  </w:r>
                  <w:r>
                    <w:rPr>
                      <w:rFonts w:hint="eastAsia" w:ascii="Times New Roman" w:hAnsi="Times New Roman" w:cs="Times New Roman"/>
                      <w:b/>
                      <w:bCs/>
                      <w:color w:val="auto"/>
                      <w:sz w:val="21"/>
                      <w:szCs w:val="21"/>
                      <w:lang w:val="en-US" w:eastAsia="zh-CN"/>
                    </w:rPr>
                    <w:t>）</w:t>
                  </w:r>
                </w:p>
              </w:tc>
              <w:tc>
                <w:tcPr>
                  <w:tcW w:w="788"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集气</w:t>
                  </w:r>
                  <w:r>
                    <w:rPr>
                      <w:rFonts w:hint="default" w:ascii="Times New Roman" w:hAnsi="Times New Roman" w:cs="Times New Roman"/>
                      <w:b/>
                      <w:bCs/>
                      <w:color w:val="auto"/>
                      <w:sz w:val="21"/>
                      <w:szCs w:val="21"/>
                      <w:lang w:val="en-US" w:eastAsia="zh-CN"/>
                    </w:rPr>
                    <w:t>管面积F</w:t>
                  </w:r>
                  <w:r>
                    <w:rPr>
                      <w:rFonts w:hint="eastAsia" w:ascii="Times New Roman" w:hAnsi="Times New Roman" w:cs="Times New Roman"/>
                      <w:b/>
                      <w:bCs/>
                      <w:color w:val="auto"/>
                      <w:sz w:val="21"/>
                      <w:szCs w:val="21"/>
                      <w:lang w:val="en-US" w:eastAsia="zh-CN"/>
                    </w:rPr>
                    <w:t>（m</w:t>
                  </w:r>
                  <w:r>
                    <w:rPr>
                      <w:rFonts w:hint="eastAsia" w:ascii="Times New Roman" w:hAnsi="Times New Roman" w:cs="Times New Roman"/>
                      <w:b/>
                      <w:bCs/>
                      <w:color w:val="auto"/>
                      <w:sz w:val="21"/>
                      <w:szCs w:val="21"/>
                      <w:vertAlign w:val="superscript"/>
                      <w:lang w:val="en-US" w:eastAsia="zh-CN"/>
                    </w:rPr>
                    <w:t>2</w:t>
                  </w:r>
                  <w:r>
                    <w:rPr>
                      <w:rFonts w:hint="eastAsia" w:ascii="Times New Roman" w:hAnsi="Times New Roman" w:cs="Times New Roman"/>
                      <w:b/>
                      <w:bCs/>
                      <w:color w:val="auto"/>
                      <w:sz w:val="21"/>
                      <w:szCs w:val="21"/>
                      <w:lang w:val="en-US" w:eastAsia="zh-CN"/>
                    </w:rPr>
                    <w:t>）</w:t>
                  </w:r>
                </w:p>
              </w:tc>
              <w:tc>
                <w:tcPr>
                  <w:tcW w:w="87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rPr>
                    <w:t>罩口至污染源距离</w:t>
                  </w:r>
                  <w:r>
                    <w:rPr>
                      <w:rFonts w:hint="eastAsia" w:ascii="Times New Roman" w:hAnsi="Times New Roman" w:cs="Times New Roman"/>
                      <w:b/>
                      <w:bCs/>
                      <w:color w:val="auto"/>
                      <w:sz w:val="21"/>
                      <w:szCs w:val="21"/>
                      <w:lang w:val="en-US" w:eastAsia="zh-CN"/>
                    </w:rPr>
                    <w:t>x（</w:t>
                  </w:r>
                  <w:r>
                    <w:rPr>
                      <w:rFonts w:hint="default" w:ascii="Times New Roman" w:hAnsi="Times New Roman" w:eastAsia="宋体" w:cs="Times New Roman"/>
                      <w:b/>
                      <w:bCs/>
                      <w:color w:val="auto"/>
                      <w:sz w:val="21"/>
                      <w:szCs w:val="21"/>
                      <w:lang w:val="en-US" w:eastAsia="zh-CN"/>
                    </w:rPr>
                    <w:t>m</w:t>
                  </w:r>
                  <w:r>
                    <w:rPr>
                      <w:rFonts w:hint="eastAsia" w:ascii="Times New Roman" w:hAnsi="Times New Roman" w:cs="Times New Roman"/>
                      <w:b/>
                      <w:bCs/>
                      <w:color w:val="auto"/>
                      <w:sz w:val="21"/>
                      <w:szCs w:val="21"/>
                      <w:lang w:val="en-US" w:eastAsia="zh-CN"/>
                    </w:rPr>
                    <w:t>）</w:t>
                  </w:r>
                </w:p>
              </w:tc>
              <w:tc>
                <w:tcPr>
                  <w:tcW w:w="709"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rPr>
                    <w:t>污染源边缘控制风速</w:t>
                  </w:r>
                  <w:r>
                    <w:rPr>
                      <w:rFonts w:hint="eastAsia" w:ascii="Times New Roman" w:hAnsi="Times New Roman" w:cs="Times New Roman"/>
                      <w:b/>
                      <w:bCs/>
                      <w:color w:val="auto"/>
                      <w:sz w:val="21"/>
                      <w:szCs w:val="21"/>
                      <w:lang w:val="en-US" w:eastAsia="zh-CN"/>
                    </w:rPr>
                    <w:t>Vx（</w:t>
                  </w:r>
                  <w:r>
                    <w:rPr>
                      <w:rFonts w:hint="default" w:ascii="Times New Roman" w:hAnsi="Times New Roman" w:cs="Times New Roman"/>
                      <w:b/>
                      <w:bCs/>
                      <w:color w:val="auto"/>
                      <w:sz w:val="21"/>
                      <w:szCs w:val="21"/>
                    </w:rPr>
                    <w:t>m/s</w:t>
                  </w:r>
                  <w:r>
                    <w:rPr>
                      <w:rFonts w:hint="eastAsia" w:ascii="Times New Roman" w:hAnsi="Times New Roman" w:cs="Times New Roman"/>
                      <w:b/>
                      <w:bCs/>
                      <w:color w:val="auto"/>
                      <w:sz w:val="21"/>
                      <w:szCs w:val="21"/>
                      <w:lang w:val="en-US" w:eastAsia="zh-CN"/>
                    </w:rPr>
                    <w:t>）</w:t>
                  </w:r>
                </w:p>
              </w:tc>
              <w:tc>
                <w:tcPr>
                  <w:tcW w:w="71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集气</w:t>
                  </w:r>
                  <w:r>
                    <w:rPr>
                      <w:rFonts w:hint="default" w:ascii="Times New Roman" w:hAnsi="Times New Roman" w:cs="Times New Roman"/>
                      <w:b/>
                      <w:bCs/>
                      <w:color w:val="auto"/>
                      <w:sz w:val="21"/>
                      <w:szCs w:val="21"/>
                      <w:lang w:val="en-US" w:eastAsia="zh-CN"/>
                    </w:rPr>
                    <w:t>管</w:t>
                  </w:r>
                  <w:r>
                    <w:rPr>
                      <w:rFonts w:hint="default" w:ascii="Times New Roman" w:hAnsi="Times New Roman" w:eastAsia="宋体" w:cs="Times New Roman"/>
                      <w:b/>
                      <w:bCs/>
                      <w:color w:val="auto"/>
                      <w:sz w:val="21"/>
                      <w:szCs w:val="21"/>
                      <w:lang w:val="en-US" w:eastAsia="zh-CN"/>
                    </w:rPr>
                    <w:t>个数</w:t>
                  </w:r>
                  <w:r>
                    <w:rPr>
                      <w:rFonts w:hint="eastAsia" w:ascii="Times New Roman" w:hAnsi="Times New Roman" w:cs="Times New Roman"/>
                      <w:b/>
                      <w:bCs/>
                      <w:color w:val="auto"/>
                      <w:sz w:val="21"/>
                      <w:szCs w:val="21"/>
                      <w:lang w:val="en-US" w:eastAsia="zh-CN"/>
                    </w:rPr>
                    <w:t>（个）</w:t>
                  </w:r>
                </w:p>
              </w:tc>
              <w:tc>
                <w:tcPr>
                  <w:tcW w:w="62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风</w:t>
                  </w:r>
                  <w:r>
                    <w:rPr>
                      <w:rFonts w:hint="eastAsia" w:ascii="Times New Roman" w:hAnsi="Times New Roman" w:cs="Times New Roman"/>
                      <w:b/>
                      <w:bCs/>
                      <w:color w:val="auto"/>
                      <w:sz w:val="21"/>
                      <w:szCs w:val="21"/>
                      <w:lang w:val="en-US" w:eastAsia="zh-CN"/>
                    </w:rPr>
                    <w:t>量Q（</w:t>
                  </w:r>
                  <w:r>
                    <w:rPr>
                      <w:rFonts w:hint="default" w:ascii="Times New Roman" w:hAnsi="Times New Roman" w:cs="Times New Roman"/>
                      <w:b/>
                      <w:bCs/>
                      <w:color w:val="auto"/>
                      <w:sz w:val="21"/>
                      <w:szCs w:val="21"/>
                      <w:lang w:val="en-US" w:eastAsia="zh-CN"/>
                    </w:rPr>
                    <w:t>/</w:t>
                  </w:r>
                  <w:r>
                    <w:rPr>
                      <w:rFonts w:hint="default" w:ascii="Times New Roman" w:hAnsi="Times New Roman" w:cs="Times New Roman"/>
                      <w:b/>
                      <w:bCs/>
                      <w:color w:val="auto"/>
                      <w:kern w:val="0"/>
                      <w:sz w:val="21"/>
                      <w:szCs w:val="21"/>
                      <w:lang w:eastAsia="zh-TW"/>
                    </w:rPr>
                    <w:t>m</w:t>
                  </w:r>
                  <w:r>
                    <w:rPr>
                      <w:rFonts w:hint="default" w:ascii="Times New Roman" w:hAnsi="Times New Roman" w:cs="Times New Roman"/>
                      <w:b/>
                      <w:bCs/>
                      <w:color w:val="auto"/>
                      <w:kern w:val="0"/>
                      <w:sz w:val="21"/>
                      <w:szCs w:val="21"/>
                      <w:vertAlign w:val="superscript"/>
                      <w:lang w:eastAsia="zh-TW"/>
                    </w:rPr>
                    <w:t>3</w:t>
                  </w:r>
                  <w:r>
                    <w:rPr>
                      <w:rFonts w:hint="default" w:ascii="Times New Roman" w:hAnsi="Times New Roman" w:cs="Times New Roman"/>
                      <w:b/>
                      <w:bCs/>
                      <w:color w:val="auto"/>
                      <w:kern w:val="0"/>
                      <w:sz w:val="21"/>
                      <w:szCs w:val="21"/>
                      <w:lang w:eastAsia="zh-TW"/>
                    </w:rPr>
                    <w:t>/h</w:t>
                  </w:r>
                  <w:r>
                    <w:rPr>
                      <w:rFonts w:hint="eastAsia" w:ascii="Times New Roman" w:hAnsi="Times New Roman" w:cs="Times New Roman"/>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62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火花机</w:t>
                  </w:r>
                </w:p>
              </w:tc>
              <w:tc>
                <w:tcPr>
                  <w:tcW w:w="664"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88"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0.07065</w:t>
                  </w:r>
                </w:p>
              </w:tc>
              <w:tc>
                <w:tcPr>
                  <w:tcW w:w="873"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71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625"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5241.51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62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锣床</w:t>
                  </w:r>
                </w:p>
              </w:tc>
              <w:tc>
                <w:tcPr>
                  <w:tcW w:w="664"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88"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0.07065</w:t>
                  </w:r>
                </w:p>
              </w:tc>
              <w:tc>
                <w:tcPr>
                  <w:tcW w:w="873"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71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625"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8735.85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62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雕刻机</w:t>
                  </w:r>
                </w:p>
              </w:tc>
              <w:tc>
                <w:tcPr>
                  <w:tcW w:w="664"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88"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0.07065</w:t>
                  </w:r>
                </w:p>
              </w:tc>
              <w:tc>
                <w:tcPr>
                  <w:tcW w:w="873"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71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625"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5241.51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4374" w:type="pct"/>
                  <w:gridSpan w:val="6"/>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合计</w:t>
                  </w:r>
                </w:p>
              </w:tc>
              <w:tc>
                <w:tcPr>
                  <w:tcW w:w="625"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19218.87</w:t>
                  </w:r>
                </w:p>
              </w:tc>
            </w:tr>
          </w:tbl>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color w:val="auto"/>
                <w:sz w:val="24"/>
                <w:szCs w:val="24"/>
                <w:highlight w:val="none"/>
                <w:lang w:val="en-US" w:eastAsia="zh-CN"/>
              </w:rPr>
            </w:pPr>
            <w:r>
              <w:rPr>
                <w:rFonts w:hint="eastAsia"/>
                <w:color w:val="auto"/>
                <w:sz w:val="24"/>
                <w:lang w:val="en-US" w:eastAsia="zh-CN"/>
              </w:rPr>
              <w:t>因此，电火花、雕刻工序所需风量为19218.87m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color w:val="auto"/>
                <w:sz w:val="24"/>
                <w:highlight w:val="none"/>
              </w:rPr>
              <w:t>考虑到风管损失，</w:t>
            </w:r>
            <w:r>
              <w:rPr>
                <w:rFonts w:hint="eastAsia"/>
                <w:color w:val="auto"/>
                <w:sz w:val="24"/>
                <w:lang w:val="en-US" w:eastAsia="zh-CN"/>
              </w:rPr>
              <w:t>该部分所需风机风量为</w:t>
            </w:r>
            <w:r>
              <w:rPr>
                <w:rFonts w:hint="eastAsia"/>
                <w:color w:val="auto"/>
                <w:lang w:val="en-US" w:eastAsia="zh-CN"/>
              </w:rPr>
              <w:t>20000</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④处理效率</w:t>
            </w:r>
          </w:p>
          <w:p>
            <w:pPr>
              <w:adjustRightInd w:val="0"/>
              <w:snapToGrid w:val="0"/>
              <w:spacing w:line="360" w:lineRule="auto"/>
              <w:ind w:firstLine="480" w:firstLineChars="200"/>
              <w:rPr>
                <w:rFonts w:hint="default" w:eastAsia="宋体"/>
                <w:b w:val="0"/>
                <w:bCs w:val="0"/>
                <w:color w:val="auto"/>
                <w:kern w:val="0"/>
                <w:sz w:val="24"/>
                <w:lang w:val="en-US" w:eastAsia="zh-CN"/>
              </w:rPr>
            </w:pPr>
            <w:r>
              <w:rPr>
                <w:rFonts w:hint="eastAsia"/>
                <w:b w:val="0"/>
                <w:bCs w:val="0"/>
                <w:color w:val="auto"/>
                <w:kern w:val="0"/>
                <w:sz w:val="24"/>
                <w:lang w:val="en-US" w:eastAsia="zh-CN"/>
              </w:rPr>
              <w:t>根据文献《金属加工液油雾净化技术的发展》（作者：高玉磊）：机械过滤式油雾净化器其原理是使油雾在风机的抽送下通过过滤介质，油滴被截留过滤介质表面，经过净化的洁净空气排入大气。使用滤料来去除空气中的有害物质的方法，早在19世纪就开始应用。经过了一百多年的发展，技术已经非常成熟。目前，机械过滤式油雾净化器是效率最高，应用范围最广泛的除油装置。随着滤料制作工艺的不断发展，净化效率已可达99%</w:t>
            </w:r>
            <w:r>
              <w:rPr>
                <w:rFonts w:hint="eastAsia"/>
                <w:b w:val="0"/>
                <w:bCs w:val="0"/>
                <w:color w:val="auto"/>
                <w:kern w:val="0"/>
                <w:sz w:val="24"/>
              </w:rPr>
              <w:t>。</w:t>
            </w:r>
            <w:r>
              <w:rPr>
                <w:rFonts w:hint="eastAsia"/>
                <w:b w:val="0"/>
                <w:bCs w:val="0"/>
                <w:color w:val="auto"/>
                <w:kern w:val="0"/>
                <w:sz w:val="24"/>
                <w:lang w:val="en-US" w:eastAsia="zh-CN"/>
              </w:rPr>
              <w:t>由此可知，本项目拟使用的“油雾净化器”为机械式，处理效率保守估计为90%。</w:t>
            </w:r>
          </w:p>
          <w:p>
            <w:pPr>
              <w:adjustRightInd w:val="0"/>
              <w:snapToGrid w:val="0"/>
              <w:spacing w:line="360" w:lineRule="auto"/>
              <w:ind w:firstLine="482" w:firstLineChars="200"/>
              <w:rPr>
                <w:b/>
                <w:bCs/>
                <w:color w:val="auto"/>
                <w:kern w:val="0"/>
                <w:sz w:val="24"/>
                <w:highlight w:val="none"/>
              </w:rPr>
            </w:pPr>
            <w:r>
              <w:rPr>
                <w:rFonts w:hint="eastAsia"/>
                <w:b/>
                <w:bCs/>
                <w:color w:val="auto"/>
                <w:kern w:val="0"/>
                <w:sz w:val="24"/>
                <w:highlight w:val="none"/>
              </w:rPr>
              <w:t>⑤废气污染防治技术可行性分析</w:t>
            </w:r>
          </w:p>
          <w:p>
            <w:pPr>
              <w:adjustRightInd w:val="0"/>
              <w:snapToGrid w:val="0"/>
              <w:spacing w:line="360" w:lineRule="auto"/>
              <w:ind w:firstLine="480" w:firstLineChars="200"/>
              <w:rPr>
                <w:b/>
                <w:bCs/>
                <w:color w:val="auto"/>
                <w:kern w:val="0"/>
                <w:sz w:val="24"/>
              </w:rPr>
            </w:pPr>
            <w:r>
              <w:rPr>
                <w:rFonts w:hint="eastAsia"/>
                <w:color w:val="auto"/>
                <w:sz w:val="24"/>
                <w:lang w:val="en-US" w:eastAsia="zh-CN"/>
              </w:rPr>
              <w:t>参照《排污许可证申请与核发技术规范 铁路、船舶、航空航天和其他运输设备制造业》（HJ 1124—2020）中表 C.1 铁路运输设备及轨道交通运输设备制造排污单位废气污染防治推荐可行技术可知：生产单元为机加工的湿式机械加工设备产生的油雾推荐可行的处理措施有机械过滤、静电过滤，本项目电火花及雕刻产生的油雾（以非甲烷总烃计）配套处理措施为“</w:t>
            </w:r>
            <w:r>
              <w:rPr>
                <w:rFonts w:hint="eastAsia"/>
                <w:b w:val="0"/>
                <w:bCs w:val="0"/>
                <w:color w:val="auto"/>
                <w:kern w:val="0"/>
                <w:sz w:val="24"/>
              </w:rPr>
              <w:t>油雾分离器</w:t>
            </w:r>
            <w:r>
              <w:rPr>
                <w:rFonts w:hint="eastAsia"/>
                <w:color w:val="auto"/>
                <w:sz w:val="24"/>
                <w:lang w:val="en-US" w:eastAsia="zh-CN"/>
              </w:rPr>
              <w:t>”，属于机械过滤，因此属于可行技术</w:t>
            </w:r>
            <w:r>
              <w:rPr>
                <w:rFonts w:hint="eastAsia"/>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（3）混料、破碎工序废气的收集</w:t>
            </w:r>
          </w:p>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b w:val="0"/>
                <w:bCs w:val="0"/>
                <w:color w:val="FF0000"/>
                <w:sz w:val="24"/>
                <w:szCs w:val="24"/>
                <w:highlight w:val="green"/>
                <w:lang w:val="en-US" w:eastAsia="zh-CN"/>
              </w:rPr>
            </w:pPr>
            <w:r>
              <w:rPr>
                <w:rFonts w:hint="eastAsia" w:cs="Times New Roman"/>
                <w:color w:val="FF0000"/>
                <w:sz w:val="24"/>
                <w:szCs w:val="24"/>
                <w:highlight w:val="green"/>
                <w:lang w:val="en-US" w:eastAsia="zh-CN"/>
              </w:rPr>
              <w:t>扩建</w:t>
            </w:r>
            <w:r>
              <w:rPr>
                <w:rFonts w:hint="eastAsia" w:cs="Times New Roman"/>
                <w:b w:val="0"/>
                <w:bCs w:val="0"/>
                <w:color w:val="FF0000"/>
                <w:sz w:val="24"/>
                <w:szCs w:val="24"/>
                <w:highlight w:val="green"/>
                <w:lang w:val="en-US" w:eastAsia="zh-CN"/>
              </w:rPr>
              <w:t>项目混料及破碎工序产生的粉尘经集气罩收集后经1套“布袋除尘器”装置处理达标后经1根15m高的排气筒DA002排放。</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cs="Times New Roman"/>
                <w:b/>
                <w:bCs/>
                <w:color w:val="auto"/>
                <w:sz w:val="24"/>
                <w:szCs w:val="24"/>
                <w:highlight w:val="none"/>
                <w:lang w:val="en-US" w:eastAsia="zh-CN"/>
              </w:rPr>
              <w:t>①收集装置：</w:t>
            </w:r>
            <w:r>
              <w:rPr>
                <w:rFonts w:hint="eastAsia" w:cs="Times New Roman"/>
                <w:color w:val="auto"/>
                <w:sz w:val="24"/>
                <w:szCs w:val="24"/>
                <w:highlight w:val="none"/>
                <w:lang w:val="en-US" w:eastAsia="zh-CN"/>
              </w:rPr>
              <w:t>拟在混料机和破碎机上方安装集气罩，</w:t>
            </w:r>
            <w:r>
              <w:rPr>
                <w:rFonts w:hint="eastAsia"/>
                <w:color w:val="auto"/>
                <w:sz w:val="24"/>
                <w:lang w:val="en-US" w:eastAsia="zh-CN"/>
              </w:rPr>
              <w:t>集气罩三侧铁皮围挡，</w:t>
            </w:r>
            <w:r>
              <w:rPr>
                <w:rFonts w:hint="eastAsia" w:ascii="Times New Roman" w:hAnsi="Times New Roman" w:cs="Times New Roman"/>
                <w:b w:val="0"/>
                <w:bCs/>
                <w:color w:val="auto"/>
                <w:sz w:val="24"/>
                <w:szCs w:val="24"/>
                <w:lang w:val="en-US" w:eastAsia="zh-CN"/>
              </w:rPr>
              <w:t>仅保留1个操作工位面</w:t>
            </w:r>
            <w:r>
              <w:rPr>
                <w:rFonts w:hint="eastAsia" w:cs="Times New Roman"/>
                <w:b w:val="0"/>
                <w:bCs/>
                <w:color w:val="auto"/>
                <w:sz w:val="24"/>
                <w:szCs w:val="24"/>
                <w:lang w:val="en-US" w:eastAsia="zh-CN"/>
              </w:rPr>
              <w:t>。</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r>
              <w:rPr>
                <w:rFonts w:hint="eastAsia"/>
                <w:color w:val="auto"/>
                <w:sz w:val="24"/>
                <w:lang w:val="en-US" w:eastAsia="zh-CN"/>
              </w:rPr>
              <w:t>参照</w:t>
            </w:r>
            <w:r>
              <w:rPr>
                <w:rFonts w:hint="eastAsia" w:ascii="宋体" w:hAnsi="宋体" w:cs="宋体"/>
                <w:b w:val="0"/>
                <w:bCs/>
                <w:color w:val="auto"/>
                <w:sz w:val="24"/>
                <w:szCs w:val="24"/>
                <w:lang w:val="en-US" w:eastAsia="zh-CN"/>
              </w:rPr>
              <w:t>《广东省工业源挥发性有机物减排量核算方法（试行）</w:t>
            </w:r>
            <w:r>
              <w:rPr>
                <w:rFonts w:hint="default" w:ascii="Times New Roman" w:hAnsi="Times New Roman" w:cs="Times New Roman"/>
                <w:b w:val="0"/>
                <w:bCs/>
                <w:color w:val="auto"/>
                <w:sz w:val="24"/>
                <w:szCs w:val="24"/>
                <w:lang w:val="en-US" w:eastAsia="zh-CN"/>
              </w:rPr>
              <w:t>》中表</w:t>
            </w:r>
            <w:r>
              <w:rPr>
                <w:rFonts w:hint="eastAsia" w:ascii="Times New Roman" w:hAnsi="Times New Roman" w:cs="Times New Roman"/>
                <w:b w:val="0"/>
                <w:bCs/>
                <w:color w:val="auto"/>
                <w:sz w:val="24"/>
                <w:szCs w:val="24"/>
                <w:lang w:val="en-US" w:eastAsia="zh-CN"/>
              </w:rPr>
              <w:t>4.5-1，污染物产生点四周及上下有围挡设施，仅保留1个操作工位面，敞开面控制风速不小于0.5m/s的，集气效率取值80%，本项目取80%。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2" w:firstLineChars="200"/>
              <w:textAlignment w:val="auto"/>
              <w:rPr>
                <w:b w:val="0"/>
                <w:bCs w:val="0"/>
                <w:color w:val="auto"/>
                <w:kern w:val="0"/>
                <w:szCs w:val="21"/>
              </w:rPr>
            </w:pPr>
            <w:r>
              <w:rPr>
                <w:rFonts w:hint="eastAsia" w:ascii="Times New Roman" w:hAnsi="Times New Roman" w:cs="Times New Roman"/>
                <w:b/>
                <w:bCs w:val="0"/>
                <w:color w:val="auto"/>
                <w:sz w:val="24"/>
                <w:szCs w:val="24"/>
                <w:lang w:val="en-US" w:eastAsia="zh-CN"/>
              </w:rPr>
              <w:t>③风量设计：</w:t>
            </w:r>
            <w:r>
              <w:rPr>
                <w:b w:val="0"/>
                <w:bCs w:val="0"/>
                <w:color w:val="auto"/>
                <w:kern w:val="0"/>
                <w:szCs w:val="21"/>
              </w:rPr>
              <w:t>根据《环境工程设计手册》中的有关公式，项目按以下经验公式计算得出产污设备所需的风量L。</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eastAsia"/>
                <w:b w:val="0"/>
                <w:bCs w:val="0"/>
                <w:color w:val="auto"/>
                <w:szCs w:val="21"/>
              </w:rPr>
            </w:pPr>
            <w:r>
              <w:rPr>
                <w:rFonts w:hint="eastAsia"/>
                <w:b w:val="0"/>
                <w:bCs w:val="0"/>
                <w:color w:val="auto"/>
                <w:kern w:val="0"/>
                <w:szCs w:val="21"/>
              </w:rPr>
              <w:t>集气罩公式：</w:t>
            </w:r>
            <w:r>
              <w:rPr>
                <w:rFonts w:hint="eastAsia"/>
                <w:b w:val="0"/>
                <w:bCs w:val="0"/>
                <w:color w:val="auto"/>
                <w:szCs w:val="21"/>
              </w:rPr>
              <w:t>L=kPHVx×3600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L</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rPr>
              <w:t>P--集气罩口敞开面的周长，m；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rPr>
              <w:t>H--罩口至污染源距离，m；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rPr>
              <w:t>Vx--污染源边缘控制风速，m/s；</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k--安全系数，一般取1.4</w:t>
            </w:r>
            <w:r>
              <w:rPr>
                <w:rFonts w:hint="eastAsia"/>
                <w:b w:val="0"/>
                <w:bCs w:val="0"/>
                <w:color w:val="auto"/>
                <w:szCs w:val="21"/>
                <w:lang w:eastAsia="zh-CN"/>
              </w:rPr>
              <w:t>。</w:t>
            </w:r>
          </w:p>
          <w:p>
            <w:pPr>
              <w:pStyle w:val="44"/>
              <w:numPr>
                <w:ilvl w:val="0"/>
                <w:numId w:val="9"/>
              </w:numPr>
              <w:shd w:val="clear" w:color="auto" w:fill="auto"/>
              <w:tabs>
                <w:tab w:val="clear" w:pos="0"/>
              </w:tabs>
              <w:bidi w:val="0"/>
              <w:ind w:left="0" w:leftChars="0" w:firstLine="403"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混料及破碎工序收集系统风量计算一览表</w:t>
            </w:r>
          </w:p>
          <w:tbl>
            <w:tblPr>
              <w:tblStyle w:val="30"/>
              <w:tblpPr w:leftFromText="180" w:rightFromText="180" w:vertAnchor="text" w:tblpXSpec="left" w:tblpY="1"/>
              <w:tblOverlap w:val="never"/>
              <w:tblW w:w="9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62"/>
              <w:gridCol w:w="980"/>
              <w:gridCol w:w="915"/>
              <w:gridCol w:w="1200"/>
              <w:gridCol w:w="1230"/>
              <w:gridCol w:w="1320"/>
              <w:gridCol w:w="1327"/>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设备名称</w:t>
                  </w:r>
                </w:p>
              </w:tc>
              <w:tc>
                <w:tcPr>
                  <w:tcW w:w="98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集气罩长度</w:t>
                  </w:r>
                  <w:r>
                    <w:rPr>
                      <w:rFonts w:hint="eastAsia" w:cs="Times New Roman"/>
                      <w:b/>
                      <w:bCs/>
                      <w:color w:val="auto"/>
                      <w:sz w:val="21"/>
                      <w:szCs w:val="21"/>
                      <w:lang w:val="en-US" w:eastAsia="zh-CN"/>
                    </w:rPr>
                    <w:t>（m）</w:t>
                  </w:r>
                </w:p>
              </w:tc>
              <w:tc>
                <w:tcPr>
                  <w:tcW w:w="91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集气罩宽度</w:t>
                  </w:r>
                  <w:r>
                    <w:rPr>
                      <w:rFonts w:hint="eastAsia" w:cs="Times New Roman"/>
                      <w:b/>
                      <w:bCs/>
                      <w:color w:val="auto"/>
                      <w:sz w:val="21"/>
                      <w:szCs w:val="21"/>
                      <w:lang w:val="en-US" w:eastAsia="zh-CN"/>
                    </w:rPr>
                    <w:t>（m）</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集气罩周长P</w:t>
                  </w:r>
                  <w:r>
                    <w:rPr>
                      <w:rFonts w:hint="eastAsia" w:cs="Times New Roman"/>
                      <w:b/>
                      <w:bCs/>
                      <w:color w:val="auto"/>
                      <w:sz w:val="21"/>
                      <w:szCs w:val="21"/>
                      <w:lang w:val="en-US" w:eastAsia="zh-CN"/>
                    </w:rPr>
                    <w:t>（m）</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b/>
                      <w:bCs/>
                      <w:color w:val="auto"/>
                      <w:sz w:val="21"/>
                      <w:szCs w:val="21"/>
                    </w:rPr>
                    <w:t>罩口至污染源距离</w:t>
                  </w:r>
                  <w:r>
                    <w:rPr>
                      <w:rFonts w:hint="eastAsia"/>
                      <w:b/>
                      <w:bCs/>
                      <w:color w:val="auto"/>
                      <w:sz w:val="21"/>
                      <w:szCs w:val="21"/>
                      <w:lang w:val="en-US" w:eastAsia="zh-CN"/>
                    </w:rPr>
                    <w:t>H</w:t>
                  </w:r>
                  <w:r>
                    <w:rPr>
                      <w:rFonts w:hint="eastAsia" w:cs="Times New Roman"/>
                      <w:b/>
                      <w:bCs/>
                      <w:color w:val="auto"/>
                      <w:sz w:val="21"/>
                      <w:szCs w:val="21"/>
                      <w:lang w:val="en-US" w:eastAsia="zh-CN"/>
                    </w:rPr>
                    <w:t>（m）</w:t>
                  </w:r>
                </w:p>
              </w:tc>
              <w:tc>
                <w:tcPr>
                  <w:tcW w:w="132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sz w:val="21"/>
                      <w:szCs w:val="21"/>
                      <w:lang w:val="en-US" w:eastAsia="zh-CN"/>
                    </w:rPr>
                  </w:pPr>
                  <w:r>
                    <w:rPr>
                      <w:rFonts w:hint="eastAsia"/>
                      <w:b/>
                      <w:bCs/>
                      <w:color w:val="auto"/>
                      <w:sz w:val="21"/>
                      <w:szCs w:val="21"/>
                    </w:rPr>
                    <w:t>污染源边缘控制风速</w:t>
                  </w:r>
                  <w:r>
                    <w:rPr>
                      <w:rFonts w:hint="eastAsia"/>
                      <w:b/>
                      <w:bCs/>
                      <w:color w:val="auto"/>
                      <w:sz w:val="21"/>
                      <w:szCs w:val="21"/>
                      <w:lang w:eastAsia="zh-CN"/>
                    </w:rPr>
                    <w:t>（</w:t>
                  </w:r>
                  <w:r>
                    <w:rPr>
                      <w:rFonts w:hint="eastAsia"/>
                      <w:b/>
                      <w:bCs/>
                      <w:color w:val="auto"/>
                      <w:sz w:val="21"/>
                      <w:szCs w:val="21"/>
                    </w:rPr>
                    <w:t>m/s</w:t>
                  </w:r>
                  <w:r>
                    <w:rPr>
                      <w:rFonts w:hint="eastAsia"/>
                      <w:b/>
                      <w:bCs/>
                      <w:color w:val="auto"/>
                      <w:sz w:val="21"/>
                      <w:szCs w:val="21"/>
                      <w:lang w:eastAsia="zh-CN"/>
                    </w:rPr>
                    <w:t>）</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集气罩个数</w:t>
                  </w:r>
                  <w:r>
                    <w:rPr>
                      <w:rFonts w:hint="eastAsia" w:cs="Times New Roman"/>
                      <w:b/>
                      <w:bCs/>
                      <w:color w:val="auto"/>
                      <w:sz w:val="21"/>
                      <w:szCs w:val="21"/>
                      <w:lang w:val="en-US" w:eastAsia="zh-CN"/>
                    </w:rPr>
                    <w:t>（个）</w:t>
                  </w:r>
                </w:p>
              </w:tc>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b/>
                      <w:bCs/>
                      <w:color w:val="auto"/>
                      <w:sz w:val="21"/>
                      <w:szCs w:val="21"/>
                      <w:lang w:val="en-US" w:eastAsia="zh-CN"/>
                    </w:rPr>
                  </w:pPr>
                  <w:r>
                    <w:rPr>
                      <w:rFonts w:hint="eastAsia"/>
                      <w:b/>
                      <w:bCs/>
                      <w:color w:val="auto"/>
                      <w:sz w:val="21"/>
                      <w:szCs w:val="21"/>
                      <w:lang w:val="en-US" w:eastAsia="zh-CN"/>
                    </w:rPr>
                    <w:t>风量（</w:t>
                  </w:r>
                  <w:r>
                    <w:rPr>
                      <w:b/>
                      <w:bCs/>
                      <w:color w:val="auto"/>
                      <w:kern w:val="0"/>
                      <w:sz w:val="21"/>
                      <w:szCs w:val="21"/>
                      <w:lang w:eastAsia="zh-TW"/>
                    </w:rPr>
                    <w:t>m</w:t>
                  </w:r>
                  <w:r>
                    <w:rPr>
                      <w:b/>
                      <w:bCs/>
                      <w:color w:val="auto"/>
                      <w:kern w:val="0"/>
                      <w:sz w:val="21"/>
                      <w:szCs w:val="21"/>
                      <w:vertAlign w:val="superscript"/>
                      <w:lang w:eastAsia="zh-TW"/>
                    </w:rPr>
                    <w:t>3</w:t>
                  </w:r>
                  <w:r>
                    <w:rPr>
                      <w:b/>
                      <w:bCs/>
                      <w:color w:val="auto"/>
                      <w:kern w:val="0"/>
                      <w:sz w:val="21"/>
                      <w:szCs w:val="21"/>
                      <w:lang w:eastAsia="zh-TW"/>
                    </w:rPr>
                    <w:t>/h</w:t>
                  </w:r>
                  <w:r>
                    <w:rPr>
                      <w:rFonts w:hint="eastAsia"/>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混料机</w:t>
                  </w:r>
                </w:p>
              </w:tc>
              <w:tc>
                <w:tcPr>
                  <w:tcW w:w="98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915"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w:t>
                  </w:r>
                </w:p>
              </w:tc>
              <w:tc>
                <w:tcPr>
                  <w:tcW w:w="12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32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32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2419.2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破碎机</w:t>
                  </w:r>
                </w:p>
              </w:tc>
              <w:tc>
                <w:tcPr>
                  <w:tcW w:w="98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915"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w:t>
                  </w:r>
                </w:p>
              </w:tc>
              <w:tc>
                <w:tcPr>
                  <w:tcW w:w="12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32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32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3628.8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8134" w:type="dxa"/>
                  <w:gridSpan w:val="7"/>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合计</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6048</w:t>
                  </w:r>
                </w:p>
              </w:tc>
            </w:tr>
          </w:tbl>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color w:val="auto"/>
                <w:sz w:val="24"/>
                <w:szCs w:val="24"/>
                <w:highlight w:val="none"/>
                <w:lang w:val="en-US" w:eastAsia="zh-CN"/>
              </w:rPr>
            </w:pPr>
            <w:r>
              <w:rPr>
                <w:rFonts w:hint="eastAsia"/>
                <w:color w:val="auto"/>
                <w:sz w:val="24"/>
                <w:lang w:val="en-US" w:eastAsia="zh-CN"/>
              </w:rPr>
              <w:t>因此，混料、破碎工序所需风量为6048</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color w:val="auto"/>
                <w:sz w:val="24"/>
                <w:highlight w:val="none"/>
              </w:rPr>
              <w:t>考虑到风管损失，</w:t>
            </w:r>
            <w:r>
              <w:rPr>
                <w:rFonts w:hint="eastAsia"/>
                <w:color w:val="auto"/>
                <w:sz w:val="24"/>
                <w:lang w:val="en-US" w:eastAsia="zh-CN"/>
              </w:rPr>
              <w:t>该部分所需风机风量为</w:t>
            </w:r>
            <w:r>
              <w:rPr>
                <w:rFonts w:hint="eastAsia"/>
                <w:color w:val="auto"/>
                <w:lang w:val="en-US" w:eastAsia="zh-CN"/>
              </w:rPr>
              <w:t>7000</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④处理效率</w:t>
            </w:r>
          </w:p>
          <w:p>
            <w:pPr>
              <w:spacing w:line="360" w:lineRule="auto"/>
              <w:ind w:firstLine="480" w:firstLineChars="200"/>
              <w:rPr>
                <w:rFonts w:hint="eastAsia" w:eastAsia="宋体"/>
                <w:color w:val="auto"/>
                <w:sz w:val="24"/>
                <w:lang w:eastAsia="zh-CN"/>
              </w:rPr>
            </w:pPr>
            <w:r>
              <w:rPr>
                <w:rFonts w:hint="eastAsia"/>
                <w:color w:val="auto"/>
                <w:sz w:val="24"/>
                <w:highlight w:val="none"/>
                <w:lang w:val="en-US" w:eastAsia="zh-CN"/>
              </w:rPr>
              <w:t>参照</w:t>
            </w:r>
            <w:r>
              <w:rPr>
                <w:rFonts w:hint="eastAsia"/>
                <w:color w:val="auto"/>
                <w:sz w:val="24"/>
                <w:highlight w:val="none"/>
              </w:rPr>
              <w:t>《排放源统计</w:t>
            </w:r>
            <w:r>
              <w:rPr>
                <w:rFonts w:hint="eastAsia"/>
                <w:color w:val="auto"/>
                <w:sz w:val="24"/>
              </w:rPr>
              <w:t>调查产排污核算方法和系数手册》-《</w:t>
            </w:r>
            <w:r>
              <w:rPr>
                <w:rFonts w:hint="eastAsia"/>
                <w:color w:val="auto"/>
                <w:sz w:val="24"/>
                <w:lang w:val="en-US" w:eastAsia="zh-CN"/>
              </w:rPr>
              <w:t>292塑料制品行业</w:t>
            </w:r>
            <w:r>
              <w:rPr>
                <w:rFonts w:hint="eastAsia"/>
                <w:color w:val="auto"/>
                <w:sz w:val="24"/>
              </w:rPr>
              <w:t>系数手册》</w:t>
            </w:r>
            <w:r>
              <w:rPr>
                <w:rFonts w:hint="eastAsia"/>
                <w:color w:val="auto"/>
                <w:sz w:val="24"/>
                <w:lang w:eastAsia="zh-CN"/>
              </w:rPr>
              <w:t>—</w:t>
            </w:r>
            <w:r>
              <w:rPr>
                <w:rFonts w:hint="eastAsia"/>
                <w:color w:val="auto"/>
                <w:sz w:val="24"/>
                <w:lang w:val="en-US" w:eastAsia="zh-CN"/>
              </w:rPr>
              <w:t>2922塑料板、管、型材制造行业系数表—“配料—混合—挤出—</w:t>
            </w:r>
            <w:r>
              <w:rPr>
                <w:rFonts w:hint="eastAsia"/>
                <w:color w:val="auto"/>
                <w:sz w:val="24"/>
              </w:rPr>
              <w:t>颗粒物</w:t>
            </w:r>
            <w:r>
              <w:rPr>
                <w:rFonts w:hint="eastAsia"/>
                <w:color w:val="auto"/>
                <w:sz w:val="24"/>
                <w:lang w:val="en-US" w:eastAsia="zh-CN"/>
              </w:rPr>
              <w:t>—末端</w:t>
            </w:r>
            <w:r>
              <w:rPr>
                <w:rFonts w:hint="eastAsia"/>
                <w:color w:val="auto"/>
                <w:sz w:val="24"/>
              </w:rPr>
              <w:t>治理技术名称</w:t>
            </w:r>
            <w:r>
              <w:rPr>
                <w:rFonts w:hint="eastAsia"/>
                <w:color w:val="auto"/>
                <w:sz w:val="24"/>
                <w:lang w:val="en-US" w:eastAsia="zh-CN"/>
              </w:rPr>
              <w:t>—</w:t>
            </w:r>
            <w:r>
              <w:rPr>
                <w:rFonts w:hint="eastAsia"/>
                <w:color w:val="auto"/>
                <w:sz w:val="24"/>
              </w:rPr>
              <w:t>袋式除尘</w:t>
            </w:r>
            <w:r>
              <w:rPr>
                <w:rFonts w:hint="eastAsia"/>
                <w:color w:val="auto"/>
                <w:sz w:val="24"/>
                <w:lang w:val="en-US" w:eastAsia="zh-CN"/>
              </w:rPr>
              <w:t>-</w:t>
            </w:r>
            <w:r>
              <w:rPr>
                <w:rFonts w:hint="eastAsia"/>
                <w:color w:val="auto"/>
                <w:sz w:val="24"/>
              </w:rPr>
              <w:t>95%，因此本</w:t>
            </w:r>
            <w:r>
              <w:rPr>
                <w:rFonts w:hint="eastAsia"/>
                <w:color w:val="auto"/>
                <w:sz w:val="24"/>
                <w:lang w:val="en-US" w:eastAsia="zh-CN"/>
              </w:rPr>
              <w:t>项目混料机破碎工序废气治理措施</w:t>
            </w:r>
            <w:r>
              <w:rPr>
                <w:rFonts w:hint="eastAsia"/>
                <w:color w:val="auto"/>
                <w:sz w:val="24"/>
              </w:rPr>
              <w:t>处理效率取95%</w:t>
            </w:r>
            <w:r>
              <w:rPr>
                <w:rFonts w:hint="eastAsia"/>
                <w:color w:val="auto"/>
                <w:sz w:val="24"/>
                <w:lang w:eastAsia="zh-CN"/>
              </w:rPr>
              <w:t>。</w:t>
            </w:r>
          </w:p>
          <w:p>
            <w:pPr>
              <w:adjustRightInd w:val="0"/>
              <w:snapToGrid w:val="0"/>
              <w:spacing w:line="360" w:lineRule="auto"/>
              <w:ind w:firstLine="482" w:firstLineChars="200"/>
              <w:rPr>
                <w:b/>
                <w:bCs/>
                <w:color w:val="auto"/>
                <w:kern w:val="0"/>
                <w:sz w:val="24"/>
                <w:highlight w:val="none"/>
              </w:rPr>
            </w:pPr>
            <w:r>
              <w:rPr>
                <w:rFonts w:hint="eastAsia"/>
                <w:b/>
                <w:bCs/>
                <w:color w:val="auto"/>
                <w:kern w:val="0"/>
                <w:sz w:val="24"/>
                <w:highlight w:val="none"/>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auto"/>
                <w:highlight w:val="yellow"/>
                <w:lang w:val="en-US" w:eastAsia="zh-CN"/>
              </w:rPr>
            </w:pPr>
            <w:r>
              <w:rPr>
                <w:rFonts w:hint="eastAsia"/>
                <w:color w:val="auto"/>
                <w:sz w:val="24"/>
              </w:rPr>
              <w:t>根据《排污许可证申请与核发技术规范 橡胶和塑料制品工业》（HJ1122—2020）表A.2可知，本项目废气采用的“</w:t>
            </w:r>
            <w:r>
              <w:rPr>
                <w:rFonts w:hint="eastAsia"/>
                <w:color w:val="auto"/>
                <w:sz w:val="24"/>
                <w:lang w:val="en-US" w:eastAsia="zh-CN"/>
              </w:rPr>
              <w:t>布袋除尘器</w:t>
            </w:r>
            <w:r>
              <w:rPr>
                <w:rFonts w:hint="eastAsia"/>
                <w:color w:val="auto"/>
                <w:sz w:val="24"/>
              </w:rPr>
              <w:t>”为可行技术</w:t>
            </w:r>
            <w:r>
              <w:rPr>
                <w:rFonts w:hint="eastAsia"/>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（4）注塑成型工序废气的收集</w:t>
            </w:r>
          </w:p>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现有项目注塑废气的处理设施为1套“二级活性炭吸附装置”，本次</w:t>
            </w:r>
            <w:r>
              <w:rPr>
                <w:rFonts w:hint="eastAsia" w:cs="Times New Roman"/>
                <w:color w:val="auto"/>
                <w:sz w:val="24"/>
                <w:szCs w:val="24"/>
                <w:highlight w:val="none"/>
                <w:lang w:val="en-US" w:eastAsia="zh-CN"/>
              </w:rPr>
              <w:t>扩建拟在该废气处理设施前加上“水喷淋+干式过滤器”除去注塑过程中产生的少量油雾。扩建</w:t>
            </w:r>
            <w:r>
              <w:rPr>
                <w:rFonts w:hint="eastAsia" w:cs="Times New Roman"/>
                <w:b w:val="0"/>
                <w:bCs w:val="0"/>
                <w:color w:val="auto"/>
                <w:sz w:val="24"/>
                <w:szCs w:val="24"/>
                <w:highlight w:val="none"/>
                <w:lang w:val="en-US" w:eastAsia="zh-CN"/>
              </w:rPr>
              <w:t>项目注塑成型工序产生的非甲烷总烃经集气罩收集后，并入整改后的废气处理设施处理达标后经现有的15m高的排气筒DA001排放。</w:t>
            </w:r>
          </w:p>
          <w:p>
            <w:pPr>
              <w:adjustRightInd w:val="0"/>
              <w:snapToGrid w:val="0"/>
              <w:spacing w:line="360" w:lineRule="auto"/>
              <w:ind w:firstLine="482" w:firstLineChars="200"/>
              <w:rPr>
                <w:b/>
                <w:bCs/>
                <w:color w:val="auto"/>
                <w:sz w:val="24"/>
              </w:rPr>
            </w:pPr>
            <w:r>
              <w:rPr>
                <w:rFonts w:hint="eastAsia" w:cs="Times New Roman"/>
                <w:b/>
                <w:bCs/>
                <w:color w:val="FF0000"/>
                <w:sz w:val="24"/>
                <w:szCs w:val="24"/>
                <w:highlight w:val="none"/>
                <w:lang w:val="en-US" w:eastAsia="zh-CN"/>
              </w:rPr>
              <w:t>以新带老削减量：</w:t>
            </w:r>
          </w:p>
          <w:p>
            <w:pPr>
              <w:adjustRightInd w:val="0"/>
              <w:snapToGrid w:val="0"/>
              <w:spacing w:line="360" w:lineRule="auto"/>
              <w:ind w:firstLine="480" w:firstLineChars="200"/>
              <w:rPr>
                <w:rFonts w:hint="eastAsia"/>
                <w:bCs/>
                <w:color w:val="FF0000"/>
                <w:sz w:val="24"/>
                <w:lang w:val="en-US" w:eastAsia="zh-CN"/>
              </w:rPr>
            </w:pPr>
            <w:r>
              <w:rPr>
                <w:rFonts w:hint="eastAsia"/>
                <w:bCs/>
                <w:color w:val="FF0000"/>
                <w:sz w:val="24"/>
                <w:lang w:val="en-US" w:eastAsia="zh-CN"/>
              </w:rPr>
              <w:t>现有项目的废气处理措施要加水喷淋+干式过滤器，加上之后对现有项目颗粒物、锡及其化合物有削减。</w:t>
            </w:r>
          </w:p>
          <w:p>
            <w:pPr>
              <w:adjustRightInd w:val="0"/>
              <w:snapToGrid w:val="0"/>
              <w:spacing w:line="360" w:lineRule="auto"/>
              <w:ind w:firstLine="480" w:firstLineChars="200"/>
              <w:rPr>
                <w:rFonts w:hint="eastAsia" w:ascii="Times New Roman" w:hAnsi="Times New Roman" w:eastAsia="宋体" w:cs="Times New Roman"/>
                <w:b w:val="0"/>
                <w:bCs w:val="0"/>
                <w:color w:val="FF0000"/>
                <w:sz w:val="24"/>
                <w:szCs w:val="24"/>
                <w:highlight w:val="none"/>
                <w:lang w:val="en-US" w:eastAsia="zh-CN"/>
              </w:rPr>
            </w:pPr>
            <w:r>
              <w:rPr>
                <w:rFonts w:hint="eastAsia" w:ascii="Times New Roman" w:cs="Times New Roman"/>
                <w:b w:val="0"/>
                <w:bCs w:val="0"/>
                <w:color w:val="FF0000"/>
                <w:sz w:val="24"/>
                <w:szCs w:val="24"/>
                <w:lang w:val="en-US" w:eastAsia="zh-CN"/>
              </w:rPr>
              <w:t>参照</w:t>
            </w:r>
            <w:r>
              <w:rPr>
                <w:rFonts w:hint="default" w:ascii="Times New Roman" w:hAnsi="Times New Roman" w:eastAsia="宋体" w:cs="Times New Roman"/>
                <w:b w:val="0"/>
                <w:bCs w:val="0"/>
                <w:color w:val="FF0000"/>
                <w:sz w:val="24"/>
                <w:szCs w:val="24"/>
                <w:highlight w:val="none"/>
                <w:lang w:val="en-US" w:eastAsia="zh-CN"/>
              </w:rPr>
              <w:t>《排放源统计调查产排污核算方法和系数手册》，</w:t>
            </w:r>
            <w:r>
              <w:rPr>
                <w:rFonts w:hint="eastAsia" w:ascii="Times New Roman" w:hAnsi="Times New Roman" w:eastAsia="宋体" w:cs="Times New Roman"/>
                <w:b w:val="0"/>
                <w:bCs w:val="0"/>
                <w:color w:val="FF0000"/>
                <w:sz w:val="24"/>
                <w:szCs w:val="24"/>
                <w:highlight w:val="none"/>
                <w:lang w:val="en-US" w:eastAsia="zh-CN"/>
              </w:rPr>
              <w:t>“喷淋塔/冲击水浴”对颗粒物的处理效率为85%；</w:t>
            </w:r>
          </w:p>
          <w:p>
            <w:pPr>
              <w:adjustRightInd w:val="0"/>
              <w:snapToGrid w:val="0"/>
              <w:spacing w:line="360" w:lineRule="auto"/>
              <w:ind w:firstLine="480" w:firstLineChars="200"/>
              <w:rPr>
                <w:rFonts w:hint="eastAsia"/>
                <w:b w:val="0"/>
                <w:bCs w:val="0"/>
                <w:color w:val="FF0000"/>
                <w:kern w:val="0"/>
                <w:sz w:val="24"/>
                <w:lang w:val="en-US" w:eastAsia="zh-CN"/>
              </w:rPr>
            </w:pPr>
            <w:r>
              <w:rPr>
                <w:rFonts w:hint="eastAsia"/>
                <w:b w:val="0"/>
                <w:bCs w:val="0"/>
                <w:color w:val="FF0000"/>
                <w:kern w:val="0"/>
                <w:sz w:val="24"/>
                <w:lang w:val="en-US" w:eastAsia="zh-CN"/>
              </w:rPr>
              <w:t>根据文献《喷漆废气处理技术研究进展》（作者：盛楠、魏周好胜、陈明功、孙逸玫、韩笑）：干式净化法是将喷漆废气进入过滤器，利用滤层阻留喷漆废气的漆雾和颗粒物，常用玻璃纤维棉、炉渣等作为滤料，理论上过滤法可以取出大部分漆雾，该方法无二次污染，不产生废水，干式过滤法去除漆雾效率可达90~95%，本项目按90%计；</w:t>
            </w:r>
          </w:p>
          <w:p>
            <w:pPr>
              <w:adjustRightInd w:val="0"/>
              <w:snapToGrid w:val="0"/>
              <w:spacing w:line="360" w:lineRule="auto"/>
              <w:ind w:firstLine="480" w:firstLineChars="200"/>
              <w:rPr>
                <w:rFonts w:hint="default" w:ascii="Times New Roman" w:hAnsi="Times New Roman" w:eastAsia="宋体" w:cs="Times New Roman"/>
                <w:b w:val="0"/>
                <w:bCs w:val="0"/>
                <w:color w:val="FF0000"/>
                <w:sz w:val="24"/>
                <w:szCs w:val="24"/>
                <w:highlight w:val="none"/>
                <w:lang w:val="en-US" w:eastAsia="zh-CN"/>
              </w:rPr>
            </w:pPr>
            <w:r>
              <w:rPr>
                <w:rFonts w:hint="eastAsia"/>
                <w:b w:val="0"/>
                <w:bCs w:val="0"/>
                <w:color w:val="FF0000"/>
                <w:kern w:val="0"/>
                <w:sz w:val="24"/>
                <w:lang w:val="en-US" w:eastAsia="zh-CN"/>
              </w:rPr>
              <w:t>活性炭对</w:t>
            </w:r>
            <w:r>
              <w:rPr>
                <w:rFonts w:hint="eastAsia"/>
                <w:bCs/>
                <w:color w:val="FF0000"/>
                <w:sz w:val="24"/>
                <w:lang w:val="en-US" w:eastAsia="zh-CN"/>
              </w:rPr>
              <w:t>颗粒物、锡及其化合物的</w:t>
            </w:r>
            <w:r>
              <w:rPr>
                <w:rFonts w:hint="eastAsia"/>
                <w:b w:val="0"/>
                <w:bCs w:val="0"/>
                <w:color w:val="FF0000"/>
                <w:kern w:val="0"/>
                <w:sz w:val="24"/>
                <w:lang w:val="en-US" w:eastAsia="zh-CN"/>
              </w:rPr>
              <w:t>处理效率按80%取值；</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FF0000"/>
                <w:sz w:val="24"/>
                <w:szCs w:val="24"/>
                <w:lang w:val="en-US" w:eastAsia="zh-CN"/>
              </w:rPr>
            </w:pPr>
            <w:r>
              <w:rPr>
                <w:rFonts w:hint="default" w:ascii="Times New Roman" w:hAnsi="Times New Roman" w:cs="Times New Roman"/>
                <w:b/>
                <w:bCs/>
                <w:color w:val="FF0000"/>
                <w:sz w:val="24"/>
                <w:highlight w:val="none"/>
              </w:rPr>
              <w:t>当存在两种或两种以上治理设施联合治理时，治理效率可按公式n=1-(1-n</w:t>
            </w:r>
            <w:r>
              <w:rPr>
                <w:rFonts w:hint="default" w:ascii="Times New Roman" w:hAnsi="Times New Roman" w:cs="Times New Roman"/>
                <w:b/>
                <w:bCs/>
                <w:color w:val="FF0000"/>
                <w:sz w:val="24"/>
                <w:highlight w:val="none"/>
                <w:vertAlign w:val="subscript"/>
              </w:rPr>
              <w:t>1</w:t>
            </w:r>
            <w:r>
              <w:rPr>
                <w:rFonts w:hint="default" w:ascii="Times New Roman" w:hAnsi="Times New Roman" w:cs="Times New Roman"/>
                <w:b/>
                <w:bCs/>
                <w:color w:val="FF0000"/>
                <w:sz w:val="24"/>
                <w:highlight w:val="none"/>
              </w:rPr>
              <w:t>)×(1-n</w:t>
            </w:r>
            <w:r>
              <w:rPr>
                <w:rFonts w:hint="default" w:ascii="Times New Roman" w:hAnsi="Times New Roman" w:cs="Times New Roman"/>
                <w:b/>
                <w:bCs/>
                <w:color w:val="FF0000"/>
                <w:sz w:val="24"/>
                <w:highlight w:val="none"/>
                <w:vertAlign w:val="subscript"/>
              </w:rPr>
              <w:t>2</w:t>
            </w:r>
            <w:r>
              <w:rPr>
                <w:rFonts w:hint="default" w:ascii="Times New Roman" w:hAnsi="Times New Roman" w:cs="Times New Roman"/>
                <w:b/>
                <w:bCs/>
                <w:color w:val="FF0000"/>
                <w:sz w:val="24"/>
                <w:highlight w:val="none"/>
              </w:rPr>
              <w:t>)…. (1-n</w:t>
            </w:r>
            <w:r>
              <w:rPr>
                <w:rFonts w:hint="default" w:ascii="Times New Roman" w:hAnsi="Times New Roman" w:cs="Times New Roman"/>
                <w:b/>
                <w:bCs/>
                <w:color w:val="FF0000"/>
                <w:sz w:val="24"/>
                <w:highlight w:val="none"/>
                <w:vertAlign w:val="subscript"/>
              </w:rPr>
              <w:t>1</w:t>
            </w:r>
            <w:r>
              <w:rPr>
                <w:rFonts w:hint="default" w:ascii="Times New Roman" w:hAnsi="Times New Roman" w:cs="Times New Roman"/>
                <w:b/>
                <w:bCs/>
                <w:color w:val="FF0000"/>
                <w:sz w:val="24"/>
                <w:highlight w:val="none"/>
              </w:rPr>
              <w:t>)进行计算</w:t>
            </w:r>
            <w:r>
              <w:rPr>
                <w:rFonts w:hint="eastAsia" w:ascii="Times New Roman" w:hAnsi="Times New Roman" w:cs="Times New Roman"/>
                <w:b/>
                <w:bCs/>
                <w:color w:val="FF0000"/>
                <w:sz w:val="24"/>
                <w:highlight w:val="none"/>
                <w:lang w:eastAsia="zh-CN"/>
              </w:rPr>
              <w:t>，则“水喷淋</w:t>
            </w:r>
            <w:r>
              <w:rPr>
                <w:rFonts w:hint="eastAsia" w:ascii="Times New Roman" w:hAnsi="Times New Roman" w:cs="Times New Roman"/>
                <w:b/>
                <w:bCs/>
                <w:color w:val="FF0000"/>
                <w:sz w:val="24"/>
                <w:highlight w:val="none"/>
                <w:lang w:val="en-US" w:eastAsia="zh-CN"/>
              </w:rPr>
              <w:t>+干式过滤</w:t>
            </w:r>
            <w:r>
              <w:rPr>
                <w:rFonts w:hint="eastAsia" w:cs="Times New Roman"/>
                <w:b/>
                <w:bCs/>
                <w:color w:val="FF0000"/>
                <w:sz w:val="24"/>
                <w:highlight w:val="none"/>
                <w:lang w:val="en-US" w:eastAsia="zh-CN"/>
              </w:rPr>
              <w:t>器+二级活性炭</w:t>
            </w:r>
            <w:r>
              <w:rPr>
                <w:rFonts w:hint="eastAsia" w:ascii="Times New Roman" w:hAnsi="Times New Roman" w:cs="Times New Roman"/>
                <w:b/>
                <w:bCs/>
                <w:color w:val="FF0000"/>
                <w:sz w:val="24"/>
                <w:highlight w:val="none"/>
                <w:lang w:eastAsia="zh-CN"/>
              </w:rPr>
              <w:t>”对</w:t>
            </w:r>
            <w:r>
              <w:rPr>
                <w:rFonts w:hint="eastAsia" w:ascii="Times New Roman" w:hAnsi="Times New Roman" w:cs="Times New Roman"/>
                <w:b/>
                <w:bCs/>
                <w:color w:val="FF0000"/>
                <w:sz w:val="24"/>
                <w:highlight w:val="none"/>
                <w:lang w:val="en-US" w:eastAsia="zh-CN"/>
              </w:rPr>
              <w:t>颗粒物、锡及其化合物</w:t>
            </w:r>
            <w:r>
              <w:rPr>
                <w:rFonts w:hint="eastAsia" w:ascii="Times New Roman" w:hAnsi="Times New Roman" w:cs="Times New Roman"/>
                <w:b/>
                <w:bCs/>
                <w:color w:val="FF0000"/>
                <w:sz w:val="24"/>
                <w:highlight w:val="none"/>
                <w:lang w:eastAsia="zh-CN"/>
              </w:rPr>
              <w:t>的综合处理效率为：1-（1-</w:t>
            </w:r>
            <w:r>
              <w:rPr>
                <w:rFonts w:hint="eastAsia" w:cs="Times New Roman"/>
                <w:b/>
                <w:bCs/>
                <w:color w:val="FF0000"/>
                <w:sz w:val="24"/>
                <w:highlight w:val="none"/>
                <w:lang w:val="en-US" w:eastAsia="zh-CN"/>
              </w:rPr>
              <w:t>85</w:t>
            </w:r>
            <w:r>
              <w:rPr>
                <w:rFonts w:hint="eastAsia" w:ascii="Times New Roman" w:hAnsi="Times New Roman" w:cs="Times New Roman"/>
                <w:b/>
                <w:bCs/>
                <w:color w:val="FF0000"/>
                <w:sz w:val="24"/>
                <w:highlight w:val="none"/>
                <w:lang w:eastAsia="zh-CN"/>
              </w:rPr>
              <w:t>%）×（1-</w:t>
            </w:r>
            <w:r>
              <w:rPr>
                <w:rFonts w:hint="eastAsia" w:cs="Times New Roman"/>
                <w:b/>
                <w:bCs/>
                <w:color w:val="FF0000"/>
                <w:sz w:val="24"/>
                <w:highlight w:val="none"/>
                <w:lang w:val="en-US" w:eastAsia="zh-CN"/>
              </w:rPr>
              <w:t>90</w:t>
            </w:r>
            <w:r>
              <w:rPr>
                <w:rFonts w:hint="eastAsia" w:ascii="Times New Roman" w:hAnsi="Times New Roman" w:cs="Times New Roman"/>
                <w:b/>
                <w:bCs/>
                <w:color w:val="FF0000"/>
                <w:sz w:val="24"/>
                <w:highlight w:val="none"/>
                <w:lang w:eastAsia="zh-CN"/>
              </w:rPr>
              <w:t>%）×（1-</w:t>
            </w:r>
            <w:r>
              <w:rPr>
                <w:rFonts w:hint="eastAsia" w:cs="Times New Roman"/>
                <w:b/>
                <w:bCs/>
                <w:color w:val="FF0000"/>
                <w:sz w:val="24"/>
                <w:highlight w:val="none"/>
                <w:lang w:val="en-US" w:eastAsia="zh-CN"/>
              </w:rPr>
              <w:t>8</w:t>
            </w:r>
            <w:r>
              <w:rPr>
                <w:rFonts w:hint="eastAsia" w:ascii="Times New Roman" w:hAnsi="Times New Roman" w:cs="Times New Roman"/>
                <w:b/>
                <w:bCs/>
                <w:color w:val="FF0000"/>
                <w:sz w:val="24"/>
                <w:highlight w:val="none"/>
                <w:lang w:val="en-US" w:eastAsia="zh-CN"/>
              </w:rPr>
              <w:t>0</w:t>
            </w:r>
            <w:r>
              <w:rPr>
                <w:rFonts w:hint="eastAsia" w:ascii="Times New Roman" w:hAnsi="Times New Roman" w:cs="Times New Roman"/>
                <w:b/>
                <w:bCs/>
                <w:color w:val="FF0000"/>
                <w:sz w:val="24"/>
                <w:highlight w:val="none"/>
                <w:lang w:eastAsia="zh-CN"/>
              </w:rPr>
              <w:t>%）=9</w:t>
            </w:r>
            <w:r>
              <w:rPr>
                <w:rFonts w:hint="eastAsia" w:ascii="Times New Roman" w:hAnsi="Times New Roman" w:cs="Times New Roman"/>
                <w:b/>
                <w:bCs/>
                <w:color w:val="FF0000"/>
                <w:sz w:val="24"/>
                <w:highlight w:val="none"/>
                <w:lang w:val="en-US" w:eastAsia="zh-CN"/>
              </w:rPr>
              <w:t>9</w:t>
            </w:r>
            <w:r>
              <w:rPr>
                <w:rFonts w:hint="eastAsia" w:cs="Times New Roman"/>
                <w:b/>
                <w:bCs/>
                <w:color w:val="FF0000"/>
                <w:sz w:val="24"/>
                <w:highlight w:val="none"/>
                <w:lang w:val="en-US" w:eastAsia="zh-CN"/>
              </w:rPr>
              <w:t>.7</w:t>
            </w:r>
            <w:r>
              <w:rPr>
                <w:rFonts w:hint="eastAsia" w:ascii="Times New Roman" w:hAnsi="Times New Roman" w:cs="Times New Roman"/>
                <w:b/>
                <w:bCs/>
                <w:color w:val="FF0000"/>
                <w:sz w:val="24"/>
                <w:highlight w:val="none"/>
                <w:lang w:eastAsia="zh-CN"/>
              </w:rPr>
              <w:t>%。</w:t>
            </w:r>
          </w:p>
          <w:p>
            <w:pPr>
              <w:adjustRightInd w:val="0"/>
              <w:snapToGrid w:val="0"/>
              <w:spacing w:line="360" w:lineRule="auto"/>
              <w:ind w:firstLine="480" w:firstLineChars="200"/>
              <w:rPr>
                <w:rFonts w:hint="default"/>
                <w:b/>
                <w:bCs/>
                <w:color w:val="FF0000"/>
                <w:sz w:val="24"/>
                <w:highlight w:val="none"/>
                <w:lang w:val="en-US"/>
              </w:rPr>
            </w:pPr>
            <w:r>
              <w:rPr>
                <w:rFonts w:hint="eastAsia"/>
                <w:bCs/>
                <w:color w:val="FF0000"/>
                <w:sz w:val="24"/>
                <w:lang w:val="en-US" w:eastAsia="zh-CN"/>
              </w:rPr>
              <w:t>根据前文第二章节现有项目废气检测数据及无组织废气量核算内容可知：颗</w:t>
            </w:r>
            <w:r>
              <w:rPr>
                <w:rFonts w:hint="eastAsia"/>
                <w:bCs/>
                <w:color w:val="FF0000"/>
                <w:sz w:val="24"/>
                <w:highlight w:val="none"/>
                <w:lang w:val="en-US" w:eastAsia="zh-CN"/>
              </w:rPr>
              <w:t>粒物削减量为0.864</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+2.88</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-【7.2t/a×60%×（100%-99.7%）+2.88</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】=0.851</w:t>
            </w:r>
            <w:r>
              <w:rPr>
                <w:rFonts w:hint="eastAsia" w:ascii="Times New Roman" w:hAnsi="Times New Roman" w:eastAsia="宋体" w:cs="Times New Roman"/>
                <w:bCs/>
                <w:color w:val="FF0000"/>
                <w:sz w:val="24"/>
                <w:highlight w:val="none"/>
                <w:lang w:val="en-US" w:eastAsia="zh-CN"/>
              </w:rPr>
              <w:t>t/a，锡及其化合物</w:t>
            </w:r>
            <w:r>
              <w:rPr>
                <w:rFonts w:hint="eastAsia"/>
                <w:bCs/>
                <w:color w:val="FF0000"/>
                <w:sz w:val="24"/>
                <w:highlight w:val="none"/>
                <w:lang w:val="en-US" w:eastAsia="zh-CN"/>
              </w:rPr>
              <w:t>削减量为0.000017</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+0.00005</w:t>
            </w:r>
            <w:r>
              <w:rPr>
                <w:rFonts w:hint="eastAsia" w:ascii="Times New Roman" w:hAnsi="Times New Roman" w:eastAsia="宋体" w:cs="Times New Roman"/>
                <w:bCs/>
                <w:color w:val="FF0000"/>
                <w:sz w:val="24"/>
                <w:highlight w:val="none"/>
                <w:lang w:val="en-US" w:eastAsia="zh-CN"/>
              </w:rPr>
              <w:t>t/a</w:t>
            </w:r>
            <w:r>
              <w:rPr>
                <w:rFonts w:hint="eastAsia" w:eastAsia="宋体" w:cs="Times New Roman"/>
                <w:bCs/>
                <w:color w:val="FF0000"/>
                <w:sz w:val="24"/>
                <w:highlight w:val="none"/>
                <w:lang w:val="en-US" w:eastAsia="zh-CN"/>
              </w:rPr>
              <w:t>-</w:t>
            </w:r>
            <w:r>
              <w:rPr>
                <w:rFonts w:hint="eastAsia"/>
                <w:bCs/>
                <w:color w:val="FF0000"/>
                <w:sz w:val="24"/>
                <w:highlight w:val="none"/>
                <w:lang w:val="en-US" w:eastAsia="zh-CN"/>
              </w:rPr>
              <w:t>【0.000144t/a×60%×（100%-99.7%）+0.00005</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】=0.000017</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cs="Times New Roman"/>
                <w:b/>
                <w:bCs/>
                <w:color w:val="auto"/>
                <w:sz w:val="24"/>
                <w:szCs w:val="24"/>
                <w:highlight w:val="none"/>
                <w:lang w:val="en-US" w:eastAsia="zh-CN"/>
              </w:rPr>
              <w:t>①收集装置：</w:t>
            </w:r>
            <w:r>
              <w:rPr>
                <w:rFonts w:hint="eastAsia" w:cs="Times New Roman"/>
                <w:color w:val="auto"/>
                <w:sz w:val="24"/>
                <w:szCs w:val="24"/>
                <w:highlight w:val="none"/>
                <w:lang w:val="en-US" w:eastAsia="zh-CN"/>
              </w:rPr>
              <w:t>拟在注塑机上方安装集气罩</w:t>
            </w:r>
            <w:r>
              <w:rPr>
                <w:rFonts w:hint="eastAsia" w:cs="Times New Roman"/>
                <w:b w:val="0"/>
                <w:bCs/>
                <w:color w:val="auto"/>
                <w:sz w:val="24"/>
                <w:szCs w:val="24"/>
                <w:lang w:val="en-US" w:eastAsia="zh-CN"/>
              </w:rPr>
              <w:t>。</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ascii="Times New Roman" w:hAnsi="Times New Roman" w:cs="Times New Roman"/>
                <w:b w:val="0"/>
                <w:bCs/>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r>
              <w:rPr>
                <w:rFonts w:hint="default" w:ascii="Times New Roman" w:hAnsi="Times New Roman" w:cs="Times New Roman"/>
                <w:color w:val="auto"/>
                <w:sz w:val="24"/>
                <w:lang w:val="en-US" w:eastAsia="zh-CN"/>
              </w:rPr>
              <w:t>参照</w:t>
            </w:r>
            <w:r>
              <w:rPr>
                <w:rFonts w:hint="default" w:ascii="Times New Roman" w:hAnsi="Times New Roman" w:cs="Times New Roman"/>
                <w:b w:val="0"/>
                <w:bCs/>
                <w:color w:val="auto"/>
                <w:sz w:val="24"/>
                <w:szCs w:val="24"/>
                <w:lang w:val="en-US" w:eastAsia="zh-CN"/>
              </w:rPr>
              <w:t>《广东省工业源挥发性有机物减排量核算方法（试行）》中表4.5-1，仅保留1个操作工位面，</w:t>
            </w:r>
            <w:r>
              <w:rPr>
                <w:rFonts w:hint="default" w:ascii="Times New Roman" w:hAnsi="Times New Roman" w:eastAsia="Arial" w:cs="Times New Roman"/>
                <w:i w:val="0"/>
                <w:iCs w:val="0"/>
                <w:caps w:val="0"/>
                <w:color w:val="auto"/>
                <w:spacing w:val="0"/>
                <w:sz w:val="24"/>
                <w:szCs w:val="24"/>
                <w:shd w:val="clear" w:fill="FFFFFF"/>
              </w:rPr>
              <w:t>仅保留物料进出通道，通道敞开面小于1个操作工位面</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Arial" w:cs="Times New Roman"/>
                <w:i w:val="0"/>
                <w:iCs w:val="0"/>
                <w:caps w:val="0"/>
                <w:color w:val="auto"/>
                <w:spacing w:val="0"/>
                <w:sz w:val="24"/>
                <w:szCs w:val="24"/>
                <w:shd w:val="clear" w:fill="FFFFFF"/>
              </w:rPr>
              <w:t>敞开面控制风速在0.3-0.5m/s之间，集气效率取值60%；</w:t>
            </w:r>
            <w:r>
              <w:rPr>
                <w:rFonts w:hint="default" w:ascii="Times New Roman" w:hAnsi="Times New Roman" w:cs="Times New Roman"/>
                <w:b w:val="0"/>
                <w:bCs/>
                <w:color w:val="auto"/>
                <w:sz w:val="24"/>
                <w:szCs w:val="24"/>
                <w:lang w:val="en-US" w:eastAsia="zh-CN"/>
              </w:rPr>
              <w:t>本项目取60%。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2" w:firstLineChars="200"/>
              <w:textAlignment w:val="auto"/>
              <w:rPr>
                <w:rFonts w:hint="eastAsia" w:eastAsia="宋体"/>
                <w:b w:val="0"/>
                <w:bCs w:val="0"/>
                <w:color w:val="auto"/>
                <w:kern w:val="0"/>
                <w:szCs w:val="21"/>
                <w:lang w:eastAsia="zh-CN"/>
              </w:rPr>
            </w:pPr>
            <w:r>
              <w:rPr>
                <w:rFonts w:hint="eastAsia" w:ascii="Times New Roman" w:hAnsi="Times New Roman" w:cs="Times New Roman"/>
                <w:b/>
                <w:bCs w:val="0"/>
                <w:color w:val="auto"/>
                <w:sz w:val="24"/>
                <w:szCs w:val="24"/>
                <w:lang w:val="en-US" w:eastAsia="zh-CN"/>
              </w:rPr>
              <w:t>③风量设计：</w:t>
            </w:r>
            <w:r>
              <w:rPr>
                <w:b w:val="0"/>
                <w:bCs w:val="0"/>
                <w:color w:val="auto"/>
                <w:kern w:val="0"/>
                <w:szCs w:val="21"/>
              </w:rPr>
              <w:t>根据《</w:t>
            </w:r>
            <w:r>
              <w:rPr>
                <w:rFonts w:hint="eastAsia"/>
                <w:b w:val="0"/>
                <w:bCs w:val="0"/>
                <w:color w:val="auto"/>
                <w:kern w:val="0"/>
                <w:szCs w:val="21"/>
                <w:lang w:val="en-US" w:eastAsia="zh-CN"/>
              </w:rPr>
              <w:t>三废工程技术手册 废气卷</w:t>
            </w:r>
            <w:r>
              <w:rPr>
                <w:b w:val="0"/>
                <w:bCs w:val="0"/>
                <w:color w:val="auto"/>
                <w:kern w:val="0"/>
                <w:szCs w:val="21"/>
              </w:rPr>
              <w:t>》中的有关公式，项目按以下经验公式计算得出产污设备所需的风量</w:t>
            </w:r>
            <w:r>
              <w:rPr>
                <w:rFonts w:hint="eastAsia"/>
                <w:b w:val="0"/>
                <w:bCs w:val="0"/>
                <w:color w:val="auto"/>
                <w:kern w:val="0"/>
                <w:szCs w:val="21"/>
                <w:lang w:val="en-US" w:eastAsia="zh-CN"/>
              </w:rPr>
              <w:t>Q：</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default" w:eastAsia="宋体"/>
                <w:b w:val="0"/>
                <w:bCs w:val="0"/>
                <w:color w:val="auto"/>
                <w:szCs w:val="21"/>
                <w:lang w:val="en-US" w:eastAsia="zh-CN"/>
              </w:rPr>
            </w:pPr>
            <w:r>
              <w:rPr>
                <w:rFonts w:hint="eastAsia"/>
                <w:b w:val="0"/>
                <w:bCs w:val="0"/>
                <w:color w:val="auto"/>
                <w:szCs w:val="21"/>
                <w:lang w:val="en-US" w:eastAsia="zh-CN"/>
              </w:rPr>
              <w:t>Q</w:t>
            </w:r>
            <w:r>
              <w:rPr>
                <w:rFonts w:hint="eastAsia"/>
                <w:b w:val="0"/>
                <w:bCs w:val="0"/>
                <w:color w:val="auto"/>
                <w:szCs w:val="21"/>
              </w:rPr>
              <w:t>=</w:t>
            </w:r>
            <w:r>
              <w:rPr>
                <w:rFonts w:hint="eastAsia"/>
                <w:b w:val="0"/>
                <w:bCs w:val="0"/>
                <w:color w:val="auto"/>
                <w:szCs w:val="21"/>
                <w:lang w:val="en-US" w:eastAsia="zh-CN"/>
              </w:rPr>
              <w:t>3600</w:t>
            </w:r>
            <w:r>
              <w:rPr>
                <w:rFonts w:hint="eastAsia"/>
                <w:b w:val="0"/>
                <w:bCs w:val="0"/>
                <w:color w:val="auto"/>
                <w:szCs w:val="21"/>
                <w:lang w:eastAsia="zh-CN"/>
              </w:rPr>
              <w:t>（</w:t>
            </w:r>
            <w:r>
              <w:rPr>
                <w:rFonts w:hint="eastAsia"/>
                <w:b w:val="0"/>
                <w:bCs w:val="0"/>
                <w:color w:val="auto"/>
                <w:szCs w:val="21"/>
                <w:lang w:val="en-US" w:eastAsia="zh-CN"/>
              </w:rPr>
              <w:t>10x</w:t>
            </w:r>
            <w:r>
              <w:rPr>
                <w:rFonts w:hint="eastAsia"/>
                <w:b w:val="0"/>
                <w:bCs w:val="0"/>
                <w:color w:val="auto"/>
                <w:szCs w:val="21"/>
                <w:vertAlign w:val="superscript"/>
                <w:lang w:val="en-US" w:eastAsia="zh-CN"/>
              </w:rPr>
              <w:t>2</w:t>
            </w:r>
            <w:r>
              <w:rPr>
                <w:rFonts w:hint="eastAsia"/>
                <w:b w:val="0"/>
                <w:bCs w:val="0"/>
                <w:color w:val="auto"/>
                <w:szCs w:val="21"/>
                <w:lang w:val="en-US" w:eastAsia="zh-CN"/>
              </w:rPr>
              <w:t>+F</w:t>
            </w:r>
            <w:r>
              <w:rPr>
                <w:rFonts w:hint="eastAsia"/>
                <w:b w:val="0"/>
                <w:bCs w:val="0"/>
                <w:color w:val="auto"/>
                <w:szCs w:val="21"/>
                <w:lang w:eastAsia="zh-CN"/>
              </w:rPr>
              <w:t>）</w:t>
            </w:r>
            <w:r>
              <w:rPr>
                <w:rFonts w:hint="eastAsia"/>
                <w:b w:val="0"/>
                <w:bCs w:val="0"/>
                <w:color w:val="auto"/>
                <w:szCs w:val="21"/>
                <w:lang w:val="en-US" w:eastAsia="zh-CN"/>
              </w:rPr>
              <w:t>Vx</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Q</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default" w:ascii="Times New Roman" w:hAnsi="Times New Roman" w:eastAsia="宋体" w:cs="Times New Roman"/>
                <w:b w:val="0"/>
                <w:bCs w:val="0"/>
                <w:color w:val="auto"/>
                <w:szCs w:val="21"/>
                <w:lang w:val="en-US" w:eastAsia="zh-CN"/>
              </w:rPr>
            </w:pPr>
            <w:r>
              <w:rPr>
                <w:rFonts w:hint="eastAsia"/>
                <w:b w:val="0"/>
                <w:bCs w:val="0"/>
                <w:color w:val="auto"/>
                <w:szCs w:val="21"/>
                <w:lang w:val="en-US" w:eastAsia="zh-CN"/>
              </w:rPr>
              <w:t>F</w:t>
            </w:r>
            <w:r>
              <w:rPr>
                <w:rFonts w:hint="eastAsia"/>
                <w:b w:val="0"/>
                <w:bCs w:val="0"/>
                <w:color w:val="auto"/>
                <w:szCs w:val="21"/>
              </w:rPr>
              <w:t>--</w:t>
            </w:r>
            <w:r>
              <w:rPr>
                <w:rFonts w:hint="eastAsia"/>
                <w:b w:val="0"/>
                <w:bCs w:val="0"/>
                <w:color w:val="auto"/>
                <w:szCs w:val="21"/>
                <w:lang w:val="en-US" w:eastAsia="zh-CN"/>
              </w:rPr>
              <w:t>罩口面积</w:t>
            </w:r>
            <w:r>
              <w:rPr>
                <w:rFonts w:hint="eastAsia"/>
                <w:b w:val="0"/>
                <w:bCs w:val="0"/>
                <w:color w:val="auto"/>
                <w:szCs w:val="21"/>
              </w:rPr>
              <w:t>，m</w:t>
            </w:r>
            <w:r>
              <w:rPr>
                <w:rFonts w:hint="eastAsia"/>
                <w:b w:val="0"/>
                <w:bCs w:val="0"/>
                <w:color w:val="auto"/>
                <w:szCs w:val="21"/>
                <w:vertAlign w:val="superscript"/>
                <w:lang w:val="en-US" w:eastAsia="zh-CN"/>
              </w:rPr>
              <w:t>2</w:t>
            </w:r>
            <w:r>
              <w:rPr>
                <w:rFonts w:hint="eastAsia"/>
                <w:b w:val="0"/>
                <w:bCs w:val="0"/>
                <w:color w:val="auto"/>
                <w:szCs w:val="21"/>
                <w:lang w:eastAsia="zh-CN"/>
              </w:rPr>
              <w:t>，</w:t>
            </w:r>
            <w:r>
              <w:rPr>
                <w:rFonts w:hint="eastAsia"/>
                <w:b w:val="0"/>
                <w:bCs w:val="0"/>
                <w:color w:val="auto"/>
                <w:szCs w:val="21"/>
                <w:lang w:val="en-US" w:eastAsia="zh-CN"/>
              </w:rPr>
              <w:t>F=Bh</w:t>
            </w:r>
            <w:r>
              <w:rPr>
                <w:rFonts w:hint="default" w:ascii="Times New Roman" w:hAnsi="Times New Roman" w:cs="Times New Roman"/>
                <w:b w:val="0"/>
                <w:bCs w:val="0"/>
                <w:color w:val="auto"/>
                <w:szCs w:val="21"/>
                <w:lang w:val="en-US" w:eastAsia="zh-CN"/>
              </w:rPr>
              <w:t>或F=π</w:t>
            </w:r>
            <w:r>
              <w:rPr>
                <w:rFonts w:hint="eastAsia" w:ascii="Times New Roman" w:hAnsi="Times New Roman" w:cs="Times New Roman"/>
                <w:b w:val="0"/>
                <w:bCs w:val="0"/>
                <w:color w:val="auto"/>
                <w:szCs w:val="21"/>
                <w:lang w:val="en-US" w:eastAsia="zh-CN"/>
              </w:rPr>
              <w:t>d</w:t>
            </w:r>
            <w:r>
              <w:rPr>
                <w:rFonts w:hint="eastAsia" w:ascii="Times New Roman" w:hAnsi="Times New Roman" w:cs="Times New Roman"/>
                <w:b w:val="0"/>
                <w:bCs w:val="0"/>
                <w:color w:val="auto"/>
                <w:szCs w:val="21"/>
                <w:vertAlign w:val="superscript"/>
                <w:lang w:val="en-US" w:eastAsia="zh-CN"/>
              </w:rPr>
              <w:t>2</w:t>
            </w:r>
            <w:r>
              <w:rPr>
                <w:rFonts w:hint="eastAsia" w:ascii="Times New Roman" w:hAnsi="Times New Roman" w:cs="Times New Roman"/>
                <w:b w:val="0"/>
                <w:bCs w:val="0"/>
                <w:color w:val="auto"/>
                <w:szCs w:val="21"/>
                <w:lang w:val="en-US" w:eastAsia="zh-CN"/>
              </w:rPr>
              <w:t>/4；</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x</w:t>
            </w:r>
            <w:r>
              <w:rPr>
                <w:rFonts w:hint="eastAsia"/>
                <w:b w:val="0"/>
                <w:bCs w:val="0"/>
                <w:color w:val="auto"/>
                <w:szCs w:val="21"/>
              </w:rPr>
              <w:t>--罩口至污染源距离，m；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Vx--污染源边缘控制风速，m/s</w:t>
            </w:r>
            <w:r>
              <w:rPr>
                <w:rFonts w:hint="eastAsia"/>
                <w:b w:val="0"/>
                <w:bCs w:val="0"/>
                <w:color w:val="auto"/>
                <w:szCs w:val="21"/>
                <w:lang w:eastAsia="zh-CN"/>
              </w:rPr>
              <w:t>。</w:t>
            </w:r>
          </w:p>
          <w:p>
            <w:pPr>
              <w:pStyle w:val="44"/>
              <w:numPr>
                <w:ilvl w:val="0"/>
                <w:numId w:val="9"/>
              </w:numPr>
              <w:shd w:val="clear" w:color="auto" w:fill="auto"/>
              <w:tabs>
                <w:tab w:val="clear" w:pos="0"/>
              </w:tabs>
              <w:bidi w:val="0"/>
              <w:ind w:left="0" w:leftChars="0" w:firstLine="403"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注塑工序收集系统风量计算一览表</w:t>
            </w:r>
          </w:p>
          <w:tbl>
            <w:tblPr>
              <w:tblStyle w:val="30"/>
              <w:tblpPr w:leftFromText="180" w:rightFromText="180" w:vertAnchor="text" w:tblpXSpec="left" w:tblpY="1"/>
              <w:tblOverlap w:val="never"/>
              <w:tblW w:w="9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62"/>
              <w:gridCol w:w="1895"/>
              <w:gridCol w:w="1200"/>
              <w:gridCol w:w="1230"/>
              <w:gridCol w:w="1320"/>
              <w:gridCol w:w="1327"/>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3"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设备名称</w:t>
                  </w:r>
                </w:p>
              </w:tc>
              <w:tc>
                <w:tcPr>
                  <w:tcW w:w="189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集气罩</w:t>
                  </w:r>
                  <w:r>
                    <w:rPr>
                      <w:rFonts w:hint="eastAsia" w:cs="Times New Roman"/>
                      <w:b/>
                      <w:bCs/>
                      <w:color w:val="auto"/>
                      <w:sz w:val="21"/>
                      <w:szCs w:val="21"/>
                      <w:lang w:val="en-US" w:eastAsia="zh-CN"/>
                    </w:rPr>
                    <w:t>直径d（m）</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w:t>
                  </w:r>
                  <w:r>
                    <w:rPr>
                      <w:rFonts w:hint="eastAsia" w:cs="Times New Roman"/>
                      <w:b/>
                      <w:bCs/>
                      <w:color w:val="auto"/>
                      <w:sz w:val="21"/>
                      <w:szCs w:val="21"/>
                      <w:lang w:val="en-US" w:eastAsia="zh-CN"/>
                    </w:rPr>
                    <w:t>面积F（m</w:t>
                  </w:r>
                  <w:r>
                    <w:rPr>
                      <w:rFonts w:hint="eastAsia" w:cs="Times New Roman"/>
                      <w:b/>
                      <w:bCs/>
                      <w:color w:val="auto"/>
                      <w:sz w:val="21"/>
                      <w:szCs w:val="21"/>
                      <w:vertAlign w:val="superscript"/>
                      <w:lang w:val="en-US" w:eastAsia="zh-CN"/>
                    </w:rPr>
                    <w:t>2</w:t>
                  </w:r>
                  <w:r>
                    <w:rPr>
                      <w:rFonts w:hint="eastAsia" w:cs="Times New Roman"/>
                      <w:b/>
                      <w:bCs/>
                      <w:color w:val="auto"/>
                      <w:sz w:val="21"/>
                      <w:szCs w:val="21"/>
                      <w:lang w:val="en-US" w:eastAsia="zh-CN"/>
                    </w:rPr>
                    <w:t>）</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b/>
                      <w:bCs/>
                      <w:color w:val="auto"/>
                      <w:sz w:val="21"/>
                      <w:szCs w:val="21"/>
                    </w:rPr>
                    <w:t>罩口至污染源距离</w:t>
                  </w:r>
                  <w:r>
                    <w:rPr>
                      <w:rFonts w:hint="eastAsia"/>
                      <w:b/>
                      <w:bCs/>
                      <w:color w:val="auto"/>
                      <w:sz w:val="21"/>
                      <w:szCs w:val="21"/>
                      <w:lang w:val="en-US" w:eastAsia="zh-CN"/>
                    </w:rPr>
                    <w:t>x（m）</w:t>
                  </w:r>
                </w:p>
              </w:tc>
              <w:tc>
                <w:tcPr>
                  <w:tcW w:w="132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sz w:val="21"/>
                      <w:szCs w:val="21"/>
                      <w:lang w:val="en-US" w:eastAsia="zh-CN"/>
                    </w:rPr>
                  </w:pPr>
                  <w:r>
                    <w:rPr>
                      <w:rFonts w:hint="eastAsia"/>
                      <w:b/>
                      <w:bCs/>
                      <w:color w:val="auto"/>
                      <w:sz w:val="21"/>
                      <w:szCs w:val="21"/>
                    </w:rPr>
                    <w:t>污染源边缘控制风速</w:t>
                  </w:r>
                  <w:r>
                    <w:rPr>
                      <w:rFonts w:hint="eastAsia"/>
                      <w:b/>
                      <w:bCs/>
                      <w:color w:val="auto"/>
                      <w:sz w:val="21"/>
                      <w:szCs w:val="21"/>
                      <w:lang w:eastAsia="zh-CN"/>
                    </w:rPr>
                    <w:t>（</w:t>
                  </w:r>
                  <w:r>
                    <w:rPr>
                      <w:rFonts w:hint="eastAsia"/>
                      <w:b/>
                      <w:bCs/>
                      <w:color w:val="auto"/>
                      <w:sz w:val="21"/>
                      <w:szCs w:val="21"/>
                    </w:rPr>
                    <w:t>m/s</w:t>
                  </w:r>
                  <w:r>
                    <w:rPr>
                      <w:rFonts w:hint="eastAsia"/>
                      <w:b/>
                      <w:bCs/>
                      <w:color w:val="auto"/>
                      <w:sz w:val="21"/>
                      <w:szCs w:val="21"/>
                      <w:lang w:eastAsia="zh-CN"/>
                    </w:rPr>
                    <w:t>）</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集气罩个数</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个</w:t>
                  </w:r>
                  <w:r>
                    <w:rPr>
                      <w:rFonts w:hint="eastAsia" w:cs="Times New Roman"/>
                      <w:b/>
                      <w:bCs/>
                      <w:color w:val="auto"/>
                      <w:sz w:val="21"/>
                      <w:szCs w:val="21"/>
                      <w:lang w:val="en-US" w:eastAsia="zh-CN"/>
                    </w:rPr>
                    <w:t>）</w:t>
                  </w:r>
                </w:p>
              </w:tc>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b/>
                      <w:bCs/>
                      <w:color w:val="auto"/>
                      <w:sz w:val="21"/>
                      <w:szCs w:val="21"/>
                      <w:lang w:val="en-US" w:eastAsia="zh-CN"/>
                    </w:rPr>
                  </w:pPr>
                  <w:r>
                    <w:rPr>
                      <w:rFonts w:hint="eastAsia"/>
                      <w:b/>
                      <w:bCs/>
                      <w:color w:val="auto"/>
                      <w:sz w:val="21"/>
                      <w:szCs w:val="21"/>
                      <w:lang w:val="en-US" w:eastAsia="zh-CN"/>
                    </w:rPr>
                    <w:t>风量（</w:t>
                  </w:r>
                  <w:r>
                    <w:rPr>
                      <w:b/>
                      <w:bCs/>
                      <w:color w:val="auto"/>
                      <w:kern w:val="0"/>
                      <w:sz w:val="21"/>
                      <w:szCs w:val="21"/>
                      <w:lang w:eastAsia="zh-TW"/>
                    </w:rPr>
                    <w:t>m</w:t>
                  </w:r>
                  <w:r>
                    <w:rPr>
                      <w:b/>
                      <w:bCs/>
                      <w:color w:val="auto"/>
                      <w:kern w:val="0"/>
                      <w:sz w:val="21"/>
                      <w:szCs w:val="21"/>
                      <w:vertAlign w:val="superscript"/>
                      <w:lang w:eastAsia="zh-TW"/>
                    </w:rPr>
                    <w:t>3</w:t>
                  </w:r>
                  <w:r>
                    <w:rPr>
                      <w:b/>
                      <w:bCs/>
                      <w:color w:val="auto"/>
                      <w:kern w:val="0"/>
                      <w:sz w:val="21"/>
                      <w:szCs w:val="21"/>
                      <w:lang w:eastAsia="zh-TW"/>
                    </w:rPr>
                    <w:t>/h</w:t>
                  </w:r>
                  <w:r>
                    <w:rPr>
                      <w:rFonts w:hint="eastAsia"/>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注塑机</w:t>
                  </w:r>
                </w:p>
              </w:tc>
              <w:tc>
                <w:tcPr>
                  <w:tcW w:w="1895"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0.4</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0.1256</w:t>
                  </w:r>
                </w:p>
              </w:tc>
              <w:tc>
                <w:tcPr>
                  <w:tcW w:w="12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2</w:t>
                  </w:r>
                </w:p>
              </w:tc>
              <w:tc>
                <w:tcPr>
                  <w:tcW w:w="132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32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28</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26490.24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8134" w:type="dxa"/>
                  <w:gridSpan w:val="6"/>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合计</w:t>
                  </w:r>
                </w:p>
              </w:tc>
              <w:tc>
                <w:tcPr>
                  <w:tcW w:w="1162"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26490.24</w:t>
                  </w:r>
                </w:p>
              </w:tc>
            </w:tr>
          </w:tbl>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color w:val="auto"/>
                <w:sz w:val="24"/>
                <w:szCs w:val="24"/>
                <w:highlight w:val="none"/>
                <w:lang w:val="en-US" w:eastAsia="zh-CN"/>
              </w:rPr>
            </w:pPr>
            <w:r>
              <w:rPr>
                <w:rFonts w:hint="eastAsia"/>
                <w:color w:val="auto"/>
                <w:sz w:val="24"/>
                <w:lang w:val="en-US" w:eastAsia="zh-CN"/>
              </w:rPr>
              <w:t>因此，注塑机所需风量为</w:t>
            </w:r>
            <w:r>
              <w:rPr>
                <w:rFonts w:hint="eastAsia" w:cs="Times New Roman"/>
                <w:color w:val="auto"/>
                <w:sz w:val="21"/>
                <w:szCs w:val="21"/>
                <w:lang w:val="en-US" w:eastAsia="zh-CN"/>
              </w:rPr>
              <w:t>26490.24</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color w:val="auto"/>
                <w:sz w:val="24"/>
                <w:highlight w:val="none"/>
              </w:rPr>
              <w:t>考虑到风管损失，</w:t>
            </w:r>
            <w:r>
              <w:rPr>
                <w:rFonts w:hint="eastAsia"/>
                <w:color w:val="auto"/>
                <w:sz w:val="24"/>
                <w:lang w:val="en-US" w:eastAsia="zh-CN"/>
              </w:rPr>
              <w:t>该部分所需风机风量为</w:t>
            </w:r>
            <w:r>
              <w:rPr>
                <w:rFonts w:hint="eastAsia"/>
                <w:color w:val="auto"/>
                <w:lang w:val="en-US" w:eastAsia="zh-CN"/>
              </w:rPr>
              <w:t>30000</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/h。加上现有项目的设计风量为10000m</w:t>
            </w:r>
            <w:r>
              <w:rPr>
                <w:rFonts w:hint="eastAsia"/>
                <w:color w:val="auto"/>
                <w:sz w:val="24"/>
                <w:szCs w:val="24"/>
                <w:vertAlign w:val="superscript"/>
                <w:lang w:val="en-US" w:eastAsia="zh-CN"/>
              </w:rPr>
              <w:t>3</w:t>
            </w:r>
            <w:r>
              <w:rPr>
                <w:rFonts w:hint="eastAsia"/>
                <w:color w:val="auto"/>
                <w:sz w:val="24"/>
                <w:szCs w:val="24"/>
                <w:vertAlign w:val="baseline"/>
                <w:lang w:val="en-US" w:eastAsia="zh-CN"/>
              </w:rPr>
              <w:t>/h，则总设计风量为40000m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④处理效率</w:t>
            </w:r>
          </w:p>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val="en-US" w:eastAsia="zh-CN"/>
              </w:rPr>
              <w:t>根据</w:t>
            </w:r>
            <w:r>
              <w:rPr>
                <w:rFonts w:hint="eastAsia"/>
                <w:color w:val="auto"/>
                <w:sz w:val="24"/>
              </w:rPr>
              <w:t>《</w:t>
            </w:r>
            <w:r>
              <w:rPr>
                <w:rFonts w:hint="eastAsia"/>
                <w:color w:val="auto"/>
                <w:sz w:val="24"/>
                <w:lang w:val="en-US" w:eastAsia="zh-CN"/>
              </w:rPr>
              <w:t>广东省家具制造行业挥发性有机废气治理技术指南</w:t>
            </w:r>
            <w:r>
              <w:rPr>
                <w:rFonts w:hint="eastAsia"/>
                <w:color w:val="auto"/>
                <w:sz w:val="24"/>
              </w:rPr>
              <w:t>》，活性炭治理</w:t>
            </w:r>
            <w:r>
              <w:rPr>
                <w:rFonts w:hint="eastAsia"/>
                <w:color w:val="auto"/>
                <w:sz w:val="24"/>
                <w:lang w:val="en-US" w:eastAsia="zh-CN"/>
              </w:rPr>
              <w:t>有机废气</w:t>
            </w:r>
            <w:r>
              <w:rPr>
                <w:rFonts w:hint="eastAsia"/>
                <w:color w:val="auto"/>
                <w:sz w:val="24"/>
              </w:rPr>
              <w:t>效率可达</w:t>
            </w:r>
            <w:r>
              <w:rPr>
                <w:rFonts w:hint="eastAsia"/>
                <w:color w:val="auto"/>
                <w:sz w:val="24"/>
                <w:lang w:val="en-US" w:eastAsia="zh-CN"/>
              </w:rPr>
              <w:t>50~80</w:t>
            </w:r>
            <w:r>
              <w:rPr>
                <w:rFonts w:hint="eastAsia"/>
                <w:color w:val="auto"/>
                <w:sz w:val="24"/>
              </w:rPr>
              <w:t>%</w:t>
            </w:r>
            <w:r>
              <w:rPr>
                <w:rFonts w:hint="eastAsia"/>
                <w:color w:val="auto"/>
                <w:sz w:val="24"/>
                <w:lang w:eastAsia="zh-CN"/>
              </w:rPr>
              <w:t>，</w:t>
            </w:r>
            <w:r>
              <w:rPr>
                <w:rFonts w:hint="eastAsia"/>
                <w:color w:val="auto"/>
                <w:sz w:val="24"/>
                <w:lang w:val="en-US" w:eastAsia="zh-CN"/>
              </w:rPr>
              <w:t>本项目取55</w:t>
            </w:r>
            <w:r>
              <w:rPr>
                <w:rFonts w:hint="eastAsia"/>
                <w:color w:val="auto"/>
                <w:sz w:val="24"/>
              </w:rPr>
              <w:t>%</w:t>
            </w:r>
            <w:r>
              <w:rPr>
                <w:rFonts w:hint="eastAsia"/>
                <w:color w:val="auto"/>
                <w:sz w:val="24"/>
                <w:lang w:eastAsia="zh-CN"/>
              </w:rPr>
              <w:t>；</w:t>
            </w:r>
            <w:r>
              <w:rPr>
                <w:rFonts w:hint="eastAsia"/>
                <w:color w:val="auto"/>
                <w:sz w:val="24"/>
                <w:lang w:val="en-US" w:eastAsia="zh-CN"/>
              </w:rPr>
              <w:t>注塑工序拟采用</w:t>
            </w:r>
            <w:r>
              <w:rPr>
                <w:rFonts w:hint="eastAsia"/>
                <w:color w:val="auto"/>
                <w:sz w:val="24"/>
                <w:lang w:eastAsia="zh-CN"/>
              </w:rPr>
              <w:t>“</w:t>
            </w:r>
            <w:r>
              <w:rPr>
                <w:rFonts w:hint="eastAsia"/>
                <w:color w:val="auto"/>
                <w:sz w:val="24"/>
                <w:lang w:val="en-US" w:eastAsia="zh-CN"/>
              </w:rPr>
              <w:t>水喷淋+</w:t>
            </w:r>
            <w:r>
              <w:rPr>
                <w:rFonts w:hint="eastAsia"/>
                <w:color w:val="auto"/>
                <w:sz w:val="24"/>
              </w:rPr>
              <w:t>二级活性炭吸附装置</w:t>
            </w:r>
            <w:r>
              <w:rPr>
                <w:rFonts w:hint="eastAsia"/>
                <w:color w:val="auto"/>
                <w:sz w:val="24"/>
                <w:lang w:eastAsia="zh-CN"/>
              </w:rPr>
              <w:t>”，</w:t>
            </w:r>
            <w:r>
              <w:rPr>
                <w:color w:val="auto"/>
                <w:sz w:val="24"/>
              </w:rPr>
              <w:t>综合治理效率</w:t>
            </w:r>
            <w:r>
              <w:rPr>
                <w:rFonts w:hint="eastAsia"/>
                <w:color w:val="auto"/>
                <w:sz w:val="24"/>
              </w:rPr>
              <w:t>=1-（1-</w:t>
            </w:r>
            <w:r>
              <w:rPr>
                <w:rFonts w:hint="eastAsia"/>
                <w:color w:val="auto"/>
                <w:sz w:val="24"/>
                <w:lang w:val="en-US" w:eastAsia="zh-CN"/>
              </w:rPr>
              <w:t>55</w:t>
            </w:r>
            <w:r>
              <w:rPr>
                <w:rFonts w:hint="eastAsia"/>
                <w:color w:val="auto"/>
                <w:sz w:val="24"/>
              </w:rPr>
              <w:t>%）</w:t>
            </w:r>
            <w:r>
              <w:rPr>
                <w:rFonts w:hint="eastAsia"/>
                <w:color w:val="auto"/>
                <w:kern w:val="0"/>
                <w:szCs w:val="21"/>
                <w:lang w:val="en-US" w:eastAsia="zh-CN" w:bidi="ar"/>
              </w:rPr>
              <w:t>×</w:t>
            </w:r>
            <w:r>
              <w:rPr>
                <w:rFonts w:hint="eastAsia"/>
                <w:color w:val="auto"/>
                <w:sz w:val="24"/>
              </w:rPr>
              <w:t>（1-</w:t>
            </w:r>
            <w:r>
              <w:rPr>
                <w:rFonts w:hint="eastAsia"/>
                <w:color w:val="auto"/>
                <w:sz w:val="24"/>
                <w:lang w:val="en-US" w:eastAsia="zh-CN"/>
              </w:rPr>
              <w:t>55</w:t>
            </w:r>
            <w:r>
              <w:rPr>
                <w:rFonts w:hint="eastAsia"/>
                <w:color w:val="auto"/>
                <w:sz w:val="24"/>
              </w:rPr>
              <w:t>%）]=</w:t>
            </w:r>
            <w:r>
              <w:rPr>
                <w:rFonts w:hint="eastAsia"/>
                <w:color w:val="auto"/>
                <w:sz w:val="24"/>
                <w:lang w:val="en-US" w:eastAsia="zh-CN"/>
              </w:rPr>
              <w:t>80</w:t>
            </w:r>
            <w:r>
              <w:rPr>
                <w:rFonts w:hint="eastAsia"/>
                <w:color w:val="auto"/>
                <w:sz w:val="24"/>
              </w:rPr>
              <w:t>%</w:t>
            </w:r>
            <w:r>
              <w:rPr>
                <w:color w:val="auto"/>
                <w:sz w:val="24"/>
              </w:rPr>
              <w:t>。</w:t>
            </w:r>
          </w:p>
          <w:p>
            <w:pPr>
              <w:adjustRightInd w:val="0"/>
              <w:snapToGrid w:val="0"/>
              <w:spacing w:line="360" w:lineRule="auto"/>
              <w:ind w:firstLine="482" w:firstLineChars="200"/>
              <w:rPr>
                <w:b/>
                <w:bCs/>
                <w:color w:val="auto"/>
                <w:kern w:val="0"/>
                <w:sz w:val="24"/>
                <w:highlight w:val="none"/>
              </w:rPr>
            </w:pPr>
            <w:r>
              <w:rPr>
                <w:rFonts w:hint="eastAsia"/>
                <w:b/>
                <w:bCs/>
                <w:color w:val="auto"/>
                <w:kern w:val="0"/>
                <w:sz w:val="24"/>
                <w:highlight w:val="none"/>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auto"/>
                <w:highlight w:val="yellow"/>
                <w:lang w:val="en-US" w:eastAsia="zh-CN"/>
              </w:rPr>
            </w:pPr>
            <w:r>
              <w:rPr>
                <w:rFonts w:hint="eastAsia"/>
                <w:color w:val="auto"/>
                <w:sz w:val="24"/>
              </w:rPr>
              <w:t>根据《排污许可证申请与核发技术规范 橡胶和塑料制品工业》（HJ1122—2020）表A.2可知，本项目废气采用的“</w:t>
            </w:r>
            <w:r>
              <w:rPr>
                <w:rFonts w:hint="eastAsia"/>
                <w:color w:val="auto"/>
                <w:sz w:val="24"/>
                <w:lang w:val="en-US" w:eastAsia="zh-CN"/>
              </w:rPr>
              <w:t>活性炭吸附</w:t>
            </w:r>
            <w:r>
              <w:rPr>
                <w:rFonts w:hint="eastAsia"/>
                <w:color w:val="auto"/>
                <w:sz w:val="24"/>
              </w:rPr>
              <w:t>”为可行技术</w:t>
            </w:r>
            <w:r>
              <w:rPr>
                <w:rFonts w:hint="eastAsia"/>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 w:val="0"/>
                <w:bCs w:val="0"/>
                <w:color w:val="auto"/>
                <w:lang w:val="en-US" w:eastAsia="zh-CN"/>
              </w:rPr>
            </w:pPr>
            <w:r>
              <w:rPr>
                <w:rFonts w:hint="eastAsia" w:cs="Times New Roman"/>
                <w:b w:val="0"/>
                <w:bCs w:val="0"/>
                <w:color w:val="auto"/>
                <w:sz w:val="24"/>
                <w:szCs w:val="24"/>
                <w:highlight w:val="none"/>
                <w:lang w:val="en-US" w:eastAsia="zh-CN"/>
              </w:rPr>
              <w:t>现有项目注塑废气处理设施活性炭装置总填装量为0.3t/a，设计风量为8012-16023</w:t>
            </w:r>
            <w:r>
              <w:rPr>
                <w:rFonts w:hint="eastAsia"/>
                <w:b w:val="0"/>
                <w:bCs w:val="0"/>
                <w:color w:val="auto"/>
                <w:sz w:val="24"/>
                <w:szCs w:val="24"/>
                <w:vertAlign w:val="baseline"/>
                <w:lang w:val="en-US" w:eastAsia="zh-CN"/>
              </w:rPr>
              <w:t>m</w:t>
            </w:r>
            <w:r>
              <w:rPr>
                <w:rFonts w:hint="eastAsia"/>
                <w:b w:val="0"/>
                <w:bCs w:val="0"/>
                <w:color w:val="auto"/>
                <w:sz w:val="24"/>
                <w:szCs w:val="24"/>
                <w:vertAlign w:val="superscript"/>
                <w:lang w:val="en-US" w:eastAsia="zh-CN"/>
              </w:rPr>
              <w:t>3</w:t>
            </w:r>
            <w:r>
              <w:rPr>
                <w:rFonts w:hint="eastAsia"/>
                <w:b w:val="0"/>
                <w:bCs w:val="0"/>
                <w:color w:val="auto"/>
                <w:sz w:val="24"/>
                <w:szCs w:val="24"/>
                <w:vertAlign w:val="baseline"/>
                <w:lang w:val="en-US" w:eastAsia="zh-CN"/>
              </w:rPr>
              <w:t>/h＜</w:t>
            </w:r>
            <w:r>
              <w:rPr>
                <w:rFonts w:hint="eastAsia"/>
                <w:color w:val="auto"/>
                <w:sz w:val="24"/>
                <w:szCs w:val="24"/>
                <w:vertAlign w:val="baseline"/>
                <w:lang w:val="en-US" w:eastAsia="zh-CN"/>
              </w:rPr>
              <w:t>40000m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b w:val="0"/>
                <w:bCs w:val="0"/>
                <w:color w:val="auto"/>
                <w:sz w:val="24"/>
                <w:szCs w:val="24"/>
                <w:vertAlign w:val="baseline"/>
                <w:lang w:val="en-US" w:eastAsia="zh-CN"/>
              </w:rPr>
              <w:t>，不能满足扩建后的风量，因此现有项目废气处理设施需整改。扩建后DA001和DA003活性炭处理装置的设置参数如下：</w:t>
            </w:r>
          </w:p>
          <w:p>
            <w:pPr>
              <w:keepNext w:val="0"/>
              <w:keepLines w:val="0"/>
              <w:pageBreakBefore w:val="0"/>
              <w:widowControl w:val="0"/>
              <w:numPr>
                <w:ilvl w:val="0"/>
                <w:numId w:val="9"/>
              </w:numPr>
              <w:kinsoku/>
              <w:wordWrap/>
              <w:overflowPunct/>
              <w:topLinePunct w:val="0"/>
              <w:autoSpaceDE/>
              <w:autoSpaceDN/>
              <w:bidi w:val="0"/>
              <w:adjustRightInd w:val="0"/>
              <w:snapToGrid w:val="0"/>
              <w:spacing w:line="240" w:lineRule="auto"/>
              <w:ind w:left="0" w:leftChars="0" w:firstLine="403" w:firstLineChars="0"/>
              <w:jc w:val="center"/>
              <w:textAlignment w:val="auto"/>
              <w:rPr>
                <w:rFonts w:hint="default"/>
                <w:color w:val="auto"/>
                <w:lang w:val="en-US" w:eastAsia="zh-CN"/>
              </w:rPr>
            </w:pPr>
            <w:r>
              <w:rPr>
                <w:rFonts w:hint="eastAsia" w:ascii="Times New Roman" w:hAnsi="Times New Roman" w:eastAsia="宋体" w:cs="Times New Roman"/>
                <w:b/>
                <w:color w:val="auto"/>
                <w:kern w:val="0"/>
                <w:sz w:val="24"/>
                <w:szCs w:val="24"/>
                <w:lang w:val="en-US" w:eastAsia="zh-CN" w:bidi="ar-SA"/>
              </w:rPr>
              <w:t>扩建后本项目活性炭处理设施设置参数一览表</w:t>
            </w:r>
          </w:p>
          <w:tbl>
            <w:tblPr>
              <w:tblStyle w:val="30"/>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7"/>
              <w:gridCol w:w="1340"/>
              <w:gridCol w:w="1163"/>
              <w:gridCol w:w="1764"/>
              <w:gridCol w:w="1200"/>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4650" w:type="dxa"/>
                  <w:gridSpan w:val="3"/>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eastAsia="宋体"/>
                      <w:b/>
                      <w:bCs/>
                      <w:color w:val="auto"/>
                      <w:sz w:val="21"/>
                      <w:szCs w:val="21"/>
                      <w:vertAlign w:val="baseline"/>
                      <w:lang w:val="en-US" w:eastAsia="zh-CN"/>
                    </w:rPr>
                  </w:pPr>
                  <w:r>
                    <w:rPr>
                      <w:rFonts w:hint="eastAsia"/>
                      <w:b/>
                      <w:bCs/>
                      <w:color w:val="auto"/>
                      <w:sz w:val="21"/>
                      <w:szCs w:val="21"/>
                      <w:vertAlign w:val="baseline"/>
                      <w:lang w:val="en-US" w:eastAsia="zh-CN"/>
                    </w:rPr>
                    <w:t>DA001废气处理设施</w:t>
                  </w:r>
                </w:p>
              </w:tc>
              <w:tc>
                <w:tcPr>
                  <w:tcW w:w="4650" w:type="dxa"/>
                  <w:gridSpan w:val="3"/>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b/>
                      <w:bCs/>
                      <w:color w:val="auto"/>
                      <w:sz w:val="21"/>
                      <w:szCs w:val="21"/>
                      <w:vertAlign w:val="baseline"/>
                      <w:lang w:val="en-US" w:eastAsia="zh-CN"/>
                    </w:rPr>
                  </w:pPr>
                  <w:r>
                    <w:rPr>
                      <w:rFonts w:hint="eastAsia"/>
                      <w:b/>
                      <w:bCs/>
                      <w:color w:val="auto"/>
                      <w:sz w:val="21"/>
                      <w:szCs w:val="21"/>
                      <w:vertAlign w:val="baseline"/>
                      <w:lang w:val="en-US" w:eastAsia="zh-CN"/>
                    </w:rPr>
                    <w:t>DA003废气处理设施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设计风量</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40000</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设计风量</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20000</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单级横截面积</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10</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单级横截面积</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4.8</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活性炭状态</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颗粒状</w:t>
                  </w:r>
                </w:p>
              </w:tc>
              <w:tc>
                <w:tcPr>
                  <w:tcW w:w="1163"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b/>
                      <w:bCs/>
                      <w:color w:val="auto"/>
                      <w:sz w:val="21"/>
                      <w:szCs w:val="21"/>
                      <w:vertAlign w:val="baseline"/>
                      <w:lang w:val="en-US" w:eastAsia="zh-CN"/>
                    </w:rPr>
                  </w:pPr>
                  <w:r>
                    <w:rPr>
                      <w:rFonts w:hint="eastAsia"/>
                      <w:b/>
                      <w:bCs/>
                      <w:color w:val="auto"/>
                      <w:sz w:val="21"/>
                      <w:szCs w:val="21"/>
                      <w:vertAlign w:val="baseline"/>
                      <w:lang w:val="en-US" w:eastAsia="zh-CN"/>
                    </w:rPr>
                    <w: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活性炭状态</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颗粒状</w:t>
                  </w:r>
                </w:p>
              </w:tc>
              <w:tc>
                <w:tcPr>
                  <w:tcW w:w="1686"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b/>
                      <w:bCs/>
                      <w:color w:val="auto"/>
                      <w:sz w:val="21"/>
                      <w:szCs w:val="21"/>
                      <w:vertAlign w:val="baseline"/>
                      <w:lang w:val="en-US" w:eastAsia="zh-CN"/>
                    </w:rPr>
                  </w:pPr>
                  <w:r>
                    <w:rPr>
                      <w:rFonts w:hint="eastAsia"/>
                      <w:b/>
                      <w:bCs/>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空塔风速</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b/>
                      <w:bCs/>
                      <w:color w:val="auto"/>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1.11</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空塔风速</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1.16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过滤风速</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0.49</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过滤风速</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0.51</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炭层长</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炭层长</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宽</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宽</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层数</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eastAsia="宋体"/>
                      <w:b/>
                      <w:bCs/>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层数</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3</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空隙</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0.75</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0.7-0.75</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空隙</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0.75</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厚度</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厚度</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单级活性炭体积</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单级活性炭体积</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0.96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两级活性炭体积</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两级活性炭体积</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1.92</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堆积密度</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0.45</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g/cm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堆积密度</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0.45</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g/cm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处理效率</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163"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b/>
                      <w:bCs/>
                      <w:color w:val="auto"/>
                      <w:sz w:val="21"/>
                      <w:szCs w:val="21"/>
                      <w:vertAlign w:val="baseline"/>
                    </w:rPr>
                  </w:pP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处理效率</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686"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b/>
                      <w:bCs/>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停留时间</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0.41</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s</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停留时间</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0.39</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单次填装量</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1.8</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单次填装量</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0.86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更换次数</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次</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更换次数</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运行时间</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4800</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小时</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运行时间</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1200</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年更换量</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7.2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年更换量</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3.46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cs="Times New Roman"/>
                <w:b/>
                <w:bCs/>
                <w:color w:val="auto"/>
                <w:sz w:val="24"/>
                <w:szCs w:val="24"/>
                <w:highlight w:val="none"/>
                <w:lang w:val="en-US" w:eastAsia="zh-CN"/>
              </w:rPr>
              <w:t>（5）</w:t>
            </w:r>
            <w:r>
              <w:rPr>
                <w:rFonts w:hint="eastAsia"/>
                <w:b/>
                <w:bCs/>
                <w:color w:val="auto"/>
                <w:highlight w:val="none"/>
                <w:lang w:val="en-US" w:eastAsia="zh-CN"/>
              </w:rPr>
              <w:t>喷漆房及烘烤线、丝印车间和烘烤线废气的收集</w:t>
            </w:r>
          </w:p>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b w:val="0"/>
                <w:bCs w:val="0"/>
                <w:color w:val="auto"/>
                <w:sz w:val="24"/>
                <w:szCs w:val="24"/>
                <w:highlight w:val="none"/>
                <w:lang w:val="en-US" w:eastAsia="zh-CN"/>
              </w:rPr>
            </w:pPr>
            <w:r>
              <w:rPr>
                <w:rFonts w:hint="eastAsia" w:cs="Times New Roman"/>
                <w:color w:val="auto"/>
                <w:sz w:val="24"/>
                <w:szCs w:val="24"/>
                <w:highlight w:val="none"/>
                <w:lang w:val="en-US" w:eastAsia="zh-CN"/>
              </w:rPr>
              <w:t>扩建</w:t>
            </w:r>
            <w:r>
              <w:rPr>
                <w:rFonts w:hint="eastAsia" w:cs="Times New Roman"/>
                <w:b w:val="0"/>
                <w:bCs w:val="0"/>
                <w:color w:val="auto"/>
                <w:sz w:val="24"/>
                <w:szCs w:val="24"/>
                <w:highlight w:val="none"/>
                <w:lang w:val="en-US" w:eastAsia="zh-CN"/>
              </w:rPr>
              <w:t>项目喷漆产生的废气经水帘柜预处理后，与丝印、烘烤废气一并经1套“水喷淋+干式过滤器+二级活性炭吸附装置”处理达标后经1根15m高的排气筒DA003排放。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Times New Roman"/>
                <w:color w:val="auto"/>
                <w:sz w:val="24"/>
                <w:szCs w:val="24"/>
                <w:highlight w:val="none"/>
                <w:lang w:val="en-US" w:eastAsia="zh-CN"/>
              </w:rPr>
            </w:pPr>
            <w:r>
              <w:rPr>
                <w:rFonts w:hint="eastAsia" w:cs="Times New Roman"/>
                <w:b/>
                <w:bCs/>
                <w:color w:val="auto"/>
                <w:sz w:val="24"/>
                <w:szCs w:val="24"/>
                <w:highlight w:val="none"/>
                <w:lang w:val="en-US" w:eastAsia="zh-CN"/>
              </w:rPr>
              <w:t>收集装置：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color w:val="auto"/>
                <w:sz w:val="24"/>
                <w:szCs w:val="24"/>
                <w:highlight w:val="none"/>
                <w:lang w:val="en-US" w:eastAsia="zh-CN"/>
              </w:rPr>
            </w:pPr>
            <w:r>
              <w:rPr>
                <w:rFonts w:hint="eastAsia" w:cs="Times New Roman"/>
                <w:b/>
                <w:bCs/>
                <w:color w:val="auto"/>
                <w:sz w:val="24"/>
                <w:szCs w:val="24"/>
                <w:highlight w:val="none"/>
                <w:lang w:val="en-US" w:eastAsia="zh-CN"/>
              </w:rPr>
              <w:t>1）</w:t>
            </w:r>
            <w:r>
              <w:rPr>
                <w:rFonts w:hint="eastAsia"/>
                <w:b/>
                <w:bCs/>
                <w:color w:val="auto"/>
                <w:highlight w:val="none"/>
                <w:lang w:val="en-US" w:eastAsia="zh-CN"/>
              </w:rPr>
              <w:t>喷漆房和烘烤线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highlight w:val="none"/>
                <w:lang w:val="en-US" w:eastAsia="zh-CN"/>
              </w:rPr>
            </w:pPr>
            <w:r>
              <w:rPr>
                <w:rFonts w:hint="eastAsia" w:cs="Times New Roman"/>
                <w:color w:val="auto"/>
                <w:sz w:val="24"/>
                <w:szCs w:val="24"/>
                <w:highlight w:val="none"/>
                <w:lang w:val="en-US" w:eastAsia="zh-CN"/>
              </w:rPr>
              <w:t>扩建项目拟设置一个喷漆房（房间尺寸为5.6m*6.1m*2.3m），所有喷枪均设置在房内，保持密闭，</w:t>
            </w:r>
            <w:r>
              <w:rPr>
                <w:rFonts w:hint="eastAsia"/>
                <w:color w:val="auto"/>
                <w:sz w:val="24"/>
                <w:highlight w:val="none"/>
                <w:lang w:val="en-US" w:eastAsia="zh-CN"/>
              </w:rPr>
              <w:t>安装新风引入设备，并在楼顶设置风机排风（至废气处理设施），使新风引入风量小于</w:t>
            </w:r>
            <w:r>
              <w:rPr>
                <w:rFonts w:hint="eastAsia" w:cs="Times New Roman"/>
                <w:color w:val="auto"/>
                <w:sz w:val="24"/>
                <w:szCs w:val="24"/>
                <w:highlight w:val="none"/>
                <w:lang w:val="en-US" w:eastAsia="zh-CN"/>
              </w:rPr>
              <w:t>喷漆房</w:t>
            </w:r>
            <w:r>
              <w:rPr>
                <w:rFonts w:hint="eastAsia"/>
                <w:color w:val="auto"/>
                <w:sz w:val="24"/>
                <w:highlight w:val="none"/>
                <w:lang w:val="en-US" w:eastAsia="zh-CN"/>
              </w:rPr>
              <w:t>排风风量，从而形成负压状态；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s="Times New Roman"/>
                <w:color w:val="auto"/>
                <w:sz w:val="24"/>
                <w:szCs w:val="24"/>
                <w:highlight w:val="none"/>
                <w:lang w:val="en-US" w:eastAsia="zh-CN"/>
              </w:rPr>
            </w:pPr>
            <w:r>
              <w:rPr>
                <w:rFonts w:hint="eastAsia" w:cs="Times New Roman"/>
                <w:color w:val="auto"/>
                <w:sz w:val="24"/>
                <w:szCs w:val="24"/>
                <w:highlight w:val="none"/>
                <w:lang w:val="en-US" w:eastAsia="zh-CN"/>
              </w:rPr>
              <w:t>喷漆工序配有3条自动烘烤线，尺寸为2.2m*1.5m*0.4m，拟在烘烤线上方设置集气罩收集废气；</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cs="Times New Roman"/>
                <w:b/>
                <w:bCs/>
                <w:color w:val="auto"/>
                <w:sz w:val="24"/>
                <w:szCs w:val="24"/>
                <w:highlight w:val="none"/>
                <w:lang w:val="en-US" w:eastAsia="zh-CN"/>
              </w:rPr>
              <w:t>2）</w:t>
            </w:r>
            <w:r>
              <w:rPr>
                <w:rFonts w:hint="eastAsia"/>
                <w:b/>
                <w:bCs/>
                <w:color w:val="auto"/>
                <w:highlight w:val="none"/>
                <w:lang w:val="en-US" w:eastAsia="zh-CN"/>
              </w:rPr>
              <w:t>丝印车间和烘烤线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lang w:val="en-US" w:eastAsia="zh-CN"/>
              </w:rPr>
            </w:pPr>
            <w:r>
              <w:rPr>
                <w:rFonts w:hint="eastAsia" w:cs="Times New Roman"/>
                <w:color w:val="auto"/>
                <w:sz w:val="24"/>
                <w:szCs w:val="24"/>
                <w:highlight w:val="none"/>
                <w:lang w:val="en-US" w:eastAsia="zh-CN"/>
              </w:rPr>
              <w:t>扩建项目拟在丝印机、移印机及丝印烘烤线上方设置集气罩</w:t>
            </w:r>
            <w:r>
              <w:rPr>
                <w:rFonts w:hint="eastAsia"/>
                <w:color w:val="auto"/>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2" w:firstLineChars="200"/>
              <w:textAlignment w:val="auto"/>
              <w:rPr>
                <w:rFonts w:hint="eastAsia" w:ascii="Times New Roman" w:hAnsi="Times New Roman" w:cs="Times New Roman"/>
                <w:b/>
                <w:bCs w:val="0"/>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cs="Times New Roman"/>
                <w:b w:val="0"/>
                <w:bCs/>
                <w:color w:val="0000FF"/>
                <w:sz w:val="24"/>
                <w:szCs w:val="24"/>
                <w:lang w:val="en-US" w:eastAsia="zh-CN"/>
              </w:rPr>
            </w:pPr>
            <w:r>
              <w:rPr>
                <w:rFonts w:hint="eastAsia"/>
                <w:b w:val="0"/>
                <w:bCs w:val="0"/>
                <w:color w:val="auto"/>
                <w:sz w:val="24"/>
                <w:lang w:val="en-US" w:eastAsia="zh-CN"/>
              </w:rPr>
              <w:t>参照</w:t>
            </w:r>
            <w:r>
              <w:rPr>
                <w:rFonts w:hint="eastAsia" w:ascii="宋体" w:hAnsi="宋体" w:cs="宋体"/>
                <w:b w:val="0"/>
                <w:bCs/>
                <w:color w:val="auto"/>
                <w:sz w:val="24"/>
                <w:szCs w:val="24"/>
                <w:lang w:val="en-US" w:eastAsia="zh-CN"/>
              </w:rPr>
              <w:t>《广东省工业源挥发性有机物减排量核算方法（试行）</w:t>
            </w:r>
            <w:r>
              <w:rPr>
                <w:rFonts w:hint="default" w:ascii="Times New Roman" w:hAnsi="Times New Roman" w:cs="Times New Roman"/>
                <w:b w:val="0"/>
                <w:bCs/>
                <w:color w:val="auto"/>
                <w:sz w:val="24"/>
                <w:szCs w:val="24"/>
                <w:lang w:val="en-US" w:eastAsia="zh-CN"/>
              </w:rPr>
              <w:t>》中表</w:t>
            </w:r>
            <w:r>
              <w:rPr>
                <w:rFonts w:hint="eastAsia" w:ascii="Times New Roman" w:hAnsi="Times New Roman" w:cs="Times New Roman"/>
                <w:b w:val="0"/>
                <w:bCs/>
                <w:color w:val="auto"/>
                <w:sz w:val="24"/>
                <w:szCs w:val="24"/>
                <w:lang w:val="en-US" w:eastAsia="zh-CN"/>
              </w:rPr>
              <w:t>4.5-1，</w:t>
            </w:r>
            <w:r>
              <w:rPr>
                <w:rFonts w:hint="eastAsia" w:cs="Times New Roman"/>
                <w:b w:val="0"/>
                <w:bCs/>
                <w:color w:val="auto"/>
                <w:sz w:val="24"/>
                <w:szCs w:val="24"/>
                <w:lang w:val="en-US" w:eastAsia="zh-CN"/>
              </w:rPr>
              <w:t>喷漆房拟设置为密闭负压，</w:t>
            </w:r>
            <w:r>
              <w:rPr>
                <w:rFonts w:hint="eastAsia" w:ascii="Times New Roman" w:hAnsi="Times New Roman" w:cs="Times New Roman"/>
                <w:b w:val="0"/>
                <w:bCs/>
                <w:color w:val="auto"/>
                <w:sz w:val="24"/>
                <w:szCs w:val="24"/>
                <w:lang w:val="en-US" w:eastAsia="zh-CN"/>
              </w:rPr>
              <w:t>单层密闭负压集气效率可达95%，项目取95%</w:t>
            </w:r>
            <w:r>
              <w:rPr>
                <w:rFonts w:hint="eastAsia" w:cs="Times New Roman"/>
                <w:b w:val="0"/>
                <w:bCs/>
                <w:color w:val="auto"/>
                <w:sz w:val="24"/>
                <w:szCs w:val="24"/>
                <w:lang w:val="en-US" w:eastAsia="zh-CN"/>
              </w:rPr>
              <w:t>；</w:t>
            </w:r>
            <w:r>
              <w:rPr>
                <w:rFonts w:hint="default" w:ascii="Times New Roman" w:hAnsi="Times New Roman" w:cs="Times New Roman"/>
                <w:b w:val="0"/>
                <w:bCs/>
                <w:color w:val="auto"/>
                <w:sz w:val="24"/>
                <w:szCs w:val="24"/>
                <w:lang w:val="en-US" w:eastAsia="zh-CN"/>
              </w:rPr>
              <w:t>仅保留1个操作工位面，</w:t>
            </w:r>
            <w:r>
              <w:rPr>
                <w:rFonts w:hint="default" w:ascii="Times New Roman" w:hAnsi="Times New Roman" w:eastAsia="Arial" w:cs="Times New Roman"/>
                <w:i w:val="0"/>
                <w:iCs w:val="0"/>
                <w:caps w:val="0"/>
                <w:color w:val="auto"/>
                <w:spacing w:val="0"/>
                <w:sz w:val="24"/>
                <w:szCs w:val="24"/>
                <w:shd w:val="clear" w:fill="FFFFFF"/>
              </w:rPr>
              <w:t>仅保留物料进出通道，通道敞开面小于1个操作工位面</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Arial" w:cs="Times New Roman"/>
                <w:i w:val="0"/>
                <w:iCs w:val="0"/>
                <w:caps w:val="0"/>
                <w:color w:val="auto"/>
                <w:spacing w:val="0"/>
                <w:sz w:val="24"/>
                <w:szCs w:val="24"/>
                <w:shd w:val="clear" w:fill="FFFFFF"/>
              </w:rPr>
              <w:t>敞开面控制风速在0.3-0.5m/s之间，集气效率取值60%；</w:t>
            </w:r>
            <w:r>
              <w:rPr>
                <w:rFonts w:hint="eastAsia" w:cs="Times New Roman"/>
                <w:color w:val="0000FF"/>
                <w:sz w:val="24"/>
                <w:szCs w:val="24"/>
                <w:highlight w:val="none"/>
                <w:lang w:val="en-US" w:eastAsia="zh-CN"/>
              </w:rPr>
              <w:t>喷漆烘烤线、丝印机、移印机及丝印烘烤线设置集气罩收集效率</w:t>
            </w:r>
            <w:r>
              <w:rPr>
                <w:rFonts w:hint="default" w:ascii="Times New Roman" w:hAnsi="Times New Roman" w:cs="Times New Roman"/>
                <w:b w:val="0"/>
                <w:bCs/>
                <w:color w:val="0000FF"/>
                <w:sz w:val="24"/>
                <w:szCs w:val="24"/>
                <w:lang w:val="en-US" w:eastAsia="zh-CN"/>
              </w:rPr>
              <w:t>取60%。</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color w:val="auto"/>
                <w:sz w:val="24"/>
                <w:szCs w:val="24"/>
                <w:highlight w:val="none"/>
                <w:lang w:val="en-US" w:eastAsia="zh-CN"/>
              </w:rPr>
            </w:pPr>
            <w:r>
              <w:rPr>
                <w:rFonts w:hint="eastAsia" w:ascii="Times New Roman" w:hAnsi="Times New Roman" w:cs="Times New Roman"/>
                <w:b/>
                <w:bCs w:val="0"/>
                <w:color w:val="auto"/>
                <w:sz w:val="24"/>
                <w:szCs w:val="24"/>
                <w:lang w:val="en-US" w:eastAsia="zh-CN"/>
              </w:rPr>
              <w:t>③风量设计：</w:t>
            </w:r>
          </w:p>
          <w:p>
            <w:pPr>
              <w:spacing w:line="360" w:lineRule="auto"/>
              <w:ind w:firstLine="480" w:firstLineChars="200"/>
              <w:rPr>
                <w:color w:val="auto"/>
                <w:sz w:val="24"/>
              </w:rPr>
            </w:pPr>
            <w:r>
              <w:rPr>
                <w:rFonts w:hint="eastAsia" w:cs="Times New Roman"/>
                <w:color w:val="0000FF"/>
                <w:sz w:val="24"/>
                <w:szCs w:val="24"/>
                <w:highlight w:val="none"/>
                <w:lang w:val="en-US" w:eastAsia="zh-CN"/>
              </w:rPr>
              <w:t>喷漆房</w:t>
            </w:r>
            <w:r>
              <w:rPr>
                <w:rFonts w:hint="eastAsia"/>
                <w:color w:val="auto"/>
                <w:sz w:val="24"/>
              </w:rPr>
              <w:t>参照《废气处理工程技术手册》</w:t>
            </w:r>
            <w:r>
              <w:rPr>
                <w:color w:val="auto"/>
                <w:sz w:val="24"/>
              </w:rPr>
              <w:t>中</w:t>
            </w:r>
            <w:r>
              <w:rPr>
                <w:rFonts w:hint="eastAsia"/>
                <w:color w:val="auto"/>
                <w:sz w:val="24"/>
              </w:rPr>
              <w:t>相关内容</w:t>
            </w:r>
            <w:r>
              <w:rPr>
                <w:color w:val="auto"/>
                <w:sz w:val="24"/>
              </w:rPr>
              <w:t>，项目风量计算式如下：</w:t>
            </w:r>
          </w:p>
          <w:p>
            <w:pPr>
              <w:spacing w:line="360" w:lineRule="auto"/>
              <w:ind w:firstLine="480" w:firstLineChars="200"/>
              <w:rPr>
                <w:color w:val="auto"/>
                <w:sz w:val="24"/>
              </w:rPr>
            </w:pPr>
            <w:r>
              <w:rPr>
                <w:rFonts w:hint="eastAsia"/>
                <w:color w:val="auto"/>
                <w:sz w:val="24"/>
              </w:rPr>
              <w:t>密闭</w:t>
            </w:r>
            <w:r>
              <w:rPr>
                <w:rFonts w:hint="eastAsia"/>
                <w:color w:val="auto"/>
                <w:sz w:val="24"/>
                <w:lang w:val="en-US" w:eastAsia="zh-CN"/>
              </w:rPr>
              <w:t>车间全面通风量</w:t>
            </w:r>
            <w:r>
              <w:rPr>
                <w:rFonts w:hint="eastAsia"/>
                <w:color w:val="auto"/>
                <w:sz w:val="24"/>
              </w:rPr>
              <w:t>：</w:t>
            </w:r>
            <w:r>
              <w:rPr>
                <w:color w:val="auto"/>
                <w:sz w:val="24"/>
              </w:rPr>
              <w:t>Q=</w:t>
            </w:r>
            <w:r>
              <w:rPr>
                <w:rFonts w:hint="eastAsia"/>
                <w:color w:val="auto"/>
                <w:sz w:val="24"/>
              </w:rPr>
              <w:t>nV</w:t>
            </w:r>
          </w:p>
          <w:p>
            <w:pPr>
              <w:spacing w:line="360" w:lineRule="auto"/>
              <w:ind w:firstLine="480" w:firstLineChars="200"/>
              <w:rPr>
                <w:color w:val="auto"/>
                <w:sz w:val="24"/>
              </w:rPr>
            </w:pPr>
            <w:r>
              <w:rPr>
                <w:color w:val="auto"/>
                <w:sz w:val="24"/>
              </w:rPr>
              <w:t>Q：设计风量，m</w:t>
            </w:r>
            <w:r>
              <w:rPr>
                <w:color w:val="auto"/>
                <w:sz w:val="24"/>
                <w:vertAlign w:val="superscript"/>
              </w:rPr>
              <w:t>3</w:t>
            </w:r>
            <w:r>
              <w:rPr>
                <w:color w:val="auto"/>
                <w:sz w:val="24"/>
              </w:rPr>
              <w:t>/</w:t>
            </w:r>
            <w:r>
              <w:rPr>
                <w:rFonts w:hint="eastAsia"/>
                <w:color w:val="auto"/>
                <w:sz w:val="24"/>
              </w:rPr>
              <w:t>h</w:t>
            </w:r>
            <w:r>
              <w:rPr>
                <w:color w:val="auto"/>
                <w:sz w:val="24"/>
              </w:rPr>
              <w:t>；</w:t>
            </w:r>
          </w:p>
          <w:p>
            <w:pPr>
              <w:spacing w:line="360" w:lineRule="auto"/>
              <w:ind w:firstLine="480" w:firstLineChars="200"/>
              <w:rPr>
                <w:rFonts w:hint="eastAsia"/>
                <w:color w:val="auto"/>
                <w:sz w:val="24"/>
              </w:rPr>
            </w:pPr>
            <w:r>
              <w:rPr>
                <w:rFonts w:hint="eastAsia"/>
                <w:color w:val="auto"/>
                <w:sz w:val="24"/>
              </w:rPr>
              <w:t>n：换气次数，次/h，项目</w:t>
            </w:r>
            <w:r>
              <w:rPr>
                <w:rFonts w:hint="eastAsia"/>
                <w:color w:val="auto"/>
                <w:sz w:val="24"/>
                <w:lang w:val="en-US" w:eastAsia="zh-CN"/>
              </w:rPr>
              <w:t>车间密闭</w:t>
            </w:r>
            <w:r>
              <w:rPr>
                <w:rFonts w:hint="eastAsia"/>
                <w:color w:val="auto"/>
                <w:sz w:val="24"/>
              </w:rPr>
              <w:t>，</w:t>
            </w:r>
            <w:r>
              <w:rPr>
                <w:rFonts w:hint="eastAsia"/>
                <w:color w:val="auto"/>
                <w:sz w:val="24"/>
                <w:lang w:val="en-US" w:eastAsia="zh-CN"/>
              </w:rPr>
              <w:t>根据</w:t>
            </w:r>
            <w:r>
              <w:rPr>
                <w:rFonts w:hint="eastAsia"/>
                <w:color w:val="auto"/>
                <w:sz w:val="24"/>
              </w:rPr>
              <w:t>《废气处理工程技术手册》</w:t>
            </w:r>
            <w:r>
              <w:rPr>
                <w:rFonts w:hint="eastAsia"/>
                <w:color w:val="auto"/>
                <w:sz w:val="24"/>
                <w:lang w:eastAsia="zh-CN"/>
              </w:rPr>
              <w:t>，</w:t>
            </w:r>
            <w:r>
              <w:rPr>
                <w:rFonts w:hint="eastAsia"/>
                <w:color w:val="auto"/>
                <w:sz w:val="24"/>
                <w:lang w:val="en-US" w:eastAsia="zh-CN"/>
              </w:rPr>
              <w:t>换气次数一般为20次/h以上，项目</w:t>
            </w:r>
            <w:r>
              <w:rPr>
                <w:rFonts w:hint="eastAsia"/>
                <w:color w:val="auto"/>
                <w:sz w:val="24"/>
              </w:rPr>
              <w:t>换气次数</w:t>
            </w:r>
            <w:r>
              <w:rPr>
                <w:rFonts w:hint="eastAsia"/>
                <w:color w:val="auto"/>
                <w:sz w:val="24"/>
                <w:lang w:val="en-US" w:eastAsia="zh-CN"/>
              </w:rPr>
              <w:t>取2</w:t>
            </w:r>
            <w:r>
              <w:rPr>
                <w:rFonts w:hint="eastAsia"/>
                <w:color w:val="auto"/>
                <w:sz w:val="24"/>
              </w:rPr>
              <w:t>0次/h；</w:t>
            </w:r>
          </w:p>
          <w:p>
            <w:pPr>
              <w:spacing w:line="360" w:lineRule="auto"/>
              <w:ind w:firstLine="480" w:firstLineChars="200"/>
              <w:rPr>
                <w:rFonts w:hint="eastAsia"/>
                <w:color w:val="auto"/>
                <w:sz w:val="24"/>
              </w:rPr>
            </w:pPr>
            <w:r>
              <w:rPr>
                <w:rFonts w:hint="eastAsia"/>
                <w:color w:val="auto"/>
                <w:sz w:val="24"/>
              </w:rPr>
              <w:t>V：</w:t>
            </w:r>
            <w:r>
              <w:rPr>
                <w:rFonts w:hint="eastAsia"/>
                <w:color w:val="auto"/>
                <w:sz w:val="24"/>
                <w:lang w:val="en-US" w:eastAsia="zh-CN"/>
              </w:rPr>
              <w:t>通风房间的体积，</w:t>
            </w:r>
            <w:r>
              <w:rPr>
                <w:rFonts w:hint="eastAsia"/>
                <w:color w:val="auto"/>
                <w:sz w:val="24"/>
              </w:rPr>
              <w:t>m</w:t>
            </w:r>
            <w:r>
              <w:rPr>
                <w:rFonts w:hint="eastAsia"/>
                <w:color w:val="auto"/>
                <w:sz w:val="24"/>
                <w:vertAlign w:val="superscript"/>
              </w:rPr>
              <w:t>3</w:t>
            </w:r>
            <w:r>
              <w:rPr>
                <w:rFonts w:hint="eastAsia"/>
                <w:color w:val="auto"/>
                <w:sz w:val="24"/>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textAlignment w:val="auto"/>
              <w:rPr>
                <w:rFonts w:hint="eastAsia" w:eastAsia="宋体"/>
                <w:b w:val="0"/>
                <w:bCs w:val="0"/>
                <w:color w:val="auto"/>
                <w:kern w:val="0"/>
                <w:szCs w:val="21"/>
                <w:lang w:eastAsia="zh-CN"/>
              </w:rPr>
            </w:pPr>
            <w:r>
              <w:rPr>
                <w:rFonts w:hint="eastAsia" w:cs="Times New Roman"/>
                <w:color w:val="0000FF"/>
                <w:sz w:val="24"/>
                <w:szCs w:val="24"/>
                <w:highlight w:val="none"/>
                <w:lang w:val="en-US" w:eastAsia="zh-CN"/>
              </w:rPr>
              <w:t>喷漆烘烤线、丝印机、移印机及丝印烘烤线</w:t>
            </w:r>
            <w:r>
              <w:rPr>
                <w:b w:val="0"/>
                <w:bCs w:val="0"/>
                <w:color w:val="auto"/>
                <w:kern w:val="0"/>
                <w:szCs w:val="21"/>
              </w:rPr>
              <w:t>根据《</w:t>
            </w:r>
            <w:r>
              <w:rPr>
                <w:rFonts w:hint="eastAsia"/>
                <w:b w:val="0"/>
                <w:bCs w:val="0"/>
                <w:color w:val="auto"/>
                <w:kern w:val="0"/>
                <w:szCs w:val="21"/>
                <w:lang w:val="en-US" w:eastAsia="zh-CN"/>
              </w:rPr>
              <w:t>三废工程技术手册 废气卷</w:t>
            </w:r>
            <w:r>
              <w:rPr>
                <w:b w:val="0"/>
                <w:bCs w:val="0"/>
                <w:color w:val="auto"/>
                <w:kern w:val="0"/>
                <w:szCs w:val="21"/>
              </w:rPr>
              <w:t>》中的有关公式，项目按以下经验公式计算得出</w:t>
            </w:r>
            <w:r>
              <w:rPr>
                <w:rFonts w:hint="eastAsia" w:cs="Times New Roman"/>
                <w:color w:val="auto"/>
                <w:sz w:val="24"/>
                <w:szCs w:val="24"/>
                <w:highlight w:val="none"/>
                <w:lang w:val="en-US" w:eastAsia="zh-CN"/>
              </w:rPr>
              <w:t>丝印机、移印机及丝印烘烤线</w:t>
            </w:r>
            <w:r>
              <w:rPr>
                <w:b w:val="0"/>
                <w:bCs w:val="0"/>
                <w:color w:val="auto"/>
                <w:kern w:val="0"/>
                <w:szCs w:val="21"/>
              </w:rPr>
              <w:t>所需的风量</w:t>
            </w:r>
            <w:r>
              <w:rPr>
                <w:rFonts w:hint="eastAsia"/>
                <w:b w:val="0"/>
                <w:bCs w:val="0"/>
                <w:color w:val="auto"/>
                <w:kern w:val="0"/>
                <w:szCs w:val="21"/>
                <w:lang w:val="en-US" w:eastAsia="zh-CN"/>
              </w:rPr>
              <w:t>Q：</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default" w:eastAsia="宋体"/>
                <w:b w:val="0"/>
                <w:bCs w:val="0"/>
                <w:color w:val="auto"/>
                <w:szCs w:val="21"/>
                <w:lang w:val="en-US" w:eastAsia="zh-CN"/>
              </w:rPr>
            </w:pPr>
            <w:r>
              <w:rPr>
                <w:rFonts w:hint="eastAsia"/>
                <w:b w:val="0"/>
                <w:bCs w:val="0"/>
                <w:color w:val="auto"/>
                <w:szCs w:val="21"/>
                <w:lang w:val="en-US" w:eastAsia="zh-CN"/>
              </w:rPr>
              <w:t>Q</w:t>
            </w:r>
            <w:r>
              <w:rPr>
                <w:rFonts w:hint="eastAsia"/>
                <w:b w:val="0"/>
                <w:bCs w:val="0"/>
                <w:color w:val="auto"/>
                <w:szCs w:val="21"/>
              </w:rPr>
              <w:t>=</w:t>
            </w:r>
            <w:r>
              <w:rPr>
                <w:rFonts w:hint="eastAsia"/>
                <w:b w:val="0"/>
                <w:bCs w:val="0"/>
                <w:color w:val="auto"/>
                <w:szCs w:val="21"/>
                <w:lang w:val="en-US" w:eastAsia="zh-CN"/>
              </w:rPr>
              <w:t>3600</w:t>
            </w:r>
            <w:r>
              <w:rPr>
                <w:rFonts w:hint="eastAsia"/>
                <w:b w:val="0"/>
                <w:bCs w:val="0"/>
                <w:color w:val="auto"/>
                <w:szCs w:val="21"/>
                <w:lang w:eastAsia="zh-CN"/>
              </w:rPr>
              <w:t>（</w:t>
            </w:r>
            <w:r>
              <w:rPr>
                <w:rFonts w:hint="eastAsia"/>
                <w:b w:val="0"/>
                <w:bCs w:val="0"/>
                <w:color w:val="auto"/>
                <w:szCs w:val="21"/>
                <w:lang w:val="en-US" w:eastAsia="zh-CN"/>
              </w:rPr>
              <w:t>10x</w:t>
            </w:r>
            <w:r>
              <w:rPr>
                <w:rFonts w:hint="eastAsia"/>
                <w:b w:val="0"/>
                <w:bCs w:val="0"/>
                <w:color w:val="auto"/>
                <w:szCs w:val="21"/>
                <w:vertAlign w:val="superscript"/>
                <w:lang w:val="en-US" w:eastAsia="zh-CN"/>
              </w:rPr>
              <w:t>2</w:t>
            </w:r>
            <w:r>
              <w:rPr>
                <w:rFonts w:hint="eastAsia"/>
                <w:b w:val="0"/>
                <w:bCs w:val="0"/>
                <w:color w:val="auto"/>
                <w:szCs w:val="21"/>
                <w:lang w:val="en-US" w:eastAsia="zh-CN"/>
              </w:rPr>
              <w:t>+F</w:t>
            </w:r>
            <w:r>
              <w:rPr>
                <w:rFonts w:hint="eastAsia"/>
                <w:b w:val="0"/>
                <w:bCs w:val="0"/>
                <w:color w:val="auto"/>
                <w:szCs w:val="21"/>
                <w:lang w:eastAsia="zh-CN"/>
              </w:rPr>
              <w:t>）</w:t>
            </w:r>
            <w:r>
              <w:rPr>
                <w:rFonts w:hint="eastAsia"/>
                <w:b w:val="0"/>
                <w:bCs w:val="0"/>
                <w:color w:val="auto"/>
                <w:szCs w:val="21"/>
                <w:lang w:val="en-US" w:eastAsia="zh-CN"/>
              </w:rPr>
              <w:t>Vx</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Q</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default" w:ascii="Times New Roman" w:hAnsi="Times New Roman" w:eastAsia="宋体" w:cs="Times New Roman"/>
                <w:b w:val="0"/>
                <w:bCs w:val="0"/>
                <w:color w:val="auto"/>
                <w:szCs w:val="21"/>
                <w:lang w:val="en-US" w:eastAsia="zh-CN"/>
              </w:rPr>
            </w:pPr>
            <w:r>
              <w:rPr>
                <w:rFonts w:hint="eastAsia"/>
                <w:b w:val="0"/>
                <w:bCs w:val="0"/>
                <w:color w:val="auto"/>
                <w:szCs w:val="21"/>
                <w:lang w:val="en-US" w:eastAsia="zh-CN"/>
              </w:rPr>
              <w:t>F</w:t>
            </w:r>
            <w:r>
              <w:rPr>
                <w:rFonts w:hint="eastAsia"/>
                <w:b w:val="0"/>
                <w:bCs w:val="0"/>
                <w:color w:val="auto"/>
                <w:szCs w:val="21"/>
              </w:rPr>
              <w:t>--</w:t>
            </w:r>
            <w:r>
              <w:rPr>
                <w:rFonts w:hint="eastAsia"/>
                <w:b w:val="0"/>
                <w:bCs w:val="0"/>
                <w:color w:val="auto"/>
                <w:szCs w:val="21"/>
                <w:lang w:val="en-US" w:eastAsia="zh-CN"/>
              </w:rPr>
              <w:t>罩口面积</w:t>
            </w:r>
            <w:r>
              <w:rPr>
                <w:rFonts w:hint="eastAsia"/>
                <w:b w:val="0"/>
                <w:bCs w:val="0"/>
                <w:color w:val="auto"/>
                <w:szCs w:val="21"/>
              </w:rPr>
              <w:t>，m</w:t>
            </w:r>
            <w:r>
              <w:rPr>
                <w:rFonts w:hint="eastAsia"/>
                <w:b w:val="0"/>
                <w:bCs w:val="0"/>
                <w:color w:val="auto"/>
                <w:szCs w:val="21"/>
                <w:vertAlign w:val="superscript"/>
                <w:lang w:val="en-US" w:eastAsia="zh-CN"/>
              </w:rPr>
              <w:t>2</w:t>
            </w:r>
            <w:r>
              <w:rPr>
                <w:rFonts w:hint="eastAsia"/>
                <w:b w:val="0"/>
                <w:bCs w:val="0"/>
                <w:color w:val="auto"/>
                <w:szCs w:val="21"/>
                <w:lang w:eastAsia="zh-CN"/>
              </w:rPr>
              <w:t>，</w:t>
            </w:r>
            <w:r>
              <w:rPr>
                <w:rFonts w:hint="eastAsia"/>
                <w:b w:val="0"/>
                <w:bCs w:val="0"/>
                <w:color w:val="auto"/>
                <w:szCs w:val="21"/>
                <w:lang w:val="en-US" w:eastAsia="zh-CN"/>
              </w:rPr>
              <w:t>F=Bh</w:t>
            </w:r>
            <w:r>
              <w:rPr>
                <w:rFonts w:hint="default" w:ascii="Times New Roman" w:hAnsi="Times New Roman" w:cs="Times New Roman"/>
                <w:b w:val="0"/>
                <w:bCs w:val="0"/>
                <w:color w:val="auto"/>
                <w:szCs w:val="21"/>
                <w:lang w:val="en-US" w:eastAsia="zh-CN"/>
              </w:rPr>
              <w:t>或F=π</w:t>
            </w:r>
            <w:r>
              <w:rPr>
                <w:rFonts w:hint="eastAsia" w:ascii="Times New Roman" w:hAnsi="Times New Roman" w:cs="Times New Roman"/>
                <w:b w:val="0"/>
                <w:bCs w:val="0"/>
                <w:color w:val="auto"/>
                <w:szCs w:val="21"/>
                <w:lang w:val="en-US" w:eastAsia="zh-CN"/>
              </w:rPr>
              <w:t>d</w:t>
            </w:r>
            <w:r>
              <w:rPr>
                <w:rFonts w:hint="eastAsia" w:ascii="Times New Roman" w:hAnsi="Times New Roman" w:cs="Times New Roman"/>
                <w:b w:val="0"/>
                <w:bCs w:val="0"/>
                <w:color w:val="auto"/>
                <w:szCs w:val="21"/>
                <w:vertAlign w:val="superscript"/>
                <w:lang w:val="en-US" w:eastAsia="zh-CN"/>
              </w:rPr>
              <w:t>2</w:t>
            </w:r>
            <w:r>
              <w:rPr>
                <w:rFonts w:hint="eastAsia" w:ascii="Times New Roman" w:hAnsi="Times New Roman" w:cs="Times New Roman"/>
                <w:b w:val="0"/>
                <w:bCs w:val="0"/>
                <w:color w:val="auto"/>
                <w:szCs w:val="21"/>
                <w:lang w:val="en-US" w:eastAsia="zh-CN"/>
              </w:rPr>
              <w:t>/4；</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x</w:t>
            </w:r>
            <w:r>
              <w:rPr>
                <w:rFonts w:hint="eastAsia"/>
                <w:b w:val="0"/>
                <w:bCs w:val="0"/>
                <w:color w:val="auto"/>
                <w:szCs w:val="21"/>
              </w:rPr>
              <w:t>--罩口至污染源距离，m；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Vx--污染源边缘控制风速，m/s</w:t>
            </w:r>
            <w:r>
              <w:rPr>
                <w:rFonts w:hint="eastAsia"/>
                <w:b w:val="0"/>
                <w:bCs w:val="0"/>
                <w:color w:val="auto"/>
                <w:szCs w:val="21"/>
                <w:lang w:eastAsia="zh-CN"/>
              </w:rPr>
              <w:t>。</w:t>
            </w:r>
          </w:p>
          <w:p>
            <w:pPr>
              <w:pStyle w:val="62"/>
              <w:numPr>
                <w:ilvl w:val="0"/>
                <w:numId w:val="9"/>
              </w:numPr>
              <w:ind w:left="0" w:leftChars="0" w:right="0" w:rightChars="0" w:firstLine="403" w:firstLineChars="0"/>
              <w:rPr>
                <w:color w:val="auto"/>
                <w:sz w:val="24"/>
                <w:szCs w:val="24"/>
                <w:highlight w:val="none"/>
                <w:lang w:val="en-US" w:eastAsia="zh-CN"/>
              </w:rPr>
            </w:pPr>
            <w:r>
              <w:rPr>
                <w:rFonts w:hint="eastAsia"/>
                <w:color w:val="auto"/>
                <w:sz w:val="24"/>
                <w:szCs w:val="24"/>
                <w:highlight w:val="none"/>
                <w:lang w:val="en-US" w:eastAsia="zh-CN"/>
              </w:rPr>
              <w:t>喷漆房、自动烘烤线、丝印车间及烘干线设计风量一览表</w:t>
            </w:r>
          </w:p>
          <w:tbl>
            <w:tblPr>
              <w:tblStyle w:val="29"/>
              <w:tblW w:w="91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311"/>
              <w:gridCol w:w="880"/>
              <w:gridCol w:w="930"/>
              <w:gridCol w:w="932"/>
              <w:gridCol w:w="913"/>
              <w:gridCol w:w="1130"/>
              <w:gridCol w:w="1003"/>
              <w:gridCol w:w="1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370"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排气筒</w:t>
                  </w:r>
                </w:p>
              </w:tc>
              <w:tc>
                <w:tcPr>
                  <w:tcW w:w="724"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产污车间</w:t>
                  </w:r>
                </w:p>
              </w:tc>
              <w:tc>
                <w:tcPr>
                  <w:tcW w:w="1522" w:type="pct"/>
                  <w:gridSpan w:val="3"/>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车间</w:t>
                  </w:r>
                </w:p>
              </w:tc>
              <w:tc>
                <w:tcPr>
                  <w:tcW w:w="507"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容积（m</w:t>
                  </w:r>
                  <w:r>
                    <w:rPr>
                      <w:rFonts w:hint="eastAsia" w:ascii="Times New Roman" w:hAnsi="Times New Roman" w:eastAsia="宋体" w:cs="Times New Roman"/>
                      <w:b/>
                      <w:bCs/>
                      <w:color w:val="auto"/>
                      <w:sz w:val="21"/>
                      <w:szCs w:val="21"/>
                      <w:highlight w:val="none"/>
                      <w:vertAlign w:val="superscript"/>
                      <w:lang w:val="en-US" w:eastAsia="zh-CN"/>
                    </w:rPr>
                    <w:t>3</w:t>
                  </w:r>
                  <w:r>
                    <w:rPr>
                      <w:rFonts w:hint="eastAsia" w:ascii="Times New Roman" w:hAnsi="Times New Roman" w:eastAsia="宋体" w:cs="Times New Roman"/>
                      <w:b/>
                      <w:bCs/>
                      <w:color w:val="auto"/>
                      <w:sz w:val="21"/>
                      <w:szCs w:val="21"/>
                      <w:highlight w:val="none"/>
                      <w:lang w:val="en-US" w:eastAsia="zh-CN"/>
                    </w:rPr>
                    <w:t>）</w:t>
                  </w:r>
                </w:p>
              </w:tc>
              <w:tc>
                <w:tcPr>
                  <w:tcW w:w="625"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数量（个）</w:t>
                  </w:r>
                </w:p>
              </w:tc>
              <w:tc>
                <w:tcPr>
                  <w:tcW w:w="553"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换气次数（次）</w:t>
                  </w:r>
                </w:p>
              </w:tc>
              <w:tc>
                <w:tcPr>
                  <w:tcW w:w="696"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总风量（m</w:t>
                  </w:r>
                  <w:r>
                    <w:rPr>
                      <w:rFonts w:hint="eastAsia" w:ascii="Times New Roman" w:hAnsi="Times New Roman" w:eastAsia="宋体" w:cs="Times New Roman"/>
                      <w:b/>
                      <w:bCs/>
                      <w:color w:val="auto"/>
                      <w:sz w:val="21"/>
                      <w:szCs w:val="21"/>
                      <w:highlight w:val="none"/>
                      <w:vertAlign w:val="superscript"/>
                      <w:lang w:val="en-US" w:eastAsia="zh-CN"/>
                    </w:rPr>
                    <w:t>3</w:t>
                  </w:r>
                  <w:r>
                    <w:rPr>
                      <w:rFonts w:hint="eastAsia" w:ascii="Times New Roman" w:hAnsi="Times New Roman" w:eastAsia="宋体" w:cs="Times New Roman"/>
                      <w:b/>
                      <w:bCs/>
                      <w:color w:val="auto"/>
                      <w:sz w:val="21"/>
                      <w:szCs w:val="21"/>
                      <w:highlight w:val="no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724"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489"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长</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宽</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高</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07"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625"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553"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696"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370"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DA003</w:t>
                  </w:r>
                </w:p>
              </w:tc>
              <w:tc>
                <w:tcPr>
                  <w:tcW w:w="724"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喷漆房</w:t>
                  </w:r>
                </w:p>
              </w:tc>
              <w:tc>
                <w:tcPr>
                  <w:tcW w:w="489"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5.6</w:t>
                  </w:r>
                </w:p>
              </w:tc>
              <w:tc>
                <w:tcPr>
                  <w:tcW w:w="516"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6.1</w:t>
                  </w:r>
                </w:p>
              </w:tc>
              <w:tc>
                <w:tcPr>
                  <w:tcW w:w="516"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2.3</w:t>
                  </w:r>
                </w:p>
              </w:tc>
              <w:tc>
                <w:tcPr>
                  <w:tcW w:w="507"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78.568</w:t>
                  </w:r>
                </w:p>
              </w:tc>
              <w:tc>
                <w:tcPr>
                  <w:tcW w:w="625"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553"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cs="Times New Roman"/>
                      <w:b w:val="0"/>
                      <w:bCs w:val="0"/>
                      <w:color w:val="auto"/>
                      <w:sz w:val="21"/>
                      <w:szCs w:val="21"/>
                      <w:highlight w:val="none"/>
                      <w:lang w:val="en-US" w:eastAsia="zh-CN"/>
                    </w:rPr>
                    <w:t>20</w:t>
                  </w:r>
                </w:p>
              </w:tc>
              <w:tc>
                <w:tcPr>
                  <w:tcW w:w="69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1571.36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产污设备</w:t>
                  </w:r>
                </w:p>
              </w:tc>
              <w:tc>
                <w:tcPr>
                  <w:tcW w:w="489"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集气罩长度</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集气罩宽度</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面积F</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hAnsi="Times New Roman" w:eastAsia="宋体" w:cs="Times New Roman"/>
                      <w:b/>
                      <w:bCs/>
                      <w:color w:val="auto"/>
                      <w:sz w:val="21"/>
                      <w:szCs w:val="21"/>
                      <w:highlight w:val="none"/>
                      <w:vertAlign w:val="superscript"/>
                      <w:lang w:val="en-US" w:eastAsia="zh-CN"/>
                    </w:rPr>
                    <w:t>2</w:t>
                  </w:r>
                  <w:r>
                    <w:rPr>
                      <w:rFonts w:hint="eastAsia" w:ascii="Times New Roman" w:cs="Times New Roman"/>
                      <w:b/>
                      <w:bCs/>
                      <w:color w:val="auto"/>
                      <w:sz w:val="21"/>
                      <w:szCs w:val="21"/>
                      <w:highlight w:val="none"/>
                      <w:lang w:val="en-US" w:eastAsia="zh-CN"/>
                    </w:rPr>
                    <w:t>）</w:t>
                  </w:r>
                </w:p>
              </w:tc>
              <w:tc>
                <w:tcPr>
                  <w:tcW w:w="507"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罩口至污染源距离x</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625"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污染源边缘控制风速</w:t>
                  </w:r>
                  <w:r>
                    <w:rPr>
                      <w:rFonts w:hint="eastAsia" w:ascii="Times New Roman" w:hAnsi="Times New Roman" w:eastAsia="宋体" w:cs="Times New Roman"/>
                      <w:b/>
                      <w:bCs/>
                      <w:i w:val="0"/>
                      <w:iCs w:val="0"/>
                      <w:color w:val="auto"/>
                      <w:kern w:val="0"/>
                      <w:sz w:val="21"/>
                      <w:szCs w:val="21"/>
                      <w:u w:val="none"/>
                      <w:lang w:val="en-US" w:eastAsia="zh-CN" w:bidi="ar"/>
                    </w:rPr>
                    <w:t>Vx（m/s）</w:t>
                  </w:r>
                </w:p>
              </w:tc>
              <w:tc>
                <w:tcPr>
                  <w:tcW w:w="553"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集气罩个数（个）</w:t>
                  </w:r>
                </w:p>
              </w:tc>
              <w:tc>
                <w:tcPr>
                  <w:tcW w:w="69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宋体" w:hAnsi="宋体" w:eastAsia="宋体" w:cs="宋体"/>
                      <w:b/>
                      <w:bCs/>
                      <w:i w:val="0"/>
                      <w:iCs w:val="0"/>
                      <w:color w:val="auto"/>
                      <w:kern w:val="0"/>
                      <w:sz w:val="21"/>
                      <w:szCs w:val="21"/>
                      <w:u w:val="none"/>
                      <w:lang w:val="en-US" w:eastAsia="zh-CN" w:bidi="ar"/>
                    </w:rPr>
                    <w:t>风量（</w:t>
                  </w:r>
                  <w:r>
                    <w:rPr>
                      <w:rFonts w:hint="default" w:ascii="Times New Roman" w:hAnsi="Times New Roman" w:eastAsia="宋体" w:cs="Times New Roman"/>
                      <w:b/>
                      <w:bCs/>
                      <w:i w:val="0"/>
                      <w:iCs w:val="0"/>
                      <w:color w:val="auto"/>
                      <w:kern w:val="0"/>
                      <w:sz w:val="21"/>
                      <w:szCs w:val="21"/>
                      <w:u w:val="none"/>
                      <w:lang w:val="en-US" w:eastAsia="zh-CN" w:bidi="ar"/>
                    </w:rPr>
                    <w:t>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/h</w:t>
                  </w:r>
                  <w:r>
                    <w:rPr>
                      <w:rFonts w:hint="eastAsia" w:ascii="宋体" w:hAnsi="宋体" w:eastAsia="宋体" w:cs="宋体"/>
                      <w:b/>
                      <w:bCs/>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cs="Times New Roman"/>
                      <w:b w:val="0"/>
                      <w:bCs w:val="0"/>
                      <w:color w:val="0000FF"/>
                      <w:sz w:val="21"/>
                      <w:szCs w:val="21"/>
                      <w:highlight w:val="none"/>
                      <w:lang w:val="en-US" w:eastAsia="zh-CN"/>
                    </w:rPr>
                    <w:t>喷漆</w:t>
                  </w:r>
                  <w:r>
                    <w:rPr>
                      <w:rFonts w:hint="eastAsia" w:ascii="Times New Roman" w:hAnsi="Times New Roman" w:eastAsia="宋体" w:cs="Times New Roman"/>
                      <w:b w:val="0"/>
                      <w:bCs w:val="0"/>
                      <w:color w:val="0000FF"/>
                      <w:sz w:val="21"/>
                      <w:szCs w:val="21"/>
                      <w:highlight w:val="none"/>
                      <w:lang w:val="en-US" w:eastAsia="zh-CN"/>
                    </w:rPr>
                    <w:t>烘烤线</w:t>
                  </w:r>
                </w:p>
              </w:tc>
              <w:tc>
                <w:tcPr>
                  <w:tcW w:w="9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0.15</w:t>
                  </w:r>
                </w:p>
              </w:tc>
              <w:tc>
                <w:tcPr>
                  <w:tcW w:w="93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017"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1281"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丝印车间</w:t>
                  </w:r>
                </w:p>
              </w:tc>
              <w:tc>
                <w:tcPr>
                  <w:tcW w:w="9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0.15</w:t>
                  </w:r>
                </w:p>
              </w:tc>
              <w:tc>
                <w:tcPr>
                  <w:tcW w:w="93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017"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9</w:t>
                  </w:r>
                </w:p>
              </w:tc>
              <w:tc>
                <w:tcPr>
                  <w:tcW w:w="1281"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烘干线</w:t>
                  </w:r>
                </w:p>
              </w:tc>
              <w:tc>
                <w:tcPr>
                  <w:tcW w:w="9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0.15</w:t>
                  </w:r>
                </w:p>
              </w:tc>
              <w:tc>
                <w:tcPr>
                  <w:tcW w:w="93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50"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017"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w:t>
                  </w:r>
                </w:p>
              </w:tc>
              <w:tc>
                <w:tcPr>
                  <w:tcW w:w="1281"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3933" w:type="pct"/>
                  <w:gridSpan w:val="7"/>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设计风量合计</w:t>
                  </w:r>
                </w:p>
              </w:tc>
              <w:tc>
                <w:tcPr>
                  <w:tcW w:w="69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cs="Times New Roman"/>
                      <w:b w:val="0"/>
                      <w:bCs w:val="0"/>
                      <w:color w:val="auto"/>
                      <w:kern w:val="0"/>
                      <w:sz w:val="21"/>
                      <w:szCs w:val="21"/>
                      <w:highlight w:val="none"/>
                      <w:lang w:val="en-US" w:eastAsia="zh-CN" w:bidi="ar-SA"/>
                    </w:rPr>
                    <w:t>18401.36</w:t>
                  </w:r>
                </w:p>
              </w:tc>
            </w:tr>
          </w:tbl>
          <w:p>
            <w:pPr>
              <w:snapToGrid w:val="0"/>
              <w:spacing w:line="360" w:lineRule="auto"/>
              <w:ind w:firstLine="480" w:firstLineChars="200"/>
              <w:rPr>
                <w:rFonts w:hint="eastAsia" w:eastAsia="宋体"/>
                <w:color w:val="auto"/>
                <w:sz w:val="24"/>
                <w:lang w:eastAsia="zh-CN"/>
              </w:rPr>
            </w:pPr>
            <w:r>
              <w:rPr>
                <w:rFonts w:hint="eastAsia"/>
                <w:color w:val="auto"/>
                <w:sz w:val="24"/>
                <w:highlight w:val="none"/>
              </w:rPr>
              <w:t>由</w:t>
            </w:r>
            <w:r>
              <w:rPr>
                <w:rFonts w:hint="eastAsia"/>
                <w:color w:val="auto"/>
                <w:sz w:val="24"/>
                <w:highlight w:val="none"/>
                <w:lang w:val="en-US" w:eastAsia="zh-CN"/>
              </w:rPr>
              <w:t>公式</w:t>
            </w:r>
            <w:r>
              <w:rPr>
                <w:rFonts w:hint="eastAsia"/>
                <w:color w:val="auto"/>
                <w:sz w:val="24"/>
                <w:highlight w:val="none"/>
              </w:rPr>
              <w:t>算得</w:t>
            </w:r>
            <w:r>
              <w:rPr>
                <w:rFonts w:hint="eastAsia"/>
                <w:color w:val="auto"/>
                <w:sz w:val="24"/>
                <w:highlight w:val="none"/>
                <w:lang w:val="en-US" w:eastAsia="zh-CN"/>
              </w:rPr>
              <w:t>排气筒DA003</w:t>
            </w:r>
            <w:r>
              <w:rPr>
                <w:rFonts w:hint="eastAsia"/>
                <w:color w:val="auto"/>
                <w:sz w:val="24"/>
                <w:lang w:val="en-US" w:eastAsia="zh-CN"/>
              </w:rPr>
              <w:t>所需总风量</w:t>
            </w:r>
            <w:r>
              <w:rPr>
                <w:rFonts w:hint="eastAsia"/>
                <w:color w:val="auto"/>
                <w:sz w:val="24"/>
              </w:rPr>
              <w:t>为18401.36</w:t>
            </w:r>
            <w:r>
              <w:rPr>
                <w:color w:val="auto"/>
                <w:sz w:val="24"/>
              </w:rPr>
              <w:t>m</w:t>
            </w:r>
            <w:r>
              <w:rPr>
                <w:color w:val="auto"/>
                <w:sz w:val="24"/>
                <w:vertAlign w:val="superscript"/>
              </w:rPr>
              <w:t>3</w:t>
            </w:r>
            <w:r>
              <w:rPr>
                <w:color w:val="auto"/>
                <w:sz w:val="24"/>
              </w:rPr>
              <w:t>/</w:t>
            </w:r>
            <w:r>
              <w:rPr>
                <w:rFonts w:hint="eastAsia"/>
                <w:color w:val="auto"/>
                <w:sz w:val="24"/>
              </w:rPr>
              <w:t>h</w:t>
            </w:r>
            <w:r>
              <w:rPr>
                <w:rFonts w:hint="eastAsia"/>
                <w:color w:val="auto"/>
                <w:sz w:val="24"/>
                <w:highlight w:val="none"/>
              </w:rPr>
              <w:t>，考虑到风管损失，风量以</w:t>
            </w:r>
            <w:r>
              <w:rPr>
                <w:rFonts w:hint="eastAsia"/>
                <w:color w:val="auto"/>
                <w:sz w:val="24"/>
                <w:highlight w:val="none"/>
                <w:lang w:val="en-US" w:eastAsia="zh-CN"/>
              </w:rPr>
              <w:t>20000</w:t>
            </w:r>
            <w:r>
              <w:rPr>
                <w:color w:val="auto"/>
                <w:sz w:val="24"/>
                <w:highlight w:val="none"/>
              </w:rPr>
              <w:t>m</w:t>
            </w:r>
            <w:r>
              <w:rPr>
                <w:color w:val="auto"/>
                <w:sz w:val="24"/>
                <w:highlight w:val="none"/>
                <w:vertAlign w:val="superscript"/>
              </w:rPr>
              <w:t>3</w:t>
            </w:r>
            <w:r>
              <w:rPr>
                <w:color w:val="auto"/>
                <w:sz w:val="24"/>
                <w:highlight w:val="none"/>
              </w:rPr>
              <w:t>/</w:t>
            </w:r>
            <w:r>
              <w:rPr>
                <w:rFonts w:hint="eastAsia"/>
                <w:color w:val="auto"/>
                <w:sz w:val="24"/>
                <w:highlight w:val="none"/>
              </w:rPr>
              <w:t>h计</w:t>
            </w:r>
            <w:r>
              <w:rPr>
                <w:rFonts w:hint="eastAsia"/>
                <w:color w:val="auto"/>
                <w:sz w:val="24"/>
                <w:lang w:eastAsia="zh-CN"/>
              </w:rPr>
              <w:t>。</w:t>
            </w:r>
          </w:p>
          <w:p>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④处理效率</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b/>
                <w:bCs/>
                <w:color w:val="auto"/>
                <w:sz w:val="24"/>
                <w:szCs w:val="24"/>
                <w:lang w:val="en-US" w:eastAsia="zh-CN"/>
              </w:rPr>
              <w:t>漆雾：</w:t>
            </w:r>
            <w:r>
              <w:rPr>
                <w:rFonts w:hint="default" w:ascii="Times New Roman" w:hAnsi="Times New Roman" w:eastAsia="宋体" w:cs="Times New Roman"/>
                <w:color w:val="auto"/>
                <w:sz w:val="24"/>
                <w:szCs w:val="24"/>
                <w:lang w:val="en-US" w:eastAsia="zh-CN"/>
              </w:rPr>
              <w:t>喷漆工序在水帘式喷漆房内进行，水帘式喷漆房气流带动漆雾颗粒，穿过</w:t>
            </w:r>
            <w:r>
              <w:rPr>
                <w:rFonts w:hint="eastAsia" w:cs="Times New Roman"/>
                <w:color w:val="auto"/>
                <w:sz w:val="24"/>
                <w:szCs w:val="24"/>
                <w:lang w:val="en-US" w:eastAsia="zh-CN"/>
              </w:rPr>
              <w:t>水帘</w:t>
            </w:r>
            <w:r>
              <w:rPr>
                <w:rFonts w:hint="default" w:ascii="Times New Roman" w:hAnsi="Times New Roman" w:eastAsia="宋体" w:cs="Times New Roman"/>
                <w:color w:val="auto"/>
                <w:sz w:val="24"/>
                <w:szCs w:val="24"/>
                <w:lang w:val="en-US" w:eastAsia="zh-CN"/>
              </w:rPr>
              <w:t>，与高速雾化的水汽碰撞，落入循环水池内</w:t>
            </w:r>
            <w:r>
              <w:rPr>
                <w:rFonts w:hint="eastAsia"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根据《环保设备设计手册—大气污染控制设备》（化学工业出版社），水帘机的除尘效率为75~99%（按去除效率</w:t>
            </w:r>
            <w:r>
              <w:rPr>
                <w:rFonts w:hint="eastAsia" w:cs="Times New Roman"/>
                <w:color w:val="auto"/>
                <w:sz w:val="24"/>
                <w:szCs w:val="24"/>
                <w:lang w:val="en-US" w:eastAsia="zh-CN"/>
              </w:rPr>
              <w:t>90</w:t>
            </w:r>
            <w:r>
              <w:rPr>
                <w:rFonts w:hint="default" w:ascii="Times New Roman" w:hAnsi="Times New Roman" w:eastAsia="宋体" w:cs="Times New Roman"/>
                <w:color w:val="auto"/>
                <w:sz w:val="24"/>
                <w:szCs w:val="24"/>
                <w:lang w:val="en-US" w:eastAsia="zh-CN"/>
              </w:rPr>
              <w:t>%计）</w:t>
            </w:r>
            <w:r>
              <w:rPr>
                <w:rFonts w:hint="eastAsia"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cs="Times New Roman"/>
                <w:b w:val="0"/>
                <w:bCs w:val="0"/>
                <w:color w:val="auto"/>
                <w:sz w:val="24"/>
                <w:szCs w:val="24"/>
                <w:lang w:val="en-US" w:eastAsia="zh-CN"/>
              </w:rPr>
              <w:t>参照</w:t>
            </w:r>
            <w:r>
              <w:rPr>
                <w:rFonts w:hint="default" w:ascii="Times New Roman" w:hAnsi="Times New Roman" w:eastAsia="宋体" w:cs="Times New Roman"/>
                <w:b w:val="0"/>
                <w:bCs w:val="0"/>
                <w:color w:val="auto"/>
                <w:sz w:val="24"/>
                <w:szCs w:val="24"/>
                <w:highlight w:val="none"/>
                <w:lang w:val="en-US" w:eastAsia="zh-CN"/>
              </w:rPr>
              <w:t>《排放源统计调查产排污核算方法和系数手册》，</w:t>
            </w:r>
            <w:r>
              <w:rPr>
                <w:rFonts w:hint="eastAsia" w:ascii="Times New Roman" w:hAnsi="Times New Roman" w:eastAsia="宋体" w:cs="Times New Roman"/>
                <w:b w:val="0"/>
                <w:bCs w:val="0"/>
                <w:color w:val="auto"/>
                <w:sz w:val="24"/>
                <w:szCs w:val="24"/>
                <w:highlight w:val="none"/>
                <w:lang w:val="en-US" w:eastAsia="zh-CN"/>
              </w:rPr>
              <w:t>“喷淋塔/冲击水浴”对颗粒物的处理效率为85%；</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b w:val="0"/>
                <w:bCs w:val="0"/>
                <w:color w:val="auto"/>
                <w:kern w:val="0"/>
                <w:sz w:val="24"/>
                <w:lang w:val="en-US" w:eastAsia="zh-CN"/>
              </w:rPr>
              <w:t>根据文献《喷漆废气处理技术研究进展》（作者：盛楠、魏周好胜、陈明功、孙逸玫、韩笑）：干式净化法是将喷漆废气进入过滤器，利用滤层阻留喷漆废气的漆雾和颗粒物，常用玻璃纤维棉、炉渣等作为滤料，理论上过滤法可以取出大部分漆雾，该方法无二次污染，不产生废水，干式过滤法去除漆雾效率可达90~95%，本项目按90%计；</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highlight w:val="none"/>
              </w:rPr>
              <w:t>当存在两种或两种以上治理设施联合治理时，治理效率可按公式n=1-(1-n</w:t>
            </w:r>
            <w:r>
              <w:rPr>
                <w:rFonts w:hint="default" w:ascii="Times New Roman" w:hAnsi="Times New Roman" w:cs="Times New Roman"/>
                <w:b/>
                <w:bCs/>
                <w:color w:val="auto"/>
                <w:sz w:val="24"/>
                <w:highlight w:val="none"/>
                <w:vertAlign w:val="subscript"/>
              </w:rPr>
              <w:t>1</w:t>
            </w:r>
            <w:r>
              <w:rPr>
                <w:rFonts w:hint="default" w:ascii="Times New Roman" w:hAnsi="Times New Roman" w:cs="Times New Roman"/>
                <w:b/>
                <w:bCs/>
                <w:color w:val="auto"/>
                <w:sz w:val="24"/>
                <w:highlight w:val="none"/>
              </w:rPr>
              <w:t>)×(1-n</w:t>
            </w:r>
            <w:r>
              <w:rPr>
                <w:rFonts w:hint="default" w:ascii="Times New Roman" w:hAnsi="Times New Roman" w:cs="Times New Roman"/>
                <w:b/>
                <w:bCs/>
                <w:color w:val="auto"/>
                <w:sz w:val="24"/>
                <w:highlight w:val="none"/>
                <w:vertAlign w:val="subscript"/>
              </w:rPr>
              <w:t>2</w:t>
            </w:r>
            <w:r>
              <w:rPr>
                <w:rFonts w:hint="default" w:ascii="Times New Roman" w:hAnsi="Times New Roman" w:cs="Times New Roman"/>
                <w:b/>
                <w:bCs/>
                <w:color w:val="auto"/>
                <w:sz w:val="24"/>
                <w:highlight w:val="none"/>
              </w:rPr>
              <w:t>)…. (1-n</w:t>
            </w:r>
            <w:r>
              <w:rPr>
                <w:rFonts w:hint="default" w:ascii="Times New Roman" w:hAnsi="Times New Roman" w:cs="Times New Roman"/>
                <w:b/>
                <w:bCs/>
                <w:color w:val="auto"/>
                <w:sz w:val="24"/>
                <w:highlight w:val="none"/>
                <w:vertAlign w:val="subscript"/>
              </w:rPr>
              <w:t>1</w:t>
            </w:r>
            <w:r>
              <w:rPr>
                <w:rFonts w:hint="default" w:ascii="Times New Roman" w:hAnsi="Times New Roman" w:cs="Times New Roman"/>
                <w:b/>
                <w:bCs/>
                <w:color w:val="auto"/>
                <w:sz w:val="24"/>
                <w:highlight w:val="none"/>
              </w:rPr>
              <w:t>)进行计算</w:t>
            </w:r>
            <w:r>
              <w:rPr>
                <w:rFonts w:hint="eastAsia" w:ascii="Times New Roman" w:hAnsi="Times New Roman" w:cs="Times New Roman"/>
                <w:b/>
                <w:bCs/>
                <w:color w:val="auto"/>
                <w:sz w:val="24"/>
                <w:highlight w:val="none"/>
                <w:lang w:eastAsia="zh-CN"/>
              </w:rPr>
              <w:t>，则“水帘柜+水喷淋</w:t>
            </w:r>
            <w:r>
              <w:rPr>
                <w:rFonts w:hint="eastAsia" w:ascii="Times New Roman" w:hAnsi="Times New Roman" w:cs="Times New Roman"/>
                <w:b/>
                <w:bCs/>
                <w:color w:val="auto"/>
                <w:sz w:val="24"/>
                <w:highlight w:val="none"/>
                <w:lang w:val="en-US" w:eastAsia="zh-CN"/>
              </w:rPr>
              <w:t>+干式过滤</w:t>
            </w:r>
            <w:r>
              <w:rPr>
                <w:rFonts w:hint="eastAsia" w:ascii="Times New Roman" w:hAnsi="Times New Roman" w:cs="Times New Roman"/>
                <w:b/>
                <w:bCs/>
                <w:color w:val="auto"/>
                <w:sz w:val="24"/>
                <w:highlight w:val="none"/>
                <w:lang w:eastAsia="zh-CN"/>
              </w:rPr>
              <w:t>”对漆雾的综合处理效率为：1-（1-90%）×（1-</w:t>
            </w:r>
            <w:r>
              <w:rPr>
                <w:rFonts w:hint="eastAsia" w:ascii="Times New Roman" w:hAnsi="Times New Roman" w:cs="Times New Roman"/>
                <w:b/>
                <w:bCs/>
                <w:color w:val="auto"/>
                <w:sz w:val="24"/>
                <w:highlight w:val="none"/>
                <w:lang w:val="en-US" w:eastAsia="zh-CN"/>
              </w:rPr>
              <w:t>85%</w:t>
            </w:r>
            <w:r>
              <w:rPr>
                <w:rFonts w:hint="eastAsia" w:ascii="Times New Roman" w:hAnsi="Times New Roman" w:cs="Times New Roman"/>
                <w:b/>
                <w:bCs/>
                <w:color w:val="auto"/>
                <w:sz w:val="24"/>
                <w:highlight w:val="none"/>
                <w:lang w:eastAsia="zh-CN"/>
              </w:rPr>
              <w:t>%）×（1-</w:t>
            </w:r>
            <w:r>
              <w:rPr>
                <w:rFonts w:hint="eastAsia" w:ascii="Times New Roman" w:hAnsi="Times New Roman" w:cs="Times New Roman"/>
                <w:b/>
                <w:bCs/>
                <w:color w:val="auto"/>
                <w:sz w:val="24"/>
                <w:highlight w:val="none"/>
                <w:lang w:val="en-US" w:eastAsia="zh-CN"/>
              </w:rPr>
              <w:t>90</w:t>
            </w:r>
            <w:r>
              <w:rPr>
                <w:rFonts w:hint="eastAsia" w:ascii="Times New Roman" w:hAnsi="Times New Roman" w:cs="Times New Roman"/>
                <w:b/>
                <w:bCs/>
                <w:color w:val="auto"/>
                <w:sz w:val="24"/>
                <w:highlight w:val="none"/>
                <w:lang w:eastAsia="zh-CN"/>
              </w:rPr>
              <w:t>%）=9</w:t>
            </w:r>
            <w:r>
              <w:rPr>
                <w:rFonts w:hint="eastAsia" w:ascii="Times New Roman" w:hAnsi="Times New Roman" w:cs="Times New Roman"/>
                <w:b/>
                <w:bCs/>
                <w:color w:val="auto"/>
                <w:sz w:val="24"/>
                <w:highlight w:val="none"/>
                <w:lang w:val="en-US" w:eastAsia="zh-CN"/>
              </w:rPr>
              <w:t>9</w:t>
            </w:r>
            <w:r>
              <w:rPr>
                <w:rFonts w:hint="eastAsia" w:ascii="Times New Roman" w:hAnsi="Times New Roman" w:cs="Times New Roman"/>
                <w:b/>
                <w:bCs/>
                <w:color w:val="auto"/>
                <w:sz w:val="24"/>
                <w:highlight w:val="none"/>
                <w:lang w:eastAsia="zh-CN"/>
              </w:rPr>
              <w:t>.</w:t>
            </w:r>
            <w:r>
              <w:rPr>
                <w:rFonts w:hint="eastAsia" w:ascii="Times New Roman" w:hAnsi="Times New Roman" w:cs="Times New Roman"/>
                <w:b/>
                <w:bCs/>
                <w:color w:val="auto"/>
                <w:sz w:val="24"/>
                <w:highlight w:val="none"/>
                <w:lang w:val="en-US" w:eastAsia="zh-CN"/>
              </w:rPr>
              <w:t>8</w:t>
            </w:r>
            <w:r>
              <w:rPr>
                <w:rFonts w:hint="eastAsia" w:ascii="Times New Roman" w:hAnsi="Times New Roman" w:cs="Times New Roman"/>
                <w:b/>
                <w:bCs/>
                <w:color w:val="auto"/>
                <w:sz w:val="24"/>
                <w:highlight w:val="none"/>
                <w:lang w:eastAsia="zh-CN"/>
              </w:rPr>
              <w:t>5%。</w:t>
            </w:r>
          </w:p>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2" w:firstLineChars="200"/>
              <w:textAlignment w:val="auto"/>
              <w:rPr>
                <w:color w:val="auto"/>
                <w:sz w:val="24"/>
              </w:rPr>
            </w:pPr>
            <w:r>
              <w:rPr>
                <w:rFonts w:hint="eastAsia" w:cs="Times New Roman"/>
                <w:b/>
                <w:bCs/>
                <w:color w:val="BF9000" w:themeColor="accent4" w:themeShade="BF"/>
                <w:sz w:val="24"/>
                <w:szCs w:val="24"/>
                <w:highlight w:val="none"/>
                <w:lang w:val="en-US" w:eastAsia="zh-CN"/>
              </w:rPr>
              <w:t>非甲烷总烃/</w:t>
            </w:r>
            <w:r>
              <w:rPr>
                <w:rFonts w:hint="eastAsia" w:ascii="Times New Roman" w:eastAsia="宋体" w:cs="Times New Roman"/>
                <w:b/>
                <w:bCs/>
                <w:color w:val="auto"/>
                <w:sz w:val="24"/>
                <w:szCs w:val="24"/>
                <w:highlight w:val="none"/>
                <w:lang w:val="en-US" w:eastAsia="zh-CN"/>
              </w:rPr>
              <w:t>总VOCs：</w:t>
            </w:r>
            <w:r>
              <w:rPr>
                <w:rFonts w:hint="eastAsia"/>
                <w:color w:val="auto"/>
                <w:sz w:val="24"/>
                <w:lang w:val="en-US" w:eastAsia="zh-CN"/>
              </w:rPr>
              <w:t>根据</w:t>
            </w:r>
            <w:r>
              <w:rPr>
                <w:rFonts w:hint="eastAsia"/>
                <w:color w:val="auto"/>
                <w:sz w:val="24"/>
              </w:rPr>
              <w:t>《</w:t>
            </w:r>
            <w:r>
              <w:rPr>
                <w:rFonts w:hint="eastAsia"/>
                <w:color w:val="auto"/>
                <w:sz w:val="24"/>
                <w:lang w:val="en-US" w:eastAsia="zh-CN"/>
              </w:rPr>
              <w:t>广东省家具制造行业挥发性有机废气治理技术指南</w:t>
            </w:r>
            <w:r>
              <w:rPr>
                <w:rFonts w:hint="eastAsia"/>
                <w:color w:val="auto"/>
                <w:sz w:val="24"/>
              </w:rPr>
              <w:t>》，活性炭治理</w:t>
            </w:r>
            <w:r>
              <w:rPr>
                <w:rFonts w:hint="eastAsia"/>
                <w:color w:val="auto"/>
                <w:sz w:val="24"/>
                <w:lang w:val="en-US" w:eastAsia="zh-CN"/>
              </w:rPr>
              <w:t>有机废气</w:t>
            </w:r>
            <w:r>
              <w:rPr>
                <w:rFonts w:hint="eastAsia"/>
                <w:color w:val="auto"/>
                <w:sz w:val="24"/>
              </w:rPr>
              <w:t>效率可达</w:t>
            </w:r>
            <w:r>
              <w:rPr>
                <w:rFonts w:hint="eastAsia"/>
                <w:color w:val="auto"/>
                <w:sz w:val="24"/>
                <w:lang w:val="en-US" w:eastAsia="zh-CN"/>
              </w:rPr>
              <w:t>50~80</w:t>
            </w:r>
            <w:r>
              <w:rPr>
                <w:rFonts w:hint="eastAsia"/>
                <w:color w:val="auto"/>
                <w:sz w:val="24"/>
              </w:rPr>
              <w:t>%</w:t>
            </w:r>
            <w:r>
              <w:rPr>
                <w:rFonts w:hint="eastAsia"/>
                <w:color w:val="auto"/>
                <w:sz w:val="24"/>
                <w:lang w:eastAsia="zh-CN"/>
              </w:rPr>
              <w:t>，</w:t>
            </w:r>
            <w:r>
              <w:rPr>
                <w:rFonts w:hint="eastAsia"/>
                <w:color w:val="auto"/>
                <w:sz w:val="24"/>
                <w:lang w:val="en-US" w:eastAsia="zh-CN"/>
              </w:rPr>
              <w:t>本项目取55</w:t>
            </w:r>
            <w:r>
              <w:rPr>
                <w:rFonts w:hint="eastAsia"/>
                <w:color w:val="auto"/>
                <w:sz w:val="24"/>
              </w:rPr>
              <w:t>%</w:t>
            </w:r>
            <w:r>
              <w:rPr>
                <w:rFonts w:hint="eastAsia"/>
                <w:color w:val="auto"/>
                <w:sz w:val="24"/>
                <w:lang w:eastAsia="zh-CN"/>
              </w:rPr>
              <w:t>；</w:t>
            </w:r>
            <w:r>
              <w:rPr>
                <w:rFonts w:hint="eastAsia" w:ascii="Times New Roman" w:hAnsi="Times New Roman" w:cs="Times New Roman"/>
                <w:color w:val="auto"/>
                <w:sz w:val="24"/>
                <w:highlight w:val="none"/>
                <w:lang w:eastAsia="zh-CN"/>
              </w:rPr>
              <w:t>“水帘柜+水喷淋</w:t>
            </w:r>
            <w:r>
              <w:rPr>
                <w:rFonts w:hint="eastAsia" w:ascii="Times New Roman" w:hAnsi="Times New Roman" w:cs="Times New Roman"/>
                <w:color w:val="auto"/>
                <w:sz w:val="24"/>
                <w:highlight w:val="none"/>
                <w:lang w:val="en-US" w:eastAsia="zh-CN"/>
              </w:rPr>
              <w:t>+干式过滤</w:t>
            </w:r>
            <w:r>
              <w:rPr>
                <w:rFonts w:hint="eastAsia" w:cs="Times New Roman"/>
                <w:color w:val="auto"/>
                <w:sz w:val="24"/>
                <w:highlight w:val="none"/>
                <w:lang w:val="en-US" w:eastAsia="zh-CN"/>
              </w:rPr>
              <w:t>器</w:t>
            </w:r>
            <w:r>
              <w:rPr>
                <w:rFonts w:hint="eastAsia" w:ascii="Times New Roman" w:hAnsi="Times New Roman" w:cs="Times New Roman"/>
                <w:color w:val="auto"/>
                <w:sz w:val="24"/>
                <w:highlight w:val="none"/>
                <w:lang w:val="en-US" w:eastAsia="zh-CN"/>
              </w:rPr>
              <w:t>+二级活性炭</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中对有机废气有处理效率的主要为活性炭，则二级活性炭的</w:t>
            </w:r>
            <w:r>
              <w:rPr>
                <w:color w:val="auto"/>
                <w:sz w:val="24"/>
              </w:rPr>
              <w:t>治理效率</w:t>
            </w:r>
            <w:r>
              <w:rPr>
                <w:rFonts w:hint="eastAsia"/>
                <w:color w:val="auto"/>
                <w:sz w:val="24"/>
              </w:rPr>
              <w:t>=1-（1-</w:t>
            </w:r>
            <w:r>
              <w:rPr>
                <w:rFonts w:hint="eastAsia"/>
                <w:color w:val="auto"/>
                <w:sz w:val="24"/>
                <w:lang w:val="en-US" w:eastAsia="zh-CN"/>
              </w:rPr>
              <w:t>55</w:t>
            </w:r>
            <w:r>
              <w:rPr>
                <w:rFonts w:hint="eastAsia"/>
                <w:color w:val="auto"/>
                <w:sz w:val="24"/>
              </w:rPr>
              <w:t>%）</w:t>
            </w:r>
            <w:r>
              <w:rPr>
                <w:rFonts w:hint="eastAsia"/>
                <w:color w:val="auto"/>
                <w:kern w:val="0"/>
                <w:szCs w:val="21"/>
                <w:lang w:val="en-US" w:eastAsia="zh-CN" w:bidi="ar"/>
              </w:rPr>
              <w:t>×</w:t>
            </w:r>
            <w:r>
              <w:rPr>
                <w:rFonts w:hint="eastAsia"/>
                <w:color w:val="auto"/>
                <w:sz w:val="24"/>
              </w:rPr>
              <w:t>（1-</w:t>
            </w:r>
            <w:r>
              <w:rPr>
                <w:rFonts w:hint="eastAsia"/>
                <w:color w:val="auto"/>
                <w:sz w:val="24"/>
                <w:lang w:val="en-US" w:eastAsia="zh-CN"/>
              </w:rPr>
              <w:t>55</w:t>
            </w:r>
            <w:r>
              <w:rPr>
                <w:rFonts w:hint="eastAsia"/>
                <w:color w:val="auto"/>
                <w:sz w:val="24"/>
              </w:rPr>
              <w:t>%）]=</w:t>
            </w:r>
            <w:r>
              <w:rPr>
                <w:rFonts w:hint="eastAsia"/>
                <w:color w:val="auto"/>
                <w:sz w:val="24"/>
                <w:lang w:val="en-US" w:eastAsia="zh-CN"/>
              </w:rPr>
              <w:t>80</w:t>
            </w:r>
            <w:r>
              <w:rPr>
                <w:rFonts w:hint="eastAsia"/>
                <w:color w:val="auto"/>
                <w:sz w:val="24"/>
              </w:rPr>
              <w:t>%</w:t>
            </w:r>
            <w:r>
              <w:rPr>
                <w:color w:val="auto"/>
                <w:sz w:val="24"/>
              </w:rPr>
              <w:t>。</w:t>
            </w:r>
          </w:p>
          <w:p>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auto"/>
                <w:highlight w:val="yellow"/>
                <w:lang w:val="en-US" w:eastAsia="zh-CN"/>
              </w:rPr>
            </w:pPr>
            <w:r>
              <w:rPr>
                <w:rFonts w:hint="eastAsia"/>
                <w:color w:val="auto"/>
                <w:sz w:val="24"/>
              </w:rPr>
              <w:t>根据《排污许可证申请与核发技术规范 橡胶和塑料制品工业》（HJ1122—2020）表A.2可知，本项目</w:t>
            </w:r>
            <w:r>
              <w:rPr>
                <w:rFonts w:hint="eastAsia" w:cs="Times New Roman"/>
                <w:bCs/>
                <w:color w:val="FF0000"/>
                <w:szCs w:val="21"/>
                <w:highlight w:val="none"/>
                <w:lang w:val="en-US" w:eastAsia="zh-CN"/>
              </w:rPr>
              <w:t>喷漆</w:t>
            </w:r>
            <w:r>
              <w:rPr>
                <w:rFonts w:hint="eastAsia"/>
                <w:color w:val="auto"/>
                <w:sz w:val="24"/>
                <w:lang w:val="en-US" w:eastAsia="zh-CN"/>
              </w:rPr>
              <w:t>及丝印</w:t>
            </w:r>
            <w:r>
              <w:rPr>
                <w:rFonts w:hint="eastAsia"/>
                <w:color w:val="auto"/>
                <w:sz w:val="24"/>
              </w:rPr>
              <w:t>废气采用的“</w:t>
            </w:r>
            <w:r>
              <w:rPr>
                <w:rFonts w:hint="eastAsia"/>
                <w:color w:val="auto"/>
                <w:sz w:val="24"/>
                <w:lang w:val="en-US" w:eastAsia="zh-CN"/>
              </w:rPr>
              <w:t>活性炭吸附</w:t>
            </w:r>
            <w:r>
              <w:rPr>
                <w:rFonts w:hint="eastAsia"/>
                <w:color w:val="auto"/>
                <w:sz w:val="24"/>
              </w:rPr>
              <w:t>”为可行技术</w:t>
            </w:r>
            <w:r>
              <w:rPr>
                <w:rFonts w:hint="eastAsia"/>
                <w:color w:val="auto"/>
                <w:sz w:val="24"/>
                <w:lang w:eastAsia="zh-CN"/>
              </w:rPr>
              <w:t>。</w:t>
            </w:r>
          </w:p>
          <w:p>
            <w:pPr>
              <w:ind w:firstLine="482" w:firstLineChars="200"/>
              <w:rPr>
                <w:color w:val="auto"/>
              </w:rPr>
            </w:pPr>
            <w:r>
              <w:rPr>
                <w:rFonts w:hint="eastAsia"/>
                <w:b/>
                <w:bCs/>
                <w:color w:val="auto"/>
                <w:lang w:val="en-US" w:eastAsia="zh-CN"/>
              </w:rPr>
              <w:t>4、</w:t>
            </w:r>
            <w:r>
              <w:rPr>
                <w:rFonts w:hint="eastAsia"/>
                <w:b/>
                <w:bCs/>
                <w:color w:val="auto"/>
              </w:rPr>
              <w:t>排气口设置情况</w:t>
            </w:r>
          </w:p>
          <w:p>
            <w:pPr>
              <w:ind w:firstLine="480" w:firstLineChars="200"/>
              <w:rPr>
                <w:rFonts w:hint="eastAsia"/>
                <w:color w:val="auto"/>
              </w:rPr>
            </w:pPr>
            <w:r>
              <w:rPr>
                <w:rFonts w:hint="eastAsia"/>
                <w:bCs/>
                <w:color w:val="auto"/>
                <w:szCs w:val="21"/>
              </w:rPr>
              <w:t>项目</w:t>
            </w:r>
            <w:r>
              <w:rPr>
                <w:color w:val="auto"/>
              </w:rPr>
              <w:t>排气口设置计划</w:t>
            </w:r>
            <w:r>
              <w:rPr>
                <w:rFonts w:hint="eastAsia"/>
                <w:color w:val="auto"/>
              </w:rPr>
              <w:t>见下表。</w:t>
            </w:r>
          </w:p>
          <w:p>
            <w:pPr>
              <w:pStyle w:val="44"/>
              <w:numPr>
                <w:ilvl w:val="0"/>
                <w:numId w:val="9"/>
              </w:numPr>
              <w:tabs>
                <w:tab w:val="clear" w:pos="0"/>
              </w:tabs>
              <w:bidi w:val="0"/>
              <w:ind w:left="0" w:leftChars="0" w:firstLine="403" w:firstLineChars="0"/>
              <w:rPr>
                <w:color w:val="auto"/>
              </w:rPr>
            </w:pPr>
            <w:r>
              <w:rPr>
                <w:rFonts w:hint="eastAsia"/>
                <w:color w:val="auto"/>
                <w:lang w:val="en-US" w:eastAsia="zh-CN"/>
              </w:rPr>
              <w:t>扩建后</w:t>
            </w:r>
            <w:r>
              <w:rPr>
                <w:color w:val="auto"/>
              </w:rPr>
              <w:t>项目排气口设置计划</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
              <w:gridCol w:w="1146"/>
              <w:gridCol w:w="952"/>
              <w:gridCol w:w="1529"/>
              <w:gridCol w:w="1326"/>
              <w:gridCol w:w="706"/>
              <w:gridCol w:w="606"/>
              <w:gridCol w:w="945"/>
              <w:gridCol w:w="769"/>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编号</w:t>
                  </w:r>
                </w:p>
              </w:tc>
              <w:tc>
                <w:tcPr>
                  <w:tcW w:w="643"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名称</w:t>
                  </w:r>
                </w:p>
              </w:tc>
              <w:tc>
                <w:tcPr>
                  <w:tcW w:w="488"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污染物种类</w:t>
                  </w:r>
                </w:p>
              </w:tc>
              <w:tc>
                <w:tcPr>
                  <w:tcW w:w="1405" w:type="pct"/>
                  <w:gridSpan w:val="2"/>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排气筒底部中心坐标m</w:t>
                  </w:r>
                </w:p>
              </w:tc>
              <w:tc>
                <w:tcPr>
                  <w:tcW w:w="405"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排气温度℃</w:t>
                  </w:r>
                </w:p>
              </w:tc>
              <w:tc>
                <w:tcPr>
                  <w:tcW w:w="1324" w:type="pct"/>
                  <w:gridSpan w:val="3"/>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w:t>
                  </w:r>
                </w:p>
              </w:tc>
              <w:tc>
                <w:tcPr>
                  <w:tcW w:w="470"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643"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488"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703"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N</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E</w:t>
                  </w:r>
                </w:p>
              </w:tc>
              <w:tc>
                <w:tcPr>
                  <w:tcW w:w="405" w:type="pct"/>
                  <w:vMerge w:val="continue"/>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p>
              </w:tc>
              <w:tc>
                <w:tcPr>
                  <w:tcW w:w="351"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高度m</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出口</w:t>
                  </w:r>
                </w:p>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内径m</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流速</w:t>
                  </w:r>
                  <w:r>
                    <w:rPr>
                      <w:rFonts w:hint="default" w:ascii="Times New Roman" w:hAnsi="Times New Roman" w:eastAsia="宋体" w:cs="Times New Roman"/>
                      <w:b/>
                      <w:bCs/>
                      <w:color w:val="auto"/>
                      <w:sz w:val="21"/>
                      <w:szCs w:val="21"/>
                      <w:highlight w:val="none"/>
                    </w:rPr>
                    <w:t>m/s</w:t>
                  </w:r>
                </w:p>
              </w:tc>
              <w:tc>
                <w:tcPr>
                  <w:tcW w:w="470"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5"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643"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DA001</w:t>
                  </w:r>
                  <w:r>
                    <w:rPr>
                      <w:rFonts w:hint="eastAsia" w:ascii="Times New Roman" w:hAnsi="Times New Roman" w:eastAsia="宋体" w:cs="Times New Roman"/>
                      <w:color w:val="auto"/>
                      <w:sz w:val="21"/>
                      <w:szCs w:val="21"/>
                      <w:highlight w:val="none"/>
                      <w:lang w:val="en-US" w:eastAsia="zh-CN"/>
                    </w:rPr>
                    <w:t>注塑及焊接废气</w:t>
                  </w:r>
                  <w:r>
                    <w:rPr>
                      <w:rFonts w:hint="eastAsia" w:cs="Times New Roman"/>
                      <w:color w:val="auto"/>
                      <w:sz w:val="21"/>
                      <w:szCs w:val="21"/>
                      <w:highlight w:val="none"/>
                      <w:lang w:eastAsia="zh-CN"/>
                    </w:rPr>
                    <w:t>排放口</w:t>
                  </w:r>
                </w:p>
              </w:tc>
              <w:tc>
                <w:tcPr>
                  <w:tcW w:w="488"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颗粒物</w:t>
                  </w:r>
                  <w:r>
                    <w:rPr>
                      <w:rFonts w:hint="eastAsia" w:cs="Times New Roman"/>
                      <w:color w:val="auto"/>
                      <w:sz w:val="21"/>
                      <w:szCs w:val="21"/>
                      <w:highlight w:val="none"/>
                      <w:lang w:val="en-US" w:eastAsia="zh-CN"/>
                    </w:rPr>
                    <w:t>、锡及其化合物、非甲烷总烃</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113°53′39.271″</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23°8′17.059″</w:t>
                  </w:r>
                </w:p>
              </w:tc>
              <w:tc>
                <w:tcPr>
                  <w:tcW w:w="405"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25</w:t>
                  </w:r>
                </w:p>
              </w:tc>
              <w:tc>
                <w:tcPr>
                  <w:tcW w:w="35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FF0000"/>
                      <w:kern w:val="2"/>
                      <w:sz w:val="21"/>
                      <w:szCs w:val="21"/>
                      <w:highlight w:val="none"/>
                      <w:lang w:val="en-US" w:eastAsia="zh-CN" w:bidi="ar-SA"/>
                    </w:rPr>
                    <w:t>15</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olor w:val="auto"/>
                      <w:lang w:val="en-US" w:eastAsia="zh-CN"/>
                    </w:rPr>
                    <w:t>1.2</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9.8</w:t>
                  </w:r>
                </w:p>
              </w:tc>
              <w:tc>
                <w:tcPr>
                  <w:tcW w:w="470"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w:t>
                  </w:r>
                </w:p>
              </w:tc>
              <w:tc>
                <w:tcPr>
                  <w:tcW w:w="643"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green"/>
                      <w:lang w:val="en-US" w:eastAsia="zh-CN" w:bidi="ar-SA"/>
                    </w:rPr>
                  </w:pPr>
                  <w:r>
                    <w:rPr>
                      <w:rFonts w:hint="default" w:ascii="Times New Roman" w:hAnsi="Times New Roman" w:eastAsia="宋体" w:cs="Times New Roman"/>
                      <w:color w:val="FF0000"/>
                      <w:sz w:val="21"/>
                      <w:szCs w:val="21"/>
                      <w:highlight w:val="green"/>
                      <w:lang w:val="en-US" w:eastAsia="zh-CN"/>
                    </w:rPr>
                    <w:t>DA002</w:t>
                  </w:r>
                  <w:r>
                    <w:rPr>
                      <w:rFonts w:hint="eastAsia" w:ascii="Times New Roman" w:hAnsi="Times New Roman" w:eastAsia="宋体" w:cs="Times New Roman"/>
                      <w:color w:val="FF0000"/>
                      <w:sz w:val="21"/>
                      <w:szCs w:val="21"/>
                      <w:highlight w:val="green"/>
                      <w:lang w:val="en-US" w:eastAsia="zh-CN"/>
                    </w:rPr>
                    <w:t>混料及破碎废气</w:t>
                  </w:r>
                  <w:r>
                    <w:rPr>
                      <w:rFonts w:hint="eastAsia" w:cs="Times New Roman"/>
                      <w:color w:val="FF0000"/>
                      <w:sz w:val="21"/>
                      <w:szCs w:val="21"/>
                      <w:highlight w:val="green"/>
                      <w:lang w:eastAsia="zh-CN"/>
                    </w:rPr>
                    <w:t>排放口</w:t>
                  </w:r>
                </w:p>
              </w:tc>
              <w:tc>
                <w:tcPr>
                  <w:tcW w:w="488"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green"/>
                      <w:lang w:val="en-US" w:eastAsia="zh-CN"/>
                    </w:rPr>
                  </w:pPr>
                  <w:r>
                    <w:rPr>
                      <w:rFonts w:hint="default" w:ascii="Times New Roman" w:hAnsi="Times New Roman" w:eastAsia="宋体" w:cs="Times New Roman"/>
                      <w:color w:val="FF0000"/>
                      <w:sz w:val="21"/>
                      <w:szCs w:val="21"/>
                      <w:highlight w:val="green"/>
                      <w:lang w:val="en-US" w:eastAsia="zh-CN"/>
                    </w:rPr>
                    <w:t>颗粒物</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green"/>
                      <w:lang w:val="en-US" w:eastAsia="zh-CN" w:bidi="ar-SA"/>
                    </w:rPr>
                  </w:pPr>
                  <w:r>
                    <w:rPr>
                      <w:rFonts w:hint="default" w:ascii="Times New Roman" w:hAnsi="Times New Roman" w:eastAsia="宋体" w:cs="Times New Roman"/>
                      <w:color w:val="FF0000"/>
                      <w:sz w:val="21"/>
                      <w:szCs w:val="21"/>
                      <w:highlight w:val="green"/>
                      <w:lang w:val="en-US" w:eastAsia="zh-CN"/>
                    </w:rPr>
                    <w:t>113°53′39.321″</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green"/>
                      <w:lang w:val="en-US" w:eastAsia="zh-CN" w:bidi="ar-SA"/>
                    </w:rPr>
                  </w:pPr>
                  <w:r>
                    <w:rPr>
                      <w:rFonts w:hint="default" w:ascii="Times New Roman" w:hAnsi="Times New Roman" w:eastAsia="宋体" w:cs="Times New Roman"/>
                      <w:color w:val="FF0000"/>
                      <w:sz w:val="21"/>
                      <w:szCs w:val="21"/>
                      <w:highlight w:val="green"/>
                      <w:lang w:val="en-US" w:eastAsia="zh-CN"/>
                    </w:rPr>
                    <w:t>23°8′16.832″</w:t>
                  </w:r>
                </w:p>
              </w:tc>
              <w:tc>
                <w:tcPr>
                  <w:tcW w:w="405"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green"/>
                      <w:lang w:val="en-US" w:eastAsia="zh-CN" w:bidi="ar-SA"/>
                    </w:rPr>
                  </w:pPr>
                  <w:r>
                    <w:rPr>
                      <w:rFonts w:hint="default" w:ascii="Times New Roman" w:hAnsi="Times New Roman" w:eastAsia="宋体" w:cs="Times New Roman"/>
                      <w:color w:val="FF0000"/>
                      <w:sz w:val="21"/>
                      <w:szCs w:val="21"/>
                      <w:highlight w:val="green"/>
                    </w:rPr>
                    <w:t>25</w:t>
                  </w:r>
                </w:p>
              </w:tc>
              <w:tc>
                <w:tcPr>
                  <w:tcW w:w="351" w:type="pct"/>
                  <w:noWrap w:val="0"/>
                  <w:vAlign w:val="center"/>
                </w:tcPr>
                <w:p>
                  <w:pPr>
                    <w:adjustRightInd w:val="0"/>
                    <w:snapToGrid w:val="0"/>
                    <w:spacing w:line="240" w:lineRule="auto"/>
                    <w:jc w:val="center"/>
                    <w:rPr>
                      <w:rFonts w:hint="eastAsia" w:ascii="Times New Roman" w:hAnsi="Times New Roman" w:eastAsia="宋体" w:cs="Times New Roman"/>
                      <w:color w:val="FF0000"/>
                      <w:kern w:val="2"/>
                      <w:sz w:val="21"/>
                      <w:szCs w:val="21"/>
                      <w:highlight w:val="green"/>
                      <w:lang w:val="en-US" w:eastAsia="zh-CN" w:bidi="ar-SA"/>
                    </w:rPr>
                  </w:pPr>
                  <w:r>
                    <w:rPr>
                      <w:rFonts w:hint="eastAsia" w:cs="Times New Roman"/>
                      <w:color w:val="FF0000"/>
                      <w:kern w:val="2"/>
                      <w:sz w:val="21"/>
                      <w:szCs w:val="21"/>
                      <w:highlight w:val="green"/>
                      <w:lang w:val="en-US" w:eastAsia="zh-CN" w:bidi="ar-SA"/>
                    </w:rPr>
                    <w:t>15</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green"/>
                      <w:lang w:val="en-US" w:eastAsia="zh-CN" w:bidi="ar-SA"/>
                    </w:rPr>
                  </w:pPr>
                  <w:r>
                    <w:rPr>
                      <w:rFonts w:hint="eastAsia" w:cs="Times New Roman"/>
                      <w:color w:val="FF0000"/>
                      <w:kern w:val="2"/>
                      <w:sz w:val="21"/>
                      <w:szCs w:val="21"/>
                      <w:highlight w:val="green"/>
                      <w:lang w:val="en-US" w:eastAsia="zh-CN" w:bidi="ar-SA"/>
                    </w:rPr>
                    <w:t>0.5</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green"/>
                      <w:lang w:val="en-US" w:eastAsia="zh-CN" w:bidi="ar-SA"/>
                    </w:rPr>
                  </w:pPr>
                  <w:r>
                    <w:rPr>
                      <w:rFonts w:hint="eastAsia" w:cs="Times New Roman"/>
                      <w:color w:val="FF0000"/>
                      <w:kern w:val="2"/>
                      <w:sz w:val="21"/>
                      <w:szCs w:val="21"/>
                      <w:highlight w:val="green"/>
                      <w:lang w:val="en-US" w:eastAsia="zh-CN" w:bidi="ar-SA"/>
                    </w:rPr>
                    <w:t>9.9</w:t>
                  </w:r>
                </w:p>
              </w:tc>
              <w:tc>
                <w:tcPr>
                  <w:tcW w:w="470"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green"/>
                      <w:lang w:val="en-US" w:eastAsia="zh-CN" w:bidi="ar-SA"/>
                    </w:rPr>
                  </w:pPr>
                  <w:r>
                    <w:rPr>
                      <w:rFonts w:hint="default" w:ascii="Times New Roman" w:hAnsi="Times New Roman" w:eastAsia="宋体" w:cs="Times New Roman"/>
                      <w:color w:val="FF0000"/>
                      <w:sz w:val="21"/>
                      <w:szCs w:val="21"/>
                      <w:highlight w:val="green"/>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643"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3喷漆及丝印废气排放口</w:t>
                  </w:r>
                </w:p>
              </w:tc>
              <w:tc>
                <w:tcPr>
                  <w:tcW w:w="488"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BF9000" w:themeColor="accent4" w:themeShade="BF"/>
                      <w:sz w:val="21"/>
                      <w:szCs w:val="21"/>
                      <w:highlight w:val="none"/>
                      <w:lang w:val="en-US" w:eastAsia="zh-CN"/>
                    </w:rPr>
                    <w:t>非甲烷总烃、</w:t>
                  </w:r>
                  <w:r>
                    <w:rPr>
                      <w:rFonts w:hint="default" w:ascii="Times New Roman" w:hAnsi="Times New Roman" w:eastAsia="宋体" w:cs="Times New Roman"/>
                      <w:color w:val="auto"/>
                      <w:sz w:val="21"/>
                      <w:szCs w:val="21"/>
                      <w:highlight w:val="none"/>
                      <w:lang w:val="en-US" w:eastAsia="zh-CN"/>
                    </w:rPr>
                    <w:t>总VOCs</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颗粒物</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113°53′40.034″</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23°8′17.548″</w:t>
                  </w:r>
                </w:p>
              </w:tc>
              <w:tc>
                <w:tcPr>
                  <w:tcW w:w="405"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25</w:t>
                  </w:r>
                </w:p>
              </w:tc>
              <w:tc>
                <w:tcPr>
                  <w:tcW w:w="35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kern w:val="2"/>
                      <w:sz w:val="21"/>
                      <w:szCs w:val="21"/>
                      <w:highlight w:val="none"/>
                      <w:lang w:val="en-US" w:eastAsia="zh-CN" w:bidi="ar-SA"/>
                    </w:rPr>
                    <w:t>15</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0.8</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11.06</w:t>
                  </w:r>
                </w:p>
              </w:tc>
              <w:tc>
                <w:tcPr>
                  <w:tcW w:w="470"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261" w:type="pct"/>
                  <w:noWrap w:val="0"/>
                  <w:vAlign w:val="center"/>
                </w:tcPr>
                <w:p>
                  <w:pPr>
                    <w:adjustRightInd w:val="0"/>
                    <w:snapToGrid w:val="0"/>
                    <w:spacing w:line="240" w:lineRule="auto"/>
                    <w:jc w:val="center"/>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4</w:t>
                  </w:r>
                </w:p>
              </w:tc>
              <w:tc>
                <w:tcPr>
                  <w:tcW w:w="643"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green"/>
                      <w:lang w:val="en-US" w:eastAsia="zh-CN"/>
                    </w:rPr>
                  </w:pPr>
                  <w:r>
                    <w:rPr>
                      <w:rFonts w:hint="default" w:ascii="Times New Roman" w:hAnsi="Times New Roman" w:eastAsia="宋体" w:cs="Times New Roman"/>
                      <w:color w:val="FF0000"/>
                      <w:sz w:val="21"/>
                      <w:szCs w:val="21"/>
                      <w:highlight w:val="green"/>
                      <w:lang w:val="en-US" w:eastAsia="zh-CN"/>
                    </w:rPr>
                    <w:t>DA00</w:t>
                  </w:r>
                  <w:r>
                    <w:rPr>
                      <w:rFonts w:hint="eastAsia" w:ascii="Times New Roman" w:hAnsi="Times New Roman" w:eastAsia="宋体" w:cs="Times New Roman"/>
                      <w:color w:val="FF0000"/>
                      <w:sz w:val="21"/>
                      <w:szCs w:val="21"/>
                      <w:highlight w:val="green"/>
                      <w:lang w:val="en-US" w:eastAsia="zh-CN"/>
                    </w:rPr>
                    <w:t>4机加工、打磨废气排放口</w:t>
                  </w:r>
                </w:p>
              </w:tc>
              <w:tc>
                <w:tcPr>
                  <w:tcW w:w="488"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green"/>
                      <w:lang w:val="en-US" w:eastAsia="zh-CN"/>
                    </w:rPr>
                  </w:pPr>
                  <w:r>
                    <w:rPr>
                      <w:rFonts w:hint="default" w:ascii="Times New Roman" w:hAnsi="Times New Roman" w:eastAsia="宋体" w:cs="Times New Roman"/>
                      <w:color w:val="FF0000"/>
                      <w:sz w:val="21"/>
                      <w:szCs w:val="21"/>
                      <w:highlight w:val="green"/>
                      <w:lang w:val="en-US" w:eastAsia="zh-CN"/>
                    </w:rPr>
                    <w:t>颗粒物</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green"/>
                      <w:lang w:val="en-US" w:eastAsia="zh-CN"/>
                    </w:rPr>
                  </w:pPr>
                  <w:r>
                    <w:rPr>
                      <w:rFonts w:hint="default" w:ascii="Times New Roman" w:hAnsi="Times New Roman" w:eastAsia="宋体" w:cs="Times New Roman"/>
                      <w:color w:val="FF0000"/>
                      <w:sz w:val="21"/>
                      <w:szCs w:val="21"/>
                      <w:highlight w:val="green"/>
                      <w:lang w:val="en-US" w:eastAsia="zh-CN"/>
                    </w:rPr>
                    <w:t>113°53′40.718″</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green"/>
                      <w:lang w:val="en-US" w:eastAsia="zh-CN"/>
                    </w:rPr>
                  </w:pPr>
                  <w:r>
                    <w:rPr>
                      <w:rFonts w:hint="default" w:ascii="Times New Roman" w:hAnsi="Times New Roman" w:eastAsia="宋体" w:cs="Times New Roman"/>
                      <w:color w:val="FF0000"/>
                      <w:sz w:val="21"/>
                      <w:szCs w:val="21"/>
                      <w:highlight w:val="green"/>
                      <w:lang w:val="en-US" w:eastAsia="zh-CN"/>
                    </w:rPr>
                    <w:t>23°8′18.280″</w:t>
                  </w:r>
                </w:p>
              </w:tc>
              <w:tc>
                <w:tcPr>
                  <w:tcW w:w="405" w:type="pct"/>
                  <w:noWrap w:val="0"/>
                  <w:vAlign w:val="center"/>
                </w:tcPr>
                <w:p>
                  <w:pPr>
                    <w:adjustRightInd w:val="0"/>
                    <w:snapToGrid w:val="0"/>
                    <w:spacing w:line="240" w:lineRule="auto"/>
                    <w:jc w:val="center"/>
                    <w:rPr>
                      <w:rFonts w:hint="default" w:cs="Times New Roman"/>
                      <w:color w:val="FF0000"/>
                      <w:sz w:val="21"/>
                      <w:szCs w:val="21"/>
                      <w:highlight w:val="green"/>
                      <w:lang w:val="en-US" w:eastAsia="zh-CN"/>
                    </w:rPr>
                  </w:pPr>
                  <w:r>
                    <w:rPr>
                      <w:rFonts w:hint="eastAsia" w:cs="Times New Roman"/>
                      <w:color w:val="FF0000"/>
                      <w:sz w:val="21"/>
                      <w:szCs w:val="21"/>
                      <w:highlight w:val="green"/>
                      <w:lang w:val="en-US" w:eastAsia="zh-CN"/>
                    </w:rPr>
                    <w:t>25</w:t>
                  </w:r>
                </w:p>
              </w:tc>
              <w:tc>
                <w:tcPr>
                  <w:tcW w:w="351" w:type="pct"/>
                  <w:noWrap w:val="0"/>
                  <w:vAlign w:val="center"/>
                </w:tcPr>
                <w:p>
                  <w:pPr>
                    <w:adjustRightInd w:val="0"/>
                    <w:snapToGrid w:val="0"/>
                    <w:spacing w:line="240" w:lineRule="auto"/>
                    <w:jc w:val="center"/>
                    <w:rPr>
                      <w:rFonts w:hint="default" w:cs="Times New Roman"/>
                      <w:color w:val="FF0000"/>
                      <w:kern w:val="2"/>
                      <w:sz w:val="21"/>
                      <w:szCs w:val="21"/>
                      <w:highlight w:val="green"/>
                      <w:lang w:val="en-US" w:eastAsia="zh-CN" w:bidi="ar-SA"/>
                    </w:rPr>
                  </w:pPr>
                  <w:r>
                    <w:rPr>
                      <w:rFonts w:hint="eastAsia" w:cs="Times New Roman"/>
                      <w:color w:val="FF0000"/>
                      <w:kern w:val="2"/>
                      <w:sz w:val="21"/>
                      <w:szCs w:val="21"/>
                      <w:highlight w:val="green"/>
                      <w:lang w:val="en-US" w:eastAsia="zh-CN" w:bidi="ar-SA"/>
                    </w:rPr>
                    <w:t>15</w:t>
                  </w:r>
                </w:p>
              </w:tc>
              <w:tc>
                <w:tcPr>
                  <w:tcW w:w="534" w:type="pct"/>
                  <w:noWrap w:val="0"/>
                  <w:vAlign w:val="center"/>
                </w:tcPr>
                <w:p>
                  <w:pPr>
                    <w:adjustRightInd w:val="0"/>
                    <w:snapToGrid w:val="0"/>
                    <w:spacing w:line="240" w:lineRule="auto"/>
                    <w:jc w:val="center"/>
                    <w:rPr>
                      <w:rFonts w:hint="eastAsia" w:ascii="Times New Roman" w:hAnsi="Times New Roman" w:eastAsia="宋体" w:cs="Times New Roman"/>
                      <w:color w:val="FF0000"/>
                      <w:kern w:val="2"/>
                      <w:sz w:val="21"/>
                      <w:szCs w:val="21"/>
                      <w:highlight w:val="green"/>
                      <w:lang w:val="en-US" w:eastAsia="zh-CN" w:bidi="ar-SA"/>
                    </w:rPr>
                  </w:pPr>
                  <w:r>
                    <w:rPr>
                      <w:rFonts w:hint="eastAsia" w:cs="Times New Roman"/>
                      <w:color w:val="FF0000"/>
                      <w:kern w:val="2"/>
                      <w:sz w:val="21"/>
                      <w:szCs w:val="21"/>
                      <w:highlight w:val="green"/>
                      <w:lang w:val="en-US" w:eastAsia="zh-CN" w:bidi="ar-SA"/>
                    </w:rPr>
                    <w:t>0.5</w:t>
                  </w:r>
                </w:p>
              </w:tc>
              <w:tc>
                <w:tcPr>
                  <w:tcW w:w="439" w:type="pct"/>
                  <w:noWrap w:val="0"/>
                  <w:vAlign w:val="center"/>
                </w:tcPr>
                <w:p>
                  <w:pPr>
                    <w:adjustRightInd w:val="0"/>
                    <w:snapToGrid w:val="0"/>
                    <w:spacing w:line="240" w:lineRule="auto"/>
                    <w:jc w:val="center"/>
                    <w:rPr>
                      <w:rFonts w:hint="eastAsia" w:ascii="Times New Roman" w:hAnsi="Times New Roman" w:eastAsia="宋体" w:cs="Times New Roman"/>
                      <w:color w:val="FF0000"/>
                      <w:kern w:val="2"/>
                      <w:sz w:val="21"/>
                      <w:szCs w:val="21"/>
                      <w:highlight w:val="green"/>
                      <w:lang w:val="en-US" w:eastAsia="zh-CN" w:bidi="ar-SA"/>
                    </w:rPr>
                  </w:pPr>
                  <w:r>
                    <w:rPr>
                      <w:rFonts w:hint="eastAsia" w:cs="Times New Roman"/>
                      <w:color w:val="FF0000"/>
                      <w:kern w:val="2"/>
                      <w:sz w:val="21"/>
                      <w:szCs w:val="21"/>
                      <w:highlight w:val="green"/>
                      <w:lang w:val="en-US" w:eastAsia="zh-CN" w:bidi="ar-SA"/>
                    </w:rPr>
                    <w:t>9.9</w:t>
                  </w:r>
                </w:p>
              </w:tc>
              <w:tc>
                <w:tcPr>
                  <w:tcW w:w="470"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green"/>
                    </w:rPr>
                  </w:pPr>
                  <w:r>
                    <w:rPr>
                      <w:rFonts w:hint="default" w:ascii="Times New Roman" w:hAnsi="Times New Roman" w:eastAsia="宋体" w:cs="Times New Roman"/>
                      <w:color w:val="FF0000"/>
                      <w:sz w:val="21"/>
                      <w:szCs w:val="21"/>
                      <w:highlight w:val="green"/>
                    </w:rPr>
                    <w:t>一般排放口</w:t>
                  </w:r>
                </w:p>
              </w:tc>
            </w:tr>
          </w:tbl>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4、</w:t>
            </w:r>
            <w:r>
              <w:rPr>
                <w:rFonts w:hint="eastAsia" w:ascii="宋体" w:hAnsi="宋体" w:cs="宋体"/>
                <w:b/>
                <w:color w:val="auto"/>
                <w:szCs w:val="21"/>
              </w:rPr>
              <w:t>废气监测要求</w:t>
            </w:r>
          </w:p>
          <w:p>
            <w:pPr>
              <w:autoSpaceDE w:val="0"/>
              <w:autoSpaceDN w:val="0"/>
              <w:adjustRightInd w:val="0"/>
              <w:spacing w:line="360" w:lineRule="auto"/>
              <w:ind w:firstLine="480" w:firstLineChars="200"/>
              <w:rPr>
                <w:color w:val="auto"/>
                <w:sz w:val="24"/>
              </w:rPr>
            </w:pPr>
            <w:r>
              <w:rPr>
                <w:rFonts w:hint="eastAsia"/>
                <w:bCs/>
                <w:color w:val="auto"/>
                <w:sz w:val="24"/>
              </w:rPr>
              <w:t>根据</w:t>
            </w:r>
            <w:r>
              <w:rPr>
                <w:rFonts w:hint="eastAsia"/>
                <w:color w:val="auto"/>
                <w:sz w:val="24"/>
              </w:rPr>
              <w:t>《排污许可证申请与核发技术规范 橡胶和塑料制品工业》（HJ1122—2020）</w:t>
            </w:r>
            <w:r>
              <w:rPr>
                <w:rFonts w:hint="eastAsia"/>
                <w:snapToGrid w:val="0"/>
                <w:color w:val="auto"/>
                <w:spacing w:val="4"/>
                <w:kern w:val="18"/>
                <w:sz w:val="24"/>
              </w:rPr>
              <w:t>以及结合《排污单位自行监测指南 总则》（HJ 819－2017）、《排污单位自行监测技术指南 橡胶和塑料制品》（HJ 1207-2021）</w:t>
            </w:r>
            <w:r>
              <w:rPr>
                <w:rFonts w:hint="eastAsia"/>
                <w:bCs/>
                <w:color w:val="auto"/>
                <w:sz w:val="24"/>
              </w:rPr>
              <w:t>制定本</w:t>
            </w:r>
            <w:r>
              <w:rPr>
                <w:color w:val="auto"/>
                <w:sz w:val="24"/>
              </w:rPr>
              <w:t>项目大气监测计划如下：</w:t>
            </w:r>
          </w:p>
          <w:p>
            <w:pPr>
              <w:pStyle w:val="44"/>
              <w:numPr>
                <w:ilvl w:val="0"/>
                <w:numId w:val="9"/>
              </w:numPr>
              <w:tabs>
                <w:tab w:val="clear" w:pos="0"/>
              </w:tabs>
              <w:bidi w:val="0"/>
              <w:ind w:left="0" w:leftChars="0" w:firstLine="403" w:firstLineChars="0"/>
              <w:rPr>
                <w:color w:val="auto"/>
              </w:rPr>
            </w:pPr>
            <w:r>
              <w:rPr>
                <w:color w:val="auto"/>
              </w:rPr>
              <w:t>废气污染源监测点位、监测指标及最低监测频次一览表</w:t>
            </w:r>
          </w:p>
          <w:tbl>
            <w:tblPr>
              <w:tblStyle w:val="29"/>
              <w:tblW w:w="9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2"/>
              <w:gridCol w:w="721"/>
              <w:gridCol w:w="1437"/>
              <w:gridCol w:w="1944"/>
              <w:gridCol w:w="815"/>
              <w:gridCol w:w="3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blHeader/>
              </w:trPr>
              <w:tc>
                <w:tcPr>
                  <w:tcW w:w="1356" w:type="dxa"/>
                  <w:gridSpan w:val="2"/>
                  <w:tcBorders>
                    <w:tl2br w:val="nil"/>
                    <w:tr2bl w:val="nil"/>
                  </w:tcBorders>
                  <w:noWrap/>
                  <w:vAlign w:val="center"/>
                </w:tcPr>
                <w:p>
                  <w:pPr>
                    <w:pStyle w:val="68"/>
                    <w:snapToGrid w:val="0"/>
                    <w:spacing w:line="240" w:lineRule="auto"/>
                    <w:ind w:firstLine="0"/>
                    <w:jc w:val="center"/>
                    <w:rPr>
                      <w:rFonts w:eastAsia="宋体"/>
                      <w:b/>
                      <w:color w:val="auto"/>
                      <w:sz w:val="21"/>
                      <w:szCs w:val="21"/>
                    </w:rPr>
                  </w:pPr>
                  <w:r>
                    <w:rPr>
                      <w:rFonts w:eastAsia="宋体"/>
                      <w:b/>
                      <w:color w:val="auto"/>
                      <w:sz w:val="21"/>
                      <w:szCs w:val="21"/>
                    </w:rPr>
                    <w:t>项目</w:t>
                  </w:r>
                </w:p>
              </w:tc>
              <w:tc>
                <w:tcPr>
                  <w:tcW w:w="1441" w:type="dxa"/>
                  <w:tcBorders>
                    <w:tl2br w:val="nil"/>
                    <w:tr2bl w:val="nil"/>
                  </w:tcBorders>
                  <w:noWrap/>
                  <w:vAlign w:val="center"/>
                </w:tcPr>
                <w:p>
                  <w:pPr>
                    <w:pStyle w:val="68"/>
                    <w:snapToGrid w:val="0"/>
                    <w:spacing w:line="240" w:lineRule="auto"/>
                    <w:ind w:firstLine="0"/>
                    <w:jc w:val="center"/>
                    <w:rPr>
                      <w:rFonts w:eastAsia="宋体"/>
                      <w:b/>
                      <w:color w:val="auto"/>
                      <w:sz w:val="21"/>
                      <w:szCs w:val="21"/>
                    </w:rPr>
                  </w:pPr>
                  <w:r>
                    <w:rPr>
                      <w:rFonts w:eastAsia="宋体"/>
                      <w:b/>
                      <w:color w:val="auto"/>
                      <w:sz w:val="21"/>
                      <w:szCs w:val="21"/>
                    </w:rPr>
                    <w:t>监测点位</w:t>
                  </w:r>
                </w:p>
              </w:tc>
              <w:tc>
                <w:tcPr>
                  <w:tcW w:w="1950" w:type="dxa"/>
                  <w:tcBorders>
                    <w:tl2br w:val="nil"/>
                    <w:tr2bl w:val="nil"/>
                  </w:tcBorders>
                  <w:noWrap/>
                  <w:vAlign w:val="center"/>
                </w:tcPr>
                <w:p>
                  <w:pPr>
                    <w:pStyle w:val="68"/>
                    <w:snapToGrid w:val="0"/>
                    <w:spacing w:line="240" w:lineRule="auto"/>
                    <w:ind w:firstLine="0"/>
                    <w:jc w:val="center"/>
                    <w:rPr>
                      <w:rFonts w:eastAsia="宋体"/>
                      <w:b/>
                      <w:color w:val="auto"/>
                      <w:sz w:val="21"/>
                      <w:szCs w:val="21"/>
                    </w:rPr>
                  </w:pPr>
                  <w:r>
                    <w:rPr>
                      <w:rFonts w:eastAsia="宋体"/>
                      <w:b/>
                      <w:color w:val="auto"/>
                      <w:sz w:val="21"/>
                      <w:szCs w:val="21"/>
                    </w:rPr>
                    <w:t>监测指标</w:t>
                  </w:r>
                </w:p>
              </w:tc>
              <w:tc>
                <w:tcPr>
                  <w:tcW w:w="817" w:type="dxa"/>
                  <w:tcBorders>
                    <w:tl2br w:val="nil"/>
                    <w:tr2bl w:val="nil"/>
                  </w:tcBorders>
                  <w:noWrap/>
                  <w:vAlign w:val="center"/>
                </w:tcPr>
                <w:p>
                  <w:pPr>
                    <w:pStyle w:val="68"/>
                    <w:snapToGrid w:val="0"/>
                    <w:spacing w:line="240" w:lineRule="auto"/>
                    <w:ind w:firstLine="0"/>
                    <w:jc w:val="center"/>
                    <w:rPr>
                      <w:rFonts w:eastAsia="宋体"/>
                      <w:b/>
                      <w:color w:val="auto"/>
                      <w:sz w:val="21"/>
                      <w:szCs w:val="21"/>
                    </w:rPr>
                  </w:pPr>
                  <w:r>
                    <w:rPr>
                      <w:rFonts w:eastAsia="宋体"/>
                      <w:b/>
                      <w:color w:val="auto"/>
                      <w:sz w:val="21"/>
                      <w:szCs w:val="21"/>
                    </w:rPr>
                    <w:t>监测频次</w:t>
                  </w:r>
                </w:p>
              </w:tc>
              <w:tc>
                <w:tcPr>
                  <w:tcW w:w="3714" w:type="dxa"/>
                  <w:tcBorders>
                    <w:tl2br w:val="nil"/>
                    <w:tr2bl w:val="nil"/>
                  </w:tcBorders>
                  <w:noWrap/>
                  <w:vAlign w:val="center"/>
                </w:tcPr>
                <w:p>
                  <w:pPr>
                    <w:pStyle w:val="68"/>
                    <w:snapToGrid w:val="0"/>
                    <w:spacing w:line="240" w:lineRule="auto"/>
                    <w:ind w:firstLine="0"/>
                    <w:jc w:val="center"/>
                    <w:rPr>
                      <w:rFonts w:eastAsia="宋体"/>
                      <w:b/>
                      <w:color w:val="auto"/>
                      <w:sz w:val="21"/>
                      <w:szCs w:val="21"/>
                    </w:rPr>
                  </w:pPr>
                  <w:r>
                    <w:rPr>
                      <w:rFonts w:eastAsia="宋体"/>
                      <w:b/>
                      <w:color w:val="auto"/>
                      <w:sz w:val="21"/>
                      <w:szCs w:val="21"/>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restart"/>
                  <w:tcBorders>
                    <w:tl2br w:val="nil"/>
                    <w:tr2bl w:val="nil"/>
                  </w:tcBorders>
                  <w:noWrap/>
                  <w:vAlign w:val="center"/>
                </w:tcPr>
                <w:p>
                  <w:pPr>
                    <w:pStyle w:val="68"/>
                    <w:snapToGrid w:val="0"/>
                    <w:spacing w:line="240" w:lineRule="auto"/>
                    <w:ind w:firstLine="0"/>
                    <w:jc w:val="center"/>
                    <w:rPr>
                      <w:rFonts w:eastAsia="宋体"/>
                      <w:color w:val="auto"/>
                      <w:sz w:val="21"/>
                      <w:szCs w:val="21"/>
                    </w:rPr>
                  </w:pPr>
                  <w:r>
                    <w:rPr>
                      <w:rFonts w:eastAsia="宋体"/>
                      <w:color w:val="auto"/>
                      <w:sz w:val="21"/>
                      <w:szCs w:val="21"/>
                    </w:rPr>
                    <w:t>废气</w:t>
                  </w:r>
                </w:p>
              </w:tc>
              <w:tc>
                <w:tcPr>
                  <w:tcW w:w="723" w:type="dxa"/>
                  <w:vMerge w:val="restart"/>
                  <w:tcBorders>
                    <w:tl2br w:val="nil"/>
                    <w:tr2bl w:val="nil"/>
                  </w:tcBorders>
                  <w:noWrap/>
                  <w:vAlign w:val="center"/>
                </w:tcPr>
                <w:p>
                  <w:pPr>
                    <w:pStyle w:val="68"/>
                    <w:snapToGrid w:val="0"/>
                    <w:spacing w:line="240" w:lineRule="auto"/>
                    <w:ind w:firstLine="0"/>
                    <w:jc w:val="center"/>
                    <w:rPr>
                      <w:rFonts w:eastAsia="宋体"/>
                      <w:color w:val="auto"/>
                      <w:sz w:val="21"/>
                      <w:szCs w:val="21"/>
                    </w:rPr>
                  </w:pPr>
                  <w:r>
                    <w:rPr>
                      <w:rFonts w:eastAsia="宋体"/>
                      <w:color w:val="auto"/>
                      <w:sz w:val="21"/>
                      <w:szCs w:val="21"/>
                    </w:rPr>
                    <w:t>有组织废气</w:t>
                  </w:r>
                </w:p>
              </w:tc>
              <w:tc>
                <w:tcPr>
                  <w:tcW w:w="1441" w:type="dxa"/>
                  <w:vMerge w:val="restart"/>
                  <w:tcBorders>
                    <w:tl2br w:val="nil"/>
                    <w:tr2bl w:val="nil"/>
                  </w:tcBorders>
                  <w:noWrap/>
                  <w:vAlign w:val="center"/>
                </w:tcPr>
                <w:p>
                  <w:pPr>
                    <w:adjustRightInd w:val="0"/>
                    <w:snapToGrid w:val="0"/>
                    <w:spacing w:line="240" w:lineRule="auto"/>
                    <w:jc w:val="center"/>
                    <w:rPr>
                      <w:rFonts w:hint="eastAsia" w:eastAsia="宋体"/>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DA001</w:t>
                  </w:r>
                  <w:r>
                    <w:rPr>
                      <w:rFonts w:hint="eastAsia" w:ascii="Times New Roman" w:hAnsi="Times New Roman" w:eastAsia="宋体" w:cs="Times New Roman"/>
                      <w:color w:val="auto"/>
                      <w:sz w:val="21"/>
                      <w:szCs w:val="21"/>
                      <w:highlight w:val="none"/>
                      <w:lang w:val="en-US" w:eastAsia="zh-CN"/>
                    </w:rPr>
                    <w:t>注塑及焊接废气</w:t>
                  </w:r>
                  <w:r>
                    <w:rPr>
                      <w:rFonts w:hint="eastAsia" w:cs="Times New Roman"/>
                      <w:color w:val="auto"/>
                      <w:sz w:val="21"/>
                      <w:szCs w:val="21"/>
                      <w:highlight w:val="none"/>
                      <w:lang w:eastAsia="zh-CN"/>
                    </w:rPr>
                    <w:t>排放口</w:t>
                  </w:r>
                </w:p>
              </w:tc>
              <w:tc>
                <w:tcPr>
                  <w:tcW w:w="1950" w:type="dxa"/>
                  <w:tcBorders>
                    <w:tl2br w:val="nil"/>
                    <w:tr2bl w:val="nil"/>
                  </w:tcBorders>
                  <w:noWrap/>
                  <w:vAlign w:val="center"/>
                </w:tcPr>
                <w:p>
                  <w:pPr>
                    <w:adjustRightInd w:val="0"/>
                    <w:snapToGrid w:val="0"/>
                    <w:spacing w:line="240" w:lineRule="auto"/>
                    <w:jc w:val="center"/>
                    <w:rPr>
                      <w:rFonts w:hint="eastAsia" w:eastAsia="宋体"/>
                      <w:color w:val="BF9000" w:themeColor="accent4" w:themeShade="BF"/>
                      <w:sz w:val="21"/>
                      <w:szCs w:val="21"/>
                      <w:lang w:eastAsia="zh-CN"/>
                    </w:rPr>
                  </w:pPr>
                  <w:r>
                    <w:rPr>
                      <w:rFonts w:hint="default" w:ascii="Times New Roman" w:hAnsi="Times New Roman" w:eastAsia="宋体" w:cs="Times New Roman"/>
                      <w:color w:val="BF9000" w:themeColor="accent4" w:themeShade="BF"/>
                      <w:sz w:val="21"/>
                      <w:szCs w:val="21"/>
                      <w:highlight w:val="none"/>
                      <w:lang w:val="en-US" w:eastAsia="zh-CN"/>
                    </w:rPr>
                    <w:t>颗粒物</w:t>
                  </w:r>
                </w:p>
              </w:tc>
              <w:tc>
                <w:tcPr>
                  <w:tcW w:w="817" w:type="dxa"/>
                  <w:vMerge w:val="restart"/>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rPr>
                  </w:pPr>
                  <w:r>
                    <w:rPr>
                      <w:rFonts w:eastAsia="宋体"/>
                      <w:color w:val="BF9000" w:themeColor="accent4" w:themeShade="BF"/>
                      <w:sz w:val="21"/>
                      <w:szCs w:val="21"/>
                    </w:rPr>
                    <w:t>1次/年</w:t>
                  </w:r>
                </w:p>
              </w:tc>
              <w:tc>
                <w:tcPr>
                  <w:tcW w:w="3714" w:type="dxa"/>
                  <w:vMerge w:val="restart"/>
                  <w:tcBorders>
                    <w:tl2br w:val="nil"/>
                    <w:tr2bl w:val="nil"/>
                  </w:tcBorders>
                  <w:noWrap/>
                  <w:vAlign w:val="center"/>
                </w:tcPr>
                <w:p>
                  <w:pPr>
                    <w:spacing w:line="240" w:lineRule="auto"/>
                    <w:jc w:val="center"/>
                    <w:rPr>
                      <w:color w:val="BF9000" w:themeColor="accent4" w:themeShade="BF"/>
                      <w:sz w:val="21"/>
                      <w:szCs w:val="21"/>
                    </w:rPr>
                  </w:pPr>
                  <w:r>
                    <w:rPr>
                      <w:rFonts w:hint="default" w:ascii="Times New Roman" w:hAnsi="Times New Roman" w:cs="Times New Roman"/>
                      <w:color w:val="BF9000" w:themeColor="accent4" w:themeShade="BF"/>
                      <w:sz w:val="21"/>
                      <w:szCs w:val="21"/>
                    </w:rPr>
                    <w:t>广东省地方标准《大气污染物排放限值》（DB44/27-2001）中第二时段二级标准限值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950" w:type="dxa"/>
                  <w:tcBorders>
                    <w:tl2br w:val="nil"/>
                    <w:tr2bl w:val="nil"/>
                  </w:tcBorders>
                  <w:noWrap/>
                  <w:vAlign w:val="center"/>
                </w:tcPr>
                <w:p>
                  <w:pPr>
                    <w:adjustRightInd w:val="0"/>
                    <w:snapToGrid w:val="0"/>
                    <w:spacing w:line="240" w:lineRule="auto"/>
                    <w:jc w:val="center"/>
                    <w:rPr>
                      <w:rFonts w:hint="eastAsia"/>
                      <w:color w:val="BF9000" w:themeColor="accent4" w:themeShade="BF"/>
                      <w:sz w:val="21"/>
                      <w:szCs w:val="21"/>
                      <w:lang w:val="en-US" w:eastAsia="zh-CN"/>
                    </w:rPr>
                  </w:pPr>
                  <w:r>
                    <w:rPr>
                      <w:rFonts w:hint="eastAsia" w:cs="Times New Roman"/>
                      <w:color w:val="BF9000" w:themeColor="accent4" w:themeShade="BF"/>
                      <w:sz w:val="21"/>
                      <w:szCs w:val="21"/>
                      <w:highlight w:val="none"/>
                      <w:lang w:val="en-US" w:eastAsia="zh-CN"/>
                    </w:rPr>
                    <w:t>锡及其化合物</w:t>
                  </w:r>
                </w:p>
              </w:tc>
              <w:tc>
                <w:tcPr>
                  <w:tcW w:w="817" w:type="dxa"/>
                  <w:vMerge w:val="continue"/>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rPr>
                  </w:pPr>
                </w:p>
              </w:tc>
              <w:tc>
                <w:tcPr>
                  <w:tcW w:w="3714" w:type="dxa"/>
                  <w:vMerge w:val="continue"/>
                  <w:tcBorders>
                    <w:tl2br w:val="nil"/>
                    <w:tr2bl w:val="nil"/>
                  </w:tcBorders>
                  <w:noWrap/>
                  <w:vAlign w:val="center"/>
                </w:tcPr>
                <w:p>
                  <w:pPr>
                    <w:spacing w:line="240" w:lineRule="auto"/>
                    <w:jc w:val="center"/>
                    <w:rPr>
                      <w:color w:val="BF9000" w:themeColor="accent4" w:themeShade="B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950" w:type="dxa"/>
                  <w:tcBorders>
                    <w:tl2br w:val="nil"/>
                    <w:tr2bl w:val="nil"/>
                  </w:tcBorders>
                  <w:noWrap/>
                  <w:vAlign w:val="center"/>
                </w:tcPr>
                <w:p>
                  <w:pPr>
                    <w:adjustRightInd w:val="0"/>
                    <w:snapToGrid w:val="0"/>
                    <w:spacing w:line="240" w:lineRule="auto"/>
                    <w:jc w:val="center"/>
                    <w:rPr>
                      <w:rFonts w:hint="eastAsia" w:cs="Times New Roman"/>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臭气浓度</w:t>
                  </w:r>
                </w:p>
              </w:tc>
              <w:tc>
                <w:tcPr>
                  <w:tcW w:w="817" w:type="dxa"/>
                  <w:vMerge w:val="continue"/>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rPr>
                  </w:pPr>
                </w:p>
              </w:tc>
              <w:tc>
                <w:tcPr>
                  <w:tcW w:w="3714" w:type="dxa"/>
                  <w:tcBorders>
                    <w:tl2br w:val="nil"/>
                    <w:tr2bl w:val="nil"/>
                  </w:tcBorders>
                  <w:noWrap/>
                  <w:vAlign w:val="center"/>
                </w:tcPr>
                <w:p>
                  <w:pPr>
                    <w:spacing w:line="240" w:lineRule="auto"/>
                    <w:jc w:val="center"/>
                    <w:rPr>
                      <w:rFonts w:hint="default" w:ascii="Times New Roman" w:hAnsi="Times New Roman" w:eastAsia="宋体" w:cs="Times New Roman"/>
                      <w:color w:val="BF9000" w:themeColor="accent4" w:themeShade="BF"/>
                      <w:sz w:val="21"/>
                      <w:szCs w:val="21"/>
                    </w:rPr>
                  </w:pPr>
                  <w:r>
                    <w:rPr>
                      <w:rFonts w:hint="eastAsia"/>
                      <w:color w:val="BF9000" w:themeColor="accent4" w:themeShade="BF"/>
                      <w:sz w:val="21"/>
                      <w:szCs w:val="21"/>
                      <w:highlight w:val="none"/>
                      <w:vertAlign w:val="baseline"/>
                      <w:lang w:val="en-US" w:eastAsia="zh-CN"/>
                    </w:rPr>
                    <w:t>《恶臭污染物排放标准》（GB14554-93）表2二级标准中的新改扩建标准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950" w:type="dxa"/>
                  <w:tcBorders>
                    <w:tl2br w:val="nil"/>
                    <w:tr2bl w:val="nil"/>
                  </w:tcBorders>
                  <w:noWrap/>
                  <w:vAlign w:val="center"/>
                </w:tcPr>
                <w:p>
                  <w:pPr>
                    <w:adjustRightInd w:val="0"/>
                    <w:snapToGrid w:val="0"/>
                    <w:spacing w:line="240" w:lineRule="auto"/>
                    <w:jc w:val="center"/>
                    <w:rPr>
                      <w:rFonts w:hint="eastAsia"/>
                      <w:color w:val="BF9000" w:themeColor="accent4" w:themeShade="BF"/>
                      <w:sz w:val="21"/>
                      <w:szCs w:val="21"/>
                      <w:lang w:val="en-US" w:eastAsia="zh-CN"/>
                    </w:rPr>
                  </w:pPr>
                  <w:r>
                    <w:rPr>
                      <w:rFonts w:hint="eastAsia" w:cs="Times New Roman"/>
                      <w:color w:val="BF9000" w:themeColor="accent4" w:themeShade="BF"/>
                      <w:sz w:val="21"/>
                      <w:szCs w:val="21"/>
                      <w:highlight w:val="none"/>
                      <w:lang w:val="en-US" w:eastAsia="zh-CN"/>
                    </w:rPr>
                    <w:t>非甲烷总烃</w:t>
                  </w:r>
                </w:p>
              </w:tc>
              <w:tc>
                <w:tcPr>
                  <w:tcW w:w="817" w:type="dxa"/>
                  <w:vMerge w:val="continue"/>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rPr>
                  </w:pPr>
                </w:p>
              </w:tc>
              <w:tc>
                <w:tcPr>
                  <w:tcW w:w="3714" w:type="dxa"/>
                  <w:tcBorders>
                    <w:tl2br w:val="nil"/>
                    <w:tr2bl w:val="nil"/>
                  </w:tcBorders>
                  <w:noWrap/>
                  <w:vAlign w:val="center"/>
                </w:tcPr>
                <w:p>
                  <w:pPr>
                    <w:spacing w:line="240" w:lineRule="auto"/>
                    <w:jc w:val="center"/>
                    <w:rPr>
                      <w:color w:val="BF9000" w:themeColor="accent4" w:themeShade="BF"/>
                      <w:sz w:val="21"/>
                      <w:szCs w:val="21"/>
                    </w:rPr>
                  </w:pPr>
                  <w:r>
                    <w:rPr>
                      <w:rFonts w:hint="default" w:ascii="Times New Roman" w:hAnsi="Times New Roman" w:eastAsia="宋体" w:cs="Times New Roman"/>
                      <w:color w:val="BF9000" w:themeColor="accent4" w:themeShade="BF"/>
                      <w:sz w:val="21"/>
                      <w:szCs w:val="21"/>
                    </w:rPr>
                    <w:t>《合成树脂工业污染物排放标准》（GB</w:t>
                  </w:r>
                  <w:r>
                    <w:rPr>
                      <w:rFonts w:hint="default" w:ascii="Times New Roman" w:hAnsi="Times New Roman" w:eastAsia="宋体" w:cs="Times New Roman"/>
                      <w:color w:val="BF9000" w:themeColor="accent4" w:themeShade="BF"/>
                      <w:sz w:val="21"/>
                      <w:szCs w:val="21"/>
                      <w:highlight w:val="none"/>
                    </w:rPr>
                    <w:t>31572-2015）中表5大气污染物特别排放限值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tcBorders>
                    <w:tl2br w:val="nil"/>
                    <w:tr2bl w:val="nil"/>
                  </w:tcBorders>
                  <w:noWrap/>
                  <w:vAlign w:val="center"/>
                </w:tcPr>
                <w:p>
                  <w:pPr>
                    <w:adjustRightInd w:val="0"/>
                    <w:snapToGrid w:val="0"/>
                    <w:spacing w:line="240" w:lineRule="auto"/>
                    <w:jc w:val="center"/>
                    <w:rPr>
                      <w:rFonts w:hint="eastAsia"/>
                      <w:color w:val="BF9000" w:themeColor="accent4" w:themeShade="BF"/>
                      <w:sz w:val="21"/>
                      <w:szCs w:val="21"/>
                      <w:highlight w:val="none"/>
                      <w:lang w:val="en-US" w:eastAsia="zh-CN"/>
                    </w:rPr>
                  </w:pPr>
                  <w:r>
                    <w:rPr>
                      <w:rFonts w:hint="default" w:ascii="Times New Roman" w:hAnsi="Times New Roman" w:eastAsia="宋体" w:cs="Times New Roman"/>
                      <w:color w:val="BF9000" w:themeColor="accent4" w:themeShade="BF"/>
                      <w:sz w:val="21"/>
                      <w:szCs w:val="21"/>
                      <w:highlight w:val="none"/>
                      <w:lang w:val="en-US" w:eastAsia="zh-CN"/>
                    </w:rPr>
                    <w:t>DA002</w:t>
                  </w:r>
                  <w:r>
                    <w:rPr>
                      <w:rFonts w:hint="eastAsia" w:ascii="Times New Roman" w:hAnsi="Times New Roman" w:eastAsia="宋体" w:cs="Times New Roman"/>
                      <w:color w:val="BF9000" w:themeColor="accent4" w:themeShade="BF"/>
                      <w:sz w:val="21"/>
                      <w:szCs w:val="21"/>
                      <w:highlight w:val="none"/>
                      <w:lang w:val="en-US" w:eastAsia="zh-CN"/>
                    </w:rPr>
                    <w:t>混料及破碎废气</w:t>
                  </w:r>
                  <w:r>
                    <w:rPr>
                      <w:rFonts w:hint="eastAsia" w:cs="Times New Roman"/>
                      <w:color w:val="BF9000" w:themeColor="accent4" w:themeShade="BF"/>
                      <w:sz w:val="21"/>
                      <w:szCs w:val="21"/>
                      <w:highlight w:val="none"/>
                      <w:lang w:eastAsia="zh-CN"/>
                    </w:rPr>
                    <w:t>排放口</w:t>
                  </w:r>
                </w:p>
              </w:tc>
              <w:tc>
                <w:tcPr>
                  <w:tcW w:w="1950" w:type="dxa"/>
                  <w:tcBorders>
                    <w:tl2br w:val="nil"/>
                    <w:tr2bl w:val="nil"/>
                  </w:tcBorders>
                  <w:noWrap/>
                  <w:vAlign w:val="center"/>
                </w:tcPr>
                <w:p>
                  <w:pPr>
                    <w:spacing w:line="240" w:lineRule="auto"/>
                    <w:jc w:val="center"/>
                    <w:rPr>
                      <w:rFonts w:hint="eastAsia"/>
                      <w:color w:val="BF9000" w:themeColor="accent4" w:themeShade="BF"/>
                      <w:sz w:val="21"/>
                      <w:szCs w:val="21"/>
                      <w:highlight w:val="none"/>
                      <w:lang w:val="en-US" w:eastAsia="zh-CN"/>
                    </w:rPr>
                  </w:pPr>
                  <w:r>
                    <w:rPr>
                      <w:rFonts w:hint="default" w:ascii="Times New Roman" w:hAnsi="Times New Roman" w:eastAsia="宋体" w:cs="Times New Roman"/>
                      <w:color w:val="BF9000" w:themeColor="accent4" w:themeShade="BF"/>
                      <w:sz w:val="21"/>
                      <w:szCs w:val="21"/>
                      <w:highlight w:val="none"/>
                      <w:lang w:val="en-US" w:eastAsia="zh-CN"/>
                    </w:rPr>
                    <w:t>颗粒物</w:t>
                  </w:r>
                </w:p>
              </w:tc>
              <w:tc>
                <w:tcPr>
                  <w:tcW w:w="817" w:type="dxa"/>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highlight w:val="none"/>
                    </w:rPr>
                  </w:pPr>
                  <w:r>
                    <w:rPr>
                      <w:rFonts w:eastAsia="宋体"/>
                      <w:color w:val="BF9000" w:themeColor="accent4" w:themeShade="BF"/>
                      <w:sz w:val="21"/>
                      <w:szCs w:val="21"/>
                      <w:highlight w:val="none"/>
                    </w:rPr>
                    <w:t>1次/年</w:t>
                  </w:r>
                </w:p>
              </w:tc>
              <w:tc>
                <w:tcPr>
                  <w:tcW w:w="3714" w:type="dxa"/>
                  <w:tcBorders>
                    <w:tl2br w:val="nil"/>
                    <w:tr2bl w:val="nil"/>
                  </w:tcBorders>
                  <w:noWrap/>
                  <w:vAlign w:val="center"/>
                </w:tcPr>
                <w:p>
                  <w:pPr>
                    <w:spacing w:line="240" w:lineRule="auto"/>
                    <w:jc w:val="center"/>
                    <w:rPr>
                      <w:color w:val="BF9000" w:themeColor="accent4" w:themeShade="BF"/>
                      <w:sz w:val="21"/>
                      <w:szCs w:val="21"/>
                      <w:highlight w:val="none"/>
                    </w:rPr>
                  </w:pPr>
                  <w:r>
                    <w:rPr>
                      <w:rFonts w:hint="default" w:ascii="Times New Roman" w:hAnsi="Times New Roman" w:eastAsia="宋体" w:cs="Times New Roman"/>
                      <w:color w:val="BF9000" w:themeColor="accent4" w:themeShade="BF"/>
                      <w:sz w:val="21"/>
                      <w:szCs w:val="21"/>
                      <w:highlight w:val="none"/>
                    </w:rPr>
                    <w:t>《合成树脂工业污染物排放标准》（GB31572-2015）中表5大气污染物特别排放限值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63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vMerge w:val="restart"/>
                  <w:tcBorders>
                    <w:tl2br w:val="nil"/>
                    <w:tr2bl w:val="nil"/>
                  </w:tcBorders>
                  <w:noWrap/>
                  <w:vAlign w:val="center"/>
                </w:tcPr>
                <w:p>
                  <w:pPr>
                    <w:adjustRightInd w:val="0"/>
                    <w:snapToGrid w:val="0"/>
                    <w:spacing w:line="240" w:lineRule="auto"/>
                    <w:jc w:val="center"/>
                    <w:rPr>
                      <w:rFonts w:hint="eastAsia" w:eastAsia="宋体"/>
                      <w:color w:val="BF9000" w:themeColor="accent4" w:themeShade="BF"/>
                      <w:sz w:val="21"/>
                      <w:szCs w:val="21"/>
                      <w:lang w:val="en-US" w:eastAsia="zh-CN"/>
                    </w:rPr>
                  </w:pPr>
                  <w:r>
                    <w:rPr>
                      <w:rFonts w:hint="default" w:ascii="Times New Roman" w:hAnsi="Times New Roman" w:eastAsia="宋体" w:cs="Times New Roman"/>
                      <w:color w:val="BF9000" w:themeColor="accent4" w:themeShade="BF"/>
                      <w:sz w:val="21"/>
                      <w:szCs w:val="21"/>
                      <w:highlight w:val="none"/>
                      <w:lang w:val="en-US" w:eastAsia="zh-CN"/>
                    </w:rPr>
                    <w:t>DA00</w:t>
                  </w:r>
                  <w:r>
                    <w:rPr>
                      <w:rFonts w:hint="eastAsia" w:ascii="Times New Roman" w:hAnsi="Times New Roman" w:eastAsia="宋体" w:cs="Times New Roman"/>
                      <w:color w:val="BF9000" w:themeColor="accent4" w:themeShade="BF"/>
                      <w:sz w:val="21"/>
                      <w:szCs w:val="21"/>
                      <w:highlight w:val="none"/>
                      <w:lang w:val="en-US" w:eastAsia="zh-CN"/>
                    </w:rPr>
                    <w:t>3喷漆及丝印废气排放口</w:t>
                  </w:r>
                </w:p>
              </w:tc>
              <w:tc>
                <w:tcPr>
                  <w:tcW w:w="1950" w:type="dxa"/>
                  <w:tcBorders>
                    <w:tl2br w:val="nil"/>
                    <w:tr2bl w:val="nil"/>
                  </w:tcBorders>
                  <w:noWrap/>
                  <w:vAlign w:val="center"/>
                </w:tcPr>
                <w:p>
                  <w:pPr>
                    <w:spacing w:line="240" w:lineRule="auto"/>
                    <w:jc w:val="center"/>
                    <w:rPr>
                      <w:rFonts w:hint="default" w:ascii="Times New Roman" w:hAnsi="Times New Roman" w:eastAsia="宋体" w:cs="Times New Roman"/>
                      <w:color w:val="BF9000" w:themeColor="accent4" w:themeShade="BF"/>
                      <w:sz w:val="21"/>
                      <w:szCs w:val="21"/>
                      <w:lang w:val="en-US" w:eastAsia="zh-CN"/>
                    </w:rPr>
                  </w:pPr>
                  <w:r>
                    <w:rPr>
                      <w:rFonts w:hint="eastAsia" w:cs="Times New Roman"/>
                      <w:color w:val="BF9000" w:themeColor="accent4" w:themeShade="BF"/>
                      <w:sz w:val="21"/>
                      <w:szCs w:val="21"/>
                      <w:lang w:val="en-US" w:eastAsia="zh-CN"/>
                    </w:rPr>
                    <w:t>TVOC</w:t>
                  </w:r>
                </w:p>
              </w:tc>
              <w:tc>
                <w:tcPr>
                  <w:tcW w:w="817"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r>
                    <w:rPr>
                      <w:rFonts w:hint="eastAsia" w:ascii="Times New Roman" w:hAnsi="Times New Roman" w:eastAsia="宋体" w:cs="Times New Roman"/>
                      <w:color w:val="BF9000" w:themeColor="accent4" w:themeShade="BF"/>
                      <w:sz w:val="21"/>
                      <w:szCs w:val="21"/>
                      <w:lang w:val="en-US" w:eastAsia="zh-CN"/>
                    </w:rPr>
                    <w:t>1次/年</w:t>
                  </w:r>
                </w:p>
              </w:tc>
              <w:tc>
                <w:tcPr>
                  <w:tcW w:w="3714"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r>
                    <w:rPr>
                      <w:rFonts w:hint="default" w:ascii="Times New Roman" w:hAnsi="Times New Roman" w:eastAsia="宋体" w:cs="Times New Roman"/>
                      <w:color w:val="BF9000" w:themeColor="accent4" w:themeShade="BF"/>
                      <w:sz w:val="21"/>
                      <w:szCs w:val="21"/>
                    </w:rPr>
                    <w:t>广东省地方标准《固定污染源挥发性有机物综合排放标准》（DB44/2367—2022）表1挥发性有机物排放限值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63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BF9000" w:themeColor="accent4" w:themeShade="BF"/>
                      <w:sz w:val="21"/>
                      <w:szCs w:val="21"/>
                      <w:highlight w:val="none"/>
                      <w:lang w:val="en-US" w:eastAsia="zh-CN"/>
                    </w:rPr>
                  </w:pPr>
                </w:p>
              </w:tc>
              <w:tc>
                <w:tcPr>
                  <w:tcW w:w="1950" w:type="dxa"/>
                  <w:tcBorders>
                    <w:tl2br w:val="nil"/>
                    <w:tr2bl w:val="nil"/>
                  </w:tcBorders>
                  <w:noWrap/>
                  <w:vAlign w:val="center"/>
                </w:tcPr>
                <w:p>
                  <w:pPr>
                    <w:spacing w:line="240" w:lineRule="auto"/>
                    <w:jc w:val="center"/>
                    <w:rPr>
                      <w:rFonts w:hint="eastAsia" w:cs="Times New Roman"/>
                      <w:color w:val="BF9000" w:themeColor="accent4" w:themeShade="BF"/>
                      <w:sz w:val="21"/>
                      <w:szCs w:val="21"/>
                      <w:lang w:val="en-US" w:eastAsia="zh-CN"/>
                    </w:rPr>
                  </w:pPr>
                  <w:r>
                    <w:rPr>
                      <w:rFonts w:hint="eastAsia" w:cs="Times New Roman"/>
                      <w:color w:val="BF9000" w:themeColor="accent4" w:themeShade="BF"/>
                      <w:sz w:val="21"/>
                      <w:szCs w:val="21"/>
                      <w:highlight w:val="none"/>
                      <w:lang w:val="en-US" w:eastAsia="zh-CN"/>
                    </w:rPr>
                    <w:t>非甲烷总烃</w:t>
                  </w:r>
                </w:p>
              </w:tc>
              <w:tc>
                <w:tcPr>
                  <w:tcW w:w="817"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p>
              </w:tc>
              <w:tc>
                <w:tcPr>
                  <w:tcW w:w="3714" w:type="dxa"/>
                  <w:tcBorders>
                    <w:tl2br w:val="nil"/>
                    <w:tr2bl w:val="nil"/>
                  </w:tcBorders>
                  <w:noWrap/>
                  <w:vAlign w:val="center"/>
                </w:tcPr>
                <w:p>
                  <w:pPr>
                    <w:spacing w:line="240" w:lineRule="auto"/>
                    <w:jc w:val="center"/>
                    <w:rPr>
                      <w:rFonts w:hint="default" w:ascii="Times New Roman" w:hAnsi="Times New Roman" w:eastAsia="宋体" w:cs="Times New Roman"/>
                      <w:color w:val="BF9000" w:themeColor="accent4" w:themeShade="BF"/>
                      <w:sz w:val="21"/>
                      <w:szCs w:val="21"/>
                    </w:rPr>
                  </w:pPr>
                  <w:r>
                    <w:rPr>
                      <w:rFonts w:hint="default"/>
                      <w:color w:val="BF9000" w:themeColor="accent4" w:themeShade="BF"/>
                      <w:sz w:val="21"/>
                      <w:szCs w:val="21"/>
                      <w:highlight w:val="none"/>
                      <w:vertAlign w:val="baseline"/>
                      <w:lang w:val="en-US" w:eastAsia="zh-CN"/>
                    </w:rPr>
                    <w:t>广东省地方标准《固定污染源挥发性有机物综合排放标准》（DB44/2367—2022）表1排放限值</w:t>
                  </w:r>
                  <w:r>
                    <w:rPr>
                      <w:rFonts w:hint="eastAsia"/>
                      <w:color w:val="BF9000" w:themeColor="accent4" w:themeShade="BF"/>
                      <w:sz w:val="21"/>
                      <w:szCs w:val="21"/>
                      <w:highlight w:val="none"/>
                      <w:vertAlign w:val="baseline"/>
                      <w:lang w:val="en-US" w:eastAsia="zh-CN"/>
                    </w:rPr>
                    <w:t>与</w:t>
                  </w:r>
                  <w:r>
                    <w:rPr>
                      <w:rFonts w:hint="eastAsia"/>
                      <w:color w:val="BF9000" w:themeColor="accent4" w:themeShade="BF"/>
                      <w:sz w:val="21"/>
                      <w:szCs w:val="21"/>
                      <w:highlight w:val="none"/>
                      <w:lang w:val="en-US" w:eastAsia="zh-CN"/>
                    </w:rPr>
                    <w:t>《印刷工业大气污染物排放标准》（GB 41616—2022）表1排放限值较严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4" w:hRule="atLeast"/>
              </w:trPr>
              <w:tc>
                <w:tcPr>
                  <w:tcW w:w="63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950"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r>
                    <w:rPr>
                      <w:rFonts w:hint="eastAsia" w:ascii="Times New Roman" w:hAnsi="Times New Roman" w:eastAsia="宋体" w:cs="Times New Roman"/>
                      <w:color w:val="BF9000" w:themeColor="accent4" w:themeShade="BF"/>
                      <w:sz w:val="21"/>
                      <w:szCs w:val="21"/>
                      <w:lang w:val="en-US" w:eastAsia="zh-CN"/>
                    </w:rPr>
                    <w:t>总VOCs</w:t>
                  </w:r>
                </w:p>
              </w:tc>
              <w:tc>
                <w:tcPr>
                  <w:tcW w:w="817"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r>
                    <w:rPr>
                      <w:rFonts w:hint="eastAsia" w:ascii="Times New Roman" w:hAnsi="Times New Roman" w:eastAsia="宋体" w:cs="Times New Roman"/>
                      <w:color w:val="BF9000" w:themeColor="accent4" w:themeShade="BF"/>
                      <w:sz w:val="21"/>
                      <w:szCs w:val="21"/>
                      <w:lang w:val="en-US" w:eastAsia="zh-CN"/>
                    </w:rPr>
                    <w:t>1次/年</w:t>
                  </w:r>
                </w:p>
              </w:tc>
              <w:tc>
                <w:tcPr>
                  <w:tcW w:w="3714" w:type="dxa"/>
                  <w:tcBorders>
                    <w:tl2br w:val="nil"/>
                    <w:tr2bl w:val="nil"/>
                  </w:tcBorders>
                  <w:noWrap/>
                  <w:vAlign w:val="center"/>
                </w:tcPr>
                <w:p>
                  <w:pPr>
                    <w:spacing w:line="240" w:lineRule="auto"/>
                    <w:jc w:val="center"/>
                    <w:rPr>
                      <w:rFonts w:hint="default" w:ascii="Times New Roman" w:hAnsi="Times New Roman" w:eastAsia="宋体" w:cs="Times New Roman"/>
                      <w:color w:val="BF9000" w:themeColor="accent4" w:themeShade="BF"/>
                      <w:sz w:val="21"/>
                      <w:szCs w:val="21"/>
                    </w:rPr>
                  </w:pPr>
                  <w:r>
                    <w:rPr>
                      <w:rFonts w:hint="default" w:ascii="Times New Roman" w:hAnsi="Times New Roman" w:eastAsia="宋体" w:cs="Times New Roman"/>
                      <w:color w:val="BF9000" w:themeColor="accent4" w:themeShade="BF"/>
                      <w:sz w:val="21"/>
                      <w:szCs w:val="21"/>
                    </w:rPr>
                    <w:t>《印刷行业挥发性有机化合物排放标准》（DB44/815-2010）表2中印刷方式为丝网印刷产生的</w:t>
                  </w:r>
                  <w:r>
                    <w:rPr>
                      <w:rFonts w:hint="eastAsia"/>
                      <w:color w:val="BF9000" w:themeColor="accent4" w:themeShade="BF"/>
                      <w:sz w:val="21"/>
                      <w:szCs w:val="21"/>
                      <w:highlight w:val="none"/>
                      <w:lang w:val="en-US" w:eastAsia="zh-CN"/>
                    </w:rPr>
                    <w:t>第Ⅱ时段丝网印刷</w:t>
                  </w:r>
                  <w:r>
                    <w:rPr>
                      <w:rFonts w:hint="default" w:ascii="Times New Roman" w:hAnsi="Times New Roman" w:eastAsia="宋体" w:cs="Times New Roman"/>
                      <w:color w:val="BF9000" w:themeColor="accent4" w:themeShade="BF"/>
                      <w:sz w:val="21"/>
                      <w:szCs w:val="21"/>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trPr>
              <w:tc>
                <w:tcPr>
                  <w:tcW w:w="63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topLinePunct/>
                    <w:spacing w:line="240" w:lineRule="auto"/>
                    <w:jc w:val="center"/>
                    <w:rPr>
                      <w:color w:val="auto"/>
                      <w:sz w:val="21"/>
                      <w:szCs w:val="21"/>
                    </w:rPr>
                  </w:pPr>
                </w:p>
              </w:tc>
              <w:tc>
                <w:tcPr>
                  <w:tcW w:w="1950"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kern w:val="2"/>
                      <w:sz w:val="21"/>
                      <w:szCs w:val="21"/>
                      <w:lang w:val="en-US" w:eastAsia="zh-CN" w:bidi="ar-SA"/>
                    </w:rPr>
                  </w:pPr>
                  <w:r>
                    <w:rPr>
                      <w:rFonts w:hint="eastAsia"/>
                      <w:color w:val="BF9000" w:themeColor="accent4" w:themeShade="BF"/>
                      <w:sz w:val="21"/>
                      <w:szCs w:val="21"/>
                      <w:lang w:val="en-US" w:eastAsia="zh-CN"/>
                    </w:rPr>
                    <w:t>颗粒物</w:t>
                  </w:r>
                </w:p>
              </w:tc>
              <w:tc>
                <w:tcPr>
                  <w:tcW w:w="817" w:type="dxa"/>
                  <w:tcBorders>
                    <w:tl2br w:val="nil"/>
                    <w:tr2bl w:val="nil"/>
                  </w:tcBorders>
                  <w:noWrap/>
                  <w:vAlign w:val="center"/>
                </w:tcPr>
                <w:p>
                  <w:pPr>
                    <w:pStyle w:val="68"/>
                    <w:snapToGrid w:val="0"/>
                    <w:spacing w:line="240" w:lineRule="auto"/>
                    <w:ind w:firstLine="0" w:firstLineChars="0"/>
                    <w:jc w:val="center"/>
                    <w:rPr>
                      <w:rFonts w:ascii="Times New Roman" w:hAnsi="Times New Roman" w:eastAsia="宋体" w:cs="Times New Roman"/>
                      <w:color w:val="BF9000" w:themeColor="accent4" w:themeShade="BF"/>
                      <w:kern w:val="2"/>
                      <w:sz w:val="21"/>
                      <w:szCs w:val="21"/>
                      <w:lang w:val="en-US" w:eastAsia="zh-CN" w:bidi="ar-SA"/>
                    </w:rPr>
                  </w:pPr>
                  <w:r>
                    <w:rPr>
                      <w:rFonts w:eastAsia="宋体"/>
                      <w:color w:val="BF9000" w:themeColor="accent4" w:themeShade="BF"/>
                      <w:sz w:val="21"/>
                      <w:szCs w:val="21"/>
                    </w:rPr>
                    <w:t>1次/年</w:t>
                  </w:r>
                </w:p>
              </w:tc>
              <w:tc>
                <w:tcPr>
                  <w:tcW w:w="3714" w:type="dxa"/>
                  <w:tcBorders>
                    <w:tl2br w:val="nil"/>
                    <w:tr2bl w:val="nil"/>
                  </w:tcBorders>
                  <w:noWrap/>
                  <w:vAlign w:val="center"/>
                </w:tcPr>
                <w:p>
                  <w:pPr>
                    <w:spacing w:line="240" w:lineRule="auto"/>
                    <w:jc w:val="center"/>
                    <w:rPr>
                      <w:rFonts w:hint="default" w:ascii="Times New Roman" w:hAnsi="Times New Roman" w:eastAsia="宋体" w:cs="Times New Roman"/>
                      <w:color w:val="BF9000" w:themeColor="accent4" w:themeShade="BF"/>
                      <w:kern w:val="2"/>
                      <w:sz w:val="21"/>
                      <w:szCs w:val="21"/>
                      <w:lang w:val="en-US" w:eastAsia="zh-CN" w:bidi="ar-SA"/>
                    </w:rPr>
                  </w:pPr>
                  <w:r>
                    <w:rPr>
                      <w:color w:val="BF9000" w:themeColor="accent4" w:themeShade="BF"/>
                      <w:sz w:val="21"/>
                      <w:szCs w:val="21"/>
                    </w:rPr>
                    <w:t>广东省地方标准《大气污染物排放限值》</w:t>
                  </w:r>
                  <w:r>
                    <w:rPr>
                      <w:rFonts w:hint="eastAsia"/>
                      <w:color w:val="BF9000" w:themeColor="accent4" w:themeShade="BF"/>
                      <w:sz w:val="21"/>
                      <w:szCs w:val="21"/>
                      <w:lang w:eastAsia="zh-CN"/>
                    </w:rPr>
                    <w:t>（DB44/ 27-2001）</w:t>
                  </w:r>
                  <w:r>
                    <w:rPr>
                      <w:color w:val="BF9000" w:themeColor="accent4" w:themeShade="BF"/>
                      <w:sz w:val="21"/>
                      <w:szCs w:val="21"/>
                    </w:rPr>
                    <w:t>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trPr>
              <w:tc>
                <w:tcPr>
                  <w:tcW w:w="63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tcBorders>
                    <w:tl2br w:val="nil"/>
                    <w:tr2bl w:val="nil"/>
                  </w:tcBorders>
                  <w:noWrap/>
                  <w:vAlign w:val="center"/>
                </w:tcPr>
                <w:p>
                  <w:pPr>
                    <w:topLinePunct/>
                    <w:spacing w:line="240" w:lineRule="auto"/>
                    <w:jc w:val="center"/>
                    <w:rPr>
                      <w:color w:val="BF9000" w:themeColor="accent4" w:themeShade="BF"/>
                      <w:sz w:val="21"/>
                      <w:szCs w:val="21"/>
                      <w:highlight w:val="none"/>
                    </w:rPr>
                  </w:pPr>
                  <w:r>
                    <w:rPr>
                      <w:rFonts w:hint="default" w:ascii="Times New Roman" w:hAnsi="Times New Roman" w:eastAsia="宋体" w:cs="Times New Roman"/>
                      <w:color w:val="BF9000" w:themeColor="accent4" w:themeShade="BF"/>
                      <w:sz w:val="21"/>
                      <w:szCs w:val="21"/>
                      <w:highlight w:val="none"/>
                      <w:lang w:val="en-US" w:eastAsia="zh-CN"/>
                    </w:rPr>
                    <w:t>DA00</w:t>
                  </w:r>
                  <w:r>
                    <w:rPr>
                      <w:rFonts w:hint="eastAsia" w:ascii="Times New Roman" w:hAnsi="Times New Roman" w:eastAsia="宋体" w:cs="Times New Roman"/>
                      <w:color w:val="BF9000" w:themeColor="accent4" w:themeShade="BF"/>
                      <w:sz w:val="21"/>
                      <w:szCs w:val="21"/>
                      <w:highlight w:val="none"/>
                      <w:lang w:val="en-US" w:eastAsia="zh-CN"/>
                    </w:rPr>
                    <w:t>4机加工、打磨废气排放口</w:t>
                  </w:r>
                </w:p>
              </w:tc>
              <w:tc>
                <w:tcPr>
                  <w:tcW w:w="1950" w:type="dxa"/>
                  <w:tcBorders>
                    <w:tl2br w:val="nil"/>
                    <w:tr2bl w:val="nil"/>
                  </w:tcBorders>
                  <w:noWrap/>
                  <w:vAlign w:val="center"/>
                </w:tcPr>
                <w:p>
                  <w:pPr>
                    <w:spacing w:line="240" w:lineRule="auto"/>
                    <w:jc w:val="center"/>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颗粒物</w:t>
                  </w:r>
                </w:p>
              </w:tc>
              <w:tc>
                <w:tcPr>
                  <w:tcW w:w="817" w:type="dxa"/>
                  <w:tcBorders>
                    <w:tl2br w:val="nil"/>
                    <w:tr2bl w:val="nil"/>
                  </w:tcBorders>
                  <w:noWrap/>
                  <w:vAlign w:val="center"/>
                </w:tcPr>
                <w:p>
                  <w:pPr>
                    <w:pStyle w:val="68"/>
                    <w:snapToGrid w:val="0"/>
                    <w:spacing w:line="240" w:lineRule="auto"/>
                    <w:ind w:firstLine="0" w:firstLineChars="0"/>
                    <w:jc w:val="center"/>
                    <w:rPr>
                      <w:rFonts w:eastAsia="宋体"/>
                      <w:color w:val="BF9000" w:themeColor="accent4" w:themeShade="BF"/>
                      <w:sz w:val="21"/>
                      <w:szCs w:val="21"/>
                      <w:highlight w:val="none"/>
                    </w:rPr>
                  </w:pPr>
                  <w:r>
                    <w:rPr>
                      <w:rFonts w:eastAsia="宋体"/>
                      <w:color w:val="BF9000" w:themeColor="accent4" w:themeShade="BF"/>
                      <w:sz w:val="21"/>
                      <w:szCs w:val="21"/>
                      <w:highlight w:val="none"/>
                    </w:rPr>
                    <w:t>1次/年</w:t>
                  </w:r>
                </w:p>
              </w:tc>
              <w:tc>
                <w:tcPr>
                  <w:tcW w:w="3714" w:type="dxa"/>
                  <w:tcBorders>
                    <w:tl2br w:val="nil"/>
                    <w:tr2bl w:val="nil"/>
                  </w:tcBorders>
                  <w:noWrap/>
                  <w:vAlign w:val="center"/>
                </w:tcPr>
                <w:p>
                  <w:pPr>
                    <w:spacing w:line="240" w:lineRule="auto"/>
                    <w:jc w:val="center"/>
                    <w:rPr>
                      <w:color w:val="BF9000" w:themeColor="accent4" w:themeShade="BF"/>
                      <w:sz w:val="21"/>
                      <w:szCs w:val="21"/>
                      <w:highlight w:val="none"/>
                    </w:rPr>
                  </w:pPr>
                  <w:r>
                    <w:rPr>
                      <w:color w:val="BF9000" w:themeColor="accent4" w:themeShade="BF"/>
                      <w:sz w:val="21"/>
                      <w:szCs w:val="21"/>
                      <w:highlight w:val="none"/>
                    </w:rPr>
                    <w:t>广东省地方标准《大气污染物排放限值》</w:t>
                  </w:r>
                  <w:r>
                    <w:rPr>
                      <w:rFonts w:hint="eastAsia"/>
                      <w:color w:val="BF9000" w:themeColor="accent4" w:themeShade="BF"/>
                      <w:sz w:val="21"/>
                      <w:szCs w:val="21"/>
                      <w:highlight w:val="none"/>
                      <w:lang w:eastAsia="zh-CN"/>
                    </w:rPr>
                    <w:t>（DB44/ 27-2001）</w:t>
                  </w:r>
                  <w:r>
                    <w:rPr>
                      <w:color w:val="BF9000" w:themeColor="accent4" w:themeShade="BF"/>
                      <w:sz w:val="21"/>
                      <w:szCs w:val="21"/>
                      <w:highlight w:val="none"/>
                    </w:rPr>
                    <w:t>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restart"/>
                  <w:tcBorders>
                    <w:tl2br w:val="nil"/>
                    <w:tr2bl w:val="nil"/>
                  </w:tcBorders>
                  <w:noWrap/>
                  <w:vAlign w:val="center"/>
                </w:tcPr>
                <w:p>
                  <w:pPr>
                    <w:pStyle w:val="68"/>
                    <w:snapToGrid w:val="0"/>
                    <w:spacing w:line="240" w:lineRule="auto"/>
                    <w:ind w:firstLine="0"/>
                    <w:jc w:val="center"/>
                    <w:rPr>
                      <w:rFonts w:eastAsia="宋体"/>
                      <w:color w:val="auto"/>
                      <w:sz w:val="21"/>
                      <w:szCs w:val="21"/>
                    </w:rPr>
                  </w:pPr>
                  <w:r>
                    <w:rPr>
                      <w:rFonts w:eastAsia="宋体"/>
                      <w:color w:val="auto"/>
                      <w:sz w:val="21"/>
                      <w:szCs w:val="21"/>
                    </w:rPr>
                    <w:t>无组织废气</w:t>
                  </w:r>
                </w:p>
              </w:tc>
              <w:tc>
                <w:tcPr>
                  <w:tcW w:w="1441" w:type="dxa"/>
                  <w:vMerge w:val="restart"/>
                  <w:tcBorders>
                    <w:tl2br w:val="nil"/>
                    <w:tr2bl w:val="nil"/>
                  </w:tcBorders>
                  <w:noWrap/>
                  <w:vAlign w:val="center"/>
                </w:tcPr>
                <w:p>
                  <w:pPr>
                    <w:pStyle w:val="68"/>
                    <w:snapToGrid w:val="0"/>
                    <w:spacing w:line="240" w:lineRule="auto"/>
                    <w:ind w:firstLine="0"/>
                    <w:jc w:val="center"/>
                    <w:rPr>
                      <w:rFonts w:eastAsia="宋体"/>
                      <w:color w:val="auto"/>
                      <w:sz w:val="21"/>
                      <w:szCs w:val="21"/>
                    </w:rPr>
                  </w:pPr>
                  <w:r>
                    <w:rPr>
                      <w:rFonts w:eastAsia="宋体"/>
                      <w:color w:val="auto"/>
                      <w:sz w:val="21"/>
                      <w:szCs w:val="21"/>
                    </w:rPr>
                    <w:t>企业边界</w:t>
                  </w:r>
                </w:p>
              </w:tc>
              <w:tc>
                <w:tcPr>
                  <w:tcW w:w="1950" w:type="dxa"/>
                  <w:tcBorders>
                    <w:tl2br w:val="nil"/>
                    <w:tr2bl w:val="nil"/>
                  </w:tcBorders>
                  <w:noWrap/>
                  <w:vAlign w:val="center"/>
                </w:tcPr>
                <w:p>
                  <w:pPr>
                    <w:spacing w:line="240" w:lineRule="auto"/>
                    <w:jc w:val="center"/>
                    <w:rPr>
                      <w:rFonts w:hint="eastAsia" w:eastAsia="宋体"/>
                      <w:color w:val="BF9000" w:themeColor="accent4" w:themeShade="BF"/>
                      <w:sz w:val="21"/>
                      <w:szCs w:val="21"/>
                      <w:lang w:eastAsia="zh-CN"/>
                    </w:rPr>
                  </w:pPr>
                  <w:r>
                    <w:rPr>
                      <w:rFonts w:hint="eastAsia"/>
                      <w:color w:val="BF9000" w:themeColor="accent4" w:themeShade="BF"/>
                      <w:sz w:val="21"/>
                      <w:szCs w:val="21"/>
                      <w:lang w:val="en-US" w:eastAsia="zh-CN"/>
                    </w:rPr>
                    <w:t>颗粒物</w:t>
                  </w:r>
                </w:p>
              </w:tc>
              <w:tc>
                <w:tcPr>
                  <w:tcW w:w="817" w:type="dxa"/>
                  <w:vMerge w:val="restart"/>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rPr>
                  </w:pPr>
                  <w:r>
                    <w:rPr>
                      <w:rFonts w:eastAsia="宋体"/>
                      <w:color w:val="BF9000" w:themeColor="accent4" w:themeShade="BF"/>
                      <w:sz w:val="21"/>
                      <w:szCs w:val="21"/>
                    </w:rPr>
                    <w:t>1次/年</w:t>
                  </w:r>
                </w:p>
              </w:tc>
              <w:tc>
                <w:tcPr>
                  <w:tcW w:w="3714" w:type="dxa"/>
                  <w:tcBorders>
                    <w:tl2br w:val="nil"/>
                    <w:tr2bl w:val="nil"/>
                  </w:tcBorders>
                  <w:noWrap/>
                  <w:vAlign w:val="center"/>
                </w:tcPr>
                <w:p>
                  <w:pPr>
                    <w:pStyle w:val="68"/>
                    <w:snapToGrid w:val="0"/>
                    <w:spacing w:line="240" w:lineRule="auto"/>
                    <w:ind w:firstLine="0"/>
                    <w:jc w:val="center"/>
                    <w:rPr>
                      <w:rFonts w:hint="default" w:eastAsia="宋体"/>
                      <w:color w:val="BF9000" w:themeColor="accent4" w:themeShade="BF"/>
                      <w:sz w:val="21"/>
                      <w:szCs w:val="21"/>
                      <w:lang w:val="en-US"/>
                    </w:rPr>
                  </w:pPr>
                  <w:r>
                    <w:rPr>
                      <w:rFonts w:hint="default" w:ascii="Times New Roman" w:hAnsi="Times New Roman" w:eastAsia="宋体" w:cs="Times New Roman"/>
                      <w:color w:val="BF9000" w:themeColor="accent4" w:themeShade="BF"/>
                      <w:kern w:val="0"/>
                      <w:sz w:val="21"/>
                      <w:szCs w:val="21"/>
                      <w:highlight w:val="none"/>
                      <w:lang w:val="en-US" w:eastAsia="zh-CN" w:bidi="ar-SA"/>
                    </w:rPr>
                    <w:t>《合成树脂工业污染物排放标准》（GB31572-2015）中表9</w:t>
                  </w:r>
                  <w:r>
                    <w:rPr>
                      <w:rFonts w:hint="eastAsia" w:eastAsia="宋体" w:cs="Times New Roman"/>
                      <w:color w:val="BF9000" w:themeColor="accent4" w:themeShade="BF"/>
                      <w:kern w:val="0"/>
                      <w:sz w:val="21"/>
                      <w:szCs w:val="21"/>
                      <w:highlight w:val="none"/>
                      <w:lang w:val="en-US" w:eastAsia="zh-CN" w:bidi="ar-SA"/>
                    </w:rPr>
                    <w:t>与</w:t>
                  </w: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广东省地方标准《大气污染物排放限值》（DB44/27-2001）中第二时段无组织排放监控浓度限值</w:t>
                  </w:r>
                  <w:r>
                    <w:rPr>
                      <w:rFonts w:hint="eastAsia" w:eastAsia="宋体" w:cs="Times New Roman"/>
                      <w:color w:val="BF9000" w:themeColor="accent4" w:themeShade="BF"/>
                      <w:kern w:val="0"/>
                      <w:sz w:val="21"/>
                      <w:szCs w:val="21"/>
                      <w:highlight w:val="none"/>
                      <w:lang w:val="en-US" w:eastAsia="zh-CN" w:bidi="ar-SA"/>
                    </w:rPr>
                    <w:t>两者较严值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950" w:type="dxa"/>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BF9000" w:themeColor="accent4" w:themeShade="BF"/>
                      <w:kern w:val="2"/>
                      <w:sz w:val="21"/>
                      <w:szCs w:val="21"/>
                      <w:lang w:val="en-US" w:eastAsia="zh-CN" w:bidi="ar-SA"/>
                    </w:rPr>
                  </w:pPr>
                  <w:r>
                    <w:rPr>
                      <w:rFonts w:hint="eastAsia" w:cs="Times New Roman"/>
                      <w:color w:val="BF9000" w:themeColor="accent4" w:themeShade="BF"/>
                      <w:sz w:val="21"/>
                      <w:szCs w:val="21"/>
                      <w:highlight w:val="none"/>
                      <w:lang w:val="en-US" w:eastAsia="zh-CN"/>
                    </w:rPr>
                    <w:t>非甲烷总烃</w:t>
                  </w:r>
                </w:p>
              </w:tc>
              <w:tc>
                <w:tcPr>
                  <w:tcW w:w="817" w:type="dxa"/>
                  <w:vMerge w:val="continue"/>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rPr>
                  </w:pPr>
                </w:p>
              </w:tc>
              <w:tc>
                <w:tcPr>
                  <w:tcW w:w="3714" w:type="dxa"/>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rPr>
                  </w:pPr>
                  <w:r>
                    <w:rPr>
                      <w:rFonts w:hint="default" w:ascii="Times New Roman" w:hAnsi="Times New Roman" w:eastAsia="宋体" w:cs="Times New Roman"/>
                      <w:color w:val="BF9000" w:themeColor="accent4" w:themeShade="BF"/>
                      <w:kern w:val="0"/>
                      <w:sz w:val="21"/>
                      <w:szCs w:val="21"/>
                      <w:highlight w:val="none"/>
                      <w:lang w:val="en-US" w:eastAsia="zh-CN" w:bidi="ar-SA"/>
                    </w:rPr>
                    <w:t>《合成树脂工业污染物排放标准》（GB31572-2015）中表9</w:t>
                  </w:r>
                  <w:r>
                    <w:rPr>
                      <w:rFonts w:hint="eastAsia" w:eastAsia="宋体" w:cs="Times New Roman"/>
                      <w:color w:val="BF9000" w:themeColor="accent4" w:themeShade="BF"/>
                      <w:kern w:val="0"/>
                      <w:sz w:val="21"/>
                      <w:szCs w:val="21"/>
                      <w:highlight w:val="none"/>
                      <w:lang w:val="en-US" w:eastAsia="zh-CN" w:bidi="ar-SA"/>
                    </w:rPr>
                    <w:t>与</w:t>
                  </w: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广东省地方标准《大气污染物排放限值》（DB44/27-2001）中第二时段无组织排放监控浓度限值</w:t>
                  </w:r>
                  <w:r>
                    <w:rPr>
                      <w:rFonts w:hint="eastAsia" w:eastAsia="宋体" w:cs="Times New Roman"/>
                      <w:color w:val="BF9000" w:themeColor="accent4" w:themeShade="BF"/>
                      <w:kern w:val="0"/>
                      <w:sz w:val="21"/>
                      <w:szCs w:val="21"/>
                      <w:highlight w:val="none"/>
                      <w:lang w:val="en-US" w:eastAsia="zh-CN" w:bidi="ar-SA"/>
                    </w:rPr>
                    <w:t>两者较严值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950" w:type="dxa"/>
                  <w:tcBorders>
                    <w:tl2br w:val="nil"/>
                    <w:tr2bl w:val="nil"/>
                  </w:tcBorders>
                  <w:noWrap/>
                  <w:vAlign w:val="center"/>
                </w:tcPr>
                <w:p>
                  <w:pPr>
                    <w:adjustRightInd w:val="0"/>
                    <w:snapToGrid w:val="0"/>
                    <w:spacing w:line="240" w:lineRule="auto"/>
                    <w:jc w:val="center"/>
                    <w:rPr>
                      <w:rFonts w:hint="eastAsia" w:cs="Times New Roman"/>
                      <w:color w:val="BF9000" w:themeColor="accent4" w:themeShade="BF"/>
                      <w:sz w:val="21"/>
                      <w:szCs w:val="21"/>
                      <w:highlight w:val="none"/>
                      <w:lang w:val="en-US" w:eastAsia="zh-CN"/>
                    </w:rPr>
                  </w:pPr>
                  <w:r>
                    <w:rPr>
                      <w:rFonts w:hint="default" w:ascii="Times New Roman" w:hAnsi="Times New Roman" w:cs="Times New Roman"/>
                      <w:color w:val="BF9000" w:themeColor="accent4" w:themeShade="BF"/>
                      <w:sz w:val="21"/>
                      <w:szCs w:val="21"/>
                      <w:lang w:val="en-US" w:eastAsia="zh-CN"/>
                    </w:rPr>
                    <w:t>臭气浓度</w:t>
                  </w:r>
                </w:p>
              </w:tc>
              <w:tc>
                <w:tcPr>
                  <w:tcW w:w="817" w:type="dxa"/>
                  <w:vMerge w:val="continue"/>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rPr>
                  </w:pPr>
                </w:p>
              </w:tc>
              <w:tc>
                <w:tcPr>
                  <w:tcW w:w="3714" w:type="dxa"/>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rPr>
                  </w:pPr>
                  <w:r>
                    <w:rPr>
                      <w:rFonts w:hint="default" w:ascii="Times New Roman" w:hAnsi="Times New Roman" w:eastAsia="宋体" w:cs="Times New Roman"/>
                      <w:color w:val="BF9000" w:themeColor="accent4" w:themeShade="BF"/>
                      <w:kern w:val="0"/>
                      <w:sz w:val="21"/>
                      <w:szCs w:val="21"/>
                      <w:highlight w:val="none"/>
                      <w:lang w:val="en-US" w:eastAsia="zh-CN" w:bidi="ar-SA"/>
                    </w:rPr>
                    <w:t>《恶臭污染物排放标准》（GB14554-93）中的表1恶臭污染物厂界标准值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950" w:type="dxa"/>
                  <w:tcBorders>
                    <w:tl2br w:val="nil"/>
                    <w:tr2bl w:val="nil"/>
                  </w:tcBorders>
                  <w:noWrap/>
                  <w:vAlign w:val="center"/>
                </w:tcPr>
                <w:p>
                  <w:pPr>
                    <w:spacing w:line="240" w:lineRule="auto"/>
                    <w:jc w:val="center"/>
                    <w:rPr>
                      <w:rFonts w:hint="eastAsia"/>
                      <w:color w:val="BF9000" w:themeColor="accent4" w:themeShade="BF"/>
                      <w:sz w:val="21"/>
                      <w:szCs w:val="21"/>
                      <w:lang w:val="en-US" w:eastAsia="zh-CN"/>
                    </w:rPr>
                  </w:pPr>
                  <w:r>
                    <w:rPr>
                      <w:rFonts w:hint="eastAsia" w:ascii="Times New Roman" w:hAnsi="Times New Roman" w:eastAsia="宋体" w:cs="Times New Roman"/>
                      <w:color w:val="BF9000" w:themeColor="accent4" w:themeShade="BF"/>
                      <w:sz w:val="21"/>
                      <w:szCs w:val="21"/>
                      <w:lang w:val="en-US" w:eastAsia="zh-CN"/>
                    </w:rPr>
                    <w:t>总VOCs</w:t>
                  </w:r>
                </w:p>
              </w:tc>
              <w:tc>
                <w:tcPr>
                  <w:tcW w:w="817" w:type="dxa"/>
                  <w:vMerge w:val="continue"/>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rPr>
                  </w:pPr>
                </w:p>
              </w:tc>
              <w:tc>
                <w:tcPr>
                  <w:tcW w:w="3714" w:type="dxa"/>
                  <w:tcBorders>
                    <w:tl2br w:val="nil"/>
                    <w:tr2bl w:val="nil"/>
                  </w:tcBorders>
                  <w:noWrap/>
                  <w:vAlign w:val="center"/>
                </w:tcPr>
                <w:p>
                  <w:pPr>
                    <w:pStyle w:val="68"/>
                    <w:snapToGrid w:val="0"/>
                    <w:spacing w:line="240" w:lineRule="auto"/>
                    <w:ind w:firstLine="0"/>
                    <w:jc w:val="center"/>
                    <w:rPr>
                      <w:rFonts w:hint="default" w:eastAsia="宋体"/>
                      <w:color w:val="BF9000" w:themeColor="accent4" w:themeShade="BF"/>
                      <w:sz w:val="21"/>
                      <w:szCs w:val="21"/>
                      <w:lang w:val="en-US"/>
                    </w:rPr>
                  </w:pPr>
                  <w:r>
                    <w:rPr>
                      <w:rFonts w:hint="eastAsia" w:ascii="Times New Roman" w:hAnsi="Times New Roman" w:eastAsia="宋体" w:cs="Times New Roman"/>
                      <w:color w:val="BF9000" w:themeColor="accent4" w:themeShade="BF"/>
                      <w:kern w:val="0"/>
                      <w:sz w:val="21"/>
                      <w:szCs w:val="21"/>
                      <w:highlight w:val="none"/>
                      <w:lang w:val="en-US" w:eastAsia="zh-CN" w:bidi="ar-SA"/>
                    </w:rPr>
                    <w:t>《家具制造行业挥发性有机化合物排放标准》（DB44/814-2010）中的表2无组织排放监控点浓度限值</w:t>
                  </w:r>
                  <w:r>
                    <w:rPr>
                      <w:rFonts w:hint="eastAsia" w:eastAsia="宋体" w:cs="Times New Roman"/>
                      <w:color w:val="BF9000" w:themeColor="accent4" w:themeShade="BF"/>
                      <w:kern w:val="0"/>
                      <w:sz w:val="21"/>
                      <w:szCs w:val="21"/>
                      <w:highlight w:val="none"/>
                      <w:lang w:val="en-US" w:eastAsia="zh-CN" w:bidi="ar-SA"/>
                    </w:rPr>
                    <w:t>与</w:t>
                  </w:r>
                  <w:r>
                    <w:rPr>
                      <w:rFonts w:hint="eastAsia" w:ascii="Times New Roman" w:hAnsi="Times New Roman" w:eastAsia="宋体" w:cs="Times New Roman"/>
                      <w:color w:val="BF9000" w:themeColor="accent4" w:themeShade="BF"/>
                      <w:kern w:val="0"/>
                      <w:sz w:val="21"/>
                      <w:szCs w:val="21"/>
                      <w:highlight w:val="none"/>
                      <w:lang w:val="en-US" w:eastAsia="zh-CN" w:bidi="ar-SA"/>
                    </w:rPr>
                    <w:t>《印刷行业挥发性有机化合物排放标准》（DB44/815-2010）无组织排放监控点浓度限值</w:t>
                  </w:r>
                  <w:r>
                    <w:rPr>
                      <w:rFonts w:hint="eastAsia" w:eastAsia="宋体" w:cs="Times New Roman"/>
                      <w:color w:val="BF9000" w:themeColor="accent4" w:themeShade="BF"/>
                      <w:kern w:val="0"/>
                      <w:sz w:val="21"/>
                      <w:szCs w:val="21"/>
                      <w:highlight w:val="none"/>
                      <w:lang w:val="en-US" w:eastAsia="zh-CN" w:bidi="ar-SA"/>
                    </w:rPr>
                    <w:t>两者中较严值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8"/>
                    <w:snapToGrid w:val="0"/>
                    <w:spacing w:line="240" w:lineRule="auto"/>
                    <w:ind w:firstLine="0"/>
                    <w:jc w:val="center"/>
                    <w:rPr>
                      <w:rFonts w:eastAsia="宋体"/>
                      <w:color w:val="auto"/>
                      <w:sz w:val="21"/>
                      <w:szCs w:val="21"/>
                    </w:rPr>
                  </w:pPr>
                </w:p>
              </w:tc>
              <w:tc>
                <w:tcPr>
                  <w:tcW w:w="1441" w:type="dxa"/>
                  <w:tcBorders>
                    <w:tl2br w:val="nil"/>
                    <w:tr2bl w:val="nil"/>
                  </w:tcBorders>
                  <w:noWrap/>
                  <w:vAlign w:val="center"/>
                </w:tcPr>
                <w:p>
                  <w:pPr>
                    <w:pStyle w:val="68"/>
                    <w:snapToGrid w:val="0"/>
                    <w:spacing w:line="240" w:lineRule="auto"/>
                    <w:ind w:firstLine="0"/>
                    <w:jc w:val="center"/>
                    <w:rPr>
                      <w:rFonts w:eastAsia="宋体"/>
                      <w:color w:val="auto"/>
                      <w:sz w:val="21"/>
                      <w:szCs w:val="21"/>
                    </w:rPr>
                  </w:pPr>
                  <w:r>
                    <w:rPr>
                      <w:rFonts w:eastAsia="宋体"/>
                      <w:color w:val="auto"/>
                      <w:sz w:val="21"/>
                      <w:szCs w:val="21"/>
                    </w:rPr>
                    <w:t>在厂房外设置监控点</w:t>
                  </w:r>
                </w:p>
              </w:tc>
              <w:tc>
                <w:tcPr>
                  <w:tcW w:w="1950" w:type="dxa"/>
                  <w:tcBorders>
                    <w:tl2br w:val="nil"/>
                    <w:tr2bl w:val="nil"/>
                  </w:tcBorders>
                  <w:noWrap/>
                  <w:vAlign w:val="center"/>
                </w:tcPr>
                <w:p>
                  <w:pPr>
                    <w:pStyle w:val="68"/>
                    <w:snapToGrid w:val="0"/>
                    <w:spacing w:line="240" w:lineRule="auto"/>
                    <w:ind w:firstLine="0"/>
                    <w:jc w:val="center"/>
                    <w:rPr>
                      <w:rFonts w:eastAsia="宋体"/>
                      <w:color w:val="BF9000" w:themeColor="accent4" w:themeShade="BF"/>
                      <w:sz w:val="21"/>
                      <w:szCs w:val="21"/>
                    </w:rPr>
                  </w:pPr>
                  <w:r>
                    <w:rPr>
                      <w:rFonts w:eastAsia="宋体"/>
                      <w:color w:val="BF9000" w:themeColor="accent4" w:themeShade="BF"/>
                      <w:sz w:val="21"/>
                      <w:szCs w:val="21"/>
                    </w:rPr>
                    <w:t>NMHC</w:t>
                  </w:r>
                </w:p>
              </w:tc>
              <w:tc>
                <w:tcPr>
                  <w:tcW w:w="817"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r>
                    <w:rPr>
                      <w:rFonts w:hint="eastAsia" w:ascii="Times New Roman" w:hAnsi="Times New Roman" w:eastAsia="宋体" w:cs="Times New Roman"/>
                      <w:color w:val="BF9000" w:themeColor="accent4" w:themeShade="BF"/>
                      <w:sz w:val="21"/>
                      <w:szCs w:val="21"/>
                      <w:lang w:val="en-US" w:eastAsia="zh-CN"/>
                    </w:rPr>
                    <w:t>1次/年</w:t>
                  </w:r>
                </w:p>
              </w:tc>
              <w:tc>
                <w:tcPr>
                  <w:tcW w:w="3714" w:type="dxa"/>
                  <w:tcBorders>
                    <w:tl2br w:val="nil"/>
                    <w:tr2bl w:val="nil"/>
                  </w:tcBorders>
                  <w:noWrap/>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广东省地方标准《固定污染源挥发性有机物综合排放标准》（DB44/2367-2022）中的表3厂区内无组织排放限值《印刷工业大气污染物排放标准》（GB41616-2022）表 A.1 厂区内VOCs无组织排放限值两者较严</w:t>
                  </w:r>
                </w:p>
              </w:tc>
            </w:tr>
          </w:tbl>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5、</w:t>
            </w:r>
            <w:r>
              <w:rPr>
                <w:rFonts w:hint="eastAsia" w:ascii="宋体" w:hAnsi="宋体" w:cs="宋体"/>
                <w:b/>
                <w:color w:val="auto"/>
                <w:szCs w:val="21"/>
              </w:rPr>
              <w:t>非正常工况</w:t>
            </w:r>
          </w:p>
          <w:p>
            <w:pPr>
              <w:adjustRightInd w:val="0"/>
              <w:snapToGrid w:val="0"/>
              <w:ind w:firstLine="480" w:firstLineChars="200"/>
              <w:rPr>
                <w:rFonts w:ascii="宋体" w:hAnsi="宋体" w:cs="宋体"/>
                <w:b/>
                <w:color w:val="auto"/>
                <w:szCs w:val="21"/>
              </w:rPr>
            </w:pPr>
            <w:r>
              <w:rPr>
                <w:bCs/>
                <w:color w:val="auto"/>
                <w:szCs w:val="21"/>
              </w:rPr>
              <w:t>非正常排放是指生产过程中开停车（工、炉）、设备检修、工艺设备运转异常等非正常工况下的污染物排放，以及污染物排放控制措施达不到应有效率等情况下的排放。项目废气非正常工况排放主要为</w:t>
            </w:r>
            <w:r>
              <w:rPr>
                <w:rFonts w:hint="eastAsia"/>
                <w:bCs/>
                <w:color w:val="auto"/>
                <w:szCs w:val="21"/>
              </w:rPr>
              <w:t>废气处理装置故障</w:t>
            </w:r>
            <w:r>
              <w:rPr>
                <w:bCs/>
                <w:color w:val="auto"/>
                <w:szCs w:val="21"/>
              </w:rPr>
              <w:t>时，废气治理效率下降</w:t>
            </w:r>
            <w:r>
              <w:rPr>
                <w:rFonts w:hint="eastAsia"/>
                <w:bCs/>
                <w:color w:val="auto"/>
                <w:szCs w:val="21"/>
                <w:lang w:val="en-US" w:eastAsia="zh-CN"/>
              </w:rPr>
              <w:t>为设计处理效率的50</w:t>
            </w:r>
            <w:r>
              <w:rPr>
                <w:rFonts w:hint="eastAsia"/>
                <w:bCs/>
                <w:color w:val="auto"/>
                <w:szCs w:val="21"/>
              </w:rPr>
              <w:t>%</w:t>
            </w:r>
            <w:r>
              <w:rPr>
                <w:bCs/>
                <w:color w:val="auto"/>
                <w:szCs w:val="21"/>
              </w:rPr>
              <w:t>，但废气收集系统可以正常运行，废气通过排气筒排放等情况，废气处理设施出现故障不能正常运行时，应立即停产进行维修，避免对周围环境造成污染。废气非正常工况源强情况见下表。</w:t>
            </w:r>
          </w:p>
          <w:p>
            <w:pPr>
              <w:pStyle w:val="44"/>
              <w:numPr>
                <w:ilvl w:val="0"/>
                <w:numId w:val="9"/>
              </w:numPr>
              <w:tabs>
                <w:tab w:val="clear" w:pos="0"/>
              </w:tabs>
              <w:bidi w:val="0"/>
              <w:ind w:left="0" w:leftChars="0" w:firstLine="403" w:firstLineChars="0"/>
              <w:rPr>
                <w:color w:val="auto"/>
              </w:rPr>
            </w:pPr>
            <w:r>
              <w:rPr>
                <w:rFonts w:hint="eastAsia"/>
                <w:color w:val="auto"/>
              </w:rPr>
              <w:t>废气非正常工况排放量核算表</w:t>
            </w:r>
          </w:p>
          <w:tbl>
            <w:tblPr>
              <w:tblStyle w:val="30"/>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9"/>
              <w:gridCol w:w="948"/>
              <w:gridCol w:w="1068"/>
              <w:gridCol w:w="1219"/>
              <w:gridCol w:w="1068"/>
              <w:gridCol w:w="874"/>
              <w:gridCol w:w="812"/>
              <w:gridCol w:w="889"/>
              <w:gridCol w:w="1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713"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污染源</w:t>
                  </w:r>
                </w:p>
              </w:tc>
              <w:tc>
                <w:tcPr>
                  <w:tcW w:w="518"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非正常排放原因</w:t>
                  </w:r>
                </w:p>
              </w:tc>
              <w:tc>
                <w:tcPr>
                  <w:tcW w:w="583"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污染物</w:t>
                  </w:r>
                </w:p>
              </w:tc>
              <w:tc>
                <w:tcPr>
                  <w:tcW w:w="607"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非正常排放浓度/</w:t>
                  </w:r>
                  <w:r>
                    <w:rPr>
                      <w:b/>
                      <w:color w:val="auto"/>
                      <w:sz w:val="21"/>
                      <w:szCs w:val="21"/>
                    </w:rPr>
                    <w:t>（mg/m</w:t>
                  </w:r>
                  <w:r>
                    <w:rPr>
                      <w:b/>
                      <w:color w:val="auto"/>
                      <w:sz w:val="21"/>
                      <w:szCs w:val="21"/>
                      <w:vertAlign w:val="superscript"/>
                    </w:rPr>
                    <w:t>3</w:t>
                  </w:r>
                  <w:r>
                    <w:rPr>
                      <w:b/>
                      <w:color w:val="auto"/>
                      <w:sz w:val="21"/>
                      <w:szCs w:val="21"/>
                    </w:rPr>
                    <w:t>）</w:t>
                  </w:r>
                </w:p>
              </w:tc>
              <w:tc>
                <w:tcPr>
                  <w:tcW w:w="583" w:type="pct"/>
                  <w:vAlign w:val="center"/>
                </w:tcPr>
                <w:p>
                  <w:pPr>
                    <w:adjustRightInd w:val="0"/>
                    <w:snapToGrid w:val="0"/>
                    <w:spacing w:line="240" w:lineRule="auto"/>
                    <w:jc w:val="center"/>
                    <w:rPr>
                      <w:b/>
                      <w:color w:val="auto"/>
                      <w:sz w:val="21"/>
                      <w:szCs w:val="21"/>
                    </w:rPr>
                  </w:pPr>
                  <w:r>
                    <w:rPr>
                      <w:b/>
                      <w:color w:val="auto"/>
                      <w:sz w:val="21"/>
                      <w:szCs w:val="21"/>
                    </w:rPr>
                    <w:t xml:space="preserve">非正常排放速率/（kg/h） </w:t>
                  </w:r>
                </w:p>
              </w:tc>
              <w:tc>
                <w:tcPr>
                  <w:tcW w:w="478" w:type="pct"/>
                  <w:vAlign w:val="center"/>
                </w:tcPr>
                <w:p>
                  <w:pPr>
                    <w:adjustRightInd w:val="0"/>
                    <w:snapToGrid w:val="0"/>
                    <w:spacing w:line="240" w:lineRule="auto"/>
                    <w:jc w:val="center"/>
                    <w:rPr>
                      <w:b/>
                      <w:color w:val="auto"/>
                      <w:sz w:val="21"/>
                      <w:szCs w:val="21"/>
                    </w:rPr>
                  </w:pPr>
                  <w:r>
                    <w:rPr>
                      <w:b/>
                      <w:color w:val="auto"/>
                      <w:sz w:val="21"/>
                      <w:szCs w:val="21"/>
                    </w:rPr>
                    <w:t>单次持续时间/h</w:t>
                  </w:r>
                </w:p>
              </w:tc>
              <w:tc>
                <w:tcPr>
                  <w:tcW w:w="445" w:type="pct"/>
                  <w:vAlign w:val="center"/>
                </w:tcPr>
                <w:p>
                  <w:pPr>
                    <w:adjustRightInd w:val="0"/>
                    <w:snapToGrid w:val="0"/>
                    <w:spacing w:line="240" w:lineRule="auto"/>
                    <w:jc w:val="center"/>
                    <w:rPr>
                      <w:rFonts w:ascii="宋体" w:hAnsi="宋体" w:cs="宋体"/>
                      <w:b/>
                      <w:color w:val="auto"/>
                      <w:sz w:val="21"/>
                      <w:szCs w:val="21"/>
                    </w:rPr>
                  </w:pPr>
                  <w:r>
                    <w:rPr>
                      <w:b/>
                      <w:color w:val="auto"/>
                      <w:sz w:val="21"/>
                      <w:szCs w:val="21"/>
                    </w:rPr>
                    <w:t>年发生频次/年</w:t>
                  </w:r>
                </w:p>
              </w:tc>
              <w:tc>
                <w:tcPr>
                  <w:tcW w:w="486" w:type="pct"/>
                  <w:vAlign w:val="center"/>
                </w:tcPr>
                <w:p>
                  <w:pPr>
                    <w:adjustRightInd w:val="0"/>
                    <w:snapToGrid w:val="0"/>
                    <w:spacing w:line="240" w:lineRule="auto"/>
                    <w:jc w:val="center"/>
                    <w:rPr>
                      <w:rFonts w:hint="default" w:eastAsia="宋体"/>
                      <w:b/>
                      <w:color w:val="auto"/>
                      <w:sz w:val="21"/>
                      <w:szCs w:val="21"/>
                      <w:lang w:val="en-US" w:eastAsia="zh-CN"/>
                    </w:rPr>
                  </w:pPr>
                  <w:r>
                    <w:rPr>
                      <w:rFonts w:hint="eastAsia"/>
                      <w:b/>
                      <w:color w:val="auto"/>
                      <w:sz w:val="21"/>
                      <w:szCs w:val="21"/>
                      <w:lang w:val="en-US" w:eastAsia="zh-CN"/>
                    </w:rPr>
                    <w:t>非正常</w:t>
                  </w:r>
                  <w:r>
                    <w:rPr>
                      <w:rFonts w:hint="eastAsia"/>
                      <w:b/>
                      <w:color w:val="auto"/>
                      <w:sz w:val="21"/>
                      <w:szCs w:val="21"/>
                    </w:rPr>
                    <w:t>排放量k</w:t>
                  </w:r>
                  <w:r>
                    <w:rPr>
                      <w:rFonts w:hint="eastAsia"/>
                      <w:b/>
                      <w:color w:val="auto"/>
                      <w:sz w:val="21"/>
                      <w:szCs w:val="21"/>
                      <w:lang w:val="en-US" w:eastAsia="zh-CN"/>
                    </w:rPr>
                    <w:t>g</w:t>
                  </w:r>
                  <w:r>
                    <w:rPr>
                      <w:rFonts w:hint="eastAsia"/>
                      <w:b/>
                      <w:bCs/>
                      <w:color w:val="auto"/>
                      <w:sz w:val="21"/>
                      <w:szCs w:val="21"/>
                      <w:lang w:val="en-US" w:eastAsia="zh-CN"/>
                    </w:rPr>
                    <w:t>/a</w:t>
                  </w:r>
                </w:p>
              </w:tc>
              <w:tc>
                <w:tcPr>
                  <w:tcW w:w="583"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13" w:type="pct"/>
                  <w:vAlign w:val="center"/>
                </w:tcPr>
                <w:p>
                  <w:pPr>
                    <w:adjustRightInd w:val="0"/>
                    <w:snapToGrid w:val="0"/>
                    <w:spacing w:line="240" w:lineRule="auto"/>
                    <w:jc w:val="center"/>
                    <w:rPr>
                      <w:rFonts w:hint="eastAsia"/>
                      <w:color w:val="auto"/>
                      <w:sz w:val="21"/>
                      <w:szCs w:val="21"/>
                    </w:rPr>
                  </w:pPr>
                  <w:r>
                    <w:rPr>
                      <w:rFonts w:hint="default" w:ascii="Times New Roman" w:hAnsi="Times New Roman" w:eastAsia="宋体" w:cs="Times New Roman"/>
                      <w:color w:val="auto"/>
                      <w:sz w:val="21"/>
                      <w:szCs w:val="21"/>
                      <w:highlight w:val="none"/>
                      <w:lang w:val="en-US" w:eastAsia="zh-CN"/>
                    </w:rPr>
                    <w:t>DA001</w:t>
                  </w:r>
                  <w:r>
                    <w:rPr>
                      <w:rFonts w:hint="eastAsia" w:ascii="Times New Roman" w:hAnsi="Times New Roman" w:eastAsia="宋体" w:cs="Times New Roman"/>
                      <w:color w:val="auto"/>
                      <w:sz w:val="21"/>
                      <w:szCs w:val="21"/>
                      <w:highlight w:val="none"/>
                      <w:lang w:val="en-US" w:eastAsia="zh-CN"/>
                    </w:rPr>
                    <w:t>注塑及焊接废气</w:t>
                  </w:r>
                  <w:r>
                    <w:rPr>
                      <w:rFonts w:hint="eastAsia" w:cs="Times New Roman"/>
                      <w:color w:val="auto"/>
                      <w:sz w:val="21"/>
                      <w:szCs w:val="21"/>
                      <w:highlight w:val="none"/>
                      <w:lang w:eastAsia="zh-CN"/>
                    </w:rPr>
                    <w:t>排放口</w:t>
                  </w:r>
                </w:p>
              </w:tc>
              <w:tc>
                <w:tcPr>
                  <w:tcW w:w="518" w:type="pct"/>
                  <w:vMerge w:val="restart"/>
                  <w:vAlign w:val="center"/>
                </w:tcPr>
                <w:p>
                  <w:pPr>
                    <w:adjustRightInd w:val="0"/>
                    <w:snapToGrid w:val="0"/>
                    <w:spacing w:line="240" w:lineRule="auto"/>
                    <w:jc w:val="center"/>
                    <w:rPr>
                      <w:rFonts w:ascii="宋体" w:hAnsi="宋体" w:cs="宋体"/>
                      <w:bCs/>
                      <w:color w:val="auto"/>
                      <w:sz w:val="21"/>
                      <w:szCs w:val="21"/>
                    </w:rPr>
                  </w:pPr>
                  <w:r>
                    <w:rPr>
                      <w:bCs/>
                      <w:color w:val="auto"/>
                      <w:sz w:val="21"/>
                      <w:szCs w:val="21"/>
                    </w:rPr>
                    <w:t>废气处理设施故障，废气处理效率为</w:t>
                  </w:r>
                  <w:r>
                    <w:rPr>
                      <w:rFonts w:hint="eastAsia"/>
                      <w:bCs/>
                      <w:color w:val="auto"/>
                      <w:sz w:val="21"/>
                      <w:szCs w:val="21"/>
                      <w:lang w:val="en-US" w:eastAsia="zh-CN"/>
                    </w:rPr>
                    <w:t>设计处理效率的50</w:t>
                  </w:r>
                  <w:r>
                    <w:rPr>
                      <w:rFonts w:hint="eastAsia"/>
                      <w:bCs/>
                      <w:color w:val="auto"/>
                      <w:sz w:val="21"/>
                      <w:szCs w:val="21"/>
                    </w:rPr>
                    <w:t>%</w:t>
                  </w:r>
                </w:p>
              </w:tc>
              <w:tc>
                <w:tcPr>
                  <w:tcW w:w="583" w:type="pct"/>
                  <w:vAlign w:val="center"/>
                </w:tcPr>
                <w:p>
                  <w:pPr>
                    <w:adjustRightInd w:val="0"/>
                    <w:snapToGrid w:val="0"/>
                    <w:spacing w:line="240" w:lineRule="auto"/>
                    <w:jc w:val="center"/>
                    <w:rPr>
                      <w:rFonts w:hint="default"/>
                      <w:bCs/>
                      <w:color w:val="auto"/>
                      <w:sz w:val="21"/>
                      <w:szCs w:val="21"/>
                      <w:lang w:val="en-US"/>
                    </w:rPr>
                  </w:pPr>
                  <w:r>
                    <w:rPr>
                      <w:rFonts w:hint="eastAsia"/>
                      <w:bCs/>
                      <w:color w:val="auto"/>
                      <w:sz w:val="21"/>
                      <w:szCs w:val="21"/>
                      <w:lang w:val="en-US" w:eastAsia="zh-CN"/>
                    </w:rPr>
                    <w:t>非甲烷总烃</w:t>
                  </w:r>
                </w:p>
              </w:tc>
              <w:tc>
                <w:tcPr>
                  <w:tcW w:w="607"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0.384</w:t>
                  </w:r>
                </w:p>
              </w:tc>
              <w:tc>
                <w:tcPr>
                  <w:tcW w:w="583"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0.0154</w:t>
                  </w:r>
                </w:p>
              </w:tc>
              <w:tc>
                <w:tcPr>
                  <w:tcW w:w="478" w:type="pct"/>
                  <w:vAlign w:val="center"/>
                </w:tcPr>
                <w:p>
                  <w:pPr>
                    <w:adjustRightInd w:val="0"/>
                    <w:snapToGrid w:val="0"/>
                    <w:spacing w:line="240" w:lineRule="auto"/>
                    <w:jc w:val="center"/>
                    <w:rPr>
                      <w:rFonts w:hint="default"/>
                      <w:bCs/>
                      <w:color w:val="auto"/>
                      <w:sz w:val="21"/>
                      <w:szCs w:val="21"/>
                      <w:lang w:val="en-US" w:eastAsia="zh-CN"/>
                    </w:rPr>
                  </w:pPr>
                  <w:r>
                    <w:rPr>
                      <w:rFonts w:hint="eastAsia"/>
                      <w:bCs/>
                      <w:color w:val="auto"/>
                      <w:sz w:val="21"/>
                      <w:szCs w:val="21"/>
                      <w:lang w:val="en-US" w:eastAsia="zh-CN"/>
                    </w:rPr>
                    <w:t>1</w:t>
                  </w:r>
                </w:p>
              </w:tc>
              <w:tc>
                <w:tcPr>
                  <w:tcW w:w="445" w:type="pct"/>
                  <w:vAlign w:val="center"/>
                </w:tcPr>
                <w:p>
                  <w:pPr>
                    <w:adjustRightInd w:val="0"/>
                    <w:snapToGrid w:val="0"/>
                    <w:spacing w:line="240" w:lineRule="auto"/>
                    <w:jc w:val="center"/>
                    <w:rPr>
                      <w:rFonts w:hint="default" w:eastAsia="宋体"/>
                      <w:color w:val="auto"/>
                      <w:lang w:val="en-US" w:eastAsia="zh-CN"/>
                    </w:rPr>
                  </w:pPr>
                  <w:r>
                    <w:rPr>
                      <w:rFonts w:hint="eastAsia"/>
                      <w:color w:val="auto"/>
                      <w:lang w:val="en-US" w:eastAsia="zh-CN"/>
                    </w:rPr>
                    <w:t>2</w:t>
                  </w:r>
                </w:p>
              </w:tc>
              <w:tc>
                <w:tcPr>
                  <w:tcW w:w="48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0.0308</w:t>
                  </w:r>
                </w:p>
              </w:tc>
              <w:tc>
                <w:tcPr>
                  <w:tcW w:w="583" w:type="pct"/>
                  <w:vMerge w:val="restart"/>
                  <w:vAlign w:val="center"/>
                </w:tcPr>
                <w:p>
                  <w:pPr>
                    <w:adjustRightInd w:val="0"/>
                    <w:snapToGrid w:val="0"/>
                    <w:spacing w:line="240" w:lineRule="auto"/>
                    <w:jc w:val="center"/>
                    <w:rPr>
                      <w:rFonts w:ascii="宋体" w:hAnsi="宋体" w:cs="宋体"/>
                      <w:bCs/>
                      <w:color w:val="FF0000"/>
                      <w:sz w:val="21"/>
                      <w:szCs w:val="21"/>
                    </w:rPr>
                  </w:pPr>
                  <w:r>
                    <w:rPr>
                      <w:rFonts w:hint="eastAsia" w:ascii="宋体" w:hAnsi="宋体" w:cs="宋体"/>
                      <w:bCs/>
                      <w:color w:val="FF0000"/>
                      <w:sz w:val="21"/>
                      <w:szCs w:val="21"/>
                    </w:rPr>
                    <w:t>立即停止生产，关闭排放阀，</w:t>
                  </w:r>
                  <w:r>
                    <w:rPr>
                      <w:rFonts w:hint="eastAsia" w:ascii="宋体" w:hAnsi="宋体" w:cs="宋体"/>
                      <w:bCs/>
                      <w:color w:val="FF0000"/>
                      <w:sz w:val="21"/>
                      <w:szCs w:val="21"/>
                      <w:lang w:val="en-US" w:eastAsia="zh-CN"/>
                    </w:rPr>
                    <w:t>几时维修</w:t>
                  </w:r>
                  <w:r>
                    <w:rPr>
                      <w:rFonts w:hint="eastAsia" w:ascii="宋体" w:hAnsi="宋体" w:cs="宋体"/>
                      <w:bCs/>
                      <w:color w:val="FF0000"/>
                      <w:sz w:val="21"/>
                      <w:szCs w:val="21"/>
                    </w:rPr>
                    <w:t>，及时疏散人群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13" w:type="pct"/>
                  <w:vAlign w:val="center"/>
                </w:tcPr>
                <w:p>
                  <w:pPr>
                    <w:adjustRightInd w:val="0"/>
                    <w:snapToGrid w:val="0"/>
                    <w:spacing w:line="240" w:lineRule="auto"/>
                    <w:jc w:val="center"/>
                    <w:rPr>
                      <w:rFonts w:hint="eastAsia"/>
                      <w:color w:val="auto"/>
                      <w:sz w:val="21"/>
                      <w:szCs w:val="21"/>
                      <w:highlight w:val="green"/>
                      <w:lang w:val="en-US" w:eastAsia="zh-CN"/>
                    </w:rPr>
                  </w:pPr>
                  <w:r>
                    <w:rPr>
                      <w:rFonts w:hint="default" w:ascii="Times New Roman" w:hAnsi="Times New Roman" w:eastAsia="宋体" w:cs="Times New Roman"/>
                      <w:color w:val="auto"/>
                      <w:sz w:val="21"/>
                      <w:szCs w:val="21"/>
                      <w:highlight w:val="green"/>
                      <w:lang w:val="en-US" w:eastAsia="zh-CN"/>
                    </w:rPr>
                    <w:t>DA002</w:t>
                  </w:r>
                  <w:r>
                    <w:rPr>
                      <w:rFonts w:hint="eastAsia" w:ascii="Times New Roman" w:hAnsi="Times New Roman" w:eastAsia="宋体" w:cs="Times New Roman"/>
                      <w:color w:val="auto"/>
                      <w:sz w:val="21"/>
                      <w:szCs w:val="21"/>
                      <w:highlight w:val="green"/>
                      <w:lang w:val="en-US" w:eastAsia="zh-CN"/>
                    </w:rPr>
                    <w:t>混料及破碎废气</w:t>
                  </w:r>
                  <w:r>
                    <w:rPr>
                      <w:rFonts w:hint="eastAsia" w:cs="Times New Roman"/>
                      <w:color w:val="auto"/>
                      <w:sz w:val="21"/>
                      <w:szCs w:val="21"/>
                      <w:highlight w:val="green"/>
                      <w:lang w:eastAsia="zh-CN"/>
                    </w:rPr>
                    <w:t>排放口</w:t>
                  </w:r>
                </w:p>
              </w:tc>
              <w:tc>
                <w:tcPr>
                  <w:tcW w:w="518" w:type="pct"/>
                  <w:vMerge w:val="continue"/>
                  <w:vAlign w:val="center"/>
                </w:tcPr>
                <w:p>
                  <w:pPr>
                    <w:adjustRightInd w:val="0"/>
                    <w:snapToGrid w:val="0"/>
                    <w:spacing w:line="240" w:lineRule="auto"/>
                    <w:jc w:val="center"/>
                    <w:rPr>
                      <w:bCs/>
                      <w:color w:val="auto"/>
                      <w:sz w:val="21"/>
                      <w:szCs w:val="21"/>
                      <w:highlight w:val="green"/>
                    </w:rPr>
                  </w:pPr>
                </w:p>
              </w:tc>
              <w:tc>
                <w:tcPr>
                  <w:tcW w:w="583" w:type="pct"/>
                  <w:vAlign w:val="center"/>
                </w:tcPr>
                <w:p>
                  <w:pPr>
                    <w:adjustRightInd w:val="0"/>
                    <w:snapToGrid w:val="0"/>
                    <w:spacing w:line="240" w:lineRule="auto"/>
                    <w:jc w:val="center"/>
                    <w:rPr>
                      <w:rFonts w:hint="eastAsia"/>
                      <w:bCs/>
                      <w:color w:val="auto"/>
                      <w:sz w:val="21"/>
                      <w:szCs w:val="21"/>
                      <w:highlight w:val="green"/>
                      <w:lang w:val="en-US" w:eastAsia="zh-CN"/>
                    </w:rPr>
                  </w:pPr>
                  <w:r>
                    <w:rPr>
                      <w:rFonts w:hint="eastAsia"/>
                      <w:bCs/>
                      <w:color w:val="auto"/>
                      <w:sz w:val="21"/>
                      <w:szCs w:val="21"/>
                      <w:highlight w:val="green"/>
                      <w:lang w:val="en-US" w:eastAsia="zh-CN"/>
                    </w:rPr>
                    <w:t>颗粒物</w:t>
                  </w:r>
                </w:p>
              </w:tc>
              <w:tc>
                <w:tcPr>
                  <w:tcW w:w="607"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highlight w:val="green"/>
                      <w:u w:val="none"/>
                      <w:lang w:val="en-US" w:eastAsia="zh-CN" w:bidi="ar"/>
                    </w:rPr>
                  </w:pPr>
                  <w:r>
                    <w:rPr>
                      <w:rFonts w:hint="eastAsia" w:cs="Times New Roman"/>
                      <w:i w:val="0"/>
                      <w:iCs w:val="0"/>
                      <w:color w:val="FF0000"/>
                      <w:kern w:val="0"/>
                      <w:sz w:val="21"/>
                      <w:szCs w:val="21"/>
                      <w:highlight w:val="green"/>
                      <w:u w:val="none"/>
                      <w:lang w:val="en-US" w:eastAsia="zh-CN" w:bidi="ar"/>
                    </w:rPr>
                    <w:t>13.445</w:t>
                  </w:r>
                </w:p>
              </w:tc>
              <w:tc>
                <w:tcPr>
                  <w:tcW w:w="583"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highlight w:val="green"/>
                      <w:u w:val="none"/>
                      <w:lang w:val="en-US" w:eastAsia="zh-CN" w:bidi="ar"/>
                    </w:rPr>
                  </w:pPr>
                  <w:r>
                    <w:rPr>
                      <w:rFonts w:hint="eastAsia" w:cs="Times New Roman"/>
                      <w:i w:val="0"/>
                      <w:iCs w:val="0"/>
                      <w:color w:val="FF0000"/>
                      <w:kern w:val="0"/>
                      <w:sz w:val="21"/>
                      <w:szCs w:val="21"/>
                      <w:highlight w:val="green"/>
                      <w:u w:val="none"/>
                      <w:lang w:val="en-US" w:eastAsia="zh-CN" w:bidi="ar"/>
                    </w:rPr>
                    <w:t>0.0941</w:t>
                  </w:r>
                </w:p>
              </w:tc>
              <w:tc>
                <w:tcPr>
                  <w:tcW w:w="478" w:type="pct"/>
                  <w:vAlign w:val="center"/>
                </w:tcPr>
                <w:p>
                  <w:pPr>
                    <w:adjustRightInd w:val="0"/>
                    <w:snapToGrid w:val="0"/>
                    <w:spacing w:line="240" w:lineRule="auto"/>
                    <w:jc w:val="center"/>
                    <w:rPr>
                      <w:rFonts w:hint="default"/>
                      <w:bCs/>
                      <w:color w:val="auto"/>
                      <w:sz w:val="21"/>
                      <w:szCs w:val="21"/>
                      <w:highlight w:val="green"/>
                      <w:lang w:val="en-US" w:eastAsia="zh-CN"/>
                    </w:rPr>
                  </w:pPr>
                  <w:r>
                    <w:rPr>
                      <w:rFonts w:hint="eastAsia"/>
                      <w:bCs/>
                      <w:color w:val="auto"/>
                      <w:sz w:val="21"/>
                      <w:szCs w:val="21"/>
                      <w:highlight w:val="green"/>
                      <w:lang w:val="en-US" w:eastAsia="zh-CN"/>
                    </w:rPr>
                    <w:t>1</w:t>
                  </w:r>
                </w:p>
              </w:tc>
              <w:tc>
                <w:tcPr>
                  <w:tcW w:w="445" w:type="pct"/>
                  <w:vAlign w:val="center"/>
                </w:tcPr>
                <w:p>
                  <w:pPr>
                    <w:adjustRightInd w:val="0"/>
                    <w:snapToGrid w:val="0"/>
                    <w:spacing w:line="240" w:lineRule="auto"/>
                    <w:jc w:val="center"/>
                    <w:rPr>
                      <w:rFonts w:hint="default"/>
                      <w:color w:val="auto"/>
                      <w:highlight w:val="green"/>
                      <w:lang w:val="en-US" w:eastAsia="zh-CN"/>
                    </w:rPr>
                  </w:pPr>
                  <w:r>
                    <w:rPr>
                      <w:rFonts w:hint="eastAsia"/>
                      <w:color w:val="auto"/>
                      <w:highlight w:val="green"/>
                      <w:lang w:val="en-US" w:eastAsia="zh-CN"/>
                    </w:rPr>
                    <w:t>2</w:t>
                  </w:r>
                </w:p>
              </w:tc>
              <w:tc>
                <w:tcPr>
                  <w:tcW w:w="48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green"/>
                      <w:u w:val="none"/>
                      <w:lang w:val="en-US" w:eastAsia="zh-CN" w:bidi="ar"/>
                    </w:rPr>
                  </w:pPr>
                  <w:r>
                    <w:rPr>
                      <w:rFonts w:hint="eastAsia" w:cs="Times New Roman"/>
                      <w:i w:val="0"/>
                      <w:iCs w:val="0"/>
                      <w:color w:val="FF0000"/>
                      <w:kern w:val="0"/>
                      <w:sz w:val="21"/>
                      <w:szCs w:val="21"/>
                      <w:highlight w:val="green"/>
                      <w:u w:val="none"/>
                      <w:lang w:val="en-US" w:eastAsia="zh-CN" w:bidi="ar"/>
                    </w:rPr>
                    <w:t>0.1882</w:t>
                  </w:r>
                </w:p>
              </w:tc>
              <w:tc>
                <w:tcPr>
                  <w:tcW w:w="583" w:type="pct"/>
                  <w:vMerge w:val="continue"/>
                  <w:vAlign w:val="center"/>
                </w:tcPr>
                <w:p>
                  <w:pPr>
                    <w:adjustRightInd w:val="0"/>
                    <w:snapToGrid w:val="0"/>
                    <w:spacing w:line="240" w:lineRule="auto"/>
                    <w:jc w:val="center"/>
                    <w:rPr>
                      <w:rFonts w:hint="eastAsia" w:ascii="宋体" w:hAnsi="宋体" w:cs="宋体"/>
                      <w:bCs/>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713" w:type="pct"/>
                  <w:vMerge w:val="restart"/>
                  <w:vAlign w:val="center"/>
                </w:tcPr>
                <w:p>
                  <w:pPr>
                    <w:adjustRightInd w:val="0"/>
                    <w:snapToGrid w:val="0"/>
                    <w:spacing w:line="240" w:lineRule="auto"/>
                    <w:jc w:val="center"/>
                    <w:rPr>
                      <w:rFonts w:hint="eastAsia" w:eastAsia="宋体"/>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3喷漆及丝印废气排放口</w:t>
                  </w:r>
                </w:p>
              </w:tc>
              <w:tc>
                <w:tcPr>
                  <w:tcW w:w="518" w:type="pct"/>
                  <w:vMerge w:val="continue"/>
                  <w:vAlign w:val="center"/>
                </w:tcPr>
                <w:p>
                  <w:pPr>
                    <w:adjustRightInd w:val="0"/>
                    <w:snapToGrid w:val="0"/>
                    <w:spacing w:line="240" w:lineRule="auto"/>
                    <w:jc w:val="center"/>
                    <w:rPr>
                      <w:rFonts w:ascii="宋体" w:hAnsi="宋体" w:cs="宋体"/>
                      <w:bCs/>
                      <w:color w:val="auto"/>
                      <w:sz w:val="21"/>
                      <w:szCs w:val="21"/>
                    </w:rPr>
                  </w:pPr>
                </w:p>
              </w:tc>
              <w:tc>
                <w:tcPr>
                  <w:tcW w:w="583" w:type="pct"/>
                  <w:vAlign w:val="center"/>
                </w:tcPr>
                <w:p>
                  <w:pPr>
                    <w:adjustRightInd w:val="0"/>
                    <w:snapToGrid w:val="0"/>
                    <w:spacing w:line="240" w:lineRule="auto"/>
                    <w:jc w:val="center"/>
                    <w:rPr>
                      <w:rFonts w:hint="default" w:eastAsia="宋体"/>
                      <w:bCs/>
                      <w:color w:val="auto"/>
                      <w:sz w:val="21"/>
                      <w:szCs w:val="21"/>
                      <w:lang w:val="en-US" w:eastAsia="zh-CN"/>
                    </w:rPr>
                  </w:pPr>
                  <w:r>
                    <w:rPr>
                      <w:rFonts w:hint="eastAsia"/>
                      <w:bCs/>
                      <w:color w:val="auto"/>
                      <w:sz w:val="21"/>
                      <w:szCs w:val="21"/>
                      <w:lang w:val="en-US" w:eastAsia="zh-CN"/>
                    </w:rPr>
                    <w:t>颗粒物</w:t>
                  </w:r>
                </w:p>
              </w:tc>
              <w:tc>
                <w:tcPr>
                  <w:tcW w:w="607"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3.5123</w:t>
                  </w:r>
                </w:p>
              </w:tc>
              <w:tc>
                <w:tcPr>
                  <w:tcW w:w="583"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0.0702</w:t>
                  </w:r>
                </w:p>
              </w:tc>
              <w:tc>
                <w:tcPr>
                  <w:tcW w:w="478"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1</w:t>
                  </w:r>
                </w:p>
              </w:tc>
              <w:tc>
                <w:tcPr>
                  <w:tcW w:w="445" w:type="pct"/>
                  <w:vAlign w:val="center"/>
                </w:tcPr>
                <w:p>
                  <w:pPr>
                    <w:adjustRightInd w:val="0"/>
                    <w:snapToGrid w:val="0"/>
                    <w:spacing w:line="240" w:lineRule="auto"/>
                    <w:jc w:val="center"/>
                    <w:rPr>
                      <w:rFonts w:hint="eastAsia" w:ascii="Times New Roman" w:hAnsi="Times New Roman" w:eastAsia="宋体" w:cs="Times New Roman"/>
                      <w:color w:val="auto"/>
                      <w:kern w:val="2"/>
                      <w:sz w:val="24"/>
                      <w:szCs w:val="24"/>
                      <w:lang w:val="en-US" w:eastAsia="zh-CN" w:bidi="ar-SA"/>
                    </w:rPr>
                  </w:pPr>
                  <w:r>
                    <w:rPr>
                      <w:rFonts w:hint="eastAsia"/>
                      <w:color w:val="auto"/>
                      <w:lang w:val="en-US" w:eastAsia="zh-CN"/>
                    </w:rPr>
                    <w:t>2</w:t>
                  </w:r>
                </w:p>
              </w:tc>
              <w:tc>
                <w:tcPr>
                  <w:tcW w:w="48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FF0000"/>
                      <w:kern w:val="0"/>
                      <w:sz w:val="21"/>
                      <w:szCs w:val="21"/>
                      <w:u w:val="none"/>
                      <w:lang w:val="en-US" w:eastAsia="zh-CN" w:bidi="ar"/>
                    </w:rPr>
                    <w:t>0.1404</w:t>
                  </w:r>
                </w:p>
              </w:tc>
              <w:tc>
                <w:tcPr>
                  <w:tcW w:w="583" w:type="pct"/>
                  <w:vMerge w:val="continue"/>
                  <w:vAlign w:val="center"/>
                </w:tcPr>
                <w:p>
                  <w:pPr>
                    <w:adjustRightInd w:val="0"/>
                    <w:snapToGrid w:val="0"/>
                    <w:spacing w:line="240" w:lineRule="auto"/>
                    <w:jc w:val="center"/>
                    <w:rPr>
                      <w:rFonts w:ascii="宋体" w:hAnsi="宋体" w:cs="宋体"/>
                      <w:bCs/>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13" w:type="pct"/>
                  <w:vMerge w:val="continue"/>
                  <w:vAlign w:val="center"/>
                </w:tcPr>
                <w:p>
                  <w:pPr>
                    <w:spacing w:line="240" w:lineRule="auto"/>
                    <w:jc w:val="center"/>
                    <w:rPr>
                      <w:rFonts w:hint="default" w:eastAsia="宋体"/>
                      <w:color w:val="auto"/>
                      <w:sz w:val="21"/>
                      <w:szCs w:val="21"/>
                      <w:lang w:val="en-US" w:eastAsia="zh-CN"/>
                    </w:rPr>
                  </w:pPr>
                </w:p>
              </w:tc>
              <w:tc>
                <w:tcPr>
                  <w:tcW w:w="518" w:type="pct"/>
                  <w:vMerge w:val="continue"/>
                  <w:vAlign w:val="center"/>
                </w:tcPr>
                <w:p>
                  <w:pPr>
                    <w:adjustRightInd w:val="0"/>
                    <w:snapToGrid w:val="0"/>
                    <w:spacing w:line="240" w:lineRule="auto"/>
                    <w:jc w:val="center"/>
                    <w:rPr>
                      <w:bCs/>
                      <w:color w:val="auto"/>
                      <w:sz w:val="21"/>
                      <w:szCs w:val="21"/>
                    </w:rPr>
                  </w:pPr>
                </w:p>
              </w:tc>
              <w:tc>
                <w:tcPr>
                  <w:tcW w:w="583" w:type="pct"/>
                  <w:vAlign w:val="center"/>
                </w:tcPr>
                <w:p>
                  <w:pPr>
                    <w:tabs>
                      <w:tab w:val="left" w:pos="205"/>
                    </w:tabs>
                    <w:adjustRightInd w:val="0"/>
                    <w:snapToGrid w:val="0"/>
                    <w:spacing w:line="240" w:lineRule="auto"/>
                    <w:jc w:val="center"/>
                    <w:rPr>
                      <w:rFonts w:hint="default" w:eastAsia="宋体"/>
                      <w:bCs/>
                      <w:color w:val="auto"/>
                      <w:sz w:val="21"/>
                      <w:szCs w:val="21"/>
                      <w:lang w:val="en-US" w:eastAsia="zh-CN"/>
                    </w:rPr>
                  </w:pPr>
                  <w:r>
                    <w:rPr>
                      <w:rFonts w:hint="eastAsia"/>
                      <w:bCs/>
                      <w:color w:val="BF9000" w:themeColor="accent4" w:themeShade="BF"/>
                      <w:sz w:val="21"/>
                      <w:szCs w:val="21"/>
                      <w:lang w:val="en-US" w:eastAsia="zh-CN"/>
                    </w:rPr>
                    <w:t>非甲烷总烃</w:t>
                  </w:r>
                </w:p>
              </w:tc>
              <w:tc>
                <w:tcPr>
                  <w:tcW w:w="607"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0.0704</w:t>
                  </w:r>
                </w:p>
              </w:tc>
              <w:tc>
                <w:tcPr>
                  <w:tcW w:w="583"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0.0014</w:t>
                  </w:r>
                </w:p>
              </w:tc>
              <w:tc>
                <w:tcPr>
                  <w:tcW w:w="478" w:type="pct"/>
                  <w:vAlign w:val="center"/>
                </w:tcPr>
                <w:p>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1</w:t>
                  </w:r>
                </w:p>
              </w:tc>
              <w:tc>
                <w:tcPr>
                  <w:tcW w:w="445" w:type="pct"/>
                  <w:vAlign w:val="center"/>
                </w:tcPr>
                <w:p>
                  <w:pPr>
                    <w:adjustRightInd w:val="0"/>
                    <w:snapToGrid w:val="0"/>
                    <w:spacing w:line="240" w:lineRule="auto"/>
                    <w:jc w:val="center"/>
                    <w:rPr>
                      <w:rFonts w:hint="default" w:ascii="Times New Roman" w:hAnsi="Times New Roman" w:eastAsia="宋体" w:cs="Times New Roman"/>
                      <w:color w:val="auto"/>
                      <w:kern w:val="2"/>
                      <w:sz w:val="24"/>
                      <w:szCs w:val="24"/>
                      <w:lang w:val="en-US" w:eastAsia="zh-CN" w:bidi="ar-SA"/>
                    </w:rPr>
                  </w:pPr>
                  <w:r>
                    <w:rPr>
                      <w:rFonts w:hint="eastAsia"/>
                      <w:color w:val="auto"/>
                      <w:lang w:val="en-US" w:eastAsia="zh-CN"/>
                    </w:rPr>
                    <w:t>2</w:t>
                  </w:r>
                </w:p>
              </w:tc>
              <w:tc>
                <w:tcPr>
                  <w:tcW w:w="48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FF0000"/>
                      <w:kern w:val="0"/>
                      <w:sz w:val="21"/>
                      <w:szCs w:val="21"/>
                      <w:u w:val="none"/>
                      <w:lang w:val="en-US" w:eastAsia="zh-CN" w:bidi="ar"/>
                    </w:rPr>
                    <w:t>0.0028</w:t>
                  </w:r>
                </w:p>
              </w:tc>
              <w:tc>
                <w:tcPr>
                  <w:tcW w:w="583" w:type="pct"/>
                  <w:vMerge w:val="continue"/>
                  <w:vAlign w:val="center"/>
                </w:tcPr>
                <w:p>
                  <w:pPr>
                    <w:adjustRightInd w:val="0"/>
                    <w:snapToGrid w:val="0"/>
                    <w:spacing w:line="240" w:lineRule="auto"/>
                    <w:jc w:val="center"/>
                    <w:rPr>
                      <w:rFonts w:ascii="宋体" w:hAnsi="宋体" w:cs="宋体"/>
                      <w:bCs/>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13" w:type="pct"/>
                  <w:vAlign w:val="center"/>
                </w:tcPr>
                <w:p>
                  <w:pPr>
                    <w:spacing w:line="240" w:lineRule="auto"/>
                    <w:jc w:val="center"/>
                    <w:rPr>
                      <w:rFonts w:hint="default" w:eastAsia="宋体"/>
                      <w:color w:val="auto"/>
                      <w:sz w:val="21"/>
                      <w:szCs w:val="21"/>
                      <w:highlight w:val="green"/>
                      <w:lang w:val="en-US" w:eastAsia="zh-CN"/>
                    </w:rPr>
                  </w:pPr>
                  <w:r>
                    <w:rPr>
                      <w:rFonts w:hint="default" w:ascii="Times New Roman" w:hAnsi="Times New Roman" w:eastAsia="宋体" w:cs="Times New Roman"/>
                      <w:color w:val="FF0000"/>
                      <w:sz w:val="21"/>
                      <w:szCs w:val="21"/>
                      <w:highlight w:val="green"/>
                      <w:lang w:val="en-US" w:eastAsia="zh-CN"/>
                    </w:rPr>
                    <w:t>DA00</w:t>
                  </w:r>
                  <w:r>
                    <w:rPr>
                      <w:rFonts w:hint="eastAsia" w:ascii="Times New Roman" w:hAnsi="Times New Roman" w:eastAsia="宋体" w:cs="Times New Roman"/>
                      <w:color w:val="FF0000"/>
                      <w:sz w:val="21"/>
                      <w:szCs w:val="21"/>
                      <w:highlight w:val="green"/>
                      <w:lang w:val="en-US" w:eastAsia="zh-CN"/>
                    </w:rPr>
                    <w:t>4机加工、打磨废气排放口</w:t>
                  </w:r>
                </w:p>
              </w:tc>
              <w:tc>
                <w:tcPr>
                  <w:tcW w:w="518" w:type="pct"/>
                  <w:vMerge w:val="continue"/>
                  <w:vAlign w:val="center"/>
                </w:tcPr>
                <w:p>
                  <w:pPr>
                    <w:adjustRightInd w:val="0"/>
                    <w:snapToGrid w:val="0"/>
                    <w:spacing w:line="240" w:lineRule="auto"/>
                    <w:jc w:val="center"/>
                    <w:rPr>
                      <w:bCs/>
                      <w:color w:val="auto"/>
                      <w:sz w:val="21"/>
                      <w:szCs w:val="21"/>
                      <w:highlight w:val="green"/>
                    </w:rPr>
                  </w:pPr>
                </w:p>
              </w:tc>
              <w:tc>
                <w:tcPr>
                  <w:tcW w:w="583" w:type="pct"/>
                  <w:vAlign w:val="center"/>
                </w:tcPr>
                <w:p>
                  <w:pPr>
                    <w:tabs>
                      <w:tab w:val="left" w:pos="205"/>
                    </w:tabs>
                    <w:adjustRightInd w:val="0"/>
                    <w:snapToGrid w:val="0"/>
                    <w:spacing w:line="240" w:lineRule="auto"/>
                    <w:jc w:val="center"/>
                    <w:rPr>
                      <w:rFonts w:hint="eastAsia"/>
                      <w:bCs/>
                      <w:color w:val="FF0000"/>
                      <w:sz w:val="21"/>
                      <w:szCs w:val="21"/>
                      <w:highlight w:val="green"/>
                      <w:lang w:val="en-US" w:eastAsia="zh-CN"/>
                    </w:rPr>
                  </w:pPr>
                  <w:r>
                    <w:rPr>
                      <w:rFonts w:hint="eastAsia"/>
                      <w:bCs/>
                      <w:color w:val="FF0000"/>
                      <w:sz w:val="21"/>
                      <w:szCs w:val="21"/>
                      <w:highlight w:val="green"/>
                      <w:lang w:val="en-US" w:eastAsia="zh-CN"/>
                    </w:rPr>
                    <w:t>颗粒物</w:t>
                  </w:r>
                </w:p>
              </w:tc>
              <w:tc>
                <w:tcPr>
                  <w:tcW w:w="607" w:type="pct"/>
                  <w:vAlign w:val="center"/>
                </w:tcPr>
                <w:p>
                  <w:pPr>
                    <w:keepNext w:val="0"/>
                    <w:keepLines w:val="0"/>
                    <w:widowControl/>
                    <w:suppressLineNumbers w:val="0"/>
                    <w:spacing w:line="240" w:lineRule="auto"/>
                    <w:jc w:val="center"/>
                    <w:textAlignment w:val="center"/>
                    <w:rPr>
                      <w:rFonts w:hint="default" w:cs="Times New Roman"/>
                      <w:i w:val="0"/>
                      <w:iCs w:val="0"/>
                      <w:color w:val="FF0000"/>
                      <w:kern w:val="0"/>
                      <w:sz w:val="21"/>
                      <w:szCs w:val="21"/>
                      <w:highlight w:val="green"/>
                      <w:u w:val="none"/>
                      <w:lang w:val="en-US" w:eastAsia="zh-CN" w:bidi="ar"/>
                    </w:rPr>
                  </w:pPr>
                  <w:r>
                    <w:rPr>
                      <w:rFonts w:hint="eastAsia" w:cs="Times New Roman"/>
                      <w:i w:val="0"/>
                      <w:iCs w:val="0"/>
                      <w:color w:val="FF0000"/>
                      <w:kern w:val="0"/>
                      <w:sz w:val="21"/>
                      <w:szCs w:val="21"/>
                      <w:highlight w:val="green"/>
                      <w:u w:val="none"/>
                      <w:lang w:val="en-US" w:eastAsia="zh-CN" w:bidi="ar"/>
                    </w:rPr>
                    <w:t>2.7375</w:t>
                  </w:r>
                </w:p>
              </w:tc>
              <w:tc>
                <w:tcPr>
                  <w:tcW w:w="583" w:type="pct"/>
                  <w:vAlign w:val="center"/>
                </w:tcPr>
                <w:p>
                  <w:pPr>
                    <w:keepNext w:val="0"/>
                    <w:keepLines w:val="0"/>
                    <w:widowControl/>
                    <w:suppressLineNumbers w:val="0"/>
                    <w:spacing w:line="240" w:lineRule="auto"/>
                    <w:jc w:val="center"/>
                    <w:textAlignment w:val="center"/>
                    <w:rPr>
                      <w:rFonts w:hint="default" w:cs="Times New Roman"/>
                      <w:i w:val="0"/>
                      <w:iCs w:val="0"/>
                      <w:color w:val="FF0000"/>
                      <w:kern w:val="0"/>
                      <w:sz w:val="21"/>
                      <w:szCs w:val="21"/>
                      <w:highlight w:val="green"/>
                      <w:u w:val="none"/>
                      <w:lang w:val="en-US" w:eastAsia="zh-CN" w:bidi="ar"/>
                    </w:rPr>
                  </w:pPr>
                  <w:r>
                    <w:rPr>
                      <w:rFonts w:hint="eastAsia" w:cs="Times New Roman"/>
                      <w:i w:val="0"/>
                      <w:iCs w:val="0"/>
                      <w:color w:val="FF0000"/>
                      <w:kern w:val="0"/>
                      <w:sz w:val="21"/>
                      <w:szCs w:val="21"/>
                      <w:highlight w:val="green"/>
                      <w:u w:val="none"/>
                      <w:lang w:val="en-US" w:eastAsia="zh-CN" w:bidi="ar"/>
                    </w:rPr>
                    <w:t>0.0192</w:t>
                  </w:r>
                </w:p>
              </w:tc>
              <w:tc>
                <w:tcPr>
                  <w:tcW w:w="478" w:type="pct"/>
                  <w:vAlign w:val="center"/>
                </w:tcPr>
                <w:p>
                  <w:pPr>
                    <w:adjustRightInd w:val="0"/>
                    <w:snapToGrid w:val="0"/>
                    <w:spacing w:line="240" w:lineRule="auto"/>
                    <w:jc w:val="center"/>
                    <w:rPr>
                      <w:rFonts w:hint="eastAsia" w:ascii="Times New Roman" w:hAnsi="Times New Roman" w:eastAsia="宋体" w:cs="Times New Roman"/>
                      <w:bCs/>
                      <w:color w:val="FF0000"/>
                      <w:kern w:val="2"/>
                      <w:sz w:val="21"/>
                      <w:szCs w:val="21"/>
                      <w:highlight w:val="green"/>
                      <w:lang w:val="en-US" w:eastAsia="zh-CN" w:bidi="ar-SA"/>
                    </w:rPr>
                  </w:pPr>
                  <w:r>
                    <w:rPr>
                      <w:rFonts w:hint="eastAsia"/>
                      <w:bCs/>
                      <w:color w:val="FF0000"/>
                      <w:sz w:val="21"/>
                      <w:szCs w:val="21"/>
                      <w:highlight w:val="green"/>
                      <w:lang w:val="en-US" w:eastAsia="zh-CN"/>
                    </w:rPr>
                    <w:t>1</w:t>
                  </w:r>
                </w:p>
              </w:tc>
              <w:tc>
                <w:tcPr>
                  <w:tcW w:w="445" w:type="pct"/>
                  <w:vAlign w:val="center"/>
                </w:tcPr>
                <w:p>
                  <w:pPr>
                    <w:adjustRightInd w:val="0"/>
                    <w:snapToGrid w:val="0"/>
                    <w:spacing w:line="240" w:lineRule="auto"/>
                    <w:jc w:val="center"/>
                    <w:rPr>
                      <w:rFonts w:hint="eastAsia" w:ascii="Times New Roman" w:hAnsi="Times New Roman" w:eastAsia="宋体" w:cs="Times New Roman"/>
                      <w:color w:val="FF0000"/>
                      <w:kern w:val="2"/>
                      <w:sz w:val="24"/>
                      <w:szCs w:val="24"/>
                      <w:highlight w:val="green"/>
                      <w:lang w:val="en-US" w:eastAsia="zh-CN" w:bidi="ar-SA"/>
                    </w:rPr>
                  </w:pPr>
                  <w:r>
                    <w:rPr>
                      <w:rFonts w:hint="eastAsia"/>
                      <w:color w:val="FF0000"/>
                      <w:highlight w:val="green"/>
                      <w:lang w:val="en-US" w:eastAsia="zh-CN"/>
                    </w:rPr>
                    <w:t>2</w:t>
                  </w:r>
                </w:p>
              </w:tc>
              <w:tc>
                <w:tcPr>
                  <w:tcW w:w="486" w:type="pct"/>
                  <w:vAlign w:val="center"/>
                </w:tcPr>
                <w:p>
                  <w:pPr>
                    <w:keepNext w:val="0"/>
                    <w:keepLines w:val="0"/>
                    <w:widowControl/>
                    <w:suppressLineNumbers w:val="0"/>
                    <w:spacing w:line="240" w:lineRule="auto"/>
                    <w:jc w:val="center"/>
                    <w:textAlignment w:val="center"/>
                    <w:rPr>
                      <w:rFonts w:hint="default" w:cs="Times New Roman"/>
                      <w:i w:val="0"/>
                      <w:iCs w:val="0"/>
                      <w:color w:val="FF0000"/>
                      <w:kern w:val="0"/>
                      <w:sz w:val="21"/>
                      <w:szCs w:val="21"/>
                      <w:highlight w:val="green"/>
                      <w:u w:val="none"/>
                      <w:lang w:val="en-US" w:eastAsia="zh-CN" w:bidi="ar"/>
                    </w:rPr>
                  </w:pPr>
                  <w:r>
                    <w:rPr>
                      <w:rFonts w:hint="eastAsia" w:cs="Times New Roman"/>
                      <w:i w:val="0"/>
                      <w:iCs w:val="0"/>
                      <w:color w:val="FF0000"/>
                      <w:kern w:val="0"/>
                      <w:sz w:val="21"/>
                      <w:szCs w:val="21"/>
                      <w:highlight w:val="green"/>
                      <w:u w:val="none"/>
                      <w:lang w:val="en-US" w:eastAsia="zh-CN" w:bidi="ar"/>
                    </w:rPr>
                    <w:t>0.0384</w:t>
                  </w:r>
                </w:p>
              </w:tc>
              <w:tc>
                <w:tcPr>
                  <w:tcW w:w="583" w:type="pct"/>
                  <w:vMerge w:val="continue"/>
                  <w:vAlign w:val="center"/>
                </w:tcPr>
                <w:p>
                  <w:pPr>
                    <w:adjustRightInd w:val="0"/>
                    <w:snapToGrid w:val="0"/>
                    <w:spacing w:line="240" w:lineRule="auto"/>
                    <w:jc w:val="center"/>
                    <w:rPr>
                      <w:rFonts w:ascii="宋体" w:hAnsi="宋体" w:cs="宋体"/>
                      <w:bCs/>
                      <w:color w:val="FF0000"/>
                      <w:sz w:val="21"/>
                      <w:szCs w:val="21"/>
                    </w:rPr>
                  </w:pPr>
                </w:p>
              </w:tc>
            </w:tr>
          </w:tbl>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6、</w:t>
            </w:r>
            <w:r>
              <w:rPr>
                <w:rFonts w:hint="eastAsia" w:ascii="宋体" w:hAnsi="宋体" w:cs="宋体"/>
                <w:b/>
                <w:color w:val="auto"/>
                <w:szCs w:val="21"/>
              </w:rPr>
              <w:t>大气环境影响分析结论</w:t>
            </w:r>
          </w:p>
          <w:p>
            <w:pPr>
              <w:adjustRightInd w:val="0"/>
              <w:snapToGrid w:val="0"/>
              <w:ind w:firstLine="480" w:firstLineChars="200"/>
              <w:rPr>
                <w:rFonts w:hint="eastAsia" w:eastAsia="宋体"/>
                <w:color w:val="auto"/>
                <w:lang w:eastAsia="zh-CN"/>
              </w:rPr>
            </w:pPr>
            <w:r>
              <w:rPr>
                <w:color w:val="auto"/>
              </w:rPr>
              <w:t>1）</w:t>
            </w:r>
            <w:r>
              <w:rPr>
                <w:rFonts w:hint="eastAsia"/>
                <w:color w:val="auto"/>
                <w:lang w:val="en-US" w:eastAsia="zh-CN"/>
              </w:rPr>
              <w:t>机加工、打磨</w:t>
            </w:r>
            <w:r>
              <w:rPr>
                <w:color w:val="auto"/>
              </w:rPr>
              <w:t>工序产生的</w:t>
            </w:r>
            <w:r>
              <w:rPr>
                <w:rFonts w:hint="eastAsia"/>
                <w:color w:val="auto"/>
                <w:lang w:eastAsia="zh-CN"/>
              </w:rPr>
              <w:t>粉尘</w:t>
            </w:r>
          </w:p>
          <w:p>
            <w:pPr>
              <w:adjustRightInd w:val="0"/>
              <w:snapToGrid w:val="0"/>
              <w:ind w:firstLine="480" w:firstLineChars="200"/>
              <w:rPr>
                <w:color w:val="BF9000" w:themeColor="accent4" w:themeShade="BF"/>
                <w:highlight w:val="none"/>
              </w:rPr>
            </w:pPr>
            <w:r>
              <w:rPr>
                <w:rFonts w:hint="eastAsia"/>
                <w:color w:val="BF9000" w:themeColor="accent4" w:themeShade="BF"/>
                <w:highlight w:val="none"/>
                <w:lang w:val="en-US" w:eastAsia="zh-CN"/>
              </w:rPr>
              <w:t>机加工、打磨</w:t>
            </w:r>
            <w:r>
              <w:rPr>
                <w:color w:val="BF9000" w:themeColor="accent4" w:themeShade="BF"/>
                <w:highlight w:val="none"/>
              </w:rPr>
              <w:t>过程中产生的</w:t>
            </w:r>
            <w:r>
              <w:rPr>
                <w:rFonts w:hint="eastAsia"/>
                <w:color w:val="BF9000" w:themeColor="accent4" w:themeShade="BF"/>
                <w:highlight w:val="none"/>
                <w:lang w:eastAsia="zh-CN"/>
              </w:rPr>
              <w:t>粉尘</w:t>
            </w:r>
            <w:r>
              <w:rPr>
                <w:color w:val="BF9000" w:themeColor="accent4" w:themeShade="BF"/>
                <w:highlight w:val="none"/>
              </w:rPr>
              <w:t>以</w:t>
            </w:r>
            <w:r>
              <w:rPr>
                <w:rFonts w:hint="eastAsia"/>
                <w:color w:val="BF9000" w:themeColor="accent4" w:themeShade="BF"/>
                <w:highlight w:val="none"/>
                <w:lang w:eastAsia="zh-CN"/>
              </w:rPr>
              <w:t>颗粒物</w:t>
            </w:r>
            <w:r>
              <w:rPr>
                <w:color w:val="BF9000" w:themeColor="accent4" w:themeShade="BF"/>
                <w:highlight w:val="none"/>
              </w:rPr>
              <w:t>表征，</w:t>
            </w:r>
            <w:r>
              <w:rPr>
                <w:rFonts w:hint="eastAsia"/>
                <w:color w:val="BF9000" w:themeColor="accent4" w:themeShade="BF"/>
                <w:highlight w:val="none"/>
                <w:lang w:val="en-US" w:eastAsia="zh-CN"/>
              </w:rPr>
              <w:t>经集气罩收集后通过一套“布袋除尘器”处理达标后通过1根15m高的排气筒DA004高空排放，</w:t>
            </w:r>
            <w:r>
              <w:rPr>
                <w:color w:val="BF9000" w:themeColor="accent4" w:themeShade="BF"/>
                <w:highlight w:val="none"/>
              </w:rPr>
              <w:t>可达到</w:t>
            </w:r>
            <w:r>
              <w:rPr>
                <w:rFonts w:hint="eastAsia"/>
                <w:color w:val="BF9000" w:themeColor="accent4" w:themeShade="BF"/>
                <w:highlight w:val="none"/>
              </w:rPr>
              <w:t>广东省地方标准《大气污染物排放限值》（DB44/27-2001）第二时段</w:t>
            </w:r>
            <w:r>
              <w:rPr>
                <w:rFonts w:hint="eastAsia"/>
                <w:color w:val="BF9000" w:themeColor="accent4" w:themeShade="BF"/>
                <w:highlight w:val="none"/>
                <w:lang w:val="en-US" w:eastAsia="zh-CN"/>
              </w:rPr>
              <w:t>二级标准及无组织排放监控浓度限值要求</w:t>
            </w:r>
            <w:r>
              <w:rPr>
                <w:color w:val="BF9000" w:themeColor="accent4" w:themeShade="BF"/>
                <w:highlight w:val="none"/>
              </w:rPr>
              <w:t>。</w:t>
            </w:r>
          </w:p>
          <w:p>
            <w:pPr>
              <w:adjustRightInd w:val="0"/>
              <w:snapToGrid w:val="0"/>
              <w:ind w:firstLine="480" w:firstLineChars="200"/>
              <w:rPr>
                <w:rFonts w:hint="eastAsia" w:eastAsia="宋体"/>
                <w:color w:val="auto"/>
                <w:lang w:val="en-US" w:eastAsia="zh-CN"/>
              </w:rPr>
            </w:pPr>
            <w:r>
              <w:rPr>
                <w:rFonts w:hint="eastAsia"/>
                <w:color w:val="auto"/>
                <w:lang w:val="en-US" w:eastAsia="zh-CN"/>
              </w:rPr>
              <w:t>2</w:t>
            </w:r>
            <w:r>
              <w:rPr>
                <w:rFonts w:hint="eastAsia"/>
                <w:color w:val="auto"/>
                <w:lang w:eastAsia="zh-CN"/>
              </w:rPr>
              <w:t>）</w:t>
            </w:r>
            <w:r>
              <w:rPr>
                <w:rFonts w:hint="eastAsia"/>
                <w:color w:val="auto"/>
                <w:lang w:val="en-US" w:eastAsia="zh-CN"/>
              </w:rPr>
              <w:t>电火花、雕刻</w:t>
            </w:r>
            <w:r>
              <w:rPr>
                <w:color w:val="auto"/>
              </w:rPr>
              <w:t>工序产生的</w:t>
            </w:r>
            <w:r>
              <w:rPr>
                <w:rFonts w:hint="eastAsia"/>
                <w:color w:val="auto"/>
                <w:lang w:val="en-US" w:eastAsia="zh-CN"/>
              </w:rPr>
              <w:t>油雾</w:t>
            </w:r>
          </w:p>
          <w:p>
            <w:pPr>
              <w:adjustRightInd w:val="0"/>
              <w:snapToGrid w:val="0"/>
              <w:ind w:firstLine="480" w:firstLineChars="200"/>
              <w:rPr>
                <w:color w:val="BF9000" w:themeColor="accent4" w:themeShade="BF"/>
                <w:highlight w:val="none"/>
              </w:rPr>
            </w:pPr>
            <w:r>
              <w:rPr>
                <w:rFonts w:hint="eastAsia"/>
                <w:color w:val="BF9000" w:themeColor="accent4" w:themeShade="BF"/>
                <w:highlight w:val="none"/>
                <w:lang w:val="en-US" w:eastAsia="zh-CN"/>
              </w:rPr>
              <w:t>电火花、雕刻</w:t>
            </w:r>
            <w:r>
              <w:rPr>
                <w:color w:val="BF9000" w:themeColor="accent4" w:themeShade="BF"/>
                <w:highlight w:val="none"/>
              </w:rPr>
              <w:t>过程中产生的</w:t>
            </w:r>
            <w:r>
              <w:rPr>
                <w:rFonts w:hint="eastAsia"/>
                <w:color w:val="BF9000" w:themeColor="accent4" w:themeShade="BF"/>
                <w:highlight w:val="none"/>
                <w:lang w:val="en-US" w:eastAsia="zh-CN"/>
              </w:rPr>
              <w:t>油雾</w:t>
            </w:r>
            <w:r>
              <w:rPr>
                <w:color w:val="BF9000" w:themeColor="accent4" w:themeShade="BF"/>
                <w:highlight w:val="none"/>
              </w:rPr>
              <w:t>以</w:t>
            </w:r>
            <w:r>
              <w:rPr>
                <w:rFonts w:hint="eastAsia"/>
                <w:color w:val="BF9000" w:themeColor="accent4" w:themeShade="BF"/>
                <w:highlight w:val="none"/>
                <w:lang w:val="en-US" w:eastAsia="zh-CN"/>
              </w:rPr>
              <w:t>非甲烷总烃</w:t>
            </w:r>
            <w:r>
              <w:rPr>
                <w:color w:val="BF9000" w:themeColor="accent4" w:themeShade="BF"/>
                <w:highlight w:val="none"/>
              </w:rPr>
              <w:t>表征，</w:t>
            </w:r>
            <w:r>
              <w:rPr>
                <w:rFonts w:hint="eastAsia"/>
                <w:color w:val="BF9000" w:themeColor="accent4" w:themeShade="BF"/>
                <w:highlight w:val="none"/>
                <w:lang w:val="en-US" w:eastAsia="zh-CN"/>
              </w:rPr>
              <w:t>经油雾净化器处理后无组织排放</w:t>
            </w:r>
            <w:r>
              <w:rPr>
                <w:color w:val="BF9000" w:themeColor="accent4" w:themeShade="BF"/>
                <w:highlight w:val="none"/>
              </w:rPr>
              <w:t>，可达到</w:t>
            </w:r>
            <w:r>
              <w:rPr>
                <w:rFonts w:hint="eastAsia"/>
                <w:color w:val="BF9000" w:themeColor="accent4" w:themeShade="BF"/>
                <w:highlight w:val="none"/>
                <w:lang w:val="en-US" w:eastAsia="zh-CN"/>
              </w:rPr>
              <w:t>广东省地方标准《大气污染物排放限值》（DB44/27-2001）中第二时段无组织排放监控浓度限值要求</w:t>
            </w:r>
            <w:r>
              <w:rPr>
                <w:color w:val="BF9000" w:themeColor="accent4" w:themeShade="BF"/>
                <w:highlight w:val="none"/>
              </w:rPr>
              <w:t>。</w:t>
            </w:r>
          </w:p>
          <w:p>
            <w:pPr>
              <w:adjustRightInd w:val="0"/>
              <w:snapToGrid w:val="0"/>
              <w:ind w:firstLine="480" w:firstLineChars="200"/>
              <w:rPr>
                <w:rFonts w:hint="eastAsia" w:eastAsia="宋体"/>
                <w:color w:val="auto"/>
                <w:lang w:eastAsia="zh-CN"/>
              </w:rPr>
            </w:pPr>
            <w:r>
              <w:rPr>
                <w:rFonts w:hint="eastAsia"/>
                <w:color w:val="auto"/>
                <w:lang w:val="en-US" w:eastAsia="zh-CN"/>
              </w:rPr>
              <w:t>3）混料、破碎</w:t>
            </w:r>
            <w:r>
              <w:rPr>
                <w:color w:val="auto"/>
              </w:rPr>
              <w:t>工序产生的</w:t>
            </w:r>
            <w:r>
              <w:rPr>
                <w:rFonts w:hint="eastAsia"/>
                <w:color w:val="auto"/>
                <w:lang w:eastAsia="zh-CN"/>
              </w:rPr>
              <w:t>粉尘</w:t>
            </w:r>
          </w:p>
          <w:p>
            <w:pPr>
              <w:adjustRightInd w:val="0"/>
              <w:snapToGrid w:val="0"/>
              <w:ind w:firstLine="480" w:firstLineChars="200"/>
              <w:rPr>
                <w:rFonts w:hint="eastAsia" w:eastAsia="宋体"/>
                <w:color w:val="BF9000" w:themeColor="accent4" w:themeShade="BF"/>
                <w:highlight w:val="none"/>
                <w:lang w:eastAsia="zh-CN"/>
              </w:rPr>
            </w:pPr>
            <w:r>
              <w:rPr>
                <w:rFonts w:hint="eastAsia"/>
                <w:color w:val="BF9000" w:themeColor="accent4" w:themeShade="BF"/>
                <w:highlight w:val="none"/>
                <w:lang w:val="en-US" w:eastAsia="zh-CN"/>
              </w:rPr>
              <w:t>混料、破碎</w:t>
            </w:r>
            <w:r>
              <w:rPr>
                <w:color w:val="BF9000" w:themeColor="accent4" w:themeShade="BF"/>
                <w:highlight w:val="none"/>
              </w:rPr>
              <w:t>工序产生的</w:t>
            </w:r>
            <w:r>
              <w:rPr>
                <w:rFonts w:hint="eastAsia"/>
                <w:color w:val="BF9000" w:themeColor="accent4" w:themeShade="BF"/>
                <w:highlight w:val="none"/>
                <w:lang w:eastAsia="zh-CN"/>
              </w:rPr>
              <w:t>粉尘</w:t>
            </w:r>
            <w:r>
              <w:rPr>
                <w:color w:val="BF9000" w:themeColor="accent4" w:themeShade="BF"/>
                <w:highlight w:val="none"/>
              </w:rPr>
              <w:t>以</w:t>
            </w:r>
            <w:r>
              <w:rPr>
                <w:rFonts w:hint="eastAsia"/>
                <w:color w:val="BF9000" w:themeColor="accent4" w:themeShade="BF"/>
                <w:highlight w:val="none"/>
                <w:lang w:eastAsia="zh-CN"/>
              </w:rPr>
              <w:t>颗粒物</w:t>
            </w:r>
            <w:r>
              <w:rPr>
                <w:color w:val="BF9000" w:themeColor="accent4" w:themeShade="BF"/>
                <w:highlight w:val="none"/>
              </w:rPr>
              <w:t>表征，</w:t>
            </w:r>
            <w:r>
              <w:rPr>
                <w:rFonts w:hint="eastAsia"/>
                <w:color w:val="BF9000" w:themeColor="accent4" w:themeShade="BF"/>
                <w:highlight w:val="none"/>
                <w:lang w:val="en-US" w:eastAsia="zh-CN"/>
              </w:rPr>
              <w:t>经1套布袋除尘器处理后经1根15m高的排气筒DA002高空排放</w:t>
            </w:r>
            <w:r>
              <w:rPr>
                <w:color w:val="BF9000" w:themeColor="accent4" w:themeShade="BF"/>
                <w:highlight w:val="none"/>
              </w:rPr>
              <w:t>，可达到</w:t>
            </w:r>
            <w:r>
              <w:rPr>
                <w:rFonts w:hint="eastAsia"/>
                <w:color w:val="BF9000" w:themeColor="accent4" w:themeShade="BF"/>
                <w:highlight w:val="none"/>
              </w:rPr>
              <w:t>《合成树脂工业污染物排放标准》（GB31572-2015）中表5大气污染物特别排放限值</w:t>
            </w:r>
            <w:r>
              <w:rPr>
                <w:rFonts w:hint="eastAsia"/>
                <w:color w:val="BF9000" w:themeColor="accent4" w:themeShade="BF"/>
                <w:highlight w:val="none"/>
                <w:lang w:val="en-US" w:eastAsia="zh-CN"/>
              </w:rPr>
              <w:t>及</w:t>
            </w:r>
            <w:r>
              <w:rPr>
                <w:rFonts w:hint="eastAsia"/>
                <w:color w:val="BF9000" w:themeColor="accent4" w:themeShade="BF"/>
                <w:highlight w:val="none"/>
              </w:rPr>
              <w:t>表9排放限值</w:t>
            </w:r>
            <w:r>
              <w:rPr>
                <w:rFonts w:hint="eastAsia"/>
                <w:color w:val="BF9000" w:themeColor="accent4" w:themeShade="BF"/>
                <w:highlight w:val="none"/>
                <w:lang w:val="en-US" w:eastAsia="zh-CN"/>
              </w:rPr>
              <w:t>要求。</w:t>
            </w:r>
          </w:p>
          <w:p>
            <w:pPr>
              <w:adjustRightInd w:val="0"/>
              <w:snapToGrid w:val="0"/>
              <w:ind w:firstLine="480" w:firstLineChars="200"/>
              <w:rPr>
                <w:rFonts w:hint="eastAsia" w:eastAsia="宋体"/>
                <w:color w:val="auto"/>
                <w:lang w:val="en-US" w:eastAsia="zh-CN"/>
              </w:rPr>
            </w:pPr>
            <w:r>
              <w:rPr>
                <w:rFonts w:hint="eastAsia"/>
                <w:color w:val="auto"/>
                <w:lang w:val="en-US" w:eastAsia="zh-CN"/>
              </w:rPr>
              <w:t>4）注塑成型</w:t>
            </w:r>
            <w:r>
              <w:rPr>
                <w:color w:val="auto"/>
              </w:rPr>
              <w:t>工序产生的</w:t>
            </w:r>
            <w:r>
              <w:rPr>
                <w:rFonts w:hint="eastAsia"/>
                <w:color w:val="auto"/>
                <w:highlight w:val="none"/>
                <w:lang w:val="en-US" w:eastAsia="zh-CN"/>
              </w:rPr>
              <w:t>废气</w:t>
            </w:r>
          </w:p>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b w:val="0"/>
                <w:bCs w:val="0"/>
                <w:color w:val="BF9000" w:themeColor="accent4" w:themeShade="BF"/>
                <w:highlight w:val="none"/>
                <w:lang w:val="en-US" w:eastAsia="zh-CN"/>
              </w:rPr>
            </w:pPr>
            <w:r>
              <w:rPr>
                <w:rFonts w:hint="eastAsia"/>
                <w:color w:val="BF9000" w:themeColor="accent4" w:themeShade="BF"/>
                <w:lang w:val="en-US" w:eastAsia="zh-CN"/>
              </w:rPr>
              <w:t>注塑成型</w:t>
            </w:r>
            <w:r>
              <w:rPr>
                <w:color w:val="BF9000" w:themeColor="accent4" w:themeShade="BF"/>
              </w:rPr>
              <w:t>工序产生的</w:t>
            </w:r>
            <w:r>
              <w:rPr>
                <w:rFonts w:hint="eastAsia"/>
                <w:color w:val="BF9000" w:themeColor="accent4" w:themeShade="BF"/>
                <w:lang w:val="en-US" w:eastAsia="zh-CN"/>
              </w:rPr>
              <w:t>有机废气</w:t>
            </w:r>
            <w:r>
              <w:rPr>
                <w:color w:val="BF9000" w:themeColor="accent4" w:themeShade="BF"/>
                <w:highlight w:val="none"/>
              </w:rPr>
              <w:t>以</w:t>
            </w:r>
            <w:r>
              <w:rPr>
                <w:rFonts w:hint="eastAsia"/>
                <w:color w:val="BF9000" w:themeColor="accent4" w:themeShade="BF"/>
                <w:highlight w:val="none"/>
                <w:lang w:val="en-US" w:eastAsia="zh-CN"/>
              </w:rPr>
              <w:t>非甲烷总烃</w:t>
            </w:r>
            <w:r>
              <w:rPr>
                <w:color w:val="BF9000" w:themeColor="accent4" w:themeShade="BF"/>
                <w:highlight w:val="none"/>
              </w:rPr>
              <w:t>表征，</w:t>
            </w:r>
            <w:r>
              <w:rPr>
                <w:rFonts w:hint="eastAsia"/>
                <w:color w:val="BF9000" w:themeColor="accent4" w:themeShade="BF"/>
                <w:highlight w:val="none"/>
                <w:lang w:val="en-US" w:eastAsia="zh-CN"/>
              </w:rPr>
              <w:t>经现有的1套</w:t>
            </w:r>
            <w:r>
              <w:rPr>
                <w:rFonts w:hint="eastAsia"/>
                <w:color w:val="BF9000" w:themeColor="accent4" w:themeShade="BF"/>
                <w:sz w:val="24"/>
              </w:rPr>
              <w:t>水喷淋+</w:t>
            </w:r>
            <w:r>
              <w:rPr>
                <w:rFonts w:hint="eastAsia"/>
                <w:color w:val="BF9000" w:themeColor="accent4" w:themeShade="BF"/>
                <w:sz w:val="24"/>
                <w:lang w:val="en-US" w:eastAsia="zh-CN"/>
              </w:rPr>
              <w:t>干式过滤器+</w:t>
            </w:r>
            <w:r>
              <w:rPr>
                <w:rFonts w:hint="eastAsia"/>
                <w:color w:val="BF9000" w:themeColor="accent4" w:themeShade="BF"/>
                <w:sz w:val="24"/>
              </w:rPr>
              <w:t>二级活性炭吸附装置</w:t>
            </w:r>
            <w:r>
              <w:rPr>
                <w:rFonts w:hint="eastAsia"/>
                <w:color w:val="BF9000" w:themeColor="accent4" w:themeShade="BF"/>
                <w:highlight w:val="none"/>
                <w:lang w:val="en-US" w:eastAsia="zh-CN"/>
              </w:rPr>
              <w:t>处理后经1根15m高的排气筒DA001高空排放</w:t>
            </w:r>
            <w:r>
              <w:rPr>
                <w:color w:val="BF9000" w:themeColor="accent4" w:themeShade="BF"/>
                <w:highlight w:val="none"/>
              </w:rPr>
              <w:t>，可达到</w:t>
            </w:r>
            <w:r>
              <w:rPr>
                <w:rFonts w:hint="eastAsia"/>
                <w:color w:val="BF9000" w:themeColor="accent4" w:themeShade="BF"/>
                <w:highlight w:val="none"/>
              </w:rPr>
              <w:t>《合成树脂工业污染物排放标准》（GB31572-2015）中表5大气污染物特别排放限值</w:t>
            </w:r>
            <w:r>
              <w:rPr>
                <w:rFonts w:hint="eastAsia"/>
                <w:color w:val="BF9000" w:themeColor="accent4" w:themeShade="BF"/>
                <w:highlight w:val="none"/>
                <w:lang w:val="en-US" w:eastAsia="zh-CN"/>
              </w:rPr>
              <w:t>及</w:t>
            </w:r>
            <w:r>
              <w:rPr>
                <w:rFonts w:hint="eastAsia"/>
                <w:color w:val="BF9000" w:themeColor="accent4" w:themeShade="BF"/>
              </w:rPr>
              <w:t>表9</w:t>
            </w:r>
            <w:r>
              <w:rPr>
                <w:rFonts w:hint="eastAsia"/>
                <w:color w:val="BF9000" w:themeColor="accent4" w:themeShade="BF"/>
                <w:highlight w:val="none"/>
              </w:rPr>
              <w:t>排放限值</w:t>
            </w:r>
            <w:r>
              <w:rPr>
                <w:rFonts w:hint="eastAsia"/>
                <w:color w:val="BF9000" w:themeColor="accent4" w:themeShade="BF"/>
                <w:highlight w:val="none"/>
                <w:lang w:val="en-US" w:eastAsia="zh-CN"/>
              </w:rPr>
              <w:t>要求。</w:t>
            </w:r>
            <w:r>
              <w:rPr>
                <w:rFonts w:hint="eastAsia"/>
                <w:b w:val="0"/>
                <w:bCs w:val="0"/>
                <w:color w:val="BF9000" w:themeColor="accent4" w:themeShade="BF"/>
                <w:highlight w:val="none"/>
                <w:lang w:val="en-US" w:eastAsia="zh-CN"/>
              </w:rPr>
              <w:t>臭气浓度</w:t>
            </w:r>
            <w:r>
              <w:rPr>
                <w:rFonts w:hint="eastAsia" w:ascii="Times New Roman" w:hAnsi="Times New Roman" w:eastAsia="宋体" w:cs="Times New Roman"/>
                <w:b w:val="0"/>
                <w:bCs w:val="0"/>
                <w:color w:val="BF9000" w:themeColor="accent4" w:themeShade="BF"/>
                <w:highlight w:val="none"/>
                <w:lang w:val="en-US" w:eastAsia="zh-CN"/>
              </w:rPr>
              <w:t>有组织及无组织排放执行 《恶臭污染物排放标准》（GB14554-93）表2二级标准中的新改扩建标准及</w:t>
            </w:r>
            <w:r>
              <w:rPr>
                <w:rFonts w:hint="eastAsia"/>
                <w:b w:val="0"/>
                <w:bCs w:val="0"/>
                <w:color w:val="BF9000" w:themeColor="accent4" w:themeShade="BF"/>
                <w:highlight w:val="none"/>
                <w:lang w:val="en-US" w:eastAsia="zh-CN"/>
              </w:rPr>
              <w:t>表1厂界排放限值要求。</w:t>
            </w:r>
          </w:p>
          <w:p>
            <w:pPr>
              <w:adjustRightInd w:val="0"/>
              <w:snapToGrid w:val="0"/>
              <w:ind w:firstLine="480" w:firstLineChars="200"/>
              <w:rPr>
                <w:rFonts w:hint="default" w:eastAsia="宋体"/>
                <w:color w:val="auto"/>
                <w:lang w:val="en-US" w:eastAsia="zh-CN"/>
              </w:rPr>
            </w:pPr>
            <w:r>
              <w:rPr>
                <w:rFonts w:hint="eastAsia"/>
                <w:color w:val="auto"/>
                <w:lang w:val="en-US" w:eastAsia="zh-CN"/>
              </w:rPr>
              <w:t>5）</w:t>
            </w:r>
            <w:r>
              <w:rPr>
                <w:rFonts w:hint="eastAsia"/>
                <w:color w:val="auto"/>
                <w:lang w:eastAsia="zh-CN"/>
              </w:rPr>
              <w:t>喷漆</w:t>
            </w:r>
            <w:r>
              <w:rPr>
                <w:rFonts w:hint="eastAsia"/>
                <w:color w:val="auto"/>
                <w:lang w:val="en-US" w:eastAsia="zh-CN"/>
              </w:rPr>
              <w:t>及烘烤工序产生的有机废气和漆雾、丝印及烘烤工序产生的有机废气</w:t>
            </w:r>
          </w:p>
          <w:p>
            <w:pPr>
              <w:adjustRightInd w:val="0"/>
              <w:snapToGrid w:val="0"/>
              <w:ind w:firstLine="480" w:firstLineChars="200"/>
              <w:rPr>
                <w:rFonts w:hint="eastAsia"/>
                <w:color w:val="BF9000" w:themeColor="accent4" w:themeShade="BF"/>
                <w:sz w:val="24"/>
                <w:szCs w:val="24"/>
                <w:highlight w:val="none"/>
                <w:lang w:eastAsia="zh-CN"/>
              </w:rPr>
            </w:pPr>
            <w:r>
              <w:rPr>
                <w:rFonts w:hint="eastAsia"/>
                <w:color w:val="BF9000" w:themeColor="accent4" w:themeShade="BF"/>
                <w:sz w:val="24"/>
                <w:szCs w:val="24"/>
                <w:highlight w:val="none"/>
                <w:lang w:eastAsia="zh-CN"/>
              </w:rPr>
              <w:t>喷漆</w:t>
            </w:r>
            <w:r>
              <w:rPr>
                <w:color w:val="BF9000" w:themeColor="accent4" w:themeShade="BF"/>
                <w:sz w:val="24"/>
                <w:szCs w:val="24"/>
                <w:highlight w:val="none"/>
              </w:rPr>
              <w:t>工序产生的</w:t>
            </w:r>
            <w:r>
              <w:rPr>
                <w:rFonts w:hint="eastAsia"/>
                <w:color w:val="BF9000" w:themeColor="accent4" w:themeShade="BF"/>
                <w:sz w:val="24"/>
                <w:szCs w:val="24"/>
                <w:highlight w:val="none"/>
                <w:lang w:val="en-US" w:eastAsia="zh-CN"/>
              </w:rPr>
              <w:t>漆雾</w:t>
            </w:r>
            <w:r>
              <w:rPr>
                <w:color w:val="BF9000" w:themeColor="accent4" w:themeShade="BF"/>
                <w:sz w:val="24"/>
                <w:szCs w:val="24"/>
                <w:highlight w:val="none"/>
              </w:rPr>
              <w:t>以</w:t>
            </w:r>
            <w:r>
              <w:rPr>
                <w:rFonts w:hint="eastAsia"/>
                <w:color w:val="BF9000" w:themeColor="accent4" w:themeShade="BF"/>
                <w:sz w:val="24"/>
                <w:szCs w:val="24"/>
                <w:highlight w:val="none"/>
                <w:lang w:eastAsia="zh-CN"/>
              </w:rPr>
              <w:t>颗粒物</w:t>
            </w:r>
            <w:r>
              <w:rPr>
                <w:color w:val="BF9000" w:themeColor="accent4" w:themeShade="BF"/>
                <w:sz w:val="24"/>
                <w:szCs w:val="24"/>
                <w:highlight w:val="none"/>
              </w:rPr>
              <w:t>表征</w:t>
            </w:r>
            <w:r>
              <w:rPr>
                <w:rFonts w:hint="eastAsia"/>
                <w:color w:val="BF9000" w:themeColor="accent4" w:themeShade="BF"/>
                <w:sz w:val="24"/>
                <w:szCs w:val="24"/>
                <w:highlight w:val="none"/>
                <w:lang w:eastAsia="zh-CN"/>
              </w:rPr>
              <w:t>，</w:t>
            </w:r>
            <w:r>
              <w:rPr>
                <w:color w:val="BF9000" w:themeColor="accent4" w:themeShade="BF"/>
                <w:sz w:val="24"/>
                <w:szCs w:val="24"/>
                <w:highlight w:val="none"/>
              </w:rPr>
              <w:t>通过</w:t>
            </w:r>
            <w:r>
              <w:rPr>
                <w:rFonts w:hint="eastAsia"/>
                <w:color w:val="BF9000" w:themeColor="accent4" w:themeShade="BF"/>
                <w:sz w:val="24"/>
                <w:szCs w:val="24"/>
                <w:highlight w:val="none"/>
                <w:lang w:eastAsia="zh-CN"/>
              </w:rPr>
              <w:t>“</w:t>
            </w:r>
            <w:r>
              <w:rPr>
                <w:rFonts w:hint="eastAsia"/>
                <w:color w:val="BF9000" w:themeColor="accent4" w:themeShade="BF"/>
                <w:sz w:val="24"/>
                <w:szCs w:val="24"/>
                <w:highlight w:val="none"/>
              </w:rPr>
              <w:t>水帘柜+水喷淋+干式过滤</w:t>
            </w:r>
            <w:r>
              <w:rPr>
                <w:rFonts w:hint="eastAsia"/>
                <w:color w:val="BF9000" w:themeColor="accent4" w:themeShade="BF"/>
                <w:sz w:val="24"/>
                <w:szCs w:val="24"/>
                <w:highlight w:val="none"/>
                <w:lang w:val="en-US" w:eastAsia="zh-CN"/>
              </w:rPr>
              <w:t>器</w:t>
            </w:r>
            <w:r>
              <w:rPr>
                <w:rFonts w:hint="eastAsia"/>
                <w:color w:val="BF9000" w:themeColor="accent4" w:themeShade="BF"/>
                <w:sz w:val="24"/>
                <w:szCs w:val="24"/>
                <w:highlight w:val="none"/>
              </w:rPr>
              <w:t>+二级活性炭吸附装置</w:t>
            </w:r>
            <w:r>
              <w:rPr>
                <w:rFonts w:hint="eastAsia"/>
                <w:color w:val="BF9000" w:themeColor="accent4" w:themeShade="BF"/>
                <w:sz w:val="24"/>
                <w:szCs w:val="24"/>
                <w:highlight w:val="none"/>
                <w:lang w:eastAsia="zh-CN"/>
              </w:rPr>
              <w:t>”</w:t>
            </w:r>
            <w:r>
              <w:rPr>
                <w:color w:val="BF9000" w:themeColor="accent4" w:themeShade="BF"/>
                <w:sz w:val="24"/>
                <w:szCs w:val="24"/>
                <w:highlight w:val="none"/>
              </w:rPr>
              <w:t>处理后</w:t>
            </w:r>
            <w:r>
              <w:rPr>
                <w:rFonts w:hint="eastAsia"/>
                <w:color w:val="BF9000" w:themeColor="accent4" w:themeShade="BF"/>
                <w:sz w:val="24"/>
                <w:szCs w:val="24"/>
                <w:highlight w:val="none"/>
                <w:lang w:val="en-US" w:eastAsia="zh-CN"/>
              </w:rPr>
              <w:t>经1根15m高的排气筒DA003高空排放</w:t>
            </w:r>
            <w:r>
              <w:rPr>
                <w:color w:val="BF9000" w:themeColor="accent4" w:themeShade="BF"/>
                <w:sz w:val="24"/>
                <w:szCs w:val="24"/>
                <w:highlight w:val="none"/>
              </w:rPr>
              <w:t>，可达到</w:t>
            </w:r>
            <w:r>
              <w:rPr>
                <w:rFonts w:hint="eastAsia"/>
                <w:color w:val="BF9000" w:themeColor="accent4" w:themeShade="BF"/>
                <w:sz w:val="24"/>
                <w:szCs w:val="24"/>
                <w:highlight w:val="none"/>
              </w:rPr>
              <w:t>广东省地方标准《大气污染物排放限值》（DB44/27-2001）第二时段二级标准</w:t>
            </w:r>
            <w:r>
              <w:rPr>
                <w:rFonts w:hint="eastAsia"/>
                <w:color w:val="BF9000" w:themeColor="accent4" w:themeShade="BF"/>
                <w:sz w:val="24"/>
                <w:szCs w:val="24"/>
                <w:highlight w:val="none"/>
                <w:lang w:val="en-US" w:eastAsia="zh-CN"/>
              </w:rPr>
              <w:t>及</w:t>
            </w:r>
            <w:r>
              <w:rPr>
                <w:rFonts w:hint="eastAsia" w:ascii="Times New Roman" w:hAnsi="Times New Roman" w:eastAsia="宋体" w:cs="Times New Roman"/>
                <w:color w:val="BF9000" w:themeColor="accent4" w:themeShade="BF"/>
                <w:sz w:val="24"/>
                <w:szCs w:val="24"/>
                <w:highlight w:val="none"/>
                <w:lang w:val="en-US" w:eastAsia="zh-CN"/>
              </w:rPr>
              <w:t>无组织排放监控浓度限值</w:t>
            </w:r>
            <w:r>
              <w:rPr>
                <w:rFonts w:hint="eastAsia"/>
                <w:color w:val="BF9000" w:themeColor="accent4" w:themeShade="BF"/>
                <w:sz w:val="24"/>
                <w:szCs w:val="24"/>
                <w:highlight w:val="none"/>
                <w:lang w:eastAsia="zh-CN"/>
              </w:rPr>
              <w:t>。</w:t>
            </w:r>
          </w:p>
          <w:p>
            <w:pPr>
              <w:adjustRightInd w:val="0"/>
              <w:snapToGrid w:val="0"/>
              <w:ind w:firstLine="480" w:firstLineChars="200"/>
              <w:rPr>
                <w:rFonts w:hint="eastAsia"/>
                <w:color w:val="BF9000" w:themeColor="accent4" w:themeShade="BF"/>
                <w:sz w:val="24"/>
                <w:szCs w:val="24"/>
                <w:highlight w:val="none"/>
                <w:lang w:eastAsia="zh-CN"/>
              </w:rPr>
            </w:pPr>
            <w:r>
              <w:rPr>
                <w:rFonts w:hint="eastAsia"/>
                <w:color w:val="BF9000" w:themeColor="accent4" w:themeShade="BF"/>
                <w:sz w:val="24"/>
                <w:szCs w:val="24"/>
                <w:highlight w:val="none"/>
                <w:lang w:eastAsia="zh-CN"/>
              </w:rPr>
              <w:t>喷漆</w:t>
            </w:r>
            <w:r>
              <w:rPr>
                <w:color w:val="BF9000" w:themeColor="accent4" w:themeShade="BF"/>
                <w:sz w:val="24"/>
                <w:szCs w:val="24"/>
                <w:highlight w:val="none"/>
              </w:rPr>
              <w:t>工序产生的</w:t>
            </w:r>
            <w:r>
              <w:rPr>
                <w:rFonts w:hint="eastAsia"/>
                <w:color w:val="BF9000" w:themeColor="accent4" w:themeShade="BF"/>
                <w:sz w:val="24"/>
                <w:szCs w:val="24"/>
                <w:highlight w:val="none"/>
                <w:lang w:val="en-US" w:eastAsia="zh-CN"/>
              </w:rPr>
              <w:t>有机废气</w:t>
            </w:r>
            <w:r>
              <w:rPr>
                <w:color w:val="BF9000" w:themeColor="accent4" w:themeShade="BF"/>
                <w:sz w:val="24"/>
                <w:szCs w:val="24"/>
                <w:highlight w:val="none"/>
              </w:rPr>
              <w:t>以</w:t>
            </w:r>
            <w:r>
              <w:rPr>
                <w:rFonts w:hint="eastAsia"/>
                <w:color w:val="BF9000" w:themeColor="accent4" w:themeShade="BF"/>
                <w:sz w:val="24"/>
                <w:szCs w:val="24"/>
                <w:lang w:val="en-US" w:eastAsia="zh-CN"/>
              </w:rPr>
              <w:t>总VOCs</w:t>
            </w:r>
            <w:r>
              <w:rPr>
                <w:color w:val="BF9000" w:themeColor="accent4" w:themeShade="BF"/>
                <w:sz w:val="24"/>
                <w:szCs w:val="24"/>
                <w:highlight w:val="none"/>
              </w:rPr>
              <w:t>表征</w:t>
            </w:r>
            <w:r>
              <w:rPr>
                <w:rFonts w:hint="eastAsia"/>
                <w:color w:val="BF9000" w:themeColor="accent4" w:themeShade="BF"/>
                <w:sz w:val="24"/>
                <w:szCs w:val="24"/>
                <w:highlight w:val="none"/>
                <w:lang w:eastAsia="zh-CN"/>
              </w:rPr>
              <w:t>，</w:t>
            </w:r>
            <w:r>
              <w:rPr>
                <w:color w:val="BF9000" w:themeColor="accent4" w:themeShade="BF"/>
                <w:sz w:val="24"/>
                <w:szCs w:val="24"/>
                <w:highlight w:val="none"/>
              </w:rPr>
              <w:t>通过</w:t>
            </w:r>
            <w:r>
              <w:rPr>
                <w:rFonts w:hint="eastAsia"/>
                <w:color w:val="BF9000" w:themeColor="accent4" w:themeShade="BF"/>
                <w:sz w:val="24"/>
                <w:szCs w:val="24"/>
                <w:highlight w:val="none"/>
                <w:lang w:eastAsia="zh-CN"/>
              </w:rPr>
              <w:t>“</w:t>
            </w:r>
            <w:r>
              <w:rPr>
                <w:rFonts w:hint="eastAsia"/>
                <w:color w:val="BF9000" w:themeColor="accent4" w:themeShade="BF"/>
                <w:sz w:val="24"/>
                <w:szCs w:val="24"/>
                <w:highlight w:val="none"/>
              </w:rPr>
              <w:t>水帘柜+水喷淋+干式过滤</w:t>
            </w:r>
            <w:r>
              <w:rPr>
                <w:rFonts w:hint="eastAsia"/>
                <w:color w:val="BF9000" w:themeColor="accent4" w:themeShade="BF"/>
                <w:sz w:val="24"/>
                <w:szCs w:val="24"/>
                <w:highlight w:val="none"/>
                <w:lang w:val="en-US" w:eastAsia="zh-CN"/>
              </w:rPr>
              <w:t>器</w:t>
            </w:r>
            <w:r>
              <w:rPr>
                <w:rFonts w:hint="eastAsia"/>
                <w:color w:val="BF9000" w:themeColor="accent4" w:themeShade="BF"/>
                <w:sz w:val="24"/>
                <w:szCs w:val="24"/>
                <w:highlight w:val="none"/>
              </w:rPr>
              <w:t>+二级活性炭吸附装置</w:t>
            </w:r>
            <w:r>
              <w:rPr>
                <w:rFonts w:hint="eastAsia"/>
                <w:color w:val="BF9000" w:themeColor="accent4" w:themeShade="BF"/>
                <w:sz w:val="24"/>
                <w:szCs w:val="24"/>
                <w:highlight w:val="none"/>
                <w:lang w:eastAsia="zh-CN"/>
              </w:rPr>
              <w:t>”</w:t>
            </w:r>
            <w:r>
              <w:rPr>
                <w:color w:val="BF9000" w:themeColor="accent4" w:themeShade="BF"/>
                <w:sz w:val="24"/>
                <w:szCs w:val="24"/>
                <w:highlight w:val="none"/>
              </w:rPr>
              <w:t>处理后</w:t>
            </w:r>
            <w:r>
              <w:rPr>
                <w:rFonts w:hint="eastAsia"/>
                <w:color w:val="BF9000" w:themeColor="accent4" w:themeShade="BF"/>
                <w:sz w:val="24"/>
                <w:szCs w:val="24"/>
                <w:highlight w:val="none"/>
                <w:lang w:val="en-US" w:eastAsia="zh-CN"/>
              </w:rPr>
              <w:t>经1根15m高的排气筒DA003高空排放</w:t>
            </w:r>
            <w:r>
              <w:rPr>
                <w:color w:val="BF9000" w:themeColor="accent4" w:themeShade="BF"/>
                <w:sz w:val="24"/>
                <w:szCs w:val="24"/>
                <w:highlight w:val="none"/>
              </w:rPr>
              <w:t>，</w:t>
            </w:r>
            <w:r>
              <w:rPr>
                <w:rFonts w:hint="eastAsia"/>
                <w:color w:val="BF9000" w:themeColor="accent4" w:themeShade="BF"/>
                <w:sz w:val="24"/>
                <w:szCs w:val="24"/>
                <w:highlight w:val="none"/>
                <w:lang w:val="en-US" w:eastAsia="zh-CN"/>
              </w:rPr>
              <w:t>有组织排放</w:t>
            </w:r>
            <w:r>
              <w:rPr>
                <w:color w:val="BF9000" w:themeColor="accent4" w:themeShade="BF"/>
                <w:sz w:val="24"/>
                <w:szCs w:val="24"/>
                <w:highlight w:val="none"/>
              </w:rPr>
              <w:t>可达到</w:t>
            </w:r>
            <w:r>
              <w:rPr>
                <w:rFonts w:hint="eastAsia"/>
                <w:color w:val="BF9000" w:themeColor="accent4" w:themeShade="BF"/>
                <w:highlight w:val="none"/>
                <w:lang w:val="en-US" w:eastAsia="zh-CN"/>
              </w:rPr>
              <w:t>广东省地方标准《固定污染源挥发性有机物综合排放标准》（DB44/2367—2022）表1非甲烷总烃与TVOC排放限值；无组织排放执行广东省地方标准《家具制造行业挥发性有机化合物排放标准》（DB44/814-2010）中的表2无组织排放监控点浓度限值。</w:t>
            </w:r>
          </w:p>
          <w:p>
            <w:pPr>
              <w:adjustRightInd w:val="0"/>
              <w:snapToGrid w:val="0"/>
              <w:ind w:firstLine="480" w:firstLineChars="200"/>
              <w:rPr>
                <w:rFonts w:hint="eastAsia"/>
                <w:color w:val="BF9000" w:themeColor="accent4" w:themeShade="BF"/>
                <w:lang w:eastAsia="zh-CN"/>
              </w:rPr>
            </w:pPr>
            <w:r>
              <w:rPr>
                <w:rFonts w:hint="eastAsia"/>
                <w:color w:val="BF9000" w:themeColor="accent4" w:themeShade="BF"/>
                <w:sz w:val="24"/>
                <w:szCs w:val="24"/>
                <w:lang w:val="en-US" w:eastAsia="zh-CN"/>
              </w:rPr>
              <w:t>丝印工序有组织排放的污染因子为非甲烷总烃和总VOCs，其污染源强非甲烷总烃等同于总VOCs核算，因此，根据“扩建项目废气污染源源强核算结果及相关参数一览表”，丝印工序总VOCs排放速率为0.0001kg/h，排放浓度为0.0034mg/m</w:t>
            </w:r>
            <w:r>
              <w:rPr>
                <w:rFonts w:hint="eastAsia"/>
                <w:color w:val="BF9000" w:themeColor="accent4" w:themeShade="BF"/>
                <w:sz w:val="24"/>
                <w:szCs w:val="24"/>
                <w:vertAlign w:val="superscript"/>
                <w:lang w:val="en-US" w:eastAsia="zh-CN"/>
              </w:rPr>
              <w:t>3</w:t>
            </w:r>
            <w:r>
              <w:rPr>
                <w:rFonts w:hint="eastAsia"/>
                <w:color w:val="BF9000" w:themeColor="accent4" w:themeShade="BF"/>
                <w:sz w:val="24"/>
                <w:szCs w:val="24"/>
                <w:vertAlign w:val="baseline"/>
                <w:lang w:val="en-US" w:eastAsia="zh-CN"/>
              </w:rPr>
              <w:t>，可满足</w:t>
            </w:r>
            <w:r>
              <w:rPr>
                <w:bCs/>
                <w:color w:val="BF9000" w:themeColor="accent4" w:themeShade="BF"/>
                <w:kern w:val="0"/>
                <w:sz w:val="24"/>
                <w:szCs w:val="24"/>
              </w:rPr>
              <w:t>《印刷行业挥发性有机化合物排放标准》（DB44/815-2010）</w:t>
            </w:r>
            <w:r>
              <w:rPr>
                <w:rFonts w:hint="eastAsia"/>
                <w:bCs/>
                <w:color w:val="BF9000" w:themeColor="accent4" w:themeShade="BF"/>
                <w:kern w:val="0"/>
                <w:sz w:val="24"/>
                <w:szCs w:val="24"/>
                <w:lang w:val="en-US" w:eastAsia="zh-CN"/>
              </w:rPr>
              <w:t>表2中Ⅱ时段要求（即排放速率＜2.55kg/h，排放浓度＜120</w:t>
            </w:r>
            <w:r>
              <w:rPr>
                <w:rFonts w:hint="eastAsia"/>
                <w:color w:val="BF9000" w:themeColor="accent4" w:themeShade="BF"/>
                <w:sz w:val="24"/>
                <w:szCs w:val="24"/>
                <w:lang w:val="en-US" w:eastAsia="zh-CN"/>
              </w:rPr>
              <w:t>mg/m</w:t>
            </w:r>
            <w:r>
              <w:rPr>
                <w:rFonts w:hint="eastAsia"/>
                <w:color w:val="BF9000" w:themeColor="accent4" w:themeShade="BF"/>
                <w:sz w:val="24"/>
                <w:szCs w:val="24"/>
                <w:vertAlign w:val="superscript"/>
                <w:lang w:val="en-US" w:eastAsia="zh-CN"/>
              </w:rPr>
              <w:t>3</w:t>
            </w:r>
            <w:r>
              <w:rPr>
                <w:rFonts w:hint="eastAsia"/>
                <w:bCs/>
                <w:color w:val="BF9000" w:themeColor="accent4" w:themeShade="BF"/>
                <w:kern w:val="0"/>
                <w:sz w:val="24"/>
                <w:szCs w:val="24"/>
                <w:lang w:val="en-US" w:eastAsia="zh-CN"/>
              </w:rPr>
              <w:t>），总VOCs无组织排放执行广东省地方标准《家具制造行业挥发性有机化合物排放标准》（DB44/814-2010）中的表2无组织排放监控点浓度限值。</w:t>
            </w:r>
          </w:p>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color w:val="BF9000" w:themeColor="accent4" w:themeShade="BF"/>
                <w:highlight w:val="none"/>
              </w:rPr>
            </w:pPr>
            <w:r>
              <w:rPr>
                <w:rFonts w:hint="eastAsia" w:ascii="Times New Roman" w:hAnsi="Times New Roman" w:eastAsia="宋体" w:cs="Times New Roman"/>
                <w:b w:val="0"/>
                <w:bCs w:val="0"/>
                <w:color w:val="BF9000" w:themeColor="accent4" w:themeShade="BF"/>
                <w:highlight w:val="none"/>
              </w:rPr>
              <w:t>厂</w:t>
            </w:r>
            <w:r>
              <w:rPr>
                <w:rFonts w:hint="eastAsia"/>
                <w:b w:val="0"/>
                <w:bCs w:val="0"/>
                <w:color w:val="BF9000" w:themeColor="accent4" w:themeShade="BF"/>
                <w:highlight w:val="none"/>
              </w:rPr>
              <w:t>区内</w:t>
            </w:r>
            <w:r>
              <w:rPr>
                <w:rFonts w:hint="eastAsia"/>
                <w:b w:val="0"/>
                <w:bCs w:val="0"/>
                <w:color w:val="BF9000" w:themeColor="accent4" w:themeShade="BF"/>
                <w:highlight w:val="none"/>
                <w:lang w:val="en-US" w:eastAsia="zh-CN"/>
              </w:rPr>
              <w:t>有机废气</w:t>
            </w:r>
            <w:r>
              <w:rPr>
                <w:rFonts w:hint="eastAsia"/>
                <w:b w:val="0"/>
                <w:bCs w:val="0"/>
                <w:color w:val="BF9000" w:themeColor="accent4" w:themeShade="BF"/>
                <w:highlight w:val="none"/>
              </w:rPr>
              <w:t>无组织排放监</w:t>
            </w:r>
            <w:r>
              <w:rPr>
                <w:rFonts w:hint="eastAsia"/>
                <w:color w:val="BF9000" w:themeColor="accent4" w:themeShade="BF"/>
                <w:highlight w:val="none"/>
              </w:rPr>
              <w:t>控点浓度执行广东省地方标准《固定污染源挥发性有机物综合排放标准》（DB44/2367-2022）中的表3厂区内无组织排放限值</w:t>
            </w:r>
            <w:r>
              <w:rPr>
                <w:rFonts w:hint="eastAsia"/>
                <w:color w:val="BF9000" w:themeColor="accent4" w:themeShade="BF"/>
                <w:highlight w:val="none"/>
                <w:lang w:val="en-US" w:eastAsia="zh-CN"/>
              </w:rPr>
              <w:t>与《印刷工业大气污染物排放标准》（GB41616-2022）表 A.1 厂区内VOCs无组织排放限值两者较严</w:t>
            </w:r>
            <w:r>
              <w:rPr>
                <w:rFonts w:hint="eastAsia"/>
                <w:color w:val="BF9000" w:themeColor="accent4" w:themeShade="BF"/>
                <w:highlight w:val="none"/>
              </w:rPr>
              <w:t>。</w:t>
            </w:r>
          </w:p>
          <w:p>
            <w:pPr>
              <w:adjustRightInd w:val="0"/>
              <w:snapToGrid w:val="0"/>
              <w:ind w:firstLine="480" w:firstLineChars="200"/>
              <w:rPr>
                <w:rFonts w:hint="eastAsia"/>
                <w:color w:val="BF9000" w:themeColor="accent4" w:themeShade="BF"/>
                <w:lang w:val="en-US" w:eastAsia="zh-CN"/>
              </w:rPr>
            </w:pPr>
            <w:r>
              <w:rPr>
                <w:rFonts w:hint="eastAsia" w:ascii="Times New Roman" w:hAnsi="Times New Roman" w:eastAsia="宋体" w:cs="Times New Roman"/>
                <w:color w:val="BF9000" w:themeColor="accent4" w:themeShade="BF"/>
                <w:lang w:val="en-US" w:eastAsia="zh-CN"/>
              </w:rPr>
              <w:t>综上，项目</w:t>
            </w:r>
            <w:r>
              <w:rPr>
                <w:rFonts w:hint="eastAsia" w:cs="Times New Roman"/>
                <w:color w:val="BF9000" w:themeColor="accent4" w:themeShade="BF"/>
                <w:lang w:val="en-US" w:eastAsia="zh-CN"/>
              </w:rPr>
              <w:t>非甲烷总烃、</w:t>
            </w:r>
            <w:r>
              <w:rPr>
                <w:rFonts w:hint="eastAsia"/>
                <w:color w:val="BF9000" w:themeColor="accent4" w:themeShade="BF"/>
                <w:lang w:val="en-US" w:eastAsia="zh-CN"/>
              </w:rPr>
              <w:t>总VOCs、颗粒物、臭气浓度</w:t>
            </w:r>
            <w:r>
              <w:rPr>
                <w:rFonts w:hint="eastAsia" w:ascii="Times New Roman" w:hAnsi="Times New Roman" w:eastAsia="宋体" w:cs="Times New Roman"/>
                <w:color w:val="BF9000" w:themeColor="accent4" w:themeShade="BF"/>
                <w:lang w:val="en-US" w:eastAsia="zh-CN"/>
              </w:rPr>
              <w:t>经收集处理后能达标排放，废气排放量较小，对周围环境及敏感点影响较小，厂界外为500m范围内大气环境敏感点主要为</w:t>
            </w:r>
            <w:r>
              <w:rPr>
                <w:rFonts w:hint="eastAsia" w:cs="Times New Roman"/>
                <w:color w:val="BF9000" w:themeColor="accent4" w:themeShade="BF"/>
                <w:lang w:val="en-US" w:eastAsia="zh-CN"/>
              </w:rPr>
              <w:t>距本项目西面470m的京师荟成学校、距本项目西南面380m的丽豪酒店</w:t>
            </w:r>
            <w:r>
              <w:rPr>
                <w:rFonts w:hint="eastAsia" w:ascii="Times New Roman" w:hAnsi="Times New Roman" w:eastAsia="宋体" w:cs="Times New Roman"/>
                <w:color w:val="BF9000" w:themeColor="accent4" w:themeShade="BF"/>
                <w:highlight w:val="none"/>
                <w:lang w:val="en-US" w:eastAsia="zh-CN"/>
              </w:rPr>
              <w:t>，</w:t>
            </w:r>
            <w:r>
              <w:rPr>
                <w:rFonts w:hint="eastAsia" w:ascii="Times New Roman" w:hAnsi="Times New Roman" w:eastAsia="宋体" w:cs="Times New Roman"/>
                <w:color w:val="BF9000" w:themeColor="accent4" w:themeShade="BF"/>
                <w:lang w:val="en-US" w:eastAsia="zh-CN"/>
              </w:rPr>
              <w:t>对周围敏感点的影响可接受。</w:t>
            </w:r>
          </w:p>
          <w:p>
            <w:pPr>
              <w:pStyle w:val="17"/>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482" w:firstLineChars="200"/>
              <w:textAlignment w:val="auto"/>
              <w:rPr>
                <w:b/>
                <w:bCs/>
                <w:color w:val="auto"/>
                <w:sz w:val="24"/>
                <w:szCs w:val="24"/>
              </w:rPr>
            </w:pPr>
            <w:r>
              <w:rPr>
                <w:rFonts w:hint="eastAsia"/>
                <w:b/>
                <w:bCs/>
                <w:color w:val="auto"/>
                <w:sz w:val="24"/>
                <w:szCs w:val="24"/>
                <w:lang w:val="en-US" w:eastAsia="zh-CN"/>
              </w:rPr>
              <w:t>6、卫生</w:t>
            </w:r>
            <w:r>
              <w:rPr>
                <w:b/>
                <w:bCs/>
                <w:color w:val="auto"/>
                <w:sz w:val="24"/>
                <w:szCs w:val="24"/>
              </w:rPr>
              <w:t>防护距离</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color w:val="auto"/>
                <w:sz w:val="24"/>
                <w:szCs w:val="24"/>
              </w:rPr>
            </w:pPr>
            <w:r>
              <w:rPr>
                <w:color w:val="auto"/>
                <w:sz w:val="24"/>
                <w:szCs w:val="24"/>
              </w:rPr>
              <w:t>大气有害物质无组织排放卫生防护距离按照《大气有害物质无组织排放卫生防护距离推导技术导则》（GB/T39499—2020）中卫生防护距离</w:t>
            </w:r>
            <w:r>
              <w:rPr>
                <w:rFonts w:hint="eastAsia"/>
                <w:color w:val="auto"/>
                <w:sz w:val="24"/>
                <w:szCs w:val="24"/>
                <w:lang w:val="en-US" w:eastAsia="zh-CN"/>
              </w:rPr>
              <w:t>初始值</w:t>
            </w:r>
            <w:r>
              <w:rPr>
                <w:color w:val="auto"/>
                <w:sz w:val="24"/>
                <w:szCs w:val="24"/>
              </w:rPr>
              <w:t>的方法确定。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eastAsia="宋体"/>
                <w:color w:val="BF9000" w:themeColor="accent4" w:themeShade="BF"/>
                <w:sz w:val="24"/>
                <w:szCs w:val="24"/>
                <w:lang w:eastAsia="zh-CN"/>
              </w:rPr>
            </w:pPr>
            <w:r>
              <w:rPr>
                <w:color w:val="BF9000" w:themeColor="accent4" w:themeShade="BF"/>
                <w:sz w:val="24"/>
                <w:szCs w:val="24"/>
              </w:rPr>
              <w:t>根据项目废气排放情况可知，项目废气无组织排放污染物为</w:t>
            </w:r>
            <w:r>
              <w:rPr>
                <w:rFonts w:hint="eastAsia"/>
                <w:color w:val="BF9000" w:themeColor="accent4" w:themeShade="BF"/>
                <w:sz w:val="24"/>
                <w:szCs w:val="24"/>
              </w:rPr>
              <w:t>非甲烷总烃</w:t>
            </w:r>
            <w:r>
              <w:rPr>
                <w:rFonts w:hint="eastAsia"/>
                <w:color w:val="BF9000" w:themeColor="accent4" w:themeShade="BF"/>
                <w:sz w:val="24"/>
                <w:szCs w:val="24"/>
                <w:lang w:eastAsia="zh-CN"/>
              </w:rPr>
              <w:t>、</w:t>
            </w:r>
            <w:r>
              <w:rPr>
                <w:color w:val="BF9000" w:themeColor="accent4" w:themeShade="BF"/>
                <w:sz w:val="24"/>
                <w:szCs w:val="24"/>
              </w:rPr>
              <w:t>总VOCs</w:t>
            </w:r>
            <w:r>
              <w:rPr>
                <w:rFonts w:hint="eastAsia"/>
                <w:color w:val="BF9000" w:themeColor="accent4" w:themeShade="BF"/>
                <w:sz w:val="24"/>
                <w:szCs w:val="24"/>
              </w:rPr>
              <w:t>、颗粒物</w:t>
            </w:r>
            <w:r>
              <w:rPr>
                <w:color w:val="BF9000" w:themeColor="accent4" w:themeShade="BF"/>
                <w:sz w:val="24"/>
                <w:szCs w:val="24"/>
              </w:rPr>
              <w:t>，其无组织排放量和等标排放量如下</w:t>
            </w:r>
            <w:r>
              <w:rPr>
                <w:rFonts w:hint="eastAsia"/>
                <w:color w:val="BF9000" w:themeColor="accent4" w:themeShade="BF"/>
                <w:sz w:val="24"/>
                <w:szCs w:val="24"/>
                <w:lang w:eastAsia="zh-CN"/>
              </w:rPr>
              <w:t>：</w:t>
            </w:r>
          </w:p>
          <w:p>
            <w:pPr>
              <w:pStyle w:val="44"/>
              <w:numPr>
                <w:ilvl w:val="0"/>
                <w:numId w:val="9"/>
              </w:numPr>
              <w:tabs>
                <w:tab w:val="clear" w:pos="0"/>
              </w:tabs>
              <w:bidi w:val="0"/>
              <w:ind w:left="0" w:leftChars="0" w:firstLine="403" w:firstLineChars="0"/>
              <w:rPr>
                <w:color w:val="auto"/>
              </w:rPr>
            </w:pPr>
            <w:r>
              <w:rPr>
                <w:color w:val="auto"/>
              </w:rPr>
              <w:t>项目无组织排放量和等标排放量情况表</w:t>
            </w:r>
          </w:p>
          <w:tbl>
            <w:tblPr>
              <w:tblStyle w:val="29"/>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1396"/>
              <w:gridCol w:w="1281"/>
              <w:gridCol w:w="1345"/>
              <w:gridCol w:w="1349"/>
              <w:gridCol w:w="1200"/>
              <w:gridCol w:w="1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08" w:type="pct"/>
                  <w:noWrap w:val="0"/>
                  <w:vAlign w:val="center"/>
                </w:tcPr>
                <w:p>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生产单元</w:t>
                  </w:r>
                </w:p>
              </w:tc>
              <w:tc>
                <w:tcPr>
                  <w:tcW w:w="741" w:type="pct"/>
                  <w:noWrap w:val="0"/>
                  <w:vAlign w:val="center"/>
                </w:tcPr>
                <w:p>
                  <w:pPr>
                    <w:spacing w:line="240" w:lineRule="auto"/>
                    <w:jc w:val="center"/>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工序</w:t>
                  </w:r>
                </w:p>
              </w:tc>
              <w:tc>
                <w:tcPr>
                  <w:tcW w:w="680"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w:t>
                  </w:r>
                </w:p>
              </w:tc>
              <w:tc>
                <w:tcPr>
                  <w:tcW w:w="714"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无组织排放量（kg/h）</w:t>
                  </w:r>
                </w:p>
              </w:tc>
              <w:tc>
                <w:tcPr>
                  <w:tcW w:w="716"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质量标准限值（mg/m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w:t>
                  </w:r>
                </w:p>
              </w:tc>
              <w:tc>
                <w:tcPr>
                  <w:tcW w:w="637"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等标排放量</w:t>
                  </w:r>
                  <w:r>
                    <w:rPr>
                      <w:rFonts w:hint="eastAsia" w:cs="Times New Roman"/>
                      <w:b/>
                      <w:bCs/>
                      <w:color w:val="auto"/>
                      <w:sz w:val="21"/>
                      <w:szCs w:val="21"/>
                      <w:lang w:eastAsia="zh-CN"/>
                    </w:rPr>
                    <w:t>（</w:t>
                  </w:r>
                  <w:r>
                    <w:rPr>
                      <w:rFonts w:hint="eastAsia" w:ascii="Times New Roman" w:hAnsi="Times New Roman" w:eastAsia="宋体" w:cs="Times New Roman"/>
                      <w:b/>
                      <w:bCs/>
                      <w:color w:val="FF0000"/>
                      <w:sz w:val="24"/>
                      <w:highlight w:val="none"/>
                      <w:lang w:val="en-US" w:eastAsia="zh-CN"/>
                    </w:rPr>
                    <w:t>m</w:t>
                  </w:r>
                  <w:r>
                    <w:rPr>
                      <w:rFonts w:hint="eastAsia" w:ascii="Times New Roman" w:hAnsi="Times New Roman" w:eastAsia="宋体" w:cs="Times New Roman"/>
                      <w:b/>
                      <w:bCs/>
                      <w:color w:val="FF0000"/>
                      <w:sz w:val="24"/>
                      <w:highlight w:val="none"/>
                      <w:vertAlign w:val="superscript"/>
                      <w:lang w:val="en-US" w:eastAsia="zh-CN"/>
                    </w:rPr>
                    <w:t>3</w:t>
                  </w:r>
                  <w:r>
                    <w:rPr>
                      <w:rFonts w:hint="eastAsia" w:ascii="Times New Roman" w:hAnsi="Times New Roman" w:eastAsia="宋体" w:cs="Times New Roman"/>
                      <w:b/>
                      <w:bCs/>
                      <w:color w:val="FF0000"/>
                      <w:sz w:val="24"/>
                      <w:highlight w:val="none"/>
                      <w:lang w:val="en-US" w:eastAsia="zh-CN"/>
                    </w:rPr>
                    <w:t>/h</w:t>
                  </w:r>
                  <w:r>
                    <w:rPr>
                      <w:rFonts w:hint="eastAsia" w:cs="Times New Roman"/>
                      <w:b/>
                      <w:bCs/>
                      <w:color w:val="auto"/>
                      <w:sz w:val="21"/>
                      <w:szCs w:val="21"/>
                      <w:lang w:eastAsia="zh-CN"/>
                    </w:rPr>
                    <w:t>）</w:t>
                  </w:r>
                </w:p>
              </w:tc>
              <w:tc>
                <w:tcPr>
                  <w:tcW w:w="801"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等标排放量</w:t>
                  </w:r>
                  <w:r>
                    <w:rPr>
                      <w:rFonts w:hint="eastAsia" w:cs="Times New Roman"/>
                      <w:b/>
                      <w:bCs/>
                      <w:color w:val="auto"/>
                      <w:sz w:val="21"/>
                      <w:szCs w:val="21"/>
                      <w:lang w:val="en-US" w:eastAsia="zh-CN"/>
                    </w:rPr>
                    <w:t>差值是否在10</w:t>
                  </w:r>
                  <w:r>
                    <w:rPr>
                      <w:rFonts w:hint="default" w:ascii="Times New Roman" w:hAnsi="Times New Roman" w:eastAsia="宋体" w:cs="Times New Roman"/>
                      <w:b/>
                      <w:bCs/>
                      <w:color w:val="auto"/>
                      <w:sz w:val="21"/>
                      <w:szCs w:val="21"/>
                    </w:rPr>
                    <w:t>%</w:t>
                  </w:r>
                  <w:r>
                    <w:rPr>
                      <w:rFonts w:hint="eastAsia" w:cs="Times New Roman"/>
                      <w:b/>
                      <w:bCs/>
                      <w:color w:val="auto"/>
                      <w:sz w:val="21"/>
                      <w:szCs w:val="21"/>
                      <w:lang w:val="en-US" w:eastAsia="zh-CN"/>
                    </w:rPr>
                    <w:t>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708" w:type="pct"/>
                  <w:vMerge w:val="restart"/>
                  <w:noWrap w:val="0"/>
                  <w:vAlign w:val="center"/>
                </w:tcPr>
                <w:p>
                  <w:pPr>
                    <w:widowControl/>
                    <w:spacing w:line="240" w:lineRule="auto"/>
                    <w:jc w:val="center"/>
                    <w:rPr>
                      <w:rFonts w:hint="default"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sz w:val="21"/>
                      <w:szCs w:val="21"/>
                      <w:lang w:val="en-US" w:eastAsia="zh-CN"/>
                    </w:rPr>
                    <w:t>全厂</w:t>
                  </w:r>
                </w:p>
              </w:tc>
              <w:tc>
                <w:tcPr>
                  <w:tcW w:w="741" w:type="pct"/>
                  <w:vMerge w:val="restart"/>
                  <w:noWrap w:val="0"/>
                  <w:vAlign w:val="center"/>
                </w:tcPr>
                <w:p>
                  <w:pPr>
                    <w:widowControl/>
                    <w:spacing w:line="240" w:lineRule="auto"/>
                    <w:jc w:val="center"/>
                    <w:rPr>
                      <w:rFonts w:hint="default" w:cs="Times New Roman"/>
                      <w:snapToGrid w:val="0"/>
                      <w:color w:val="BF9000" w:themeColor="accent4" w:themeShade="BF"/>
                      <w:sz w:val="21"/>
                      <w:szCs w:val="21"/>
                      <w:lang w:val="en-US" w:eastAsia="zh-CN"/>
                    </w:rPr>
                  </w:pPr>
                  <w:r>
                    <w:rPr>
                      <w:rFonts w:hint="default" w:cs="Times New Roman"/>
                      <w:snapToGrid w:val="0"/>
                      <w:color w:val="BF9000" w:themeColor="accent4" w:themeShade="BF"/>
                      <w:sz w:val="21"/>
                      <w:szCs w:val="21"/>
                      <w:lang w:val="en-US" w:eastAsia="zh-CN"/>
                    </w:rPr>
                    <w:t>机加工、打磨</w:t>
                  </w:r>
                  <w:r>
                    <w:rPr>
                      <w:rFonts w:hint="eastAsia" w:cs="Times New Roman"/>
                      <w:snapToGrid w:val="0"/>
                      <w:color w:val="BF9000" w:themeColor="accent4" w:themeShade="BF"/>
                      <w:sz w:val="21"/>
                      <w:szCs w:val="21"/>
                      <w:lang w:val="en-US" w:eastAsia="zh-CN"/>
                    </w:rPr>
                    <w:t>、电火花、雕刻、混料、破碎、注塑成型、喷漆及烘烤、丝印及烘烤</w:t>
                  </w:r>
                </w:p>
              </w:tc>
              <w:tc>
                <w:tcPr>
                  <w:tcW w:w="680" w:type="pct"/>
                  <w:noWrap w:val="0"/>
                  <w:vAlign w:val="center"/>
                </w:tcPr>
                <w:p>
                  <w:pPr>
                    <w:spacing w:line="240" w:lineRule="auto"/>
                    <w:jc w:val="center"/>
                    <w:rPr>
                      <w:rFonts w:hint="default" w:ascii="Times New Roman" w:hAnsi="Times New Roman" w:eastAsia="宋体" w:cs="Times New Roman"/>
                      <w:color w:val="BF9000" w:themeColor="accent4" w:themeShade="BF"/>
                      <w:sz w:val="21"/>
                      <w:szCs w:val="21"/>
                      <w:lang w:eastAsia="zh-CN"/>
                    </w:rPr>
                  </w:pPr>
                  <w:r>
                    <w:rPr>
                      <w:rFonts w:hint="default" w:ascii="Times New Roman" w:hAnsi="Times New Roman" w:eastAsia="宋体" w:cs="Times New Roman"/>
                      <w:color w:val="BF9000" w:themeColor="accent4" w:themeShade="BF"/>
                      <w:sz w:val="21"/>
                      <w:szCs w:val="21"/>
                    </w:rPr>
                    <w:t>颗粒物</w:t>
                  </w:r>
                </w:p>
              </w:tc>
              <w:tc>
                <w:tcPr>
                  <w:tcW w:w="714" w:type="pct"/>
                  <w:noWrap w:val="0"/>
                  <w:vAlign w:val="center"/>
                </w:tcPr>
                <w:p>
                  <w:pPr>
                    <w:spacing w:line="240" w:lineRule="auto"/>
                    <w:jc w:val="center"/>
                    <w:rPr>
                      <w:rFonts w:hint="default" w:ascii="Times New Roman" w:hAnsi="Times New Roman" w:eastAsia="宋体" w:cs="Times New Roman"/>
                      <w:color w:val="BF9000" w:themeColor="accent4" w:themeShade="BF"/>
                      <w:sz w:val="21"/>
                      <w:szCs w:val="21"/>
                      <w:lang w:val="en-US" w:eastAsia="zh-CN"/>
                    </w:rPr>
                  </w:pPr>
                  <w:r>
                    <w:rPr>
                      <w:rFonts w:hint="default" w:ascii="Times New Roman" w:hAnsi="Times New Roman" w:eastAsia="宋体" w:cs="Times New Roman"/>
                      <w:color w:val="BF9000" w:themeColor="accent4" w:themeShade="BF"/>
                      <w:sz w:val="21"/>
                      <w:szCs w:val="21"/>
                      <w:lang w:val="en-US" w:eastAsia="zh-CN"/>
                    </w:rPr>
                    <w:t>0.1252</w:t>
                  </w:r>
                </w:p>
              </w:tc>
              <w:tc>
                <w:tcPr>
                  <w:tcW w:w="716" w:type="pct"/>
                  <w:noWrap w:val="0"/>
                  <w:vAlign w:val="center"/>
                </w:tcPr>
                <w:p>
                  <w:pPr>
                    <w:spacing w:line="240" w:lineRule="auto"/>
                    <w:jc w:val="center"/>
                    <w:rPr>
                      <w:rFonts w:hint="default" w:ascii="Times New Roman" w:hAnsi="Times New Roman" w:eastAsia="宋体" w:cs="Times New Roman"/>
                      <w:color w:val="BF9000" w:themeColor="accent4" w:themeShade="BF"/>
                      <w:sz w:val="21"/>
                      <w:szCs w:val="21"/>
                      <w:lang w:val="en-US" w:eastAsia="zh-CN"/>
                    </w:rPr>
                  </w:pPr>
                  <w:r>
                    <w:rPr>
                      <w:rFonts w:hint="eastAsia" w:cs="Times New Roman"/>
                      <w:color w:val="BF9000" w:themeColor="accent4" w:themeShade="BF"/>
                      <w:sz w:val="21"/>
                      <w:szCs w:val="21"/>
                      <w:lang w:val="en-US" w:eastAsia="zh-CN"/>
                    </w:rPr>
                    <w:t>0.9</w:t>
                  </w:r>
                </w:p>
              </w:tc>
              <w:tc>
                <w:tcPr>
                  <w:tcW w:w="637" w:type="pct"/>
                  <w:noWrap w:val="0"/>
                  <w:vAlign w:val="center"/>
                </w:tcPr>
                <w:p>
                  <w:pPr>
                    <w:spacing w:line="240" w:lineRule="auto"/>
                    <w:jc w:val="center"/>
                    <w:rPr>
                      <w:rFonts w:hint="default" w:ascii="Times New Roman" w:hAnsi="Times New Roman" w:eastAsia="宋体" w:cs="Times New Roman"/>
                      <w:color w:val="BF9000" w:themeColor="accent4" w:themeShade="BF"/>
                      <w:kern w:val="2"/>
                      <w:sz w:val="21"/>
                      <w:szCs w:val="21"/>
                      <w:lang w:val="en-US" w:eastAsia="zh-CN" w:bidi="ar-SA"/>
                    </w:rPr>
                  </w:pPr>
                  <w:r>
                    <w:rPr>
                      <w:rFonts w:hint="eastAsia" w:ascii="Times New Roman" w:hAnsi="Times New Roman" w:eastAsia="宋体" w:cs="Times New Roman"/>
                      <w:color w:val="BF9000" w:themeColor="accent4" w:themeShade="BF"/>
                      <w:kern w:val="2"/>
                      <w:sz w:val="21"/>
                      <w:szCs w:val="21"/>
                      <w:lang w:val="en-US" w:eastAsia="zh-CN" w:bidi="ar-SA"/>
                    </w:rPr>
                    <w:t xml:space="preserve">139111.11 </w:t>
                  </w:r>
                </w:p>
              </w:tc>
              <w:tc>
                <w:tcPr>
                  <w:tcW w:w="801" w:type="pct"/>
                  <w:vMerge w:val="restart"/>
                  <w:noWrap w:val="0"/>
                  <w:vAlign w:val="center"/>
                </w:tcPr>
                <w:p>
                  <w:pPr>
                    <w:spacing w:line="240" w:lineRule="auto"/>
                    <w:jc w:val="center"/>
                    <w:rPr>
                      <w:rFonts w:hint="default" w:ascii="Times New Roman" w:hAnsi="Times New Roman" w:eastAsia="宋体" w:cs="Times New Roman"/>
                      <w:color w:val="BF9000" w:themeColor="accent4" w:themeShade="BF"/>
                      <w:sz w:val="21"/>
                      <w:szCs w:val="21"/>
                      <w:lang w:val="en-US" w:eastAsia="zh-CN"/>
                    </w:rPr>
                  </w:pPr>
                  <w:r>
                    <w:rPr>
                      <w:rFonts w:hint="eastAsia" w:cs="Times New Roman"/>
                      <w:color w:val="BF9000" w:themeColor="accent4" w:themeShade="BF"/>
                      <w:sz w:val="21"/>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708" w:type="pct"/>
                  <w:vMerge w:val="continue"/>
                  <w:noWrap w:val="0"/>
                  <w:vAlign w:val="center"/>
                </w:tcPr>
                <w:p>
                  <w:pPr>
                    <w:widowControl/>
                    <w:spacing w:line="240" w:lineRule="auto"/>
                    <w:jc w:val="center"/>
                    <w:rPr>
                      <w:rFonts w:hint="eastAsia" w:cs="Times New Roman"/>
                      <w:snapToGrid w:val="0"/>
                      <w:color w:val="auto"/>
                      <w:sz w:val="21"/>
                      <w:szCs w:val="21"/>
                      <w:lang w:val="en-US" w:eastAsia="zh-CN"/>
                    </w:rPr>
                  </w:pPr>
                </w:p>
              </w:tc>
              <w:tc>
                <w:tcPr>
                  <w:tcW w:w="741" w:type="pct"/>
                  <w:vMerge w:val="continue"/>
                  <w:noWrap w:val="0"/>
                  <w:vAlign w:val="center"/>
                </w:tcPr>
                <w:p>
                  <w:pPr>
                    <w:widowControl/>
                    <w:spacing w:line="240" w:lineRule="auto"/>
                    <w:jc w:val="center"/>
                    <w:rPr>
                      <w:rFonts w:hint="default" w:cs="Times New Roman"/>
                      <w:snapToGrid w:val="0"/>
                      <w:color w:val="BF9000" w:themeColor="accent4" w:themeShade="BF"/>
                      <w:sz w:val="21"/>
                      <w:szCs w:val="21"/>
                      <w:lang w:val="en-US" w:eastAsia="zh-CN"/>
                    </w:rPr>
                  </w:pPr>
                </w:p>
              </w:tc>
              <w:tc>
                <w:tcPr>
                  <w:tcW w:w="680" w:type="pct"/>
                  <w:noWrap w:val="0"/>
                  <w:vAlign w:val="center"/>
                </w:tcPr>
                <w:p>
                  <w:pPr>
                    <w:spacing w:line="240" w:lineRule="auto"/>
                    <w:jc w:val="center"/>
                    <w:rPr>
                      <w:rFonts w:hint="default" w:ascii="Times New Roman" w:hAnsi="Times New Roman" w:eastAsia="宋体" w:cs="Times New Roman"/>
                      <w:color w:val="BF9000" w:themeColor="accent4" w:themeShade="BF"/>
                      <w:sz w:val="21"/>
                      <w:szCs w:val="21"/>
                    </w:rPr>
                  </w:pPr>
                  <w:r>
                    <w:rPr>
                      <w:rFonts w:hint="eastAsia" w:cs="Times New Roman"/>
                      <w:color w:val="BF9000" w:themeColor="accent4" w:themeShade="BF"/>
                      <w:sz w:val="21"/>
                      <w:szCs w:val="21"/>
                      <w:lang w:val="en-US" w:eastAsia="zh-CN"/>
                    </w:rPr>
                    <w:t>非甲烷总烃</w:t>
                  </w:r>
                </w:p>
              </w:tc>
              <w:tc>
                <w:tcPr>
                  <w:tcW w:w="714" w:type="pct"/>
                  <w:noWrap w:val="0"/>
                  <w:vAlign w:val="center"/>
                </w:tcPr>
                <w:p>
                  <w:pPr>
                    <w:spacing w:line="240" w:lineRule="auto"/>
                    <w:jc w:val="center"/>
                    <w:rPr>
                      <w:rFonts w:hint="default" w:cs="Times New Roman"/>
                      <w:bCs/>
                      <w:color w:val="BF9000" w:themeColor="accent4" w:themeShade="BF"/>
                      <w:sz w:val="21"/>
                      <w:szCs w:val="21"/>
                      <w:highlight w:val="none"/>
                      <w:lang w:val="en-US" w:eastAsia="zh-CN"/>
                    </w:rPr>
                  </w:pPr>
                  <w:r>
                    <w:rPr>
                      <w:rFonts w:hint="default" w:cs="Times New Roman"/>
                      <w:bCs/>
                      <w:color w:val="BF9000" w:themeColor="accent4" w:themeShade="BF"/>
                      <w:sz w:val="21"/>
                      <w:szCs w:val="21"/>
                      <w:highlight w:val="none"/>
                      <w:lang w:val="en-US" w:eastAsia="zh-CN"/>
                    </w:rPr>
                    <w:t>0.0007</w:t>
                  </w:r>
                </w:p>
              </w:tc>
              <w:tc>
                <w:tcPr>
                  <w:tcW w:w="716" w:type="pct"/>
                  <w:noWrap w:val="0"/>
                  <w:vAlign w:val="center"/>
                </w:tcPr>
                <w:p>
                  <w:pPr>
                    <w:spacing w:line="240" w:lineRule="auto"/>
                    <w:jc w:val="center"/>
                    <w:rPr>
                      <w:rFonts w:hint="default" w:ascii="Times New Roman" w:hAnsi="Times New Roman" w:eastAsia="宋体" w:cs="Times New Roman"/>
                      <w:color w:val="BF9000" w:themeColor="accent4" w:themeShade="BF"/>
                      <w:kern w:val="2"/>
                      <w:sz w:val="21"/>
                      <w:szCs w:val="21"/>
                      <w:lang w:val="en-US" w:eastAsia="zh-CN" w:bidi="ar-SA"/>
                    </w:rPr>
                  </w:pPr>
                  <w:r>
                    <w:rPr>
                      <w:rFonts w:hint="eastAsia" w:cs="Times New Roman"/>
                      <w:color w:val="BF9000" w:themeColor="accent4" w:themeShade="BF"/>
                      <w:kern w:val="2"/>
                      <w:sz w:val="21"/>
                      <w:szCs w:val="21"/>
                      <w:lang w:val="en-US" w:eastAsia="zh-CN" w:bidi="ar-SA"/>
                    </w:rPr>
                    <w:t>2</w:t>
                  </w:r>
                </w:p>
              </w:tc>
              <w:tc>
                <w:tcPr>
                  <w:tcW w:w="637" w:type="pct"/>
                  <w:noWrap w:val="0"/>
                  <w:vAlign w:val="center"/>
                </w:tcPr>
                <w:p>
                  <w:pPr>
                    <w:spacing w:line="240" w:lineRule="auto"/>
                    <w:jc w:val="center"/>
                    <w:rPr>
                      <w:rFonts w:hint="eastAsia" w:ascii="Times New Roman" w:hAnsi="Times New Roman" w:eastAsia="宋体" w:cs="Times New Roman"/>
                      <w:color w:val="BF9000" w:themeColor="accent4" w:themeShade="BF"/>
                      <w:kern w:val="2"/>
                      <w:sz w:val="21"/>
                      <w:szCs w:val="21"/>
                      <w:lang w:val="en-US" w:eastAsia="zh-CN" w:bidi="ar-SA"/>
                    </w:rPr>
                  </w:pPr>
                  <w:r>
                    <w:rPr>
                      <w:rFonts w:hint="eastAsia" w:ascii="Times New Roman" w:hAnsi="Times New Roman" w:eastAsia="宋体" w:cs="Times New Roman"/>
                      <w:color w:val="BF9000" w:themeColor="accent4" w:themeShade="BF"/>
                      <w:kern w:val="2"/>
                      <w:sz w:val="21"/>
                      <w:szCs w:val="21"/>
                      <w:lang w:val="en-US" w:eastAsia="zh-CN" w:bidi="ar-SA"/>
                    </w:rPr>
                    <w:t xml:space="preserve">350 </w:t>
                  </w:r>
                </w:p>
              </w:tc>
              <w:tc>
                <w:tcPr>
                  <w:tcW w:w="801" w:type="pct"/>
                  <w:vMerge w:val="continue"/>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08" w:type="pct"/>
                  <w:vMerge w:val="continue"/>
                  <w:noWrap w:val="0"/>
                  <w:vAlign w:val="center"/>
                </w:tcPr>
                <w:p>
                  <w:pPr>
                    <w:widowControl/>
                    <w:spacing w:line="240" w:lineRule="auto"/>
                    <w:jc w:val="center"/>
                    <w:rPr>
                      <w:rFonts w:hint="eastAsia" w:cs="Times New Roman"/>
                      <w:snapToGrid w:val="0"/>
                      <w:color w:val="auto"/>
                      <w:sz w:val="21"/>
                      <w:szCs w:val="21"/>
                      <w:lang w:val="en-US" w:eastAsia="zh-CN"/>
                    </w:rPr>
                  </w:pPr>
                </w:p>
              </w:tc>
              <w:tc>
                <w:tcPr>
                  <w:tcW w:w="741" w:type="pct"/>
                  <w:vMerge w:val="continue"/>
                  <w:noWrap w:val="0"/>
                  <w:vAlign w:val="center"/>
                </w:tcPr>
                <w:p>
                  <w:pPr>
                    <w:widowControl/>
                    <w:spacing w:line="240" w:lineRule="auto"/>
                    <w:jc w:val="center"/>
                    <w:rPr>
                      <w:rFonts w:hint="default" w:cs="Times New Roman"/>
                      <w:snapToGrid w:val="0"/>
                      <w:color w:val="BF9000" w:themeColor="accent4" w:themeShade="BF"/>
                      <w:sz w:val="21"/>
                      <w:szCs w:val="21"/>
                      <w:lang w:val="en-US" w:eastAsia="zh-CN"/>
                    </w:rPr>
                  </w:pPr>
                </w:p>
              </w:tc>
              <w:tc>
                <w:tcPr>
                  <w:tcW w:w="680" w:type="pct"/>
                  <w:noWrap w:val="0"/>
                  <w:vAlign w:val="center"/>
                </w:tcPr>
                <w:p>
                  <w:pPr>
                    <w:spacing w:line="240" w:lineRule="auto"/>
                    <w:jc w:val="center"/>
                    <w:rPr>
                      <w:rFonts w:hint="default" w:ascii="Times New Roman" w:hAnsi="Times New Roman" w:eastAsia="宋体" w:cs="Times New Roman"/>
                      <w:color w:val="BF9000" w:themeColor="accent4" w:themeShade="BF"/>
                      <w:sz w:val="21"/>
                      <w:szCs w:val="21"/>
                      <w:lang w:val="en-US" w:eastAsia="zh-CN"/>
                    </w:rPr>
                  </w:pPr>
                  <w:r>
                    <w:rPr>
                      <w:rFonts w:hint="default" w:ascii="Times New Roman" w:hAnsi="Times New Roman" w:eastAsia="宋体" w:cs="Times New Roman"/>
                      <w:color w:val="BF9000" w:themeColor="accent4" w:themeShade="BF"/>
                      <w:sz w:val="21"/>
                      <w:szCs w:val="21"/>
                      <w:lang w:val="en-US" w:eastAsia="zh-CN"/>
                    </w:rPr>
                    <w:t>总VOCs</w:t>
                  </w:r>
                </w:p>
              </w:tc>
              <w:tc>
                <w:tcPr>
                  <w:tcW w:w="714" w:type="pct"/>
                  <w:noWrap w:val="0"/>
                  <w:vAlign w:val="center"/>
                </w:tcPr>
                <w:p>
                  <w:pPr>
                    <w:spacing w:line="240" w:lineRule="auto"/>
                    <w:jc w:val="center"/>
                    <w:rPr>
                      <w:rFonts w:hint="default" w:cs="Times New Roman"/>
                      <w:bCs/>
                      <w:color w:val="BF9000" w:themeColor="accent4" w:themeShade="BF"/>
                      <w:sz w:val="21"/>
                      <w:szCs w:val="21"/>
                      <w:highlight w:val="none"/>
                      <w:lang w:val="en-US" w:eastAsia="zh-CN"/>
                    </w:rPr>
                  </w:pPr>
                  <w:r>
                    <w:rPr>
                      <w:rFonts w:hint="default" w:cs="Times New Roman"/>
                      <w:bCs/>
                      <w:color w:val="BF9000" w:themeColor="accent4" w:themeShade="BF"/>
                      <w:sz w:val="21"/>
                      <w:szCs w:val="21"/>
                      <w:highlight w:val="none"/>
                      <w:lang w:val="en-US" w:eastAsia="zh-CN"/>
                    </w:rPr>
                    <w:t>0.0001</w:t>
                  </w:r>
                </w:p>
              </w:tc>
              <w:tc>
                <w:tcPr>
                  <w:tcW w:w="716" w:type="pct"/>
                  <w:noWrap w:val="0"/>
                  <w:vAlign w:val="center"/>
                </w:tcPr>
                <w:p>
                  <w:pPr>
                    <w:spacing w:line="240" w:lineRule="auto"/>
                    <w:jc w:val="center"/>
                    <w:rPr>
                      <w:rFonts w:hint="default" w:ascii="Times New Roman" w:hAnsi="Times New Roman" w:eastAsia="宋体" w:cs="Times New Roman"/>
                      <w:color w:val="BF9000" w:themeColor="accent4" w:themeShade="BF"/>
                      <w:kern w:val="2"/>
                      <w:sz w:val="21"/>
                      <w:szCs w:val="21"/>
                      <w:lang w:val="en-US" w:eastAsia="zh-CN" w:bidi="ar-SA"/>
                    </w:rPr>
                  </w:pPr>
                  <w:r>
                    <w:rPr>
                      <w:rFonts w:hint="eastAsia" w:cs="Times New Roman"/>
                      <w:color w:val="BF9000" w:themeColor="accent4" w:themeShade="BF"/>
                      <w:kern w:val="2"/>
                      <w:sz w:val="21"/>
                      <w:szCs w:val="21"/>
                      <w:lang w:val="en-US" w:eastAsia="zh-CN" w:bidi="ar-SA"/>
                    </w:rPr>
                    <w:t>1.2</w:t>
                  </w:r>
                </w:p>
              </w:tc>
              <w:tc>
                <w:tcPr>
                  <w:tcW w:w="637" w:type="pct"/>
                  <w:noWrap w:val="0"/>
                  <w:vAlign w:val="center"/>
                </w:tcPr>
                <w:p>
                  <w:pPr>
                    <w:spacing w:line="240" w:lineRule="auto"/>
                    <w:jc w:val="center"/>
                    <w:rPr>
                      <w:rFonts w:hint="eastAsia" w:ascii="Times New Roman" w:hAnsi="Times New Roman" w:eastAsia="宋体" w:cs="Times New Roman"/>
                      <w:color w:val="BF9000" w:themeColor="accent4" w:themeShade="BF"/>
                      <w:kern w:val="2"/>
                      <w:sz w:val="21"/>
                      <w:szCs w:val="21"/>
                      <w:lang w:val="en-US" w:eastAsia="zh-CN" w:bidi="ar-SA"/>
                    </w:rPr>
                  </w:pPr>
                  <w:r>
                    <w:rPr>
                      <w:rFonts w:hint="eastAsia" w:ascii="Times New Roman" w:hAnsi="Times New Roman" w:eastAsia="宋体" w:cs="Times New Roman"/>
                      <w:color w:val="BF9000" w:themeColor="accent4" w:themeShade="BF"/>
                      <w:kern w:val="2"/>
                      <w:sz w:val="21"/>
                      <w:szCs w:val="21"/>
                      <w:lang w:val="en-US" w:eastAsia="zh-CN" w:bidi="ar-SA"/>
                    </w:rPr>
                    <w:t xml:space="preserve">83.33 </w:t>
                  </w:r>
                </w:p>
              </w:tc>
              <w:tc>
                <w:tcPr>
                  <w:tcW w:w="801" w:type="pct"/>
                  <w:vMerge w:val="continue"/>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5000" w:type="pct"/>
                  <w:gridSpan w:val="7"/>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备注：①</w:t>
                  </w:r>
                  <w:r>
                    <w:rPr>
                      <w:b/>
                      <w:bCs/>
                      <w:color w:val="auto"/>
                      <w:sz w:val="20"/>
                      <w:szCs w:val="20"/>
                    </w:rPr>
                    <w:t>根据《大气有害物质无组织排放卫生防护距离推导技术导则》（GB-T39499-2020）中“5.2.2标准限值</w:t>
                  </w:r>
                  <w:r>
                    <w:rPr>
                      <w:i/>
                      <w:iCs/>
                      <w:color w:val="auto"/>
                      <w:sz w:val="20"/>
                      <w:szCs w:val="20"/>
                    </w:rPr>
                    <w:t>C</w:t>
                  </w:r>
                  <w:r>
                    <w:rPr>
                      <w:i/>
                      <w:iCs/>
                      <w:color w:val="auto"/>
                      <w:sz w:val="20"/>
                      <w:szCs w:val="20"/>
                      <w:vertAlign w:val="subscript"/>
                    </w:rPr>
                    <w:t>m</w:t>
                  </w:r>
                  <w:r>
                    <w:rPr>
                      <w:b/>
                      <w:bCs/>
                      <w:color w:val="auto"/>
                      <w:sz w:val="20"/>
                      <w:szCs w:val="20"/>
                    </w:rPr>
                    <w:t>”：当特征大气有害物质在 GB 3095中无规定时，可按照HJ 2.2中规定的1h平均标准值；</w:t>
                  </w:r>
                  <w:r>
                    <w:rPr>
                      <w:rFonts w:hint="eastAsia"/>
                      <w:b/>
                      <w:bCs/>
                      <w:color w:val="auto"/>
                      <w:sz w:val="20"/>
                      <w:szCs w:val="20"/>
                    </w:rPr>
                    <w:t>当特征大气有害物质在</w:t>
                  </w:r>
                  <w:r>
                    <w:rPr>
                      <w:b/>
                      <w:bCs/>
                      <w:color w:val="auto"/>
                      <w:sz w:val="20"/>
                      <w:szCs w:val="20"/>
                    </w:rPr>
                    <w:t xml:space="preserve">GB 3095 </w:t>
                  </w:r>
                  <w:r>
                    <w:rPr>
                      <w:rFonts w:hint="eastAsia"/>
                      <w:b/>
                      <w:bCs/>
                      <w:color w:val="auto"/>
                      <w:sz w:val="20"/>
                      <w:szCs w:val="20"/>
                    </w:rPr>
                    <w:t>中有规定的二级标准日均值时，一般可取其二级标准日均值的三倍，因此本项目颗粒物</w:t>
                  </w:r>
                  <w:r>
                    <w:rPr>
                      <w:b/>
                      <w:bCs/>
                      <w:color w:val="auto"/>
                      <w:sz w:val="20"/>
                      <w:szCs w:val="20"/>
                    </w:rPr>
                    <w:t>环境空气质量的标准浓度限值</w:t>
                  </w:r>
                  <w:r>
                    <w:rPr>
                      <w:b/>
                      <w:bCs/>
                      <w:i/>
                      <w:iCs/>
                      <w:color w:val="auto"/>
                      <w:sz w:val="20"/>
                      <w:szCs w:val="20"/>
                    </w:rPr>
                    <w:t>C</w:t>
                  </w:r>
                  <w:r>
                    <w:rPr>
                      <w:b/>
                      <w:bCs/>
                      <w:i/>
                      <w:iCs/>
                      <w:color w:val="auto"/>
                      <w:sz w:val="20"/>
                      <w:szCs w:val="20"/>
                      <w:vertAlign w:val="subscript"/>
                    </w:rPr>
                    <w:t>m</w:t>
                  </w:r>
                  <w:r>
                    <w:rPr>
                      <w:rFonts w:hint="eastAsia"/>
                      <w:b/>
                      <w:bCs/>
                      <w:color w:val="auto"/>
                      <w:sz w:val="20"/>
                      <w:szCs w:val="20"/>
                    </w:rPr>
                    <w:t>=0.3×3=0.9</w:t>
                  </w:r>
                  <w:r>
                    <w:rPr>
                      <w:rFonts w:eastAsia="Times New Roman"/>
                      <w:b/>
                      <w:bCs/>
                      <w:color w:val="auto"/>
                      <w:sz w:val="20"/>
                      <w:szCs w:val="20"/>
                    </w:rPr>
                    <w:t>mg/m</w:t>
                  </w:r>
                  <w:r>
                    <w:rPr>
                      <w:rFonts w:eastAsia="Times New Roman"/>
                      <w:b/>
                      <w:bCs/>
                      <w:color w:val="auto"/>
                      <w:sz w:val="20"/>
                      <w:szCs w:val="20"/>
                      <w:vertAlign w:val="superscript"/>
                    </w:rPr>
                    <w:t>3</w:t>
                  </w:r>
                  <w:r>
                    <w:rPr>
                      <w:rFonts w:hint="eastAsia"/>
                      <w:b/>
                      <w:bCs/>
                      <w:color w:val="auto"/>
                      <w:sz w:val="20"/>
                      <w:szCs w:val="20"/>
                    </w:rPr>
                    <w:t>；总VOCs</w:t>
                  </w:r>
                  <w:r>
                    <w:rPr>
                      <w:b/>
                      <w:bCs/>
                      <w:color w:val="auto"/>
                      <w:sz w:val="20"/>
                      <w:szCs w:val="20"/>
                    </w:rPr>
                    <w:t>的大气有害物质环境空气质量的标准浓度限值（</w:t>
                  </w:r>
                  <w:r>
                    <w:rPr>
                      <w:i/>
                      <w:iCs/>
                      <w:color w:val="auto"/>
                      <w:sz w:val="20"/>
                      <w:szCs w:val="20"/>
                    </w:rPr>
                    <w:t>C</w:t>
                  </w:r>
                  <w:r>
                    <w:rPr>
                      <w:i/>
                      <w:iCs/>
                      <w:color w:val="auto"/>
                      <w:sz w:val="20"/>
                      <w:szCs w:val="20"/>
                      <w:vertAlign w:val="subscript"/>
                    </w:rPr>
                    <w:t>m</w:t>
                  </w:r>
                  <w:r>
                    <w:rPr>
                      <w:b/>
                      <w:bCs/>
                      <w:color w:val="auto"/>
                      <w:sz w:val="20"/>
                      <w:szCs w:val="20"/>
                    </w:rPr>
                    <w:t>）取《环境影响评价技术导则 大气环境》（HJ 2.2-2018）》附录D的标准值按照2倍折算为1h平均质量浓度限值为1.2mg/m</w:t>
                  </w:r>
                  <w:r>
                    <w:rPr>
                      <w:b/>
                      <w:bCs/>
                      <w:color w:val="auto"/>
                      <w:sz w:val="20"/>
                      <w:szCs w:val="20"/>
                      <w:vertAlign w:val="superscript"/>
                    </w:rPr>
                    <w:t>3</w:t>
                  </w:r>
                  <w:r>
                    <w:rPr>
                      <w:b/>
                      <w:bCs/>
                      <w:color w:val="auto"/>
                      <w:sz w:val="20"/>
                      <w:szCs w:val="20"/>
                    </w:rPr>
                    <w:t>；</w:t>
                  </w:r>
                  <w:r>
                    <w:rPr>
                      <w:rFonts w:hint="eastAsia"/>
                      <w:b/>
                      <w:bCs/>
                      <w:color w:val="auto"/>
                      <w:sz w:val="20"/>
                      <w:szCs w:val="20"/>
                    </w:rPr>
                    <w:t>非甲烷总烃</w:t>
                  </w:r>
                  <w:r>
                    <w:rPr>
                      <w:b/>
                      <w:bCs/>
                      <w:color w:val="auto"/>
                      <w:sz w:val="20"/>
                      <w:szCs w:val="20"/>
                    </w:rPr>
                    <w:t>的大气有害物质环境空气质量的标准浓度限值（</w:t>
                  </w:r>
                  <w:r>
                    <w:rPr>
                      <w:i/>
                      <w:iCs/>
                      <w:color w:val="auto"/>
                      <w:sz w:val="20"/>
                      <w:szCs w:val="20"/>
                    </w:rPr>
                    <w:t>C</w:t>
                  </w:r>
                  <w:r>
                    <w:rPr>
                      <w:i/>
                      <w:iCs/>
                      <w:color w:val="auto"/>
                      <w:sz w:val="20"/>
                      <w:szCs w:val="20"/>
                      <w:vertAlign w:val="subscript"/>
                    </w:rPr>
                    <w:t>m</w:t>
                  </w:r>
                  <w:r>
                    <w:rPr>
                      <w:b/>
                      <w:bCs/>
                      <w:color w:val="auto"/>
                      <w:sz w:val="20"/>
                      <w:szCs w:val="20"/>
                    </w:rPr>
                    <w:t>）</w:t>
                  </w:r>
                  <w:r>
                    <w:rPr>
                      <w:rFonts w:hint="eastAsia"/>
                      <w:b/>
                      <w:bCs/>
                      <w:color w:val="auto"/>
                      <w:sz w:val="20"/>
                      <w:szCs w:val="20"/>
                    </w:rPr>
                    <w:t>参考《大气污染物综合排放标准详解》取2mg/m</w:t>
                  </w:r>
                  <w:r>
                    <w:rPr>
                      <w:rFonts w:hint="eastAsia"/>
                      <w:b/>
                      <w:bCs/>
                      <w:color w:val="auto"/>
                      <w:sz w:val="20"/>
                      <w:szCs w:val="20"/>
                      <w:vertAlign w:val="superscript"/>
                    </w:rPr>
                    <w:t>3</w:t>
                  </w:r>
                  <w:r>
                    <w:rPr>
                      <w:b/>
                      <w:bCs/>
                      <w:color w:val="auto"/>
                      <w:sz w:val="20"/>
                      <w:szCs w:val="20"/>
                    </w:rPr>
                    <w:t>。</w:t>
                  </w:r>
                </w:p>
              </w:tc>
            </w:tr>
          </w:tbl>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BF9000" w:themeColor="accent4" w:themeShade="BF"/>
                <w:sz w:val="24"/>
                <w:szCs w:val="24"/>
                <w:lang w:val="en-US" w:eastAsia="zh-CN"/>
              </w:rPr>
            </w:pPr>
            <w:r>
              <w:rPr>
                <w:rFonts w:hint="eastAsia" w:cs="Times New Roman"/>
                <w:color w:val="BF9000" w:themeColor="accent4" w:themeShade="BF"/>
                <w:sz w:val="24"/>
                <w:szCs w:val="24"/>
                <w:lang w:val="en-US" w:eastAsia="zh-CN"/>
              </w:rPr>
              <w:t>根据上述计算，本项目等标排放量中最大的为颗粒物，因此本项目选择其作为计算卫生防护距离的因子。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卫生防护距离初值计算公式如下：</w:t>
            </w:r>
          </w:p>
          <w:p>
            <w:pPr>
              <w:pStyle w:val="99"/>
              <w:spacing w:line="360" w:lineRule="auto"/>
              <w:ind w:firstLine="420" w:firstLineChars="200"/>
              <w:jc w:val="center"/>
              <w:rPr>
                <w:color w:val="auto"/>
                <w:sz w:val="21"/>
                <w:szCs w:val="21"/>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式中：</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Qc——大气有害物质的无组织排放量，单位为千克每小时（kg/h）；</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Cm——大气有害物质环境空气质量的标准限值，单位为毫克每立方米（mg/m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L——大气有害物质生防护距离初值，单位为米（m）；</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r——大气有害物质无组织排放源所在生产单元的等效半径，单位为米（m）；</w:t>
            </w:r>
          </w:p>
          <w:p>
            <w:pPr>
              <w:keepNext w:val="0"/>
              <w:keepLines w:val="0"/>
              <w:pageBreakBefore w:val="0"/>
              <w:widowControl w:val="0"/>
              <w:numPr>
                <w:ilvl w:val="0"/>
                <w:numId w:val="15"/>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B、C、D——卫生防护距离初值计算系数，无因次，根据工业企业所在地区近5年平均风速及大气污染源构成类别从下表选取。</w:t>
            </w:r>
          </w:p>
          <w:p>
            <w:pPr>
              <w:pStyle w:val="44"/>
              <w:numPr>
                <w:ilvl w:val="0"/>
                <w:numId w:val="9"/>
              </w:numPr>
              <w:shd w:val="clear" w:color="auto" w:fill="auto"/>
              <w:tabs>
                <w:tab w:val="clear" w:pos="0"/>
              </w:tabs>
              <w:bidi w:val="0"/>
              <w:ind w:left="0" w:leftChars="0" w:firstLine="403" w:firstLineChars="0"/>
              <w:rPr>
                <w:rFonts w:ascii="Times New Roman" w:hAnsi="Times New Roman" w:eastAsia="宋体" w:cs="Times New Roman"/>
                <w:color w:val="auto"/>
              </w:rPr>
            </w:pPr>
            <w:r>
              <w:rPr>
                <w:rFonts w:ascii="Times New Roman" w:hAnsi="Times New Roman" w:eastAsia="宋体" w:cs="Times New Roman"/>
                <w:color w:val="auto"/>
              </w:rPr>
              <w:t>卫生防护距离初值计算系数</w:t>
            </w:r>
          </w:p>
          <w:tbl>
            <w:tblPr>
              <w:tblStyle w:val="29"/>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1356"/>
              <w:gridCol w:w="787"/>
              <w:gridCol w:w="787"/>
              <w:gridCol w:w="789"/>
              <w:gridCol w:w="787"/>
              <w:gridCol w:w="787"/>
              <w:gridCol w:w="789"/>
              <w:gridCol w:w="787"/>
              <w:gridCol w:w="787"/>
              <w:gridCol w:w="79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4" w:hRule="exac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计</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算</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系</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w:t>
                  </w:r>
                </w:p>
              </w:tc>
              <w:tc>
                <w:tcPr>
                  <w:tcW w:w="733" w:type="pct"/>
                  <w:vMerge w:val="restar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工业企业所在地区近5年平均风速m/s</w:t>
                  </w:r>
                </w:p>
              </w:tc>
              <w:tc>
                <w:tcPr>
                  <w:tcW w:w="3831" w:type="pct"/>
                  <w:gridSpan w:val="9"/>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卫生防护距离L，m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2"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L≤1000</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1000＜L≤2000</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L＞2000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10"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3831" w:type="pct"/>
                  <w:gridSpan w:val="9"/>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工业企业大气污染源构成类别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33"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47"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380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&gt;4</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917" w:hRule="atLeast"/>
                <w:jc w:val="center"/>
              </w:trPr>
              <w:tc>
                <w:tcPr>
                  <w:tcW w:w="5000" w:type="pct"/>
                  <w:gridSpan w:val="11"/>
                  <w:tcBorders>
                    <w:left w:val="single" w:color="auto" w:sz="4" w:space="0"/>
                    <w:right w:val="single" w:color="auto" w:sz="4" w:space="0"/>
                  </w:tcBorders>
                  <w:noWrap w:val="0"/>
                  <w:vAlign w:val="center"/>
                </w:tcPr>
                <w:p>
                  <w:pPr>
                    <w:pStyle w:val="100"/>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注：</w:t>
                  </w:r>
                </w:p>
                <w:p>
                  <w:pPr>
                    <w:pStyle w:val="100"/>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Ⅰ类：与无组织排放源共存的排放同种有害气体的排气筒的排放量，大于或等于标准规定的允许排放量的三分之一者。</w:t>
                  </w:r>
                </w:p>
                <w:p>
                  <w:pPr>
                    <w:pStyle w:val="100"/>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pStyle w:val="48"/>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422" w:firstLineChars="20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Ⅲ类：无排放同种有害物质的排气筒与无组织排放源共存，且无组织排放的有害物质的容许浓度是按慢性反应指标确定者。</w:t>
                  </w:r>
                </w:p>
              </w:tc>
            </w:tr>
          </w:tbl>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本项目所在地区近5年平均风速为2.2m/s，且大气污染源属于Ⅱ类，按上述公式对本项目无组织排放的卫生防护距离进行计算，项目卫生防护距离计算参数取值及具体计算结果见下表。</w:t>
            </w:r>
          </w:p>
          <w:p>
            <w:pPr>
              <w:pStyle w:val="44"/>
              <w:numPr>
                <w:ilvl w:val="0"/>
                <w:numId w:val="9"/>
              </w:numPr>
              <w:tabs>
                <w:tab w:val="clear" w:pos="0"/>
              </w:tabs>
              <w:bidi w:val="0"/>
              <w:ind w:left="0" w:leftChars="0" w:firstLine="403" w:firstLineChars="0"/>
              <w:rPr>
                <w:color w:val="auto"/>
              </w:rPr>
            </w:pPr>
            <w:r>
              <w:rPr>
                <w:color w:val="auto"/>
              </w:rPr>
              <w:t>项目卫生防护距离初值计算参数选取</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214"/>
              <w:gridCol w:w="2188"/>
              <w:gridCol w:w="1086"/>
              <w:gridCol w:w="1085"/>
              <w:gridCol w:w="951"/>
              <w:gridCol w:w="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421" w:type="pct"/>
                  <w:vMerge w:val="restar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计算系数</w:t>
                  </w:r>
                </w:p>
              </w:tc>
              <w:tc>
                <w:tcPr>
                  <w:tcW w:w="1196"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工业企业所在地区近五年平均风速m/s</w:t>
                  </w:r>
                </w:p>
              </w:tc>
              <w:tc>
                <w:tcPr>
                  <w:tcW w:w="1182"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工业企业大气污染源构成类别</w:t>
                  </w:r>
                </w:p>
              </w:tc>
              <w:tc>
                <w:tcPr>
                  <w:tcW w:w="587"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A</w:t>
                  </w:r>
                </w:p>
              </w:tc>
              <w:tc>
                <w:tcPr>
                  <w:tcW w:w="586"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B</w:t>
                  </w:r>
                </w:p>
              </w:tc>
              <w:tc>
                <w:tcPr>
                  <w:tcW w:w="514"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C</w:t>
                  </w:r>
                </w:p>
              </w:tc>
              <w:tc>
                <w:tcPr>
                  <w:tcW w:w="511"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421"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1196"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w:t>
                  </w:r>
                </w:p>
              </w:tc>
              <w:tc>
                <w:tcPr>
                  <w:tcW w:w="1182"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587"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586"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514"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511"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r>
          </w:tbl>
          <w:p>
            <w:pPr>
              <w:pStyle w:val="44"/>
              <w:numPr>
                <w:ilvl w:val="0"/>
                <w:numId w:val="9"/>
              </w:numPr>
              <w:tabs>
                <w:tab w:val="clear" w:pos="0"/>
              </w:tabs>
              <w:bidi w:val="0"/>
              <w:ind w:left="0" w:leftChars="0" w:firstLine="403" w:firstLineChars="0"/>
              <w:rPr>
                <w:color w:val="auto"/>
              </w:rPr>
            </w:pPr>
            <w:r>
              <w:rPr>
                <w:color w:val="auto"/>
              </w:rPr>
              <w:t>无组织废气卫生防护距离初值计算结果</w:t>
            </w:r>
          </w:p>
          <w:tbl>
            <w:tblPr>
              <w:tblStyle w:val="29"/>
              <w:tblW w:w="9397"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0" w:type="dxa"/>
                <w:bottom w:w="0" w:type="dxa"/>
                <w:right w:w="0" w:type="dxa"/>
              </w:tblCellMar>
            </w:tblPr>
            <w:tblGrid>
              <w:gridCol w:w="1175"/>
              <w:gridCol w:w="1888"/>
              <w:gridCol w:w="1140"/>
              <w:gridCol w:w="1369"/>
              <w:gridCol w:w="1219"/>
              <w:gridCol w:w="1303"/>
              <w:gridCol w:w="1303"/>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771" w:hRule="atLeast"/>
                <w:jc w:val="center"/>
              </w:trPr>
              <w:tc>
                <w:tcPr>
                  <w:tcW w:w="625"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生产</w:t>
                  </w:r>
                </w:p>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单元</w:t>
                  </w:r>
                </w:p>
              </w:tc>
              <w:tc>
                <w:tcPr>
                  <w:tcW w:w="1004"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kern w:val="0"/>
                      <w:sz w:val="21"/>
                      <w:szCs w:val="21"/>
                      <w:highlight w:val="none"/>
                      <w:lang w:bidi="ar"/>
                    </w:rPr>
                    <w:t>占地面积</w:t>
                  </w:r>
                  <w:r>
                    <w:rPr>
                      <w:rFonts w:hint="default" w:ascii="Times New Roman" w:hAnsi="Times New Roman" w:eastAsia="宋体" w:cs="Times New Roman"/>
                      <w:b/>
                      <w:bCs w:val="0"/>
                      <w:color w:val="auto"/>
                      <w:sz w:val="21"/>
                      <w:szCs w:val="21"/>
                      <w:highlight w:val="none"/>
                    </w:rPr>
                    <w:t>m</w:t>
                  </w:r>
                  <w:r>
                    <w:rPr>
                      <w:rFonts w:hint="default" w:ascii="Times New Roman" w:hAnsi="Times New Roman" w:eastAsia="宋体" w:cs="Times New Roman"/>
                      <w:b/>
                      <w:bCs w:val="0"/>
                      <w:color w:val="auto"/>
                      <w:sz w:val="21"/>
                      <w:szCs w:val="21"/>
                      <w:highlight w:val="none"/>
                      <w:vertAlign w:val="superscript"/>
                    </w:rPr>
                    <w:t>2</w:t>
                  </w:r>
                </w:p>
              </w:tc>
              <w:tc>
                <w:tcPr>
                  <w:tcW w:w="606"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sz w:val="21"/>
                      <w:szCs w:val="21"/>
                      <w:highlight w:val="none"/>
                    </w:rPr>
                    <w:t>污染物</w:t>
                  </w:r>
                </w:p>
              </w:tc>
              <w:tc>
                <w:tcPr>
                  <w:tcW w:w="728"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标准限值</w:t>
                  </w:r>
                  <w:r>
                    <w:rPr>
                      <w:rFonts w:hint="default" w:ascii="Times New Roman" w:hAnsi="Times New Roman" w:eastAsia="宋体" w:cs="Times New Roman"/>
                      <w:b/>
                      <w:bCs w:val="0"/>
                      <w:color w:val="auto"/>
                      <w:sz w:val="21"/>
                      <w:szCs w:val="21"/>
                      <w:highlight w:val="none"/>
                    </w:rPr>
                    <w:t>mg/m</w:t>
                  </w:r>
                  <w:r>
                    <w:rPr>
                      <w:rFonts w:hint="default" w:ascii="Times New Roman" w:hAnsi="Times New Roman" w:eastAsia="宋体" w:cs="Times New Roman"/>
                      <w:b/>
                      <w:bCs w:val="0"/>
                      <w:color w:val="auto"/>
                      <w:sz w:val="21"/>
                      <w:szCs w:val="21"/>
                      <w:highlight w:val="none"/>
                      <w:vertAlign w:val="superscript"/>
                    </w:rPr>
                    <w:t>3</w:t>
                  </w:r>
                </w:p>
              </w:tc>
              <w:tc>
                <w:tcPr>
                  <w:tcW w:w="648"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无组织排放量kg/h</w:t>
                  </w:r>
                </w:p>
              </w:tc>
              <w:tc>
                <w:tcPr>
                  <w:tcW w:w="693"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sz w:val="21"/>
                      <w:szCs w:val="21"/>
                      <w:highlight w:val="none"/>
                    </w:rPr>
                    <w:t>卫生防护距离初值m</w:t>
                  </w:r>
                </w:p>
              </w:tc>
              <w:tc>
                <w:tcPr>
                  <w:tcW w:w="693" w:type="pct"/>
                  <w:noWrap w:val="0"/>
                  <w:tcMar>
                    <w:top w:w="15" w:type="dxa"/>
                    <w:left w:w="15" w:type="dxa"/>
                    <w:right w:w="15" w:type="dxa"/>
                  </w:tcMar>
                  <w:vAlign w:val="center"/>
                </w:tcPr>
                <w:p>
                  <w:pPr>
                    <w:widowControl/>
                    <w:tabs>
                      <w:tab w:val="left" w:pos="301"/>
                      <w:tab w:val="center" w:pos="696"/>
                    </w:tabs>
                    <w:spacing w:line="240" w:lineRule="auto"/>
                    <w:jc w:val="left"/>
                    <w:textAlignment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卫生防护距离</w:t>
                  </w:r>
                  <w:r>
                    <w:rPr>
                      <w:rFonts w:hint="default" w:ascii="Times New Roman" w:hAnsi="Times New Roman" w:eastAsia="宋体" w:cs="Times New Roman"/>
                      <w:b/>
                      <w:bCs w:val="0"/>
                      <w:color w:val="auto"/>
                      <w:sz w:val="21"/>
                      <w:szCs w:val="21"/>
                      <w:highlight w:val="none"/>
                      <w:lang w:eastAsia="zh-CN"/>
                    </w:rPr>
                    <w:tab/>
                  </w:r>
                  <w:r>
                    <w:rPr>
                      <w:rFonts w:hint="default" w:ascii="Times New Roman" w:hAnsi="Times New Roman" w:eastAsia="宋体" w:cs="Times New Roman"/>
                      <w:b/>
                      <w:bCs w:val="0"/>
                      <w:color w:val="auto"/>
                      <w:sz w:val="21"/>
                      <w:szCs w:val="21"/>
                      <w:highlight w:val="none"/>
                    </w:rPr>
                    <w:t>终值/m</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79" w:hRule="atLeast"/>
                <w:jc w:val="center"/>
              </w:trPr>
              <w:tc>
                <w:tcPr>
                  <w:tcW w:w="625"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生产车间1F</w:t>
                  </w:r>
                </w:p>
              </w:tc>
              <w:tc>
                <w:tcPr>
                  <w:tcW w:w="1004"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1160.33</w:t>
                  </w:r>
                </w:p>
              </w:tc>
              <w:tc>
                <w:tcPr>
                  <w:tcW w:w="606"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颗粒物</w:t>
                  </w:r>
                </w:p>
              </w:tc>
              <w:tc>
                <w:tcPr>
                  <w:tcW w:w="728"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0.9</w:t>
                  </w:r>
                </w:p>
              </w:tc>
              <w:tc>
                <w:tcPr>
                  <w:tcW w:w="648" w:type="pct"/>
                  <w:noWrap w:val="0"/>
                  <w:tcMar>
                    <w:top w:w="15" w:type="dxa"/>
                    <w:left w:w="15" w:type="dxa"/>
                    <w:right w:w="15" w:type="dxa"/>
                  </w:tcMar>
                  <w:vAlign w:val="center"/>
                </w:tcPr>
                <w:p>
                  <w:pPr>
                    <w:spacing w:line="240" w:lineRule="auto"/>
                    <w:jc w:val="center"/>
                    <w:rPr>
                      <w:rFonts w:hint="default" w:eastAsia="宋体"/>
                      <w:color w:val="BF9000" w:themeColor="accent4" w:themeShade="BF"/>
                      <w:lang w:val="en-US" w:eastAsia="zh-CN"/>
                    </w:rPr>
                  </w:pPr>
                  <w:r>
                    <w:rPr>
                      <w:rFonts w:hint="default" w:ascii="Times New Roman" w:hAnsi="Times New Roman" w:eastAsia="宋体" w:cs="Times New Roman"/>
                      <w:color w:val="BF9000" w:themeColor="accent4" w:themeShade="BF"/>
                      <w:sz w:val="21"/>
                      <w:szCs w:val="21"/>
                      <w:lang w:val="en-US" w:eastAsia="zh-CN"/>
                    </w:rPr>
                    <w:t>0.1252</w:t>
                  </w:r>
                </w:p>
              </w:tc>
              <w:tc>
                <w:tcPr>
                  <w:tcW w:w="693" w:type="pct"/>
                  <w:noWrap w:val="0"/>
                  <w:tcMar>
                    <w:top w:w="15" w:type="dxa"/>
                    <w:left w:w="15" w:type="dxa"/>
                    <w:right w:w="15" w:type="dxa"/>
                  </w:tcMar>
                  <w:vAlign w:val="center"/>
                </w:tcPr>
                <w:p>
                  <w:pPr>
                    <w:adjustRightInd w:val="0"/>
                    <w:snapToGrid w:val="0"/>
                    <w:spacing w:line="240" w:lineRule="auto"/>
                    <w:jc w:val="center"/>
                    <w:rPr>
                      <w:rFonts w:hint="default" w:ascii="Times New Roman" w:hAnsi="Times New Roman" w:eastAsia="宋体" w:cs="Times New Roman"/>
                      <w:color w:val="BF9000" w:themeColor="accent4" w:themeShade="BF"/>
                      <w:kern w:val="0"/>
                      <w:sz w:val="21"/>
                      <w:szCs w:val="21"/>
                      <w:highlight w:val="none"/>
                      <w:lang w:val="en-US" w:eastAsia="zh-CN"/>
                    </w:rPr>
                  </w:pPr>
                  <w:r>
                    <w:rPr>
                      <w:rFonts w:hint="eastAsia" w:cs="Times New Roman"/>
                      <w:color w:val="BF9000" w:themeColor="accent4" w:themeShade="BF"/>
                      <w:kern w:val="0"/>
                      <w:sz w:val="21"/>
                      <w:szCs w:val="21"/>
                      <w:highlight w:val="none"/>
                      <w:lang w:val="en-US" w:eastAsia="zh-CN"/>
                    </w:rPr>
                    <w:t>9.72</w:t>
                  </w:r>
                </w:p>
              </w:tc>
              <w:tc>
                <w:tcPr>
                  <w:tcW w:w="693" w:type="pct"/>
                  <w:noWrap w:val="0"/>
                  <w:tcMar>
                    <w:top w:w="15" w:type="dxa"/>
                    <w:left w:w="15" w:type="dxa"/>
                    <w:right w:w="15" w:type="dxa"/>
                  </w:tcMar>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w:t>
                  </w:r>
                </w:p>
              </w:tc>
            </w:tr>
          </w:tbl>
          <w:p>
            <w:pPr>
              <w:adjustRightInd w:val="0"/>
              <w:snapToGrid w:val="0"/>
              <w:ind w:firstLine="480" w:firstLineChars="200"/>
              <w:rPr>
                <w:color w:val="auto"/>
                <w:highlight w:val="none"/>
              </w:rPr>
            </w:pPr>
            <w:r>
              <w:rPr>
                <w:color w:val="auto"/>
              </w:rPr>
              <w:t>因此，本项目</w:t>
            </w:r>
            <w:r>
              <w:rPr>
                <w:rFonts w:ascii="Times New Roman" w:hAnsi="Times New Roman" w:eastAsia="宋体" w:cs="Times New Roman"/>
                <w:color w:val="auto"/>
              </w:rPr>
              <w:t>需</w:t>
            </w:r>
            <w:r>
              <w:rPr>
                <w:color w:val="auto"/>
              </w:rPr>
              <w:t>设置卫生防护距离50m。项目卫生防护距离包络图见附图</w:t>
            </w:r>
            <w:r>
              <w:rPr>
                <w:rFonts w:hint="eastAsia"/>
                <w:color w:val="auto"/>
                <w:lang w:val="en-US" w:eastAsia="zh-CN"/>
              </w:rPr>
              <w:t>6</w:t>
            </w:r>
            <w:r>
              <w:rPr>
                <w:color w:val="auto"/>
              </w:rPr>
              <w:t>。</w:t>
            </w:r>
            <w:r>
              <w:rPr>
                <w:rFonts w:hint="eastAsia"/>
                <w:color w:val="auto"/>
                <w:lang w:val="en-US" w:eastAsia="zh-CN"/>
              </w:rPr>
              <w:t>根据现场勘察可知，项目卫生防护距离内无居民区、学校、医院等长期居住居民，因此，项目选址符合卫生防护距离要求。</w:t>
            </w:r>
            <w:r>
              <w:rPr>
                <w:rFonts w:hint="eastAsia" w:ascii="Times New Roman" w:cs="Times New Roman"/>
                <w:color w:val="auto"/>
                <w:lang w:val="en-US" w:eastAsia="zh-CN"/>
              </w:rPr>
              <w:t>项目卫生防护距离内不允许新建医院、学校、集中居民区等环境敏感建筑</w:t>
            </w:r>
            <w:r>
              <w:rPr>
                <w:color w:val="auto"/>
              </w:rPr>
              <w:t>。</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2</w:t>
            </w:r>
            <w:r>
              <w:rPr>
                <w:rFonts w:hint="eastAsia" w:ascii="宋体" w:hAnsi="宋体" w:cs="宋体"/>
                <w:b/>
                <w:color w:val="auto"/>
                <w:szCs w:val="21"/>
                <w:lang w:eastAsia="zh-CN"/>
              </w:rPr>
              <w:t>、</w:t>
            </w:r>
            <w:r>
              <w:rPr>
                <w:rFonts w:hint="eastAsia" w:ascii="宋体" w:hAnsi="宋体" w:cs="宋体"/>
                <w:b/>
                <w:color w:val="auto"/>
                <w:szCs w:val="21"/>
              </w:rPr>
              <w:t>废水</w:t>
            </w:r>
          </w:p>
          <w:p>
            <w:pPr>
              <w:adjustRightInd w:val="0"/>
              <w:snapToGrid w:val="0"/>
              <w:ind w:firstLine="480" w:firstLineChars="200"/>
              <w:rPr>
                <w:color w:val="auto"/>
              </w:rPr>
            </w:pPr>
            <w:r>
              <w:rPr>
                <w:rFonts w:hint="eastAsia" w:ascii="Times New Roman" w:hAnsi="Times New Roman" w:eastAsia="宋体" w:cs="Times New Roman"/>
                <w:b w:val="0"/>
                <w:bCs w:val="0"/>
                <w:color w:val="auto"/>
                <w:kern w:val="2"/>
                <w:sz w:val="24"/>
                <w:szCs w:val="24"/>
                <w:lang w:val="en-US" w:eastAsia="zh-CN" w:bidi="ar-SA"/>
              </w:rPr>
              <w:t>本</w:t>
            </w:r>
            <w:r>
              <w:rPr>
                <w:rFonts w:hint="default" w:ascii="Times New Roman" w:hAnsi="Times New Roman" w:eastAsia="宋体" w:cs="Times New Roman"/>
                <w:b w:val="0"/>
                <w:bCs w:val="0"/>
                <w:color w:val="auto"/>
                <w:kern w:val="2"/>
                <w:sz w:val="24"/>
                <w:szCs w:val="24"/>
                <w:lang w:val="en-US" w:eastAsia="zh-CN" w:bidi="ar-SA"/>
              </w:rPr>
              <w:t>项目无新增员工，故无新增生活污水的产生和排放</w:t>
            </w:r>
            <w:r>
              <w:rPr>
                <w:rFonts w:hint="eastAsia" w:ascii="Times New Roman" w:hAnsi="Times New Roman" w:eastAsia="宋体" w:cs="Times New Roman"/>
                <w:b w:val="0"/>
                <w:bCs w:val="0"/>
                <w:color w:val="auto"/>
                <w:kern w:val="2"/>
                <w:sz w:val="24"/>
                <w:szCs w:val="24"/>
                <w:lang w:val="en-US" w:eastAsia="zh-CN" w:bidi="ar-SA"/>
              </w:rPr>
              <w:t>，</w:t>
            </w:r>
            <w:r>
              <w:rPr>
                <w:rFonts w:hint="eastAsia"/>
                <w:color w:val="auto"/>
                <w:lang w:val="en-US" w:eastAsia="zh-CN"/>
              </w:rPr>
              <w:t>生产</w:t>
            </w:r>
            <w:r>
              <w:rPr>
                <w:rFonts w:hint="eastAsia"/>
                <w:color w:val="auto"/>
              </w:rPr>
              <w:t>废水主要有</w:t>
            </w:r>
            <w:r>
              <w:rPr>
                <w:rFonts w:hint="eastAsia"/>
                <w:color w:val="auto"/>
                <w:lang w:val="en-US" w:eastAsia="zh-CN"/>
              </w:rPr>
              <w:t>水帘柜废水、</w:t>
            </w:r>
            <w:r>
              <w:rPr>
                <w:rFonts w:hint="eastAsia" w:ascii="Times New Roman" w:cs="Times New Roman"/>
                <w:color w:val="auto"/>
                <w:sz w:val="24"/>
                <w:szCs w:val="24"/>
                <w:lang w:val="en-US" w:eastAsia="zh-CN"/>
              </w:rPr>
              <w:t>喷淋塔废水、喷枪</w:t>
            </w:r>
            <w:r>
              <w:rPr>
                <w:rFonts w:hint="default" w:ascii="Times New Roman" w:hAnsi="Times New Roman" w:eastAsia="宋体" w:cs="Times New Roman"/>
                <w:color w:val="auto"/>
                <w:sz w:val="24"/>
                <w:szCs w:val="24"/>
                <w:lang w:val="en-US" w:eastAsia="zh-CN"/>
              </w:rPr>
              <w:t>清洗</w:t>
            </w:r>
            <w:r>
              <w:rPr>
                <w:rFonts w:hint="eastAsia" w:ascii="Times New Roman" w:hAnsi="Times New Roman" w:eastAsia="宋体" w:cs="Times New Roman"/>
                <w:color w:val="auto"/>
                <w:sz w:val="24"/>
                <w:szCs w:val="24"/>
                <w:lang w:val="en-US" w:eastAsia="zh-CN"/>
              </w:rPr>
              <w:t>废</w:t>
            </w:r>
            <w:r>
              <w:rPr>
                <w:rFonts w:hint="default" w:ascii="Times New Roman" w:hAnsi="Times New Roman" w:eastAsia="宋体" w:cs="Times New Roman"/>
                <w:color w:val="auto"/>
                <w:sz w:val="24"/>
                <w:szCs w:val="24"/>
                <w:lang w:val="en-US" w:eastAsia="zh-CN"/>
              </w:rPr>
              <w:t>水</w:t>
            </w:r>
            <w:r>
              <w:rPr>
                <w:rFonts w:hint="eastAsia"/>
                <w:color w:val="auto"/>
              </w:rPr>
              <w:t>。</w:t>
            </w:r>
          </w:p>
          <w:p>
            <w:pPr>
              <w:adjustRightInd w:val="0"/>
              <w:snapToGrid w:val="0"/>
              <w:ind w:firstLine="482" w:firstLineChars="200"/>
              <w:rPr>
                <w:b/>
                <w:bCs/>
                <w:color w:val="auto"/>
              </w:rPr>
            </w:pPr>
            <w:r>
              <w:rPr>
                <w:rFonts w:hint="eastAsia"/>
                <w:b/>
                <w:bCs/>
                <w:color w:val="auto"/>
              </w:rPr>
              <w:t>（1）废水源强</w:t>
            </w:r>
          </w:p>
          <w:p>
            <w:pPr>
              <w:adjustRightInd w:val="0"/>
              <w:snapToGrid w:val="0"/>
              <w:ind w:firstLine="480" w:firstLineChars="200"/>
              <w:rPr>
                <w:rFonts w:hint="default" w:cs="Times New Roman"/>
                <w:bCs/>
                <w:color w:val="auto"/>
                <w:sz w:val="24"/>
                <w:szCs w:val="24"/>
                <w:lang w:val="en-US" w:eastAsia="zh-CN"/>
              </w:rPr>
            </w:pPr>
            <w:r>
              <w:rPr>
                <w:rFonts w:hint="eastAsia" w:cs="Times New Roman"/>
                <w:bCs/>
                <w:color w:val="auto"/>
                <w:sz w:val="24"/>
                <w:szCs w:val="24"/>
                <w:lang w:val="en-US" w:eastAsia="zh-CN"/>
              </w:rPr>
              <w:t>1）注塑冷却废水：本项目注塑冷却水循环使用，不外排，定期补充损耗。</w:t>
            </w:r>
          </w:p>
          <w:p>
            <w:pPr>
              <w:adjustRightInd w:val="0"/>
              <w:snapToGrid w:val="0"/>
              <w:ind w:firstLine="480" w:firstLineChars="200"/>
              <w:rPr>
                <w:rFonts w:hint="default" w:ascii="Times New Roman" w:hAnsi="Times New Roman" w:eastAsia="宋体" w:cs="Times New Roman"/>
                <w:bCs/>
                <w:color w:val="auto"/>
                <w:sz w:val="24"/>
                <w:szCs w:val="24"/>
                <w:lang w:val="en-US" w:eastAsia="zh-CN"/>
              </w:rPr>
            </w:pPr>
            <w:r>
              <w:rPr>
                <w:rFonts w:hint="eastAsia" w:cs="Times New Roman"/>
                <w:bCs/>
                <w:color w:val="auto"/>
                <w:sz w:val="24"/>
                <w:szCs w:val="24"/>
                <w:lang w:val="en-US" w:eastAsia="zh-CN"/>
              </w:rPr>
              <w:t>2）水帘柜废水</w:t>
            </w:r>
            <w:r>
              <w:rPr>
                <w:rFonts w:hint="default" w:ascii="Times New Roman" w:hAnsi="Times New Roman" w:eastAsia="宋体" w:cs="Times New Roman"/>
                <w:bCs/>
                <w:color w:val="auto"/>
                <w:sz w:val="24"/>
                <w:szCs w:val="24"/>
              </w:rPr>
              <w:t>：</w:t>
            </w:r>
            <w:r>
              <w:rPr>
                <w:rFonts w:hint="eastAsia" w:ascii="Times New Roman" w:hAnsi="Times New Roman" w:cs="Times New Roman"/>
                <w:b w:val="0"/>
                <w:bCs/>
                <w:color w:val="auto"/>
                <w:sz w:val="24"/>
                <w:szCs w:val="24"/>
                <w:lang w:val="en-US" w:eastAsia="zh-CN"/>
              </w:rPr>
              <w:t>水帘柜用水循环使用，不外排，</w:t>
            </w:r>
            <w:r>
              <w:rPr>
                <w:rFonts w:hint="eastAsia"/>
                <w:color w:val="auto"/>
                <w:sz w:val="24"/>
              </w:rPr>
              <w:t>为保证废气处理效果，需定期更换</w:t>
            </w:r>
            <w:r>
              <w:rPr>
                <w:rFonts w:hint="eastAsia"/>
                <w:color w:val="auto"/>
                <w:sz w:val="24"/>
                <w:lang w:eastAsia="zh-CN"/>
              </w:rPr>
              <w:t>，</w:t>
            </w:r>
            <w:r>
              <w:rPr>
                <w:rFonts w:hint="default" w:ascii="Times New Roman" w:hAnsi="Times New Roman" w:eastAsia="宋体" w:cs="Times New Roman"/>
                <w:bCs/>
                <w:color w:val="auto"/>
                <w:szCs w:val="21"/>
                <w:highlight w:val="none"/>
                <w:lang w:val="en-US" w:eastAsia="zh-CN"/>
              </w:rPr>
              <w:t>水帘柜废水每</w:t>
            </w:r>
            <w:r>
              <w:rPr>
                <w:rFonts w:hint="eastAsia" w:cs="Times New Roman"/>
                <w:bCs/>
                <w:color w:val="auto"/>
                <w:szCs w:val="21"/>
                <w:highlight w:val="none"/>
                <w:lang w:val="en-US" w:eastAsia="zh-CN"/>
              </w:rPr>
              <w:t>半年</w:t>
            </w:r>
            <w:r>
              <w:rPr>
                <w:rFonts w:hint="default" w:ascii="Times New Roman" w:hAnsi="Times New Roman" w:eastAsia="宋体" w:cs="Times New Roman"/>
                <w:bCs/>
                <w:color w:val="auto"/>
                <w:szCs w:val="21"/>
                <w:highlight w:val="none"/>
                <w:lang w:val="en-US" w:eastAsia="zh-CN"/>
              </w:rPr>
              <w:t>换一次，</w:t>
            </w:r>
            <w:r>
              <w:rPr>
                <w:rFonts w:hint="eastAsia" w:cs="Times New Roman"/>
                <w:bCs/>
                <w:color w:val="auto"/>
                <w:szCs w:val="21"/>
                <w:highlight w:val="none"/>
                <w:lang w:val="en-US" w:eastAsia="zh-CN"/>
              </w:rPr>
              <w:t>需整槽更换，</w:t>
            </w:r>
            <w:r>
              <w:rPr>
                <w:rFonts w:hint="eastAsia"/>
                <w:color w:val="auto"/>
                <w:sz w:val="24"/>
                <w:lang w:val="en-US" w:eastAsia="zh-CN"/>
              </w:rPr>
              <w:t>则水帘柜废水产生量为3.036t/a</w:t>
            </w:r>
            <w:r>
              <w:rPr>
                <w:rFonts w:hint="default" w:ascii="Times New Roman" w:hAnsi="Times New Roman" w:eastAsia="宋体" w:cs="Times New Roman"/>
                <w:bCs/>
                <w:color w:val="auto"/>
                <w:sz w:val="24"/>
                <w:szCs w:val="24"/>
                <w:lang w:val="en-US" w:eastAsia="zh-CN"/>
              </w:rPr>
              <w:t>。</w:t>
            </w:r>
          </w:p>
          <w:p>
            <w:pPr>
              <w:pStyle w:val="46"/>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default" w:ascii="Times New Roman" w:hAnsi="Times New Roman" w:eastAsia="宋体" w:cs="Times New Roman"/>
                <w:color w:val="FF0000"/>
                <w:sz w:val="24"/>
                <w:szCs w:val="24"/>
                <w:highlight w:val="green"/>
                <w:lang w:val="en-US" w:eastAsia="zh-CN"/>
              </w:rPr>
            </w:pPr>
            <w:r>
              <w:rPr>
                <w:rFonts w:hint="eastAsia" w:ascii="Times New Roman" w:cs="Times New Roman"/>
                <w:bCs/>
                <w:color w:val="auto"/>
                <w:sz w:val="24"/>
                <w:szCs w:val="24"/>
                <w:lang w:val="en-US" w:eastAsia="zh-CN"/>
              </w:rPr>
              <w:t>3）</w:t>
            </w:r>
            <w:r>
              <w:rPr>
                <w:rFonts w:hint="eastAsia" w:ascii="Times New Roman" w:cs="Times New Roman"/>
                <w:color w:val="auto"/>
                <w:sz w:val="24"/>
                <w:szCs w:val="24"/>
                <w:lang w:val="en-US" w:eastAsia="zh-CN"/>
              </w:rPr>
              <w:t>喷淋塔废水</w:t>
            </w:r>
            <w:r>
              <w:rPr>
                <w:rFonts w:hint="default" w:ascii="Times New Roman" w:hAnsi="Times New Roman" w:eastAsia="宋体" w:cs="Times New Roman"/>
                <w:b w:val="0"/>
                <w:bCs/>
                <w:color w:val="auto"/>
                <w:kern w:val="2"/>
                <w:sz w:val="24"/>
                <w:szCs w:val="24"/>
                <w:lang w:val="en-US" w:eastAsia="zh-CN" w:bidi="ar-SA"/>
              </w:rPr>
              <w:t>：</w:t>
            </w:r>
            <w:r>
              <w:rPr>
                <w:rFonts w:hint="eastAsia" w:ascii="Times New Roman" w:cs="Times New Roman"/>
                <w:b w:val="0"/>
                <w:bCs/>
                <w:color w:val="FF0000"/>
                <w:kern w:val="2"/>
                <w:sz w:val="24"/>
                <w:szCs w:val="24"/>
                <w:highlight w:val="green"/>
                <w:lang w:val="en-US" w:eastAsia="zh-CN" w:bidi="ar-SA"/>
              </w:rPr>
              <w:t>注塑</w:t>
            </w:r>
            <w:r>
              <w:rPr>
                <w:rFonts w:hint="default" w:ascii="Times New Roman" w:hAnsi="Times New Roman" w:eastAsia="宋体" w:cs="Times New Roman"/>
                <w:b w:val="0"/>
                <w:bCs/>
                <w:color w:val="FF0000"/>
                <w:kern w:val="2"/>
                <w:sz w:val="24"/>
                <w:szCs w:val="24"/>
                <w:highlight w:val="green"/>
                <w:lang w:val="en-US" w:eastAsia="zh-CN" w:bidi="ar-SA"/>
              </w:rPr>
              <w:t>喷淋</w:t>
            </w:r>
            <w:r>
              <w:rPr>
                <w:rFonts w:hint="eastAsia" w:ascii="Times New Roman" w:cs="Times New Roman"/>
                <w:b w:val="0"/>
                <w:bCs/>
                <w:color w:val="FF0000"/>
                <w:kern w:val="2"/>
                <w:sz w:val="24"/>
                <w:szCs w:val="24"/>
                <w:highlight w:val="green"/>
                <w:lang w:val="en-US" w:eastAsia="zh-CN" w:bidi="ar-SA"/>
              </w:rPr>
              <w:t>废</w:t>
            </w:r>
            <w:r>
              <w:rPr>
                <w:rFonts w:hint="default" w:ascii="Times New Roman" w:hAnsi="Times New Roman" w:eastAsia="宋体" w:cs="Times New Roman"/>
                <w:b w:val="0"/>
                <w:bCs/>
                <w:color w:val="FF0000"/>
                <w:kern w:val="2"/>
                <w:sz w:val="24"/>
                <w:szCs w:val="24"/>
                <w:highlight w:val="green"/>
                <w:lang w:val="en-US" w:eastAsia="zh-CN" w:bidi="ar-SA"/>
              </w:rPr>
              <w:t>水</w:t>
            </w:r>
            <w:r>
              <w:rPr>
                <w:rFonts w:hint="eastAsia" w:ascii="Times New Roman" w:cs="Times New Roman"/>
                <w:b w:val="0"/>
                <w:bCs/>
                <w:color w:val="FF0000"/>
                <w:kern w:val="2"/>
                <w:sz w:val="24"/>
                <w:szCs w:val="24"/>
                <w:highlight w:val="green"/>
                <w:lang w:val="en-US" w:eastAsia="zh-CN" w:bidi="ar-SA"/>
              </w:rPr>
              <w:t>、喷漆及丝印</w:t>
            </w:r>
            <w:r>
              <w:rPr>
                <w:rFonts w:hint="default" w:ascii="Times New Roman" w:hAnsi="Times New Roman" w:eastAsia="宋体" w:cs="Times New Roman"/>
                <w:b w:val="0"/>
                <w:bCs/>
                <w:color w:val="FF0000"/>
                <w:kern w:val="2"/>
                <w:sz w:val="24"/>
                <w:szCs w:val="24"/>
                <w:highlight w:val="green"/>
                <w:lang w:val="en-US" w:eastAsia="zh-CN" w:bidi="ar-SA"/>
              </w:rPr>
              <w:t>喷淋塔废水每</w:t>
            </w:r>
            <w:r>
              <w:rPr>
                <w:rFonts w:hint="eastAsia" w:ascii="Times New Roman" w:cs="Times New Roman"/>
                <w:b w:val="0"/>
                <w:bCs/>
                <w:color w:val="FF0000"/>
                <w:kern w:val="2"/>
                <w:sz w:val="24"/>
                <w:szCs w:val="24"/>
                <w:highlight w:val="green"/>
                <w:lang w:val="en-US" w:eastAsia="zh-CN" w:bidi="ar-SA"/>
              </w:rPr>
              <w:t>半年</w:t>
            </w:r>
            <w:r>
              <w:rPr>
                <w:rFonts w:hint="default" w:ascii="Times New Roman" w:hAnsi="Times New Roman" w:eastAsia="宋体" w:cs="Times New Roman"/>
                <w:b w:val="0"/>
                <w:bCs/>
                <w:color w:val="FF0000"/>
                <w:kern w:val="2"/>
                <w:sz w:val="24"/>
                <w:szCs w:val="24"/>
                <w:highlight w:val="green"/>
                <w:lang w:val="en-US" w:eastAsia="zh-CN" w:bidi="ar-SA"/>
              </w:rPr>
              <w:t>更换一次，废水</w:t>
            </w:r>
            <w:r>
              <w:rPr>
                <w:rFonts w:hint="eastAsia"/>
                <w:color w:val="FF0000"/>
                <w:sz w:val="24"/>
                <w:highlight w:val="green"/>
                <w:lang w:val="en-US" w:eastAsia="zh-CN"/>
              </w:rPr>
              <w:t>产生量为2.826</w:t>
            </w:r>
            <w:r>
              <w:rPr>
                <w:rFonts w:hint="eastAsia" w:ascii="Times New Roman" w:hAnsi="Times New Roman" w:eastAsia="宋体" w:cs="Times New Roman"/>
                <w:b w:val="0"/>
                <w:bCs/>
                <w:color w:val="FF0000"/>
                <w:kern w:val="2"/>
                <w:sz w:val="24"/>
                <w:szCs w:val="24"/>
                <w:highlight w:val="green"/>
                <w:lang w:val="en-US" w:eastAsia="zh-CN" w:bidi="ar-SA"/>
              </w:rPr>
              <w:t>t</w:t>
            </w:r>
            <w:r>
              <w:rPr>
                <w:rFonts w:hint="eastAsia" w:ascii="Times New Roman" w:cs="Times New Roman"/>
                <w:b w:val="0"/>
                <w:bCs/>
                <w:color w:val="FF0000"/>
                <w:kern w:val="2"/>
                <w:sz w:val="24"/>
                <w:szCs w:val="24"/>
                <w:highlight w:val="green"/>
                <w:lang w:val="en-US" w:eastAsia="zh-CN" w:bidi="ar-SA"/>
              </w:rPr>
              <w:t>/a</w:t>
            </w:r>
            <w:r>
              <w:rPr>
                <w:rFonts w:hint="default" w:ascii="Times New Roman" w:hAnsi="Times New Roman" w:eastAsia="宋体" w:cs="Times New Roman"/>
                <w:b w:val="0"/>
                <w:bCs/>
                <w:color w:val="FF0000"/>
                <w:kern w:val="2"/>
                <w:sz w:val="24"/>
                <w:szCs w:val="24"/>
                <w:highlight w:val="green"/>
                <w:lang w:val="en-US" w:eastAsia="zh-CN" w:bidi="ar-SA"/>
              </w:rPr>
              <w:t>。</w:t>
            </w:r>
          </w:p>
          <w:p>
            <w:pPr>
              <w:pStyle w:val="46"/>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cs="Times New Roman"/>
                <w:color w:val="auto"/>
                <w:sz w:val="24"/>
                <w:szCs w:val="24"/>
                <w:highlight w:val="none"/>
                <w:lang w:val="en-US" w:eastAsia="zh-CN"/>
              </w:rPr>
              <w:t>4）喷枪</w:t>
            </w:r>
            <w:r>
              <w:rPr>
                <w:rFonts w:hint="default" w:ascii="Times New Roman" w:hAnsi="Times New Roman" w:eastAsia="宋体" w:cs="Times New Roman"/>
                <w:color w:val="auto"/>
                <w:sz w:val="24"/>
                <w:szCs w:val="24"/>
                <w:highlight w:val="none"/>
                <w:lang w:val="en-US" w:eastAsia="zh-CN"/>
              </w:rPr>
              <w:t>清洗</w:t>
            </w:r>
            <w:r>
              <w:rPr>
                <w:rFonts w:hint="eastAsia" w:ascii="Times New Roman" w:hAnsi="Times New Roman" w:eastAsia="宋体" w:cs="Times New Roman"/>
                <w:color w:val="auto"/>
                <w:sz w:val="24"/>
                <w:szCs w:val="24"/>
                <w:highlight w:val="none"/>
                <w:lang w:val="en-US" w:eastAsia="zh-CN"/>
              </w:rPr>
              <w:t>废</w:t>
            </w:r>
            <w:r>
              <w:rPr>
                <w:rFonts w:hint="default" w:ascii="Times New Roman" w:hAnsi="Times New Roman" w:eastAsia="宋体" w:cs="Times New Roman"/>
                <w:color w:val="auto"/>
                <w:sz w:val="24"/>
                <w:szCs w:val="24"/>
                <w:highlight w:val="none"/>
                <w:lang w:val="en-US" w:eastAsia="zh-CN"/>
              </w:rPr>
              <w:t>水：</w:t>
            </w:r>
            <w:r>
              <w:rPr>
                <w:rFonts w:hint="eastAsia" w:ascii="Times New Roman" w:cs="Times New Roman"/>
                <w:color w:val="auto"/>
                <w:sz w:val="24"/>
                <w:szCs w:val="24"/>
                <w:highlight w:val="none"/>
                <w:lang w:val="en-US" w:eastAsia="zh-CN"/>
              </w:rPr>
              <w:t>喷枪</w:t>
            </w:r>
            <w:r>
              <w:rPr>
                <w:rFonts w:hint="default" w:ascii="Times New Roman" w:hAnsi="Times New Roman" w:eastAsia="宋体" w:cs="Times New Roman"/>
                <w:color w:val="auto"/>
                <w:sz w:val="24"/>
                <w:szCs w:val="24"/>
                <w:highlight w:val="none"/>
                <w:lang w:val="en-US" w:eastAsia="zh-CN"/>
              </w:rPr>
              <w:t>清洗废水量约为</w:t>
            </w:r>
            <w:r>
              <w:rPr>
                <w:rFonts w:hint="eastAsia" w:ascii="Times New Roman" w:cs="Times New Roman"/>
                <w:color w:val="FF0000"/>
                <w:sz w:val="24"/>
                <w:szCs w:val="24"/>
                <w:highlight w:val="none"/>
                <w:lang w:val="en-US" w:eastAsia="zh-CN"/>
              </w:rPr>
              <w:t>0.023</w:t>
            </w:r>
            <w:r>
              <w:rPr>
                <w:rFonts w:hint="default" w:ascii="Times New Roman" w:hAnsi="Times New Roman" w:eastAsia="宋体" w:cs="Times New Roman"/>
                <w:color w:val="FF0000"/>
                <w:sz w:val="24"/>
                <w:szCs w:val="24"/>
                <w:highlight w:val="none"/>
                <w:lang w:val="en-US" w:eastAsia="zh-CN"/>
              </w:rPr>
              <w:t>t/d（</w:t>
            </w:r>
            <w:r>
              <w:rPr>
                <w:rFonts w:hint="eastAsia" w:ascii="Times New Roman" w:cs="Times New Roman"/>
                <w:color w:val="FF0000"/>
                <w:sz w:val="24"/>
                <w:szCs w:val="24"/>
                <w:highlight w:val="none"/>
                <w:lang w:val="en-US" w:eastAsia="zh-CN"/>
              </w:rPr>
              <w:t>5.625</w:t>
            </w:r>
            <w:r>
              <w:rPr>
                <w:rFonts w:hint="default" w:ascii="Times New Roman" w:hAnsi="Times New Roman" w:eastAsia="宋体" w:cs="Times New Roman"/>
                <w:color w:val="FF0000"/>
                <w:sz w:val="24"/>
                <w:szCs w:val="24"/>
                <w:highlight w:val="none"/>
                <w:lang w:val="en-US" w:eastAsia="zh-CN"/>
              </w:rPr>
              <w:t>t/a）</w:t>
            </w:r>
            <w:r>
              <w:rPr>
                <w:rFonts w:hint="default" w:ascii="Times New Roman" w:hAnsi="Times New Roman" w:eastAsia="宋体" w:cs="Times New Roman"/>
                <w:color w:val="auto"/>
                <w:sz w:val="24"/>
                <w:szCs w:val="24"/>
                <w:highlight w:val="none"/>
                <w:lang w:val="en-US" w:eastAsia="zh-CN"/>
              </w:rPr>
              <w:t>。</w:t>
            </w:r>
          </w:p>
          <w:p>
            <w:pPr>
              <w:pStyle w:val="46"/>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Times New Roman" w:cs="Times New Roman"/>
                <w:color w:val="FF0000"/>
                <w:sz w:val="24"/>
                <w:szCs w:val="24"/>
                <w:highlight w:val="none"/>
                <w:lang w:val="en-US" w:eastAsia="zh-CN"/>
              </w:rPr>
            </w:pPr>
            <w:r>
              <w:rPr>
                <w:rFonts w:hint="eastAsia" w:ascii="Times New Roman" w:cs="Times New Roman"/>
                <w:b w:val="0"/>
                <w:bCs/>
                <w:color w:val="FF0000"/>
                <w:kern w:val="2"/>
                <w:sz w:val="24"/>
                <w:szCs w:val="24"/>
                <w:highlight w:val="green"/>
                <w:lang w:val="en-US" w:eastAsia="zh-CN" w:bidi="ar-SA"/>
              </w:rPr>
              <w:t>注塑</w:t>
            </w:r>
            <w:r>
              <w:rPr>
                <w:rFonts w:hint="default" w:ascii="Times New Roman" w:hAnsi="Times New Roman" w:eastAsia="宋体" w:cs="Times New Roman"/>
                <w:b w:val="0"/>
                <w:bCs/>
                <w:color w:val="FF0000"/>
                <w:kern w:val="2"/>
                <w:sz w:val="24"/>
                <w:szCs w:val="24"/>
                <w:highlight w:val="green"/>
                <w:lang w:val="en-US" w:eastAsia="zh-CN" w:bidi="ar-SA"/>
              </w:rPr>
              <w:t>喷淋</w:t>
            </w:r>
            <w:r>
              <w:rPr>
                <w:rFonts w:hint="eastAsia" w:ascii="Times New Roman" w:cs="Times New Roman"/>
                <w:b w:val="0"/>
                <w:bCs/>
                <w:color w:val="FF0000"/>
                <w:kern w:val="2"/>
                <w:sz w:val="24"/>
                <w:szCs w:val="24"/>
                <w:highlight w:val="green"/>
                <w:lang w:val="en-US" w:eastAsia="zh-CN" w:bidi="ar-SA"/>
              </w:rPr>
              <w:t>废</w:t>
            </w:r>
            <w:r>
              <w:rPr>
                <w:rFonts w:hint="default" w:ascii="Times New Roman" w:hAnsi="Times New Roman" w:eastAsia="宋体" w:cs="Times New Roman"/>
                <w:b w:val="0"/>
                <w:bCs/>
                <w:color w:val="FF0000"/>
                <w:kern w:val="2"/>
                <w:sz w:val="24"/>
                <w:szCs w:val="24"/>
                <w:highlight w:val="green"/>
                <w:lang w:val="en-US" w:eastAsia="zh-CN" w:bidi="ar-SA"/>
              </w:rPr>
              <w:t>水</w:t>
            </w:r>
            <w:r>
              <w:rPr>
                <w:rFonts w:hint="eastAsia" w:ascii="Times New Roman" w:cs="Times New Roman"/>
                <w:b w:val="0"/>
                <w:bCs/>
                <w:color w:val="FF0000"/>
                <w:kern w:val="2"/>
                <w:sz w:val="24"/>
                <w:szCs w:val="24"/>
                <w:highlight w:val="green"/>
                <w:lang w:val="en-US" w:eastAsia="zh-CN" w:bidi="ar-SA"/>
              </w:rPr>
              <w:t>、</w:t>
            </w:r>
            <w:r>
              <w:rPr>
                <w:rFonts w:hint="eastAsia" w:cs="Times New Roman"/>
                <w:bCs/>
                <w:color w:val="FF0000"/>
                <w:sz w:val="24"/>
                <w:szCs w:val="24"/>
                <w:lang w:val="en-US" w:eastAsia="zh-CN"/>
              </w:rPr>
              <w:t>水帘柜废水、</w:t>
            </w:r>
            <w:r>
              <w:rPr>
                <w:rFonts w:hint="eastAsia" w:ascii="Times New Roman" w:cs="Times New Roman"/>
                <w:b w:val="0"/>
                <w:bCs/>
                <w:color w:val="4F0FBD"/>
                <w:kern w:val="2"/>
                <w:sz w:val="24"/>
                <w:szCs w:val="24"/>
                <w:lang w:val="en-US" w:eastAsia="zh-CN" w:bidi="ar-SA"/>
              </w:rPr>
              <w:t>喷漆及丝印</w:t>
            </w:r>
            <w:r>
              <w:rPr>
                <w:rFonts w:hint="default" w:ascii="Times New Roman" w:hAnsi="Times New Roman" w:eastAsia="宋体" w:cs="Times New Roman"/>
                <w:b w:val="0"/>
                <w:bCs/>
                <w:color w:val="4F0FBD"/>
                <w:kern w:val="2"/>
                <w:sz w:val="24"/>
                <w:szCs w:val="24"/>
                <w:lang w:val="en-US" w:eastAsia="zh-CN" w:bidi="ar-SA"/>
              </w:rPr>
              <w:t>喷淋塔</w:t>
            </w:r>
            <w:r>
              <w:rPr>
                <w:rFonts w:hint="eastAsia" w:ascii="Times New Roman" w:cs="Times New Roman"/>
                <w:color w:val="FF0000"/>
                <w:sz w:val="24"/>
                <w:szCs w:val="24"/>
                <w:lang w:val="en-US" w:eastAsia="zh-CN"/>
              </w:rPr>
              <w:t>废水、</w:t>
            </w:r>
            <w:r>
              <w:rPr>
                <w:rFonts w:hint="eastAsia" w:ascii="Times New Roman" w:cs="Times New Roman"/>
                <w:color w:val="FF0000"/>
                <w:sz w:val="24"/>
                <w:szCs w:val="24"/>
                <w:highlight w:val="none"/>
                <w:lang w:val="en-US" w:eastAsia="zh-CN"/>
              </w:rPr>
              <w:t>喷枪</w:t>
            </w:r>
            <w:r>
              <w:rPr>
                <w:rFonts w:hint="default" w:ascii="Times New Roman" w:hAnsi="Times New Roman" w:eastAsia="宋体" w:cs="Times New Roman"/>
                <w:color w:val="FF0000"/>
                <w:sz w:val="24"/>
                <w:szCs w:val="24"/>
                <w:highlight w:val="none"/>
                <w:lang w:val="en-US" w:eastAsia="zh-CN"/>
              </w:rPr>
              <w:t>清洗</w:t>
            </w:r>
            <w:r>
              <w:rPr>
                <w:rFonts w:hint="eastAsia" w:ascii="Times New Roman" w:hAnsi="Times New Roman" w:eastAsia="宋体" w:cs="Times New Roman"/>
                <w:color w:val="FF0000"/>
                <w:sz w:val="24"/>
                <w:szCs w:val="24"/>
                <w:highlight w:val="none"/>
                <w:lang w:val="en-US" w:eastAsia="zh-CN"/>
              </w:rPr>
              <w:t>废</w:t>
            </w:r>
            <w:r>
              <w:rPr>
                <w:rFonts w:hint="default" w:ascii="Times New Roman" w:hAnsi="Times New Roman" w:eastAsia="宋体" w:cs="Times New Roman"/>
                <w:color w:val="FF0000"/>
                <w:sz w:val="24"/>
                <w:szCs w:val="24"/>
                <w:highlight w:val="none"/>
                <w:lang w:val="en-US" w:eastAsia="zh-CN"/>
              </w:rPr>
              <w:t>水</w:t>
            </w:r>
            <w:r>
              <w:rPr>
                <w:rFonts w:hint="eastAsia" w:ascii="Times New Roman" w:cs="Times New Roman"/>
                <w:color w:val="FF0000"/>
                <w:sz w:val="24"/>
                <w:szCs w:val="24"/>
                <w:highlight w:val="none"/>
                <w:lang w:val="en-US" w:eastAsia="zh-CN"/>
              </w:rPr>
              <w:t>均属于危废，暂存到危险废物暂存间后，定期交由有危险废物处理资质的单位处理。</w:t>
            </w:r>
          </w:p>
          <w:p>
            <w:pPr>
              <w:adjustRightInd w:val="0"/>
              <w:snapToGrid w:val="0"/>
              <w:ind w:firstLine="482" w:firstLineChars="200"/>
              <w:rPr>
                <w:color w:val="auto"/>
              </w:rPr>
            </w:pPr>
            <w:r>
              <w:rPr>
                <w:rFonts w:hint="eastAsia"/>
                <w:b/>
                <w:bCs/>
                <w:color w:val="auto"/>
              </w:rPr>
              <w:t>（</w:t>
            </w:r>
            <w:r>
              <w:rPr>
                <w:rFonts w:hint="eastAsia"/>
                <w:b/>
                <w:bCs/>
                <w:color w:val="auto"/>
                <w:lang w:val="en-US" w:eastAsia="zh-CN"/>
              </w:rPr>
              <w:t>2</w:t>
            </w:r>
            <w:r>
              <w:rPr>
                <w:rFonts w:hint="eastAsia"/>
                <w:b/>
                <w:bCs/>
                <w:color w:val="auto"/>
              </w:rPr>
              <w:t>）排污口设置及监测计划</w:t>
            </w:r>
          </w:p>
          <w:p>
            <w:pPr>
              <w:pStyle w:val="46"/>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color w:val="auto"/>
                <w:lang w:val="en-US" w:eastAsia="zh-CN"/>
              </w:rPr>
            </w:pPr>
            <w:r>
              <w:rPr>
                <w:color w:val="auto"/>
                <w:sz w:val="24"/>
                <w:szCs w:val="24"/>
              </w:rPr>
              <w:t>项目</w:t>
            </w:r>
            <w:r>
              <w:rPr>
                <w:rFonts w:hint="eastAsia"/>
                <w:color w:val="auto"/>
                <w:sz w:val="24"/>
                <w:szCs w:val="24"/>
              </w:rPr>
              <w:t>生产废</w:t>
            </w:r>
            <w:r>
              <w:rPr>
                <w:color w:val="auto"/>
                <w:sz w:val="24"/>
                <w:szCs w:val="24"/>
              </w:rPr>
              <w:t>水</w:t>
            </w:r>
            <w:r>
              <w:rPr>
                <w:rFonts w:hint="eastAsia" w:cs="Times New Roman"/>
                <w:color w:val="auto"/>
                <w:kern w:val="0"/>
                <w:sz w:val="24"/>
                <w:szCs w:val="24"/>
                <w:lang w:val="en-US" w:eastAsia="zh-CN" w:bidi="ar"/>
              </w:rPr>
              <w:t>分类收集后，</w:t>
            </w:r>
            <w:r>
              <w:rPr>
                <w:rFonts w:hint="eastAsia" w:ascii="Times New Roman" w:cs="Times New Roman"/>
                <w:color w:val="FF0000"/>
                <w:sz w:val="24"/>
                <w:szCs w:val="24"/>
                <w:highlight w:val="none"/>
                <w:lang w:val="en-US" w:eastAsia="zh-CN"/>
              </w:rPr>
              <w:t>定期交由有危险废物处理资质的单位处理。</w:t>
            </w:r>
            <w:r>
              <w:rPr>
                <w:rFonts w:hint="eastAsia"/>
                <w:color w:val="auto"/>
                <w:sz w:val="24"/>
                <w:szCs w:val="24"/>
                <w:highlight w:val="none"/>
                <w:lang w:val="en-US" w:eastAsia="zh-CN"/>
              </w:rPr>
              <w:t>生活污水经预处理后排入市政管网纳入博罗县石湾镇大牛垒生活污水处理厂处理达标后排放</w:t>
            </w:r>
            <w:r>
              <w:rPr>
                <w:rFonts w:hint="eastAsia"/>
                <w:color w:val="auto"/>
                <w:sz w:val="24"/>
                <w:szCs w:val="24"/>
                <w:lang w:val="en-US" w:eastAsia="zh-CN"/>
              </w:rPr>
              <w:t>，单独排入公共污水处理系统的生活污水不要求开展自行监测。故本项目生活污水不需设置排污口。</w:t>
            </w:r>
          </w:p>
          <w:p>
            <w:pPr>
              <w:adjustRightInd w:val="0"/>
              <w:snapToGrid w:val="0"/>
              <w:ind w:firstLine="482" w:firstLineChars="200"/>
              <w:rPr>
                <w:b/>
                <w:bCs/>
                <w:color w:val="auto"/>
              </w:rPr>
            </w:pPr>
            <w:r>
              <w:rPr>
                <w:b/>
                <w:bCs/>
                <w:color w:val="auto"/>
              </w:rPr>
              <w:t>（</w:t>
            </w:r>
            <w:r>
              <w:rPr>
                <w:rFonts w:hint="eastAsia"/>
                <w:b/>
                <w:bCs/>
                <w:color w:val="auto"/>
                <w:lang w:val="en-US" w:eastAsia="zh-CN"/>
              </w:rPr>
              <w:t>3</w:t>
            </w:r>
            <w:r>
              <w:rPr>
                <w:b/>
                <w:bCs/>
                <w:color w:val="auto"/>
              </w:rPr>
              <w:t>）结论</w:t>
            </w:r>
          </w:p>
          <w:p>
            <w:pPr>
              <w:adjustRightInd w:val="0"/>
              <w:snapToGrid w:val="0"/>
              <w:ind w:firstLine="480" w:firstLineChars="200"/>
              <w:rPr>
                <w:rFonts w:hint="eastAsia" w:eastAsia="宋体" w:cs="Times New Roman"/>
                <w:color w:val="auto"/>
                <w:sz w:val="24"/>
                <w:szCs w:val="24"/>
                <w:highlight w:val="none"/>
                <w:lang w:val="en-US" w:eastAsia="zh-CN"/>
              </w:rPr>
            </w:pPr>
            <w:r>
              <w:rPr>
                <w:color w:val="auto"/>
                <w:sz w:val="24"/>
                <w:szCs w:val="24"/>
                <w:highlight w:val="none"/>
              </w:rPr>
              <w:t>本项目</w:t>
            </w:r>
            <w:r>
              <w:rPr>
                <w:rFonts w:hint="eastAsia" w:ascii="Times New Roman" w:cs="Times New Roman"/>
                <w:b w:val="0"/>
                <w:bCs/>
                <w:color w:val="FF0000"/>
                <w:kern w:val="2"/>
                <w:sz w:val="24"/>
                <w:szCs w:val="24"/>
                <w:highlight w:val="green"/>
                <w:lang w:val="en-US" w:eastAsia="zh-CN" w:bidi="ar-SA"/>
              </w:rPr>
              <w:t>注塑</w:t>
            </w:r>
            <w:r>
              <w:rPr>
                <w:rFonts w:hint="default" w:ascii="Times New Roman" w:hAnsi="Times New Roman" w:eastAsia="宋体" w:cs="Times New Roman"/>
                <w:b w:val="0"/>
                <w:bCs/>
                <w:color w:val="FF0000"/>
                <w:kern w:val="2"/>
                <w:sz w:val="24"/>
                <w:szCs w:val="24"/>
                <w:highlight w:val="green"/>
                <w:lang w:val="en-US" w:eastAsia="zh-CN" w:bidi="ar-SA"/>
              </w:rPr>
              <w:t>喷淋</w:t>
            </w:r>
            <w:r>
              <w:rPr>
                <w:rFonts w:hint="eastAsia" w:ascii="Times New Roman" w:cs="Times New Roman"/>
                <w:b w:val="0"/>
                <w:bCs/>
                <w:color w:val="FF0000"/>
                <w:kern w:val="2"/>
                <w:sz w:val="24"/>
                <w:szCs w:val="24"/>
                <w:highlight w:val="green"/>
                <w:lang w:val="en-US" w:eastAsia="zh-CN" w:bidi="ar-SA"/>
              </w:rPr>
              <w:t>废</w:t>
            </w:r>
            <w:r>
              <w:rPr>
                <w:rFonts w:hint="default" w:ascii="Times New Roman" w:hAnsi="Times New Roman" w:eastAsia="宋体" w:cs="Times New Roman"/>
                <w:b w:val="0"/>
                <w:bCs/>
                <w:color w:val="FF0000"/>
                <w:kern w:val="2"/>
                <w:sz w:val="24"/>
                <w:szCs w:val="24"/>
                <w:highlight w:val="green"/>
                <w:lang w:val="en-US" w:eastAsia="zh-CN" w:bidi="ar-SA"/>
              </w:rPr>
              <w:t>水</w:t>
            </w:r>
            <w:r>
              <w:rPr>
                <w:rFonts w:hint="eastAsia" w:ascii="Times New Roman" w:cs="Times New Roman"/>
                <w:b w:val="0"/>
                <w:bCs/>
                <w:color w:val="FF0000"/>
                <w:kern w:val="2"/>
                <w:sz w:val="24"/>
                <w:szCs w:val="24"/>
                <w:highlight w:val="green"/>
                <w:lang w:val="en-US" w:eastAsia="zh-CN" w:bidi="ar-SA"/>
              </w:rPr>
              <w:t>、</w:t>
            </w:r>
            <w:r>
              <w:rPr>
                <w:rFonts w:hint="default" w:ascii="Times New Roman" w:hAnsi="Times New Roman" w:eastAsia="宋体" w:cs="Times New Roman"/>
                <w:color w:val="auto"/>
                <w:kern w:val="0"/>
                <w:sz w:val="24"/>
                <w:szCs w:val="24"/>
                <w:lang w:val="en-US" w:eastAsia="zh-CN" w:bidi="ar"/>
              </w:rPr>
              <w:t>水帘柜废水</w:t>
            </w:r>
            <w:r>
              <w:rPr>
                <w:rFonts w:hint="eastAsia" w:ascii="Times New Roman" w:hAnsi="Times New Roman" w:eastAsia="宋体" w:cs="Times New Roman"/>
                <w:color w:val="auto"/>
                <w:kern w:val="0"/>
                <w:sz w:val="24"/>
                <w:szCs w:val="24"/>
                <w:lang w:val="en-US" w:eastAsia="zh-CN" w:bidi="ar"/>
              </w:rPr>
              <w:t>、</w:t>
            </w:r>
            <w:r>
              <w:rPr>
                <w:rFonts w:hint="eastAsia" w:ascii="Times New Roman" w:cs="Times New Roman"/>
                <w:b w:val="0"/>
                <w:bCs/>
                <w:color w:val="4F0FBD"/>
                <w:kern w:val="2"/>
                <w:sz w:val="24"/>
                <w:szCs w:val="24"/>
                <w:lang w:val="en-US" w:eastAsia="zh-CN" w:bidi="ar-SA"/>
              </w:rPr>
              <w:t>喷漆及丝印</w:t>
            </w:r>
            <w:r>
              <w:rPr>
                <w:rFonts w:hint="default" w:ascii="Times New Roman" w:hAnsi="Times New Roman" w:eastAsia="宋体" w:cs="Times New Roman"/>
                <w:b w:val="0"/>
                <w:bCs/>
                <w:color w:val="4F0FBD"/>
                <w:kern w:val="2"/>
                <w:sz w:val="24"/>
                <w:szCs w:val="24"/>
                <w:lang w:val="en-US" w:eastAsia="zh-CN" w:bidi="ar-SA"/>
              </w:rPr>
              <w:t>喷淋塔</w:t>
            </w:r>
            <w:r>
              <w:rPr>
                <w:rFonts w:hint="default" w:ascii="Times New Roman" w:hAnsi="Times New Roman" w:eastAsia="宋体" w:cs="Times New Roman"/>
                <w:color w:val="auto"/>
                <w:kern w:val="0"/>
                <w:sz w:val="24"/>
                <w:szCs w:val="24"/>
                <w:lang w:val="en-US" w:eastAsia="zh-CN" w:bidi="ar"/>
              </w:rPr>
              <w:t>废水</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喷枪清洗废水</w:t>
            </w:r>
            <w:r>
              <w:rPr>
                <w:rFonts w:hint="eastAsia" w:cs="Times New Roman"/>
                <w:color w:val="auto"/>
                <w:kern w:val="0"/>
                <w:sz w:val="24"/>
                <w:szCs w:val="24"/>
                <w:lang w:val="en-US" w:eastAsia="zh-CN" w:bidi="ar"/>
              </w:rPr>
              <w:t>分类收集后，</w:t>
            </w:r>
            <w:r>
              <w:rPr>
                <w:rFonts w:hint="eastAsia" w:cs="Times New Roman"/>
                <w:color w:val="FF0000"/>
                <w:kern w:val="0"/>
                <w:sz w:val="24"/>
                <w:szCs w:val="24"/>
                <w:lang w:val="en-US" w:eastAsia="zh-CN" w:bidi="ar"/>
              </w:rPr>
              <w:t>暂存于危废暂存间，</w:t>
            </w:r>
            <w:r>
              <w:rPr>
                <w:rFonts w:hint="eastAsia" w:ascii="Times New Roman" w:cs="Times New Roman"/>
                <w:color w:val="FF0000"/>
                <w:sz w:val="24"/>
                <w:szCs w:val="24"/>
                <w:highlight w:val="none"/>
                <w:lang w:val="en-US" w:eastAsia="zh-CN"/>
              </w:rPr>
              <w:t>定期交由有危险废物处理资质的单位处理</w:t>
            </w:r>
            <w:r>
              <w:rPr>
                <w:rFonts w:hint="eastAsia" w:eastAsia="宋体" w:cs="Times New Roman"/>
                <w:color w:val="auto"/>
                <w:sz w:val="24"/>
                <w:szCs w:val="24"/>
                <w:highlight w:val="none"/>
                <w:lang w:val="en-US" w:eastAsia="zh-CN"/>
              </w:rPr>
              <w:t>。因此本项目无生产废水排放。</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3</w:t>
            </w:r>
            <w:r>
              <w:rPr>
                <w:rFonts w:hint="default" w:ascii="Times New Roman" w:hAnsi="Times New Roman" w:cs="Times New Roman"/>
                <w:b/>
                <w:color w:val="auto"/>
                <w:szCs w:val="21"/>
                <w:lang w:eastAsia="zh-CN"/>
              </w:rPr>
              <w:t>、</w:t>
            </w:r>
            <w:r>
              <w:rPr>
                <w:rFonts w:hint="default" w:ascii="Times New Roman" w:hAnsi="Times New Roman" w:cs="Times New Roman"/>
                <w:b/>
                <w:color w:val="auto"/>
                <w:szCs w:val="21"/>
              </w:rPr>
              <w:t>噪声</w:t>
            </w:r>
          </w:p>
          <w:p>
            <w:pPr>
              <w:ind w:firstLine="480" w:firstLineChars="200"/>
              <w:rPr>
                <w:color w:val="auto"/>
                <w:highlight w:val="none"/>
              </w:rPr>
            </w:pPr>
            <w:r>
              <w:rPr>
                <w:rFonts w:hint="eastAsia"/>
                <w:color w:val="auto"/>
                <w:highlight w:val="none"/>
              </w:rPr>
              <w:t>本项目的噪声主要是机械生产设备运行时产生的噪声。噪声特征以连续性噪声为主，间歇性噪声为辅，</w:t>
            </w:r>
            <w:r>
              <w:rPr>
                <w:rFonts w:hint="eastAsia"/>
                <w:color w:val="auto"/>
                <w:highlight w:val="none"/>
                <w:lang w:val="en-US" w:eastAsia="zh-CN"/>
              </w:rPr>
              <w:t>设备</w:t>
            </w:r>
            <w:r>
              <w:rPr>
                <w:rFonts w:hint="eastAsia"/>
                <w:color w:val="auto"/>
                <w:highlight w:val="none"/>
              </w:rPr>
              <w:t>噪声污染源强如下表。</w:t>
            </w:r>
            <w:r>
              <w:rPr>
                <w:color w:val="auto"/>
                <w:highlight w:val="none"/>
              </w:rPr>
              <w:t>本项目所有设备均安装在室内，其噪声量由建筑物的墙、门、窗等综合而成，运营期间门窗紧闭，类似形成隔声间；同时对生产设备底座采取减震处理。根据刘惠玲主编《噪声控制技术》（2002年10月第1版），采用隔声间（室）技术措施，降噪效果可达20~40dB（A）；减振降噪处理效果可达5~25dB（A）。本项目墙体隔声降噪效果取</w:t>
            </w:r>
            <w:r>
              <w:rPr>
                <w:rFonts w:hint="eastAsia"/>
                <w:color w:val="FF0000"/>
                <w:highlight w:val="none"/>
                <w:lang w:val="en-US" w:eastAsia="zh-CN"/>
              </w:rPr>
              <w:t>20</w:t>
            </w:r>
            <w:r>
              <w:rPr>
                <w:color w:val="auto"/>
                <w:highlight w:val="none"/>
              </w:rPr>
              <w:t>B（A），减振降噪效果取</w:t>
            </w:r>
            <w:r>
              <w:rPr>
                <w:color w:val="FF0000"/>
                <w:highlight w:val="none"/>
              </w:rPr>
              <w:t>1</w:t>
            </w:r>
            <w:r>
              <w:rPr>
                <w:rFonts w:hint="eastAsia"/>
                <w:color w:val="FF0000"/>
                <w:highlight w:val="none"/>
                <w:lang w:val="en-US" w:eastAsia="zh-CN"/>
              </w:rPr>
              <w:t>5</w:t>
            </w:r>
            <w:r>
              <w:rPr>
                <w:color w:val="auto"/>
                <w:highlight w:val="none"/>
              </w:rPr>
              <w:t>dB（A），共计降噪效果为</w:t>
            </w:r>
            <w:r>
              <w:rPr>
                <w:rFonts w:hint="eastAsia"/>
                <w:color w:val="FF0000"/>
                <w:highlight w:val="none"/>
                <w:lang w:val="en-US" w:eastAsia="zh-CN"/>
              </w:rPr>
              <w:t>3</w:t>
            </w:r>
            <w:r>
              <w:rPr>
                <w:color w:val="FF0000"/>
                <w:highlight w:val="none"/>
              </w:rPr>
              <w:t>5</w:t>
            </w:r>
            <w:r>
              <w:rPr>
                <w:color w:val="auto"/>
                <w:highlight w:val="none"/>
              </w:rPr>
              <w:t>dB（A）。</w:t>
            </w:r>
          </w:p>
          <w:p>
            <w:pPr>
              <w:pStyle w:val="44"/>
              <w:keepNext w:val="0"/>
              <w:keepLines w:val="0"/>
              <w:pageBreakBefore w:val="0"/>
              <w:numPr>
                <w:ilvl w:val="0"/>
                <w:numId w:val="9"/>
              </w:numPr>
              <w:tabs>
                <w:tab w:val="clear" w:pos="0"/>
              </w:tabs>
              <w:kinsoku/>
              <w:wordWrap/>
              <w:overflowPunct/>
              <w:topLinePunct w:val="0"/>
              <w:bidi w:val="0"/>
              <w:spacing w:line="240" w:lineRule="auto"/>
              <w:ind w:left="0" w:leftChars="0" w:firstLine="403" w:firstLineChars="0"/>
              <w:rPr>
                <w:rFonts w:hint="default"/>
                <w:color w:val="auto"/>
                <w:lang w:val="en-US" w:eastAsia="zh-CN"/>
              </w:rPr>
            </w:pPr>
            <w:r>
              <w:rPr>
                <w:rFonts w:hint="eastAsia"/>
                <w:color w:val="auto"/>
                <w:kern w:val="11"/>
                <w:szCs w:val="21"/>
                <w:highlight w:val="none"/>
                <w:lang w:val="en-US" w:eastAsia="zh-CN"/>
              </w:rPr>
              <w:t>扩建</w:t>
            </w:r>
            <w:r>
              <w:rPr>
                <w:color w:val="auto"/>
                <w:kern w:val="11"/>
                <w:szCs w:val="21"/>
                <w:highlight w:val="none"/>
              </w:rPr>
              <w:t>项目噪声排放情况一览表（单位：</w:t>
            </w:r>
            <w:r>
              <w:rPr>
                <w:color w:val="auto"/>
                <w:sz w:val="21"/>
                <w:szCs w:val="21"/>
                <w:highlight w:val="none"/>
              </w:rPr>
              <w:t>dB（A）</w:t>
            </w:r>
            <w:r>
              <w:rPr>
                <w:color w:val="auto"/>
                <w:kern w:val="11"/>
                <w:szCs w:val="21"/>
                <w:highlight w:val="none"/>
              </w:rPr>
              <w:t>）</w:t>
            </w:r>
          </w:p>
          <w:tbl>
            <w:tblPr>
              <w:tblStyle w:val="29"/>
              <w:tblW w:w="4968"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751"/>
              <w:gridCol w:w="851"/>
              <w:gridCol w:w="807"/>
              <w:gridCol w:w="782"/>
              <w:gridCol w:w="1138"/>
              <w:gridCol w:w="1194"/>
              <w:gridCol w:w="793"/>
              <w:gridCol w:w="861"/>
              <w:gridCol w:w="101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cs="Times New Roman"/>
                      <w:b/>
                      <w:color w:val="auto"/>
                      <w:sz w:val="21"/>
                      <w:szCs w:val="21"/>
                      <w:highlight w:val="none"/>
                      <w:lang w:val="en-US" w:eastAsia="zh-CN"/>
                    </w:rPr>
                    <w:t>声源名称</w:t>
                  </w:r>
                </w:p>
              </w:tc>
              <w:tc>
                <w:tcPr>
                  <w:tcW w:w="463"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数量/台</w:t>
                  </w:r>
                </w:p>
              </w:tc>
              <w:tc>
                <w:tcPr>
                  <w:tcW w:w="43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声源类型</w:t>
                  </w:r>
                </w:p>
              </w:tc>
              <w:tc>
                <w:tcPr>
                  <w:tcW w:w="42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b/>
                      <w:color w:val="auto"/>
                      <w:sz w:val="21"/>
                      <w:szCs w:val="21"/>
                      <w:highlight w:val="none"/>
                    </w:rPr>
                    <w:t>单台源强</w:t>
                  </w:r>
                </w:p>
              </w:tc>
              <w:tc>
                <w:tcPr>
                  <w:tcW w:w="61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叠加设备产生源强</w:t>
                  </w:r>
                </w:p>
              </w:tc>
              <w:tc>
                <w:tcPr>
                  <w:tcW w:w="64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降噪措施</w:t>
                  </w:r>
                </w:p>
              </w:tc>
              <w:tc>
                <w:tcPr>
                  <w:tcW w:w="43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降噪效果</w:t>
                  </w:r>
                </w:p>
              </w:tc>
              <w:tc>
                <w:tcPr>
                  <w:tcW w:w="468"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排放强度</w:t>
                  </w:r>
                </w:p>
              </w:tc>
              <w:tc>
                <w:tcPr>
                  <w:tcW w:w="55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持续时间（h/a）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2"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注塑机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28</w:t>
                  </w:r>
                </w:p>
              </w:tc>
              <w:tc>
                <w:tcPr>
                  <w:tcW w:w="439"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频发</w:t>
                  </w: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w:t>
                  </w:r>
                </w:p>
              </w:tc>
              <w:tc>
                <w:tcPr>
                  <w:tcW w:w="61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104.5 </w:t>
                  </w:r>
                </w:p>
              </w:tc>
              <w:tc>
                <w:tcPr>
                  <w:tcW w:w="649"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减震、隔声</w:t>
                  </w: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FF0000"/>
                      <w:kern w:val="0"/>
                      <w:sz w:val="21"/>
                      <w:szCs w:val="21"/>
                      <w:highlight w:val="none"/>
                      <w:lang w:val="en-US" w:eastAsia="zh-CN"/>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69.5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8"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模温机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31</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w:t>
                  </w:r>
                </w:p>
              </w:tc>
              <w:tc>
                <w:tcPr>
                  <w:tcW w:w="61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104.9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69.9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漏斗式干燥机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28</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w:t>
                  </w:r>
                </w:p>
              </w:tc>
              <w:tc>
                <w:tcPr>
                  <w:tcW w:w="61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104.5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69.5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4"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干燥除湿机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w:t>
                  </w:r>
                </w:p>
              </w:tc>
              <w:tc>
                <w:tcPr>
                  <w:tcW w:w="61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98.5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63.5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机械手</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27</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99.3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64.3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破碎机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105</w:t>
                  </w:r>
                </w:p>
              </w:tc>
              <w:tc>
                <w:tcPr>
                  <w:tcW w:w="61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109.8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74.8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混料机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88.0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53.0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车床</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80</w:t>
                  </w:r>
                </w:p>
              </w:tc>
              <w:tc>
                <w:tcPr>
                  <w:tcW w:w="61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80.0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45.0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火花机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89.8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54.8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数控高速雕铣机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89.8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54.8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锣床</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92.0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57.0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磨床</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手动磨床</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钻床</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80</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80.0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45.0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磨刀机</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70</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74.8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39.8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三坐标仪</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80</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80.0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45.0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二次元影像测量仪</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80</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80.0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45.0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丝印机</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94.5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59.5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移印机</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丝印烘烤线</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喷油水帘柜</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喷枪</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70</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76.0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41.0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喷漆烘烤线</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89.8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54.8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冷却塔</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61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 xml:space="preserve">85.0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lang w:val="en-US" w:eastAsia="zh-CN"/>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 xml:space="preserve">50.0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sz w:val="21"/>
                      <w:szCs w:val="21"/>
                      <w:highlight w:val="none"/>
                      <w:vertAlign w:val="baseli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4800</w:t>
                  </w:r>
                </w:p>
              </w:tc>
            </w:tr>
          </w:tbl>
          <w:p>
            <w:pPr>
              <w:autoSpaceDE w:val="0"/>
              <w:autoSpaceDN w:val="0"/>
              <w:snapToGrid w:val="0"/>
              <w:ind w:firstLine="480"/>
              <w:rPr>
                <w:rFonts w:hint="default" w:eastAsia="宋体"/>
                <w:b/>
                <w:bCs/>
                <w:color w:val="auto"/>
                <w:highlight w:val="none"/>
                <w:lang w:val="en-US" w:eastAsia="zh-CN"/>
              </w:rPr>
            </w:pPr>
            <w:r>
              <w:rPr>
                <w:rFonts w:hint="eastAsia"/>
                <w:b/>
                <w:bCs/>
                <w:color w:val="auto"/>
                <w:highlight w:val="none"/>
                <w:lang w:val="en-US" w:eastAsia="zh-CN"/>
              </w:rPr>
              <w:t>2、降噪措施</w:t>
            </w:r>
          </w:p>
          <w:p>
            <w:pPr>
              <w:ind w:firstLine="480" w:firstLineChars="200"/>
              <w:rPr>
                <w:color w:val="auto"/>
                <w:highlight w:val="none"/>
              </w:rPr>
            </w:pPr>
            <w:r>
              <w:rPr>
                <w:rFonts w:hint="eastAsia"/>
                <w:color w:val="auto"/>
                <w:highlight w:val="none"/>
              </w:rPr>
              <w:t>1）</w:t>
            </w:r>
            <w:r>
              <w:rPr>
                <w:color w:val="auto"/>
                <w:highlight w:val="none"/>
              </w:rPr>
              <w:t>合理布局生产设备，高噪声设备放置在密闭的厂房内，隔间墙体选用吸声材料；</w:t>
            </w:r>
          </w:p>
          <w:p>
            <w:pPr>
              <w:autoSpaceDE w:val="0"/>
              <w:autoSpaceDN w:val="0"/>
              <w:ind w:firstLine="480"/>
              <w:rPr>
                <w:color w:val="auto"/>
                <w:highlight w:val="none"/>
              </w:rPr>
            </w:pPr>
            <w:r>
              <w:rPr>
                <w:rFonts w:hint="eastAsia"/>
                <w:color w:val="auto"/>
                <w:highlight w:val="none"/>
              </w:rPr>
              <w:t>2）</w:t>
            </w:r>
            <w:r>
              <w:rPr>
                <w:color w:val="auto"/>
                <w:highlight w:val="none"/>
              </w:rPr>
              <w:t>对高噪声设备进行减震、隔声等措施，安装弹簧、弹性减振器、隔声罩</w:t>
            </w:r>
            <w:r>
              <w:rPr>
                <w:rFonts w:hint="eastAsia"/>
                <w:color w:val="auto"/>
                <w:highlight w:val="none"/>
                <w:lang w:eastAsia="zh-CN"/>
              </w:rPr>
              <w:t>，在生产车间窗户安装隔声</w:t>
            </w:r>
            <w:r>
              <w:rPr>
                <w:color w:val="auto"/>
                <w:highlight w:val="none"/>
              </w:rPr>
              <w:t>等；</w:t>
            </w:r>
          </w:p>
          <w:p>
            <w:pPr>
              <w:pStyle w:val="88"/>
              <w:spacing w:line="360" w:lineRule="auto"/>
              <w:ind w:firstLine="480" w:firstLineChars="200"/>
              <w:jc w:val="both"/>
              <w:rPr>
                <w:rFonts w:ascii="Times New Roman" w:cs="Times New Roman"/>
                <w:color w:val="auto"/>
                <w:highlight w:val="none"/>
              </w:rPr>
            </w:pPr>
            <w:r>
              <w:rPr>
                <w:rFonts w:hint="eastAsia" w:ascii="Times New Roman" w:cs="Times New Roman"/>
                <w:color w:val="auto"/>
                <w:highlight w:val="none"/>
              </w:rPr>
              <w:t>3）加强作业管理，减少非正常噪声</w:t>
            </w:r>
            <w:r>
              <w:rPr>
                <w:rFonts w:ascii="Times New Roman" w:cs="Times New Roman"/>
                <w:color w:val="auto"/>
                <w:highlight w:val="none"/>
              </w:rPr>
              <w:t>；</w:t>
            </w:r>
          </w:p>
          <w:p>
            <w:pPr>
              <w:pStyle w:val="88"/>
              <w:spacing w:line="360" w:lineRule="auto"/>
              <w:ind w:firstLine="480" w:firstLineChars="200"/>
              <w:jc w:val="both"/>
              <w:rPr>
                <w:rFonts w:hint="eastAsia" w:ascii="Times New Roman" w:eastAsia="宋体" w:cs="Times New Roman"/>
                <w:color w:val="auto"/>
                <w:highlight w:val="none"/>
                <w:lang w:eastAsia="zh-CN"/>
              </w:rPr>
            </w:pPr>
            <w:r>
              <w:rPr>
                <w:rFonts w:hint="eastAsia" w:ascii="Times New Roman" w:cs="Times New Roman"/>
                <w:color w:val="auto"/>
                <w:highlight w:val="none"/>
              </w:rPr>
              <w:t>4）定期做好设备的保养与日常维护，维持厂内设备处于良好的运转状态，减少因零部件磨损产生的噪声</w:t>
            </w:r>
            <w:r>
              <w:rPr>
                <w:rFonts w:hint="eastAsia" w:ascii="Times New Roman" w:cs="Times New Roman"/>
                <w:color w:val="auto"/>
                <w:highlight w:val="none"/>
                <w:lang w:eastAsia="zh-CN"/>
              </w:rPr>
              <w:t>；</w:t>
            </w:r>
          </w:p>
          <w:p>
            <w:pPr>
              <w:pStyle w:val="88"/>
              <w:spacing w:line="360" w:lineRule="auto"/>
              <w:ind w:firstLine="480" w:firstLineChars="200"/>
              <w:jc w:val="both"/>
              <w:rPr>
                <w:rFonts w:ascii="Times New Roman" w:cs="Times New Roman"/>
                <w:color w:val="auto"/>
                <w:highlight w:val="none"/>
              </w:rPr>
            </w:pPr>
            <w:r>
              <w:rPr>
                <w:rFonts w:hint="eastAsia" w:ascii="Times New Roman" w:cs="Times New Roman"/>
                <w:color w:val="auto"/>
                <w:highlight w:val="none"/>
                <w:lang w:val="en-US" w:eastAsia="zh-CN"/>
              </w:rPr>
              <w:t>5）</w:t>
            </w:r>
            <w:r>
              <w:rPr>
                <w:rFonts w:ascii="Times New Roman" w:cs="Times New Roman"/>
                <w:color w:val="auto"/>
                <w:highlight w:val="none"/>
              </w:rPr>
              <w:t>在噪声传播途径上采取措施加以控制，采取车间外及厂界的绿化利用建筑物与树木阻隔声音的传播。</w:t>
            </w:r>
          </w:p>
          <w:p>
            <w:pPr>
              <w:autoSpaceDE w:val="0"/>
              <w:autoSpaceDN w:val="0"/>
              <w:snapToGrid w:val="0"/>
              <w:ind w:firstLine="480"/>
              <w:rPr>
                <w:rFonts w:hint="default"/>
                <w:b w:val="0"/>
                <w:bCs w:val="0"/>
                <w:color w:val="auto"/>
                <w:highlight w:val="none"/>
                <w:lang w:val="en-US" w:eastAsia="zh-CN"/>
              </w:rPr>
            </w:pPr>
            <w:r>
              <w:rPr>
                <w:rFonts w:hint="eastAsia"/>
                <w:b w:val="0"/>
                <w:bCs w:val="0"/>
                <w:color w:val="auto"/>
                <w:highlight w:val="none"/>
                <w:lang w:val="en-US" w:eastAsia="zh-CN"/>
              </w:rPr>
              <w:t>6）运输车进出厂区时要减速行驶，装卸作业时要严格实行降噪措施。</w:t>
            </w:r>
          </w:p>
          <w:p>
            <w:pPr>
              <w:autoSpaceDE w:val="0"/>
              <w:autoSpaceDN w:val="0"/>
              <w:snapToGrid w:val="0"/>
              <w:ind w:firstLine="480"/>
              <w:rPr>
                <w:rFonts w:hint="default" w:eastAsia="宋体"/>
                <w:b/>
                <w:bCs/>
                <w:color w:val="auto"/>
                <w:highlight w:val="none"/>
                <w:lang w:val="en-US" w:eastAsia="zh-CN"/>
              </w:rPr>
            </w:pPr>
            <w:r>
              <w:rPr>
                <w:rFonts w:hint="eastAsia"/>
                <w:b/>
                <w:bCs/>
                <w:color w:val="auto"/>
                <w:highlight w:val="none"/>
                <w:lang w:val="en-US" w:eastAsia="zh-CN"/>
              </w:rPr>
              <w:t>3、厂界达标情况分析</w:t>
            </w:r>
          </w:p>
          <w:p>
            <w:pPr>
              <w:autoSpaceDE w:val="0"/>
              <w:autoSpaceDN w:val="0"/>
              <w:snapToGrid w:val="0"/>
              <w:ind w:firstLine="480"/>
              <w:rPr>
                <w:rFonts w:hint="eastAsia"/>
                <w:color w:val="auto"/>
                <w:highlight w:val="none"/>
              </w:rPr>
            </w:pPr>
            <w:r>
              <w:rPr>
                <w:color w:val="auto"/>
                <w:highlight w:val="none"/>
              </w:rPr>
              <w:t>根据项目噪声污染源的特征，按照《环境影响评价技术导则</w:t>
            </w:r>
            <w:r>
              <w:rPr>
                <w:rFonts w:hint="eastAsia"/>
                <w:color w:val="auto"/>
                <w:highlight w:val="none"/>
                <w:lang w:eastAsia="zh-CN"/>
              </w:rPr>
              <w:t>—</w:t>
            </w:r>
            <w:r>
              <w:rPr>
                <w:color w:val="auto"/>
                <w:highlight w:val="none"/>
              </w:rPr>
              <w:t>声环境》</w:t>
            </w:r>
            <w:r>
              <w:rPr>
                <w:rFonts w:hint="eastAsia"/>
                <w:color w:val="auto"/>
                <w:highlight w:val="none"/>
              </w:rPr>
              <w:t>（HJ2.4-2021）中推荐的预测模式进行预测，噪声预测模式如下：</w:t>
            </w:r>
          </w:p>
          <w:p>
            <w:pPr>
              <w:autoSpaceDE w:val="0"/>
              <w:autoSpaceDN w:val="0"/>
              <w:snapToGrid w:val="0"/>
              <w:ind w:firstLine="480"/>
              <w:rPr>
                <w:rFonts w:hint="default"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color w:val="auto"/>
                <w:highlight w:val="none"/>
              </w:rPr>
              <w:t>现场有多台机械设备同时运转，其噪声情况应是这些设备总叠加。多个噪声源叠加后的总声压级，</w:t>
            </w:r>
            <w:r>
              <w:rPr>
                <w:rFonts w:hint="eastAsia"/>
                <w:color w:val="auto"/>
                <w:highlight w:val="none"/>
                <w:lang w:eastAsia="zh-CN"/>
              </w:rPr>
              <w:t>在预测点产生的等效声级贡献值（</w:t>
            </w:r>
            <w:r>
              <w:rPr>
                <w:rFonts w:hint="eastAsia"/>
                <w:color w:val="auto"/>
                <w:highlight w:val="none"/>
                <w:lang w:val="en-US" w:eastAsia="zh-CN"/>
              </w:rPr>
              <w:t>L</w:t>
            </w:r>
            <w:r>
              <w:rPr>
                <w:rFonts w:hint="eastAsia"/>
                <w:color w:val="auto"/>
                <w:highlight w:val="none"/>
                <w:vertAlign w:val="subscript"/>
                <w:lang w:val="en-US" w:eastAsia="zh-CN"/>
              </w:rPr>
              <w:t>eqg</w:t>
            </w:r>
            <w:r>
              <w:rPr>
                <w:rFonts w:hint="eastAsia"/>
                <w:color w:val="auto"/>
                <w:highlight w:val="none"/>
                <w:lang w:eastAsia="zh-CN"/>
              </w:rPr>
              <w:t>）的</w:t>
            </w:r>
            <w:r>
              <w:rPr>
                <w:rFonts w:hint="eastAsia"/>
                <w:color w:val="auto"/>
                <w:highlight w:val="none"/>
                <w:lang w:val="en-US" w:eastAsia="zh-CN"/>
              </w:rPr>
              <w:t>计算方式：</w:t>
            </w:r>
          </w:p>
          <w:p>
            <w:pPr>
              <w:autoSpaceDE w:val="0"/>
              <w:autoSpaceDN w:val="0"/>
              <w:snapToGrid w:val="0"/>
              <w:ind w:firstLine="48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2793365" cy="536575"/>
                  <wp:effectExtent l="0" t="0" r="6985" b="15875"/>
                  <wp:docPr id="413" name="图片 413" descr="c38347ba67b7fc9486e617283a7a8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图片 413" descr="c38347ba67b7fc9486e617283a7a88b"/>
                          <pic:cNvPicPr>
                            <a:picLocks noChangeAspect="1"/>
                          </pic:cNvPicPr>
                        </pic:nvPicPr>
                        <pic:blipFill>
                          <a:blip r:embed="rId26"/>
                          <a:srcRect l="7344" t="7531" r="3785" b="8395"/>
                          <a:stretch>
                            <a:fillRect/>
                          </a:stretch>
                        </pic:blipFill>
                        <pic:spPr>
                          <a:xfrm>
                            <a:off x="0" y="0"/>
                            <a:ext cx="2793365" cy="536575"/>
                          </a:xfrm>
                          <a:prstGeom prst="rect">
                            <a:avLst/>
                          </a:prstGeom>
                        </pic:spPr>
                      </pic:pic>
                    </a:graphicData>
                  </a:graphic>
                </wp:inline>
              </w:drawing>
            </w:r>
          </w:p>
          <w:p>
            <w:pPr>
              <w:autoSpaceDE w:val="0"/>
              <w:autoSpaceDN w:val="0"/>
              <w:snapToGrid w:val="0"/>
              <w:ind w:firstLine="480"/>
              <w:rPr>
                <w:rFonts w:hint="eastAsia"/>
                <w:color w:val="auto"/>
                <w:highlight w:val="none"/>
                <w:lang w:eastAsia="zh-CN"/>
              </w:rPr>
            </w:pPr>
            <w:r>
              <w:rPr>
                <w:rFonts w:hint="eastAsia"/>
                <w:color w:val="auto"/>
                <w:highlight w:val="none"/>
                <w:lang w:eastAsia="zh-CN"/>
              </w:rPr>
              <w:t>式中：</w:t>
            </w:r>
          </w:p>
          <w:p>
            <w:pPr>
              <w:autoSpaceDE w:val="0"/>
              <w:autoSpaceDN w:val="0"/>
              <w:snapToGrid w:val="0"/>
              <w:ind w:firstLine="480"/>
              <w:rPr>
                <w:rFonts w:hint="eastAsia"/>
                <w:color w:val="auto"/>
                <w:highlight w:val="none"/>
                <w:lang w:eastAsia="zh-CN"/>
              </w:rPr>
            </w:pPr>
            <w:r>
              <w:rPr>
                <w:rFonts w:hint="eastAsia"/>
                <w:color w:val="auto"/>
                <w:highlight w:val="none"/>
                <w:lang w:eastAsia="zh-CN"/>
              </w:rPr>
              <w:t>L</w:t>
            </w:r>
            <w:r>
              <w:rPr>
                <w:rFonts w:hint="eastAsia"/>
                <w:color w:val="auto"/>
                <w:highlight w:val="none"/>
                <w:vertAlign w:val="subscript"/>
                <w:lang w:eastAsia="zh-CN"/>
              </w:rPr>
              <w:t>eqg</w:t>
            </w:r>
            <w:r>
              <w:rPr>
                <w:rFonts w:hint="eastAsia"/>
                <w:color w:val="auto"/>
                <w:highlight w:val="none"/>
                <w:lang w:eastAsia="zh-CN"/>
              </w:rPr>
              <w:t>——噪声贡献值，dB；</w:t>
            </w:r>
          </w:p>
          <w:p>
            <w:pPr>
              <w:autoSpaceDE w:val="0"/>
              <w:autoSpaceDN w:val="0"/>
              <w:snapToGrid w:val="0"/>
              <w:ind w:firstLine="480"/>
              <w:rPr>
                <w:rFonts w:hint="eastAsia"/>
                <w:color w:val="auto"/>
                <w:highlight w:val="none"/>
                <w:lang w:eastAsia="zh-CN"/>
              </w:rPr>
            </w:pPr>
            <w:r>
              <w:rPr>
                <w:rFonts w:hint="eastAsia"/>
                <w:color w:val="auto"/>
                <w:highlight w:val="none"/>
                <w:lang w:eastAsia="zh-CN"/>
              </w:rPr>
              <w:t>T——预测计算的时间段，s；</w:t>
            </w:r>
          </w:p>
          <w:p>
            <w:pPr>
              <w:autoSpaceDE w:val="0"/>
              <w:autoSpaceDN w:val="0"/>
              <w:snapToGrid w:val="0"/>
              <w:ind w:firstLine="480"/>
              <w:rPr>
                <w:rFonts w:hint="eastAsia"/>
                <w:color w:val="auto"/>
                <w:highlight w:val="none"/>
                <w:lang w:eastAsia="zh-CN"/>
              </w:rPr>
            </w:pPr>
            <w:r>
              <w:rPr>
                <w:rFonts w:hint="eastAsia"/>
                <w:color w:val="auto"/>
                <w:highlight w:val="none"/>
                <w:lang w:eastAsia="zh-CN"/>
              </w:rPr>
              <w:t>ti——i 声源在T时段内的运行时间，s；</w:t>
            </w:r>
          </w:p>
          <w:p>
            <w:pPr>
              <w:autoSpaceDE w:val="0"/>
              <w:autoSpaceDN w:val="0"/>
              <w:snapToGrid w:val="0"/>
              <w:ind w:firstLine="480"/>
              <w:rPr>
                <w:rFonts w:hint="eastAsia"/>
                <w:color w:val="auto"/>
                <w:highlight w:val="none"/>
                <w:lang w:eastAsia="zh-CN"/>
              </w:rPr>
            </w:pPr>
            <w:r>
              <w:rPr>
                <w:rFonts w:hint="eastAsia"/>
                <w:color w:val="auto"/>
                <w:highlight w:val="none"/>
                <w:lang w:eastAsia="zh-CN"/>
              </w:rPr>
              <w:t>L</w:t>
            </w:r>
            <w:r>
              <w:rPr>
                <w:rFonts w:hint="eastAsia"/>
                <w:color w:val="auto"/>
                <w:highlight w:val="none"/>
                <w:vertAlign w:val="subscript"/>
                <w:lang w:eastAsia="zh-CN"/>
              </w:rPr>
              <w:t>Ai</w:t>
            </w:r>
            <w:r>
              <w:rPr>
                <w:rFonts w:hint="eastAsia"/>
                <w:color w:val="auto"/>
                <w:highlight w:val="none"/>
                <w:lang w:eastAsia="zh-CN"/>
              </w:rPr>
              <w:t>——i声源在预测点产生的等效连续A声级，dB。</w:t>
            </w:r>
          </w:p>
          <w:p>
            <w:pPr>
              <w:autoSpaceDE w:val="0"/>
              <w:autoSpaceDN w:val="0"/>
              <w:snapToGrid w:val="0"/>
              <w:ind w:firstLine="480"/>
              <w:rPr>
                <w:rFonts w:hint="default"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）无指向性点声源几何发散衰减的基本公式是：</w:t>
            </w:r>
          </w:p>
          <w:p>
            <w:pPr>
              <w:autoSpaceDE w:val="0"/>
              <w:autoSpaceDN w:val="0"/>
              <w:snapToGrid w:val="0"/>
              <w:ind w:firstLine="48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2838450" cy="485775"/>
                  <wp:effectExtent l="0" t="0" r="0" b="9525"/>
                  <wp:docPr id="412" name="图片 412" descr="7c8d851cb7311eb53359f1ab42b96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7c8d851cb7311eb53359f1ab42b96ff"/>
                          <pic:cNvPicPr>
                            <a:picLocks noChangeAspect="1"/>
                          </pic:cNvPicPr>
                        </pic:nvPicPr>
                        <pic:blipFill>
                          <a:blip r:embed="rId27"/>
                          <a:stretch>
                            <a:fillRect/>
                          </a:stretch>
                        </pic:blipFill>
                        <pic:spPr>
                          <a:xfrm>
                            <a:off x="0" y="0"/>
                            <a:ext cx="2838450" cy="485775"/>
                          </a:xfrm>
                          <a:prstGeom prst="rect">
                            <a:avLst/>
                          </a:prstGeom>
                        </pic:spPr>
                      </pic:pic>
                    </a:graphicData>
                  </a:graphic>
                </wp:inline>
              </w:drawing>
            </w:r>
          </w:p>
          <w:p>
            <w:pPr>
              <w:autoSpaceDE w:val="0"/>
              <w:autoSpaceDN w:val="0"/>
              <w:snapToGrid w:val="0"/>
              <w:ind w:firstLine="480"/>
              <w:rPr>
                <w:rFonts w:hint="eastAsia"/>
                <w:color w:val="auto"/>
                <w:highlight w:val="none"/>
                <w:lang w:eastAsia="zh-CN"/>
              </w:rPr>
            </w:pPr>
            <w:r>
              <w:rPr>
                <w:rFonts w:hint="eastAsia"/>
                <w:color w:val="auto"/>
                <w:highlight w:val="none"/>
                <w:lang w:eastAsia="zh-CN"/>
              </w:rPr>
              <w:t>式中：</w:t>
            </w:r>
          </w:p>
          <w:p>
            <w:pPr>
              <w:autoSpaceDE w:val="0"/>
              <w:autoSpaceDN w:val="0"/>
              <w:snapToGrid w:val="0"/>
              <w:ind w:firstLine="480"/>
              <w:rPr>
                <w:rFonts w:hint="eastAsia"/>
                <w:color w:val="auto"/>
                <w:highlight w:val="none"/>
              </w:rPr>
            </w:pPr>
            <w:r>
              <w:rPr>
                <w:rFonts w:hint="eastAsia"/>
                <w:color w:val="auto"/>
                <w:highlight w:val="none"/>
              </w:rPr>
              <w:t>L</w:t>
            </w:r>
            <w:r>
              <w:rPr>
                <w:rFonts w:hint="eastAsia"/>
                <w:color w:val="auto"/>
                <w:highlight w:val="none"/>
                <w:vertAlign w:val="subscript"/>
              </w:rPr>
              <w:t>p</w:t>
            </w:r>
            <w:r>
              <w:rPr>
                <w:rFonts w:hint="eastAsia"/>
                <w:color w:val="auto"/>
                <w:highlight w:val="none"/>
              </w:rPr>
              <w:t xml:space="preserve">(r) ——预测点处声压级，dB； </w:t>
            </w:r>
          </w:p>
          <w:p>
            <w:pPr>
              <w:autoSpaceDE w:val="0"/>
              <w:autoSpaceDN w:val="0"/>
              <w:snapToGrid w:val="0"/>
              <w:ind w:firstLine="480"/>
              <w:rPr>
                <w:rFonts w:hint="eastAsia"/>
                <w:color w:val="auto"/>
                <w:highlight w:val="none"/>
              </w:rPr>
            </w:pPr>
            <w:r>
              <w:rPr>
                <w:rFonts w:hint="eastAsia"/>
                <w:color w:val="auto"/>
                <w:highlight w:val="none"/>
              </w:rPr>
              <w:t>L</w:t>
            </w:r>
            <w:r>
              <w:rPr>
                <w:rFonts w:hint="eastAsia"/>
                <w:color w:val="auto"/>
                <w:highlight w:val="none"/>
                <w:vertAlign w:val="subscript"/>
              </w:rPr>
              <w:t>p</w:t>
            </w:r>
            <w:r>
              <w:rPr>
                <w:rFonts w:hint="eastAsia"/>
                <w:color w:val="auto"/>
                <w:highlight w:val="none"/>
              </w:rPr>
              <w:t>(r</w:t>
            </w:r>
            <w:r>
              <w:rPr>
                <w:rFonts w:hint="eastAsia"/>
                <w:color w:val="auto"/>
                <w:highlight w:val="none"/>
                <w:vertAlign w:val="subscript"/>
              </w:rPr>
              <w:t>0</w:t>
            </w:r>
            <w:r>
              <w:rPr>
                <w:rFonts w:hint="eastAsia"/>
                <w:color w:val="auto"/>
                <w:highlight w:val="none"/>
              </w:rPr>
              <w:t>) ——参考位置r</w:t>
            </w:r>
            <w:r>
              <w:rPr>
                <w:rFonts w:hint="eastAsia"/>
                <w:color w:val="auto"/>
                <w:highlight w:val="none"/>
                <w:vertAlign w:val="subscript"/>
              </w:rPr>
              <w:t>0</w:t>
            </w:r>
            <w:r>
              <w:rPr>
                <w:rFonts w:hint="eastAsia"/>
                <w:color w:val="auto"/>
                <w:highlight w:val="none"/>
              </w:rPr>
              <w:t xml:space="preserve">处的声压级，dB； </w:t>
            </w:r>
          </w:p>
          <w:p>
            <w:pPr>
              <w:autoSpaceDE w:val="0"/>
              <w:autoSpaceDN w:val="0"/>
              <w:snapToGrid w:val="0"/>
              <w:ind w:firstLine="480"/>
              <w:rPr>
                <w:rFonts w:hint="eastAsia"/>
                <w:color w:val="auto"/>
                <w:highlight w:val="none"/>
              </w:rPr>
            </w:pPr>
            <w:r>
              <w:rPr>
                <w:rFonts w:hint="eastAsia"/>
                <w:color w:val="auto"/>
                <w:highlight w:val="none"/>
              </w:rPr>
              <w:t>r——预测点距声源的距离；</w:t>
            </w:r>
          </w:p>
          <w:p>
            <w:pPr>
              <w:autoSpaceDE w:val="0"/>
              <w:autoSpaceDN w:val="0"/>
              <w:snapToGrid w:val="0"/>
              <w:ind w:firstLine="480"/>
              <w:rPr>
                <w:color w:val="auto"/>
                <w:highlight w:val="none"/>
              </w:rPr>
            </w:pPr>
            <w:r>
              <w:rPr>
                <w:rFonts w:hint="eastAsia"/>
                <w:color w:val="auto"/>
                <w:highlight w:val="none"/>
              </w:rPr>
              <w:t>r</w:t>
            </w:r>
            <w:r>
              <w:rPr>
                <w:rFonts w:hint="eastAsia"/>
                <w:color w:val="auto"/>
                <w:highlight w:val="none"/>
                <w:vertAlign w:val="subscript"/>
              </w:rPr>
              <w:t>0</w:t>
            </w:r>
            <w:r>
              <w:rPr>
                <w:rFonts w:hint="eastAsia"/>
                <w:color w:val="auto"/>
                <w:highlight w:val="none"/>
              </w:rPr>
              <w:t>——参考位置距声源的距离。</w:t>
            </w:r>
          </w:p>
          <w:p>
            <w:pPr>
              <w:autoSpaceDE w:val="0"/>
              <w:autoSpaceDN w:val="0"/>
              <w:snapToGrid w:val="0"/>
              <w:ind w:firstLine="480"/>
              <w:rPr>
                <w:rFonts w:hint="eastAsia" w:eastAsia="宋体"/>
                <w:color w:val="auto"/>
                <w:highlight w:val="none"/>
                <w:lang w:eastAsia="zh-CN"/>
              </w:rPr>
            </w:pPr>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）噪声预测值（L</w:t>
            </w:r>
            <w:r>
              <w:rPr>
                <w:rFonts w:hint="eastAsia"/>
                <w:color w:val="auto"/>
                <w:highlight w:val="none"/>
                <w:vertAlign w:val="subscript"/>
                <w:lang w:eastAsia="zh-CN"/>
              </w:rPr>
              <w:t>eq</w:t>
            </w:r>
            <w:r>
              <w:rPr>
                <w:rFonts w:hint="eastAsia"/>
                <w:color w:val="auto"/>
                <w:highlight w:val="none"/>
                <w:lang w:eastAsia="zh-CN"/>
              </w:rPr>
              <w:t>）计算公式为：</w:t>
            </w:r>
          </w:p>
          <w:p>
            <w:pPr>
              <w:autoSpaceDE w:val="0"/>
              <w:autoSpaceDN w:val="0"/>
              <w:snapToGrid w:val="0"/>
              <w:ind w:firstLine="48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2466975" cy="476250"/>
                  <wp:effectExtent l="0" t="0" r="9525" b="0"/>
                  <wp:docPr id="414" name="图片 414" descr="165614551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图片 414" descr="1656145511854"/>
                          <pic:cNvPicPr>
                            <a:picLocks noChangeAspect="1"/>
                          </pic:cNvPicPr>
                        </pic:nvPicPr>
                        <pic:blipFill>
                          <a:blip r:embed="rId28"/>
                          <a:stretch>
                            <a:fillRect/>
                          </a:stretch>
                        </pic:blipFill>
                        <pic:spPr>
                          <a:xfrm>
                            <a:off x="0" y="0"/>
                            <a:ext cx="2466975" cy="476250"/>
                          </a:xfrm>
                          <a:prstGeom prst="rect">
                            <a:avLst/>
                          </a:prstGeom>
                        </pic:spPr>
                      </pic:pic>
                    </a:graphicData>
                  </a:graphic>
                </wp:inline>
              </w:drawing>
            </w:r>
          </w:p>
          <w:p>
            <w:pPr>
              <w:snapToGrid w:val="0"/>
              <w:ind w:firstLine="480"/>
              <w:jc w:val="left"/>
              <w:rPr>
                <w:rFonts w:hint="eastAsia"/>
                <w:color w:val="auto"/>
                <w:highlight w:val="none"/>
              </w:rPr>
            </w:pPr>
            <w:r>
              <w:rPr>
                <w:rFonts w:hint="eastAsia"/>
                <w:color w:val="auto"/>
                <w:highlight w:val="none"/>
              </w:rPr>
              <w:t>式中：</w:t>
            </w:r>
          </w:p>
          <w:p>
            <w:pPr>
              <w:snapToGrid w:val="0"/>
              <w:ind w:firstLine="480"/>
              <w:jc w:val="left"/>
              <w:rPr>
                <w:color w:val="auto"/>
                <w:highlight w:val="none"/>
              </w:rPr>
            </w:pPr>
            <w:r>
              <w:rPr>
                <w:rFonts w:hint="eastAsia"/>
                <w:color w:val="auto"/>
                <w:highlight w:val="none"/>
              </w:rPr>
              <w:t>L</w:t>
            </w:r>
            <w:r>
              <w:rPr>
                <w:rFonts w:hint="eastAsia"/>
                <w:color w:val="auto"/>
                <w:highlight w:val="none"/>
                <w:vertAlign w:val="subscript"/>
              </w:rPr>
              <w:t>eq</w:t>
            </w:r>
            <w:r>
              <w:rPr>
                <w:rFonts w:hint="eastAsia"/>
                <w:color w:val="auto"/>
                <w:highlight w:val="none"/>
              </w:rPr>
              <w:t>——预测点的噪声预测值，dB；</w:t>
            </w:r>
          </w:p>
          <w:p>
            <w:pPr>
              <w:snapToGrid w:val="0"/>
              <w:ind w:firstLine="480"/>
              <w:jc w:val="left"/>
              <w:rPr>
                <w:rFonts w:hint="eastAsia"/>
                <w:color w:val="auto"/>
                <w:highlight w:val="none"/>
                <w:lang w:eastAsia="zh-CN"/>
              </w:rPr>
            </w:pPr>
            <w:r>
              <w:rPr>
                <w:rFonts w:hint="eastAsia"/>
                <w:color w:val="auto"/>
                <w:highlight w:val="none"/>
              </w:rPr>
              <w:t>L</w:t>
            </w:r>
            <w:r>
              <w:rPr>
                <w:rFonts w:hint="eastAsia"/>
                <w:color w:val="auto"/>
                <w:highlight w:val="none"/>
                <w:vertAlign w:val="subscript"/>
              </w:rPr>
              <w:t>eqg</w:t>
            </w:r>
            <w:r>
              <w:rPr>
                <w:rFonts w:hint="eastAsia"/>
                <w:color w:val="auto"/>
                <w:highlight w:val="none"/>
              </w:rPr>
              <w:t>——建设项目声源在预测点产生的噪声贡献值，dB</w:t>
            </w:r>
            <w:r>
              <w:rPr>
                <w:rFonts w:hint="eastAsia"/>
                <w:color w:val="auto"/>
                <w:highlight w:val="none"/>
                <w:lang w:eastAsia="zh-CN"/>
              </w:rPr>
              <w:t>；</w:t>
            </w:r>
          </w:p>
          <w:p>
            <w:pPr>
              <w:snapToGrid w:val="0"/>
              <w:ind w:firstLine="480"/>
              <w:jc w:val="left"/>
              <w:rPr>
                <w:rFonts w:hint="eastAsia"/>
                <w:color w:val="auto"/>
                <w:highlight w:val="none"/>
              </w:rPr>
            </w:pPr>
            <w:r>
              <w:rPr>
                <w:rFonts w:hint="eastAsia"/>
                <w:color w:val="auto"/>
                <w:highlight w:val="none"/>
              </w:rPr>
              <w:t>L</w:t>
            </w:r>
            <w:r>
              <w:rPr>
                <w:rFonts w:hint="eastAsia"/>
                <w:color w:val="auto"/>
                <w:highlight w:val="none"/>
                <w:vertAlign w:val="subscript"/>
              </w:rPr>
              <w:t>eqb</w:t>
            </w:r>
            <w:r>
              <w:rPr>
                <w:rFonts w:hint="eastAsia"/>
                <w:color w:val="auto"/>
                <w:highlight w:val="none"/>
              </w:rPr>
              <w:t>——预测点的背景噪声值，dB。</w:t>
            </w:r>
          </w:p>
          <w:p>
            <w:pPr>
              <w:pStyle w:val="88"/>
              <w:spacing w:line="360" w:lineRule="auto"/>
              <w:ind w:firstLine="480" w:firstLineChars="200"/>
              <w:jc w:val="both"/>
              <w:rPr>
                <w:rFonts w:ascii="Times New Roman" w:cs="Times New Roman"/>
                <w:color w:val="auto"/>
                <w:highlight w:val="none"/>
              </w:rPr>
            </w:pPr>
            <w:r>
              <w:rPr>
                <w:rFonts w:ascii="Times New Roman" w:cs="Times New Roman"/>
                <w:color w:val="auto"/>
                <w:highlight w:val="none"/>
              </w:rPr>
              <w:t>将生产区域视为一个整体点源，依据营运期机械的噪声源强，叠加后预测结果见下表。</w:t>
            </w:r>
          </w:p>
          <w:p>
            <w:pPr>
              <w:pStyle w:val="62"/>
              <w:numPr>
                <w:ilvl w:val="0"/>
                <w:numId w:val="16"/>
              </w:numPr>
              <w:ind w:left="0" w:leftChars="0" w:firstLine="397" w:firstLineChars="0"/>
              <w:rPr>
                <w:color w:val="auto"/>
                <w:kern w:val="11"/>
                <w:szCs w:val="21"/>
                <w:highlight w:val="none"/>
              </w:rPr>
            </w:pPr>
            <w:r>
              <w:rPr>
                <w:rFonts w:hint="eastAsia"/>
                <w:color w:val="auto"/>
                <w:kern w:val="11"/>
                <w:szCs w:val="21"/>
                <w:highlight w:val="none"/>
                <w:lang w:val="en-US" w:eastAsia="zh-CN"/>
              </w:rPr>
              <w:t>扩建</w:t>
            </w:r>
            <w:r>
              <w:rPr>
                <w:color w:val="auto"/>
                <w:kern w:val="11"/>
                <w:szCs w:val="21"/>
                <w:highlight w:val="none"/>
              </w:rPr>
              <w:t>项目整体噪声源预测值（单位：dB（A））</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8"/>
              <w:gridCol w:w="1400"/>
              <w:gridCol w:w="1642"/>
              <w:gridCol w:w="1036"/>
              <w:gridCol w:w="1538"/>
              <w:gridCol w:w="1216"/>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108"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位置</w:t>
                  </w:r>
                </w:p>
              </w:tc>
              <w:tc>
                <w:tcPr>
                  <w:tcW w:w="1400"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噪声削减后的数值</w:t>
                  </w:r>
                </w:p>
              </w:tc>
              <w:tc>
                <w:tcPr>
                  <w:tcW w:w="1642"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设备距离生产边界（m）</w:t>
                  </w: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b/>
                      <w:bCs/>
                      <w:color w:val="auto"/>
                      <w:kern w:val="0"/>
                      <w:sz w:val="21"/>
                      <w:szCs w:val="21"/>
                      <w:highlight w:val="none"/>
                      <w:lang w:val="en-US" w:eastAsia="zh-CN"/>
                    </w:rPr>
                  </w:pPr>
                  <w:r>
                    <w:rPr>
                      <w:rFonts w:hint="eastAsia"/>
                      <w:b/>
                      <w:bCs/>
                      <w:color w:val="auto"/>
                      <w:kern w:val="0"/>
                      <w:sz w:val="21"/>
                      <w:szCs w:val="21"/>
                      <w:highlight w:val="none"/>
                      <w:lang w:val="en-US" w:eastAsia="zh-CN"/>
                    </w:rPr>
                    <w:t>时间</w:t>
                  </w:r>
                </w:p>
              </w:tc>
              <w:tc>
                <w:tcPr>
                  <w:tcW w:w="1538"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贡献值</w:t>
                  </w: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执行标准</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0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南</w:t>
                  </w:r>
                  <w:r>
                    <w:rPr>
                      <w:color w:val="auto"/>
                      <w:kern w:val="0"/>
                      <w:sz w:val="21"/>
                      <w:szCs w:val="21"/>
                      <w:highlight w:val="none"/>
                    </w:rPr>
                    <w:t>边界</w:t>
                  </w:r>
                </w:p>
              </w:tc>
              <w:tc>
                <w:tcPr>
                  <w:tcW w:w="1400"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FF0000"/>
                      <w:kern w:val="0"/>
                      <w:sz w:val="21"/>
                      <w:szCs w:val="21"/>
                      <w:highlight w:val="none"/>
                      <w:lang w:val="en-US" w:eastAsia="zh-CN"/>
                    </w:rPr>
                    <w:t>78.2</w:t>
                  </w:r>
                </w:p>
              </w:tc>
              <w:tc>
                <w:tcPr>
                  <w:tcW w:w="1642"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29</w:t>
                  </w: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kern w:val="0"/>
                      <w:sz w:val="21"/>
                      <w:szCs w:val="21"/>
                      <w:highlight w:val="none"/>
                      <w:lang w:val="en-US" w:eastAsia="zh-CN"/>
                    </w:rPr>
                  </w:pPr>
                  <w:r>
                    <w:rPr>
                      <w:b/>
                      <w:bCs/>
                      <w:color w:val="auto"/>
                      <w:kern w:val="0"/>
                      <w:sz w:val="21"/>
                      <w:szCs w:val="21"/>
                      <w:highlight w:val="none"/>
                    </w:rPr>
                    <w:t>昼间</w:t>
                  </w:r>
                </w:p>
              </w:tc>
              <w:tc>
                <w:tcPr>
                  <w:tcW w:w="1538" w:type="dxa"/>
                  <w:vMerge w:val="restar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FF0000"/>
                      <w:kern w:val="0"/>
                      <w:sz w:val="21"/>
                      <w:szCs w:val="21"/>
                      <w:highlight w:val="none"/>
                      <w:lang w:val="en-US" w:eastAsia="zh-CN"/>
                    </w:rPr>
                  </w:pPr>
                  <w:r>
                    <w:rPr>
                      <w:rFonts w:hint="eastAsia"/>
                      <w:color w:val="FF0000"/>
                      <w:kern w:val="0"/>
                      <w:sz w:val="21"/>
                      <w:szCs w:val="21"/>
                      <w:highlight w:val="none"/>
                      <w:lang w:val="en-US" w:eastAsia="zh-CN"/>
                    </w:rPr>
                    <w:t>48.9</w:t>
                  </w: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kern w:val="0"/>
                      <w:sz w:val="21"/>
                      <w:szCs w:val="21"/>
                      <w:highlight w:val="none"/>
                      <w:lang w:eastAsia="zh-CN"/>
                    </w:rPr>
                  </w:pPr>
                  <w:r>
                    <w:rPr>
                      <w:color w:val="auto"/>
                      <w:kern w:val="0"/>
                      <w:sz w:val="21"/>
                      <w:szCs w:val="21"/>
                      <w:highlight w:val="none"/>
                    </w:rPr>
                    <w:t>6</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0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b/>
                      <w:bCs/>
                      <w:color w:val="auto"/>
                      <w:kern w:val="0"/>
                      <w:sz w:val="21"/>
                      <w:szCs w:val="21"/>
                      <w:highlight w:val="none"/>
                    </w:rPr>
                    <w:t>夜间</w:t>
                  </w:r>
                </w:p>
              </w:tc>
              <w:tc>
                <w:tcPr>
                  <w:tcW w:w="1538" w:type="dxa"/>
                  <w:vMerge w:val="continue"/>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kern w:val="0"/>
                      <w:sz w:val="21"/>
                      <w:szCs w:val="21"/>
                      <w:highlight w:val="none"/>
                      <w:lang w:eastAsia="zh-CN"/>
                    </w:rPr>
                  </w:pPr>
                  <w:r>
                    <w:rPr>
                      <w:color w:val="auto"/>
                      <w:kern w:val="0"/>
                      <w:sz w:val="21"/>
                      <w:szCs w:val="21"/>
                      <w:highlight w:val="none"/>
                    </w:rPr>
                    <w:t>5</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0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东边界</w:t>
                  </w: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FF0000"/>
                      <w:kern w:val="0"/>
                      <w:sz w:val="21"/>
                      <w:szCs w:val="21"/>
                      <w:highlight w:val="none"/>
                      <w:lang w:val="en-US" w:eastAsia="zh-CN"/>
                    </w:rPr>
                    <w:t>15</w:t>
                  </w: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昼间</w:t>
                  </w:r>
                </w:p>
              </w:tc>
              <w:tc>
                <w:tcPr>
                  <w:tcW w:w="1538" w:type="dxa"/>
                  <w:vMerge w:val="restar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FF0000"/>
                      <w:kern w:val="0"/>
                      <w:sz w:val="21"/>
                      <w:szCs w:val="21"/>
                      <w:highlight w:val="none"/>
                      <w:lang w:val="en-US" w:eastAsia="zh-CN"/>
                    </w:rPr>
                  </w:pPr>
                  <w:r>
                    <w:rPr>
                      <w:rFonts w:hint="eastAsia"/>
                      <w:color w:val="FF0000"/>
                      <w:kern w:val="0"/>
                      <w:sz w:val="21"/>
                      <w:szCs w:val="21"/>
                      <w:highlight w:val="none"/>
                      <w:lang w:val="en-US" w:eastAsia="zh-CN"/>
                    </w:rPr>
                    <w:t>54.6</w:t>
                  </w: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6</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0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夜间</w:t>
                  </w:r>
                </w:p>
              </w:tc>
              <w:tc>
                <w:tcPr>
                  <w:tcW w:w="1538" w:type="dxa"/>
                  <w:vMerge w:val="continue"/>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5</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10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北</w:t>
                  </w:r>
                  <w:r>
                    <w:rPr>
                      <w:color w:val="auto"/>
                      <w:kern w:val="0"/>
                      <w:sz w:val="21"/>
                      <w:szCs w:val="21"/>
                      <w:highlight w:val="none"/>
                    </w:rPr>
                    <w:t>边界</w:t>
                  </w: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29</w:t>
                  </w: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昼间</w:t>
                  </w:r>
                </w:p>
              </w:tc>
              <w:tc>
                <w:tcPr>
                  <w:tcW w:w="1538" w:type="dxa"/>
                  <w:vMerge w:val="restar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color w:val="FF0000"/>
                      <w:kern w:val="0"/>
                      <w:sz w:val="21"/>
                      <w:szCs w:val="21"/>
                      <w:highlight w:val="none"/>
                    </w:rPr>
                  </w:pPr>
                  <w:r>
                    <w:rPr>
                      <w:rFonts w:hint="eastAsia"/>
                      <w:color w:val="FF0000"/>
                      <w:kern w:val="0"/>
                      <w:sz w:val="21"/>
                      <w:szCs w:val="21"/>
                      <w:highlight w:val="none"/>
                      <w:lang w:val="en-US" w:eastAsia="zh-CN"/>
                    </w:rPr>
                    <w:t>48.9</w:t>
                  </w: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6</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10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夜间</w:t>
                  </w:r>
                </w:p>
              </w:tc>
              <w:tc>
                <w:tcPr>
                  <w:tcW w:w="1538" w:type="dxa"/>
                  <w:vMerge w:val="continue"/>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5</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10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西边界</w:t>
                  </w: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eastAsia="宋体"/>
                      <w:color w:val="FF0000"/>
                      <w:kern w:val="0"/>
                      <w:sz w:val="21"/>
                      <w:szCs w:val="21"/>
                      <w:highlight w:val="none"/>
                      <w:lang w:val="en-US" w:eastAsia="zh-CN"/>
                    </w:rPr>
                    <w:t>1</w:t>
                  </w:r>
                  <w:r>
                    <w:rPr>
                      <w:rFonts w:hint="eastAsia"/>
                      <w:color w:val="FF0000"/>
                      <w:kern w:val="0"/>
                      <w:sz w:val="21"/>
                      <w:szCs w:val="21"/>
                      <w:highlight w:val="none"/>
                      <w:lang w:val="en-US" w:eastAsia="zh-CN"/>
                    </w:rPr>
                    <w:t>5</w:t>
                  </w: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b/>
                      <w:bCs/>
                      <w:color w:val="auto"/>
                      <w:kern w:val="0"/>
                      <w:sz w:val="21"/>
                      <w:szCs w:val="21"/>
                      <w:highlight w:val="none"/>
                    </w:rPr>
                    <w:t>昼间</w:t>
                  </w:r>
                </w:p>
              </w:tc>
              <w:tc>
                <w:tcPr>
                  <w:tcW w:w="1538" w:type="dxa"/>
                  <w:vMerge w:val="restar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eastAsia"/>
                      <w:color w:val="FF0000"/>
                      <w:kern w:val="0"/>
                      <w:sz w:val="21"/>
                      <w:szCs w:val="21"/>
                      <w:highlight w:val="none"/>
                      <w:lang w:val="en-US" w:eastAsia="zh-CN"/>
                    </w:rPr>
                    <w:t>54.6</w:t>
                  </w: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6</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10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b/>
                      <w:bCs/>
                      <w:color w:val="auto"/>
                      <w:kern w:val="0"/>
                      <w:sz w:val="21"/>
                      <w:szCs w:val="21"/>
                      <w:highlight w:val="none"/>
                    </w:rPr>
                    <w:t>夜间</w:t>
                  </w:r>
                </w:p>
              </w:tc>
              <w:tc>
                <w:tcPr>
                  <w:tcW w:w="1538" w:type="dxa"/>
                  <w:vMerge w:val="continue"/>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5</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是</w:t>
                  </w:r>
                </w:p>
              </w:tc>
            </w:tr>
          </w:tbl>
          <w:p>
            <w:pPr>
              <w:pStyle w:val="88"/>
              <w:spacing w:line="360" w:lineRule="auto"/>
              <w:ind w:firstLine="480" w:firstLineChars="200"/>
              <w:jc w:val="both"/>
              <w:rPr>
                <w:rFonts w:hint="eastAsia" w:ascii="Times New Roman" w:eastAsia="宋体" w:cs="Times New Roman"/>
                <w:b w:val="0"/>
                <w:bCs w:val="0"/>
                <w:color w:val="auto"/>
                <w:highlight w:val="none"/>
                <w:lang w:eastAsia="zh-CN"/>
              </w:rPr>
            </w:pPr>
            <w:r>
              <w:rPr>
                <w:rFonts w:hint="eastAsia" w:ascii="Times New Roman" w:cs="Times New Roman"/>
                <w:b w:val="0"/>
                <w:bCs w:val="0"/>
                <w:color w:val="auto"/>
                <w:highlight w:val="none"/>
              </w:rPr>
              <w:t>从上表的预测结果可以看出，项目合理布置各种设备，同时采取减振、隔音等消音措施。严格按规定操作，再经过距离衰减，项目的噪声</w:t>
            </w:r>
            <w:r>
              <w:rPr>
                <w:rFonts w:hint="eastAsia" w:ascii="Times New Roman" w:cs="Times New Roman"/>
                <w:b w:val="0"/>
                <w:bCs w:val="0"/>
                <w:color w:val="auto"/>
                <w:highlight w:val="none"/>
                <w:lang w:val="en-US" w:eastAsia="zh-CN"/>
              </w:rPr>
              <w:t>可以</w:t>
            </w:r>
            <w:r>
              <w:rPr>
                <w:rFonts w:hint="eastAsia" w:ascii="Times New Roman" w:cs="Times New Roman"/>
                <w:b w:val="0"/>
                <w:bCs w:val="0"/>
                <w:color w:val="auto"/>
                <w:highlight w:val="none"/>
              </w:rPr>
              <w:t>得到控制，项目厂界噪声</w:t>
            </w:r>
            <w:r>
              <w:rPr>
                <w:rFonts w:hint="eastAsia" w:ascii="Times New Roman" w:cs="Times New Roman"/>
                <w:b w:val="0"/>
                <w:bCs w:val="0"/>
                <w:color w:val="auto"/>
                <w:highlight w:val="none"/>
                <w:lang w:val="en-US" w:eastAsia="zh-CN"/>
              </w:rPr>
              <w:t>可</w:t>
            </w:r>
            <w:r>
              <w:rPr>
                <w:rFonts w:hint="eastAsia" w:ascii="Times New Roman" w:cs="Times New Roman"/>
                <w:b w:val="0"/>
                <w:bCs w:val="0"/>
                <w:color w:val="auto"/>
                <w:highlight w:val="none"/>
              </w:rPr>
              <w:t>达到《工业企业厂界环境噪声排放标准》（GB12348-2008）中</w:t>
            </w:r>
            <w:r>
              <w:rPr>
                <w:rFonts w:hint="eastAsia" w:ascii="Times New Roman" w:cs="Times New Roman"/>
                <w:b w:val="0"/>
                <w:bCs w:val="0"/>
                <w:color w:val="auto"/>
                <w:highlight w:val="none"/>
                <w:lang w:val="en-US" w:eastAsia="zh-CN"/>
              </w:rPr>
              <w:t>2</w:t>
            </w:r>
            <w:r>
              <w:rPr>
                <w:rFonts w:hint="eastAsia" w:ascii="Times New Roman" w:cs="Times New Roman"/>
                <w:b w:val="0"/>
                <w:bCs w:val="0"/>
                <w:color w:val="auto"/>
                <w:highlight w:val="none"/>
              </w:rPr>
              <w:t>类标准要求（昼间≤65dB（A）</w:t>
            </w:r>
            <w:r>
              <w:rPr>
                <w:rFonts w:hint="eastAsia" w:ascii="Times New Roman" w:cs="Times New Roman"/>
                <w:b w:val="0"/>
                <w:bCs w:val="0"/>
                <w:color w:val="auto"/>
                <w:highlight w:val="none"/>
                <w:lang w:eastAsia="zh-CN"/>
              </w:rPr>
              <w:t>，</w:t>
            </w:r>
            <w:r>
              <w:rPr>
                <w:rFonts w:hint="eastAsia" w:ascii="Times New Roman" w:cs="Times New Roman"/>
                <w:b w:val="0"/>
                <w:bCs w:val="0"/>
                <w:color w:val="auto"/>
                <w:highlight w:val="none"/>
                <w:lang w:val="en-US" w:eastAsia="zh-CN"/>
              </w:rPr>
              <w:t>夜间</w:t>
            </w:r>
            <w:r>
              <w:rPr>
                <w:rFonts w:hint="eastAsia" w:ascii="Times New Roman" w:cs="Times New Roman"/>
                <w:b w:val="0"/>
                <w:bCs w:val="0"/>
                <w:color w:val="auto"/>
                <w:highlight w:val="none"/>
              </w:rPr>
              <w:t>≤</w:t>
            </w:r>
            <w:r>
              <w:rPr>
                <w:rFonts w:hint="eastAsia" w:ascii="Times New Roman" w:cs="Times New Roman"/>
                <w:b w:val="0"/>
                <w:bCs w:val="0"/>
                <w:color w:val="auto"/>
                <w:highlight w:val="none"/>
                <w:lang w:val="en-US" w:eastAsia="zh-CN"/>
              </w:rPr>
              <w:t>50</w:t>
            </w:r>
            <w:r>
              <w:rPr>
                <w:rFonts w:hint="eastAsia" w:ascii="Times New Roman" w:cs="Times New Roman"/>
                <w:b w:val="0"/>
                <w:bCs w:val="0"/>
                <w:color w:val="auto"/>
                <w:highlight w:val="none"/>
              </w:rPr>
              <w:t>dB（A）），对周围环境影响较小</w:t>
            </w:r>
            <w:r>
              <w:rPr>
                <w:rFonts w:hint="eastAsia" w:ascii="Times New Roman" w:cs="Times New Roman"/>
                <w:b w:val="0"/>
                <w:bCs w:val="0"/>
                <w:color w:val="auto"/>
                <w:highlight w:val="none"/>
                <w:lang w:eastAsia="zh-CN"/>
              </w:rPr>
              <w:t>。</w:t>
            </w:r>
          </w:p>
          <w:p>
            <w:pPr>
              <w:pStyle w:val="88"/>
              <w:spacing w:line="360" w:lineRule="auto"/>
              <w:ind w:firstLine="482" w:firstLineChars="200"/>
              <w:jc w:val="both"/>
              <w:rPr>
                <w:rFonts w:hint="eastAsia" w:ascii="Times New Roman" w:eastAsia="宋体" w:cs="Times New Roman"/>
                <w:b/>
                <w:bCs/>
                <w:color w:val="auto"/>
                <w:lang w:eastAsia="zh-CN"/>
              </w:rPr>
            </w:pPr>
            <w:r>
              <w:rPr>
                <w:rFonts w:hint="eastAsia" w:ascii="Times New Roman" w:cs="Times New Roman"/>
                <w:b/>
                <w:bCs/>
                <w:color w:val="auto"/>
                <w:lang w:eastAsia="zh-CN"/>
              </w:rPr>
              <w:t>（</w:t>
            </w:r>
            <w:r>
              <w:rPr>
                <w:rFonts w:hint="eastAsia" w:ascii="Times New Roman" w:cs="Times New Roman"/>
                <w:b/>
                <w:bCs/>
                <w:color w:val="auto"/>
                <w:lang w:val="en-US" w:eastAsia="zh-CN"/>
              </w:rPr>
              <w:t>3</w:t>
            </w:r>
            <w:r>
              <w:rPr>
                <w:rFonts w:hint="eastAsia" w:ascii="Times New Roman" w:cs="Times New Roman"/>
                <w:b/>
                <w:bCs/>
                <w:color w:val="auto"/>
                <w:lang w:eastAsia="zh-CN"/>
              </w:rPr>
              <w:t>）</w:t>
            </w:r>
            <w:r>
              <w:rPr>
                <w:rFonts w:ascii="Times New Roman" w:cs="Times New Roman"/>
                <w:b/>
                <w:bCs/>
                <w:color w:val="auto"/>
              </w:rPr>
              <w:t>监测要求</w:t>
            </w:r>
          </w:p>
          <w:p>
            <w:pPr>
              <w:pStyle w:val="88"/>
              <w:spacing w:line="360" w:lineRule="auto"/>
              <w:ind w:firstLine="480" w:firstLineChars="200"/>
              <w:jc w:val="both"/>
              <w:rPr>
                <w:rFonts w:ascii="Times New Roman" w:cs="Times New Roman"/>
                <w:color w:val="auto"/>
              </w:rPr>
            </w:pPr>
            <w:r>
              <w:rPr>
                <w:rFonts w:ascii="Times New Roman" w:cs="Times New Roman"/>
                <w:color w:val="auto"/>
              </w:rPr>
              <w:t>参照《排污单位自行监测技术指南 总则》（HJ819-2017），项目噪声监测计划如下</w:t>
            </w:r>
            <w:r>
              <w:rPr>
                <w:rFonts w:hint="eastAsia" w:ascii="Times New Roman" w:cs="Times New Roman"/>
                <w:color w:val="auto"/>
              </w:rPr>
              <w:t>。</w:t>
            </w:r>
          </w:p>
          <w:p>
            <w:pPr>
              <w:pStyle w:val="62"/>
              <w:numPr>
                <w:ilvl w:val="0"/>
                <w:numId w:val="9"/>
              </w:numPr>
              <w:ind w:left="0" w:leftChars="0" w:firstLine="403" w:firstLineChars="0"/>
              <w:rPr>
                <w:color w:val="auto"/>
                <w:sz w:val="24"/>
                <w:szCs w:val="24"/>
                <w:lang w:val="en-US" w:eastAsia="zh-CN"/>
              </w:rPr>
            </w:pPr>
            <w:r>
              <w:rPr>
                <w:color w:val="auto"/>
                <w:sz w:val="24"/>
                <w:szCs w:val="24"/>
                <w:lang w:val="en-US" w:eastAsia="zh-CN"/>
              </w:rPr>
              <w:t>噪声监测计划</w:t>
            </w:r>
          </w:p>
          <w:tbl>
            <w:tblPr>
              <w:tblStyle w:val="29"/>
              <w:tblW w:w="9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1613"/>
              <w:gridCol w:w="1545"/>
              <w:gridCol w:w="1725"/>
              <w:gridCol w:w="3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567" w:type="pct"/>
                  <w:noWrap w:val="0"/>
                  <w:vAlign w:val="center"/>
                </w:tcPr>
                <w:p>
                  <w:pPr>
                    <w:pStyle w:val="88"/>
                    <w:jc w:val="center"/>
                    <w:rPr>
                      <w:rFonts w:ascii="Times New Roman" w:cs="Times New Roman"/>
                      <w:b/>
                      <w:bCs/>
                      <w:color w:val="auto"/>
                      <w:sz w:val="21"/>
                      <w:szCs w:val="21"/>
                    </w:rPr>
                  </w:pPr>
                  <w:r>
                    <w:rPr>
                      <w:rFonts w:ascii="Times New Roman" w:cs="Times New Roman"/>
                      <w:b/>
                      <w:bCs/>
                      <w:color w:val="auto"/>
                      <w:sz w:val="21"/>
                      <w:szCs w:val="21"/>
                    </w:rPr>
                    <w:t>类别</w:t>
                  </w:r>
                </w:p>
              </w:tc>
              <w:tc>
                <w:tcPr>
                  <w:tcW w:w="853" w:type="pct"/>
                  <w:noWrap w:val="0"/>
                  <w:vAlign w:val="center"/>
                </w:tcPr>
                <w:p>
                  <w:pPr>
                    <w:pStyle w:val="88"/>
                    <w:jc w:val="center"/>
                    <w:rPr>
                      <w:rFonts w:ascii="Times New Roman" w:cs="Times New Roman"/>
                      <w:b/>
                      <w:bCs/>
                      <w:color w:val="auto"/>
                      <w:sz w:val="21"/>
                      <w:szCs w:val="21"/>
                    </w:rPr>
                  </w:pPr>
                  <w:r>
                    <w:rPr>
                      <w:rFonts w:ascii="Times New Roman" w:cs="Times New Roman"/>
                      <w:b/>
                      <w:bCs/>
                      <w:color w:val="auto"/>
                      <w:sz w:val="21"/>
                      <w:szCs w:val="21"/>
                    </w:rPr>
                    <w:t>监测点位</w:t>
                  </w:r>
                </w:p>
              </w:tc>
              <w:tc>
                <w:tcPr>
                  <w:tcW w:w="817" w:type="pct"/>
                  <w:noWrap w:val="0"/>
                  <w:vAlign w:val="center"/>
                </w:tcPr>
                <w:p>
                  <w:pPr>
                    <w:pStyle w:val="88"/>
                    <w:jc w:val="center"/>
                    <w:rPr>
                      <w:rFonts w:ascii="Times New Roman" w:cs="Times New Roman"/>
                      <w:b/>
                      <w:bCs/>
                      <w:color w:val="auto"/>
                      <w:sz w:val="21"/>
                      <w:szCs w:val="21"/>
                    </w:rPr>
                  </w:pPr>
                  <w:r>
                    <w:rPr>
                      <w:rFonts w:ascii="Times New Roman" w:cs="Times New Roman"/>
                      <w:b/>
                      <w:bCs/>
                      <w:color w:val="auto"/>
                      <w:sz w:val="21"/>
                      <w:szCs w:val="21"/>
                    </w:rPr>
                    <w:t>监测项目</w:t>
                  </w:r>
                </w:p>
              </w:tc>
              <w:tc>
                <w:tcPr>
                  <w:tcW w:w="912" w:type="pct"/>
                  <w:noWrap w:val="0"/>
                  <w:vAlign w:val="center"/>
                </w:tcPr>
                <w:p>
                  <w:pPr>
                    <w:pStyle w:val="88"/>
                    <w:jc w:val="center"/>
                    <w:rPr>
                      <w:rFonts w:ascii="Times New Roman" w:cs="Times New Roman"/>
                      <w:b/>
                      <w:bCs/>
                      <w:color w:val="auto"/>
                      <w:sz w:val="21"/>
                      <w:szCs w:val="21"/>
                    </w:rPr>
                  </w:pPr>
                  <w:r>
                    <w:rPr>
                      <w:rFonts w:ascii="Times New Roman" w:cs="Times New Roman"/>
                      <w:b/>
                      <w:bCs/>
                      <w:color w:val="auto"/>
                      <w:sz w:val="21"/>
                      <w:szCs w:val="21"/>
                    </w:rPr>
                    <w:t>监测频率</w:t>
                  </w:r>
                </w:p>
              </w:tc>
              <w:tc>
                <w:tcPr>
                  <w:tcW w:w="1849" w:type="pct"/>
                  <w:noWrap w:val="0"/>
                  <w:vAlign w:val="center"/>
                </w:tcPr>
                <w:p>
                  <w:pPr>
                    <w:pStyle w:val="88"/>
                    <w:jc w:val="center"/>
                    <w:rPr>
                      <w:rFonts w:hint="default" w:ascii="Times New Roman" w:eastAsia="宋体" w:cs="Times New Roman"/>
                      <w:b/>
                      <w:bCs/>
                      <w:color w:val="auto"/>
                      <w:sz w:val="21"/>
                      <w:szCs w:val="21"/>
                      <w:lang w:val="en-US" w:eastAsia="zh-CN"/>
                    </w:rPr>
                  </w:pPr>
                  <w:r>
                    <w:rPr>
                      <w:rFonts w:hint="eastAsia" w:ascii="Times New Roman" w:cs="Times New Roman"/>
                      <w:b/>
                      <w:bCs/>
                      <w:color w:val="auto"/>
                      <w:sz w:val="21"/>
                      <w:szCs w:val="21"/>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567" w:type="pct"/>
                  <w:noWrap w:val="0"/>
                  <w:vAlign w:val="center"/>
                </w:tcPr>
                <w:p>
                  <w:pPr>
                    <w:pStyle w:val="88"/>
                    <w:jc w:val="center"/>
                    <w:rPr>
                      <w:rFonts w:ascii="Times New Roman" w:cs="Times New Roman"/>
                      <w:color w:val="auto"/>
                      <w:sz w:val="21"/>
                      <w:szCs w:val="21"/>
                    </w:rPr>
                  </w:pPr>
                  <w:r>
                    <w:rPr>
                      <w:rFonts w:ascii="Times New Roman" w:cs="Times New Roman"/>
                      <w:color w:val="auto"/>
                      <w:sz w:val="21"/>
                      <w:szCs w:val="21"/>
                    </w:rPr>
                    <w:t>厂界噪声</w:t>
                  </w:r>
                </w:p>
              </w:tc>
              <w:tc>
                <w:tcPr>
                  <w:tcW w:w="853" w:type="pct"/>
                  <w:noWrap w:val="0"/>
                  <w:vAlign w:val="center"/>
                </w:tcPr>
                <w:p>
                  <w:pPr>
                    <w:pStyle w:val="88"/>
                    <w:jc w:val="center"/>
                    <w:rPr>
                      <w:rFonts w:ascii="Times New Roman" w:cs="Times New Roman"/>
                      <w:color w:val="auto"/>
                      <w:sz w:val="21"/>
                      <w:szCs w:val="21"/>
                    </w:rPr>
                  </w:pPr>
                  <w:r>
                    <w:rPr>
                      <w:rFonts w:hint="eastAsia" w:ascii="Times New Roman" w:cs="Times New Roman"/>
                      <w:color w:val="auto"/>
                      <w:sz w:val="21"/>
                      <w:szCs w:val="21"/>
                      <w:lang w:val="en-US" w:eastAsia="zh-CN"/>
                    </w:rPr>
                    <w:t>四周厂界外1米处</w:t>
                  </w:r>
                </w:p>
              </w:tc>
              <w:tc>
                <w:tcPr>
                  <w:tcW w:w="817" w:type="pct"/>
                  <w:noWrap w:val="0"/>
                  <w:vAlign w:val="center"/>
                </w:tcPr>
                <w:p>
                  <w:pPr>
                    <w:pStyle w:val="88"/>
                    <w:jc w:val="center"/>
                    <w:rPr>
                      <w:rFonts w:ascii="Times New Roman" w:cs="Times New Roman"/>
                      <w:color w:val="auto"/>
                      <w:sz w:val="21"/>
                      <w:szCs w:val="21"/>
                    </w:rPr>
                  </w:pPr>
                  <w:r>
                    <w:rPr>
                      <w:rFonts w:ascii="Times New Roman" w:cs="Times New Roman"/>
                      <w:color w:val="auto"/>
                      <w:sz w:val="21"/>
                      <w:szCs w:val="21"/>
                    </w:rPr>
                    <w:t>等效连续A声级</w:t>
                  </w:r>
                </w:p>
              </w:tc>
              <w:tc>
                <w:tcPr>
                  <w:tcW w:w="912" w:type="pct"/>
                  <w:noWrap w:val="0"/>
                  <w:vAlign w:val="center"/>
                </w:tcPr>
                <w:p>
                  <w:pPr>
                    <w:pStyle w:val="88"/>
                    <w:jc w:val="center"/>
                    <w:rPr>
                      <w:rFonts w:ascii="Times New Roman" w:cs="Times New Roman"/>
                      <w:color w:val="auto"/>
                      <w:sz w:val="21"/>
                      <w:szCs w:val="21"/>
                    </w:rPr>
                  </w:pPr>
                  <w:r>
                    <w:rPr>
                      <w:rFonts w:ascii="Times New Roman" w:cs="Times New Roman"/>
                      <w:color w:val="auto"/>
                      <w:sz w:val="21"/>
                      <w:szCs w:val="21"/>
                    </w:rPr>
                    <w:t>1次/季，</w:t>
                  </w:r>
                  <w:r>
                    <w:rPr>
                      <w:rFonts w:hint="eastAsia" w:ascii="Times New Roman" w:cs="Times New Roman"/>
                      <w:color w:val="auto"/>
                      <w:sz w:val="21"/>
                      <w:szCs w:val="21"/>
                      <w:lang w:val="en-US" w:eastAsia="zh-CN"/>
                    </w:rPr>
                    <w:t>仅监测昼间噪声</w:t>
                  </w:r>
                </w:p>
              </w:tc>
              <w:tc>
                <w:tcPr>
                  <w:tcW w:w="1849" w:type="pct"/>
                  <w:noWrap w:val="0"/>
                  <w:vAlign w:val="center"/>
                </w:tcPr>
                <w:p>
                  <w:pPr>
                    <w:pStyle w:val="88"/>
                    <w:jc w:val="center"/>
                    <w:rPr>
                      <w:rFonts w:ascii="Times New Roman" w:cs="Times New Roman"/>
                      <w:color w:val="auto"/>
                      <w:sz w:val="21"/>
                      <w:szCs w:val="21"/>
                    </w:rPr>
                  </w:pPr>
                  <w:r>
                    <w:rPr>
                      <w:rFonts w:ascii="Times New Roman" w:cs="Times New Roman"/>
                      <w:color w:val="auto"/>
                      <w:sz w:val="21"/>
                      <w:szCs w:val="21"/>
                    </w:rPr>
                    <w:t>《工业企业厂界环境噪声排放标准》（GB12348-2008）2类标准</w:t>
                  </w:r>
                </w:p>
              </w:tc>
            </w:tr>
          </w:tbl>
          <w:p>
            <w:pPr>
              <w:pStyle w:val="88"/>
              <w:spacing w:line="360" w:lineRule="auto"/>
              <w:ind w:left="0" w:leftChars="0" w:firstLine="422" w:firstLineChars="175"/>
              <w:jc w:val="both"/>
              <w:rPr>
                <w:rFonts w:ascii="Times New Roman" w:cs="Times New Roman"/>
                <w:b/>
                <w:bCs/>
                <w:color w:val="auto"/>
              </w:rPr>
            </w:pPr>
            <w:r>
              <w:rPr>
                <w:rFonts w:hint="eastAsia" w:ascii="Times New Roman" w:cs="Times New Roman"/>
                <w:b/>
                <w:bCs/>
                <w:color w:val="auto"/>
                <w:lang w:val="en-US" w:eastAsia="zh-CN"/>
              </w:rPr>
              <w:t>4</w:t>
            </w:r>
            <w:r>
              <w:rPr>
                <w:rFonts w:ascii="Times New Roman" w:cs="Times New Roman"/>
                <w:b/>
                <w:bCs/>
                <w:color w:val="auto"/>
              </w:rPr>
              <w:t>、厂界和环境保护目标达标情况分析</w:t>
            </w:r>
          </w:p>
          <w:p>
            <w:pPr>
              <w:pStyle w:val="88"/>
              <w:spacing w:line="360" w:lineRule="auto"/>
              <w:ind w:firstLine="480" w:firstLineChars="200"/>
              <w:jc w:val="both"/>
              <w:rPr>
                <w:rFonts w:ascii="Times New Roman" w:cs="Times New Roman"/>
                <w:color w:val="auto"/>
              </w:rPr>
            </w:pPr>
            <w:r>
              <w:rPr>
                <w:rFonts w:ascii="Times New Roman" w:cs="Times New Roman"/>
                <w:color w:val="auto"/>
              </w:rPr>
              <w:t>经以上噪声污染防治措施及距离衰减后，项目四周厂界可以满足《工业企业厂界环境噪声排放标准》（GB12348-2008）2类标准要求，因此，项目不会对周围声环境造成明显影响。</w:t>
            </w:r>
          </w:p>
          <w:p>
            <w:pPr>
              <w:adjustRightInd w:val="0"/>
              <w:snapToGrid w:val="0"/>
              <w:ind w:firstLine="482" w:firstLineChars="200"/>
              <w:rPr>
                <w:rFonts w:ascii="宋体" w:hAnsi="宋体" w:cs="宋体"/>
                <w:b/>
                <w:color w:val="auto"/>
                <w:szCs w:val="21"/>
              </w:rPr>
            </w:pPr>
            <w:r>
              <w:rPr>
                <w:rFonts w:hint="eastAsia" w:ascii="Times New Roman" w:hAnsi="Times New Roman" w:eastAsia="宋体" w:cs="Times New Roman"/>
                <w:b/>
                <w:color w:val="auto"/>
                <w:szCs w:val="21"/>
                <w:lang w:val="en-US" w:eastAsia="zh-CN"/>
              </w:rPr>
              <w:t>四</w:t>
            </w:r>
            <w:r>
              <w:rPr>
                <w:rFonts w:hint="default" w:ascii="Times New Roman" w:hAnsi="Times New Roman" w:eastAsia="宋体" w:cs="Times New Roman"/>
                <w:b/>
                <w:color w:val="auto"/>
                <w:szCs w:val="21"/>
                <w:lang w:eastAsia="zh-CN"/>
              </w:rPr>
              <w:t>、</w:t>
            </w:r>
            <w:r>
              <w:rPr>
                <w:rFonts w:hint="default" w:ascii="Times New Roman" w:hAnsi="Times New Roman" w:eastAsia="宋体" w:cs="Times New Roman"/>
                <w:b/>
                <w:color w:val="auto"/>
                <w:szCs w:val="21"/>
              </w:rPr>
              <w:t>固</w:t>
            </w:r>
            <w:r>
              <w:rPr>
                <w:rFonts w:hint="eastAsia" w:ascii="宋体" w:hAnsi="宋体" w:cs="宋体"/>
                <w:b/>
                <w:color w:val="auto"/>
                <w:szCs w:val="21"/>
              </w:rPr>
              <w:t>体废物</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1、</w:t>
            </w:r>
            <w:r>
              <w:rPr>
                <w:rFonts w:hint="eastAsia" w:ascii="宋体" w:hAnsi="宋体" w:cs="宋体"/>
                <w:b/>
                <w:color w:val="auto"/>
                <w:szCs w:val="21"/>
              </w:rPr>
              <w:t>固体废物产生情况</w:t>
            </w:r>
          </w:p>
          <w:p>
            <w:pPr>
              <w:adjustRightInd w:val="0"/>
              <w:snapToGrid w:val="0"/>
              <w:ind w:firstLine="480" w:firstLineChars="200"/>
              <w:rPr>
                <w:rFonts w:hint="eastAsia" w:ascii="宋体" w:hAnsi="宋体" w:cs="宋体"/>
                <w:bCs/>
                <w:color w:val="auto"/>
                <w:szCs w:val="21"/>
              </w:rPr>
            </w:pPr>
            <w:r>
              <w:rPr>
                <w:rFonts w:hint="eastAsia"/>
                <w:bCs/>
                <w:color w:val="auto"/>
                <w:szCs w:val="21"/>
                <w:lang w:eastAsia="zh-CN"/>
              </w:rPr>
              <w:t>扩建项目</w:t>
            </w:r>
            <w:r>
              <w:rPr>
                <w:color w:val="auto"/>
              </w:rPr>
              <w:t>营运期固体废物主要是一般</w:t>
            </w:r>
            <w:r>
              <w:rPr>
                <w:rFonts w:hint="eastAsia"/>
                <w:color w:val="auto"/>
              </w:rPr>
              <w:t>工业</w:t>
            </w:r>
            <w:r>
              <w:rPr>
                <w:color w:val="auto"/>
              </w:rPr>
              <w:t>固体废物、生活垃圾</w:t>
            </w:r>
            <w:r>
              <w:rPr>
                <w:rFonts w:hint="eastAsia"/>
                <w:color w:val="auto"/>
              </w:rPr>
              <w:t>以及</w:t>
            </w:r>
            <w:r>
              <w:rPr>
                <w:color w:val="auto"/>
              </w:rPr>
              <w:t>危险废物</w:t>
            </w:r>
            <w:r>
              <w:rPr>
                <w:rFonts w:hint="eastAsia" w:ascii="宋体" w:hAnsi="宋体" w:cs="宋体"/>
                <w:bCs/>
                <w:color w:val="auto"/>
                <w:szCs w:val="21"/>
              </w:rPr>
              <w:t>。</w:t>
            </w:r>
          </w:p>
          <w:p>
            <w:pPr>
              <w:adjustRightInd w:val="0"/>
              <w:snapToGrid w:val="0"/>
              <w:ind w:firstLine="482" w:firstLineChars="200"/>
              <w:rPr>
                <w:rFonts w:hint="eastAsia" w:ascii="宋体" w:hAnsi="宋体" w:cs="宋体"/>
                <w:b/>
                <w:bCs w:val="0"/>
                <w:color w:val="auto"/>
                <w:szCs w:val="21"/>
                <w:lang w:val="en-US" w:eastAsia="zh-CN"/>
              </w:rPr>
            </w:pPr>
            <w:r>
              <w:rPr>
                <w:rFonts w:hint="eastAsia" w:ascii="宋体" w:hAnsi="宋体" w:cs="宋体"/>
                <w:b/>
                <w:bCs w:val="0"/>
                <w:color w:val="auto"/>
                <w:szCs w:val="21"/>
                <w:lang w:val="en-US" w:eastAsia="zh-CN"/>
              </w:rPr>
              <w:t>（1）</w:t>
            </w:r>
            <w:r>
              <w:rPr>
                <w:b/>
                <w:bCs w:val="0"/>
                <w:color w:val="auto"/>
              </w:rPr>
              <w:t>一般</w:t>
            </w:r>
            <w:r>
              <w:rPr>
                <w:rFonts w:hint="eastAsia"/>
                <w:b/>
                <w:bCs w:val="0"/>
                <w:color w:val="auto"/>
              </w:rPr>
              <w:t>工业</w:t>
            </w:r>
            <w:r>
              <w:rPr>
                <w:b/>
                <w:bCs w:val="0"/>
                <w:color w:val="auto"/>
              </w:rPr>
              <w:t>固体废物</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①</w:t>
            </w:r>
            <w:r>
              <w:rPr>
                <w:rFonts w:hint="eastAsia" w:ascii="Times New Roman" w:hAnsi="Times New Roman" w:eastAsia="宋体" w:cs="Times New Roman"/>
                <w:b/>
                <w:bCs w:val="0"/>
                <w:color w:val="auto"/>
                <w:szCs w:val="21"/>
                <w:lang w:val="en-US" w:eastAsia="zh-CN"/>
              </w:rPr>
              <w:t>次品</w:t>
            </w:r>
          </w:p>
          <w:p>
            <w:pPr>
              <w:adjustRightInd w:val="0"/>
              <w:snapToGrid w:val="0"/>
              <w:ind w:firstLine="480" w:firstLineChars="200"/>
              <w:rPr>
                <w:rFonts w:hint="default" w:ascii="Times New Roman" w:hAnsi="Times New Roman" w:eastAsia="宋体" w:cs="Times New Roman"/>
                <w:bCs/>
                <w:color w:val="FF0000"/>
                <w:szCs w:val="21"/>
                <w:lang w:val="en-US" w:eastAsia="zh-CN"/>
              </w:rPr>
            </w:pPr>
            <w:r>
              <w:rPr>
                <w:color w:val="auto"/>
                <w:sz w:val="24"/>
              </w:rPr>
              <w:t>根据建设单位提供的资料，</w:t>
            </w:r>
            <w:r>
              <w:rPr>
                <w:rFonts w:hint="eastAsia"/>
                <w:color w:val="FF0000"/>
                <w:sz w:val="24"/>
                <w:lang w:val="en-US" w:eastAsia="zh-CN"/>
              </w:rPr>
              <w:t>现有项目次品产生量为10t，扩建项目次品产生量为7t，扩建后次品总产生量为17t，均经过破碎后回用于生产。</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②</w:t>
            </w:r>
            <w:r>
              <w:rPr>
                <w:rFonts w:hint="eastAsia" w:ascii="Times New Roman" w:hAnsi="Times New Roman" w:eastAsia="宋体" w:cs="Times New Roman"/>
                <w:b/>
                <w:bCs w:val="0"/>
                <w:color w:val="auto"/>
                <w:szCs w:val="21"/>
                <w:lang w:val="en-US" w:eastAsia="zh-CN"/>
              </w:rPr>
              <w:t>金属碎屑及边角料</w:t>
            </w:r>
          </w:p>
          <w:p>
            <w:pPr>
              <w:adjustRightInd w:val="0"/>
              <w:snapToGrid w:val="0"/>
              <w:ind w:firstLine="480" w:firstLineChars="200"/>
              <w:rPr>
                <w:rFonts w:hint="default" w:ascii="Times New Roman" w:hAnsi="Times New Roman" w:eastAsia="宋体" w:cs="Times New Roman"/>
                <w:bCs/>
                <w:color w:val="auto"/>
                <w:szCs w:val="21"/>
                <w:lang w:val="en-US" w:eastAsia="zh-CN"/>
              </w:rPr>
            </w:pPr>
            <w:r>
              <w:rPr>
                <w:color w:val="auto"/>
                <w:sz w:val="24"/>
              </w:rPr>
              <w:t>根据建设单位提供的资料，项目</w:t>
            </w:r>
            <w:r>
              <w:rPr>
                <w:rFonts w:hint="eastAsia"/>
                <w:color w:val="auto"/>
                <w:sz w:val="24"/>
                <w:lang w:val="en-US" w:eastAsia="zh-CN"/>
              </w:rPr>
              <w:t>五金加工</w:t>
            </w:r>
            <w:r>
              <w:rPr>
                <w:color w:val="auto"/>
                <w:sz w:val="24"/>
              </w:rPr>
              <w:t>产生</w:t>
            </w:r>
            <w:r>
              <w:rPr>
                <w:rFonts w:hint="eastAsia"/>
                <w:color w:val="auto"/>
                <w:sz w:val="24"/>
                <w:lang w:val="en-US" w:eastAsia="zh-CN"/>
              </w:rPr>
              <w:t>的金属碎屑及边角料</w:t>
            </w:r>
            <w:r>
              <w:rPr>
                <w:color w:val="auto"/>
                <w:sz w:val="24"/>
              </w:rPr>
              <w:t>约</w:t>
            </w:r>
            <w:r>
              <w:rPr>
                <w:rFonts w:hint="eastAsia"/>
                <w:color w:val="auto"/>
                <w:sz w:val="24"/>
                <w:lang w:val="en-US" w:eastAsia="zh-CN"/>
              </w:rPr>
              <w:t>为0.2</w:t>
            </w:r>
            <w:r>
              <w:rPr>
                <w:color w:val="auto"/>
                <w:sz w:val="24"/>
              </w:rPr>
              <w:t>t/a，收集后定期交由</w:t>
            </w:r>
            <w:r>
              <w:rPr>
                <w:rFonts w:hint="eastAsia"/>
                <w:color w:val="auto"/>
                <w:sz w:val="24"/>
                <w:lang w:val="en-US" w:eastAsia="zh-CN"/>
              </w:rPr>
              <w:t>专业</w:t>
            </w:r>
            <w:r>
              <w:rPr>
                <w:color w:val="auto"/>
                <w:sz w:val="24"/>
              </w:rPr>
              <w:t>回收公司回收</w:t>
            </w:r>
            <w:r>
              <w:rPr>
                <w:rFonts w:hint="eastAsia"/>
                <w:color w:val="auto"/>
                <w:sz w:val="24"/>
                <w:lang w:val="en-US" w:eastAsia="zh-CN"/>
              </w:rPr>
              <w:t>利用</w:t>
            </w:r>
            <w:r>
              <w:rPr>
                <w:rFonts w:hint="eastAsia"/>
                <w:color w:val="auto"/>
                <w:sz w:val="24"/>
              </w:rPr>
              <w:t>。</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③</w:t>
            </w:r>
            <w:r>
              <w:rPr>
                <w:rFonts w:hint="eastAsia" w:ascii="Times New Roman" w:hAnsi="Times New Roman" w:eastAsia="宋体" w:cs="Times New Roman"/>
                <w:b/>
                <w:bCs w:val="0"/>
                <w:color w:val="auto"/>
                <w:szCs w:val="21"/>
                <w:lang w:val="en-US" w:eastAsia="zh-CN"/>
              </w:rPr>
              <w:t>废包装材料</w:t>
            </w:r>
          </w:p>
          <w:p>
            <w:pPr>
              <w:adjustRightInd w:val="0"/>
              <w:snapToGrid w:val="0"/>
              <w:ind w:firstLine="480" w:firstLineChars="200"/>
              <w:rPr>
                <w:rFonts w:hint="default" w:ascii="Times New Roman" w:hAnsi="Times New Roman" w:eastAsia="宋体" w:cs="Times New Roman"/>
                <w:bCs/>
                <w:color w:val="auto"/>
                <w:szCs w:val="21"/>
                <w:lang w:val="en-US" w:eastAsia="zh-CN"/>
              </w:rPr>
            </w:pPr>
            <w:r>
              <w:rPr>
                <w:color w:val="auto"/>
                <w:sz w:val="24"/>
              </w:rPr>
              <w:t>根据建设单位提供的资料，项目包装工序产生</w:t>
            </w:r>
            <w:r>
              <w:rPr>
                <w:color w:val="auto"/>
                <w:kern w:val="0"/>
                <w:sz w:val="24"/>
              </w:rPr>
              <w:t>废包装材料</w:t>
            </w:r>
            <w:r>
              <w:rPr>
                <w:color w:val="auto"/>
                <w:sz w:val="24"/>
              </w:rPr>
              <w:t>约</w:t>
            </w:r>
            <w:r>
              <w:rPr>
                <w:rFonts w:hint="eastAsia"/>
                <w:color w:val="auto"/>
                <w:sz w:val="24"/>
                <w:lang w:val="en-US" w:eastAsia="zh-CN"/>
              </w:rPr>
              <w:t>2</w:t>
            </w:r>
            <w:r>
              <w:rPr>
                <w:color w:val="auto"/>
                <w:sz w:val="24"/>
              </w:rPr>
              <w:t>t/a，收集后定期交由</w:t>
            </w:r>
            <w:r>
              <w:rPr>
                <w:rFonts w:hint="eastAsia"/>
                <w:color w:val="auto"/>
                <w:sz w:val="24"/>
                <w:lang w:val="en-US" w:eastAsia="zh-CN"/>
              </w:rPr>
              <w:t>专业</w:t>
            </w:r>
            <w:r>
              <w:rPr>
                <w:color w:val="auto"/>
                <w:sz w:val="24"/>
              </w:rPr>
              <w:t>回收公司回收</w:t>
            </w:r>
            <w:r>
              <w:rPr>
                <w:rFonts w:hint="eastAsia"/>
                <w:color w:val="auto"/>
                <w:sz w:val="24"/>
                <w:lang w:val="en-US" w:eastAsia="zh-CN"/>
              </w:rPr>
              <w:t>利用</w:t>
            </w:r>
            <w:r>
              <w:rPr>
                <w:rFonts w:hint="eastAsia"/>
                <w:color w:val="auto"/>
                <w:sz w:val="24"/>
              </w:rPr>
              <w:t>。</w:t>
            </w:r>
          </w:p>
          <w:p>
            <w:pPr>
              <w:adjustRightInd w:val="0"/>
              <w:snapToGrid w:val="0"/>
              <w:ind w:firstLine="482" w:firstLineChars="200"/>
              <w:rPr>
                <w:rFonts w:ascii="宋体" w:hAnsi="宋体" w:cs="宋体"/>
                <w:b/>
                <w:bCs w:val="0"/>
                <w:color w:val="auto"/>
                <w:szCs w:val="21"/>
              </w:rPr>
            </w:pPr>
            <w:r>
              <w:rPr>
                <w:rFonts w:hint="eastAsia" w:ascii="宋体" w:hAnsi="宋体" w:cs="宋体"/>
                <w:b/>
                <w:bCs w:val="0"/>
                <w:color w:val="auto"/>
                <w:szCs w:val="21"/>
                <w:lang w:val="en-US" w:eastAsia="zh-CN"/>
              </w:rPr>
              <w:t>（2）</w:t>
            </w:r>
            <w:r>
              <w:rPr>
                <w:rFonts w:hint="eastAsia" w:ascii="宋体" w:hAnsi="宋体" w:cs="宋体"/>
                <w:b/>
                <w:bCs w:val="0"/>
                <w:color w:val="auto"/>
                <w:szCs w:val="21"/>
              </w:rPr>
              <w:t>危险废物</w:t>
            </w:r>
          </w:p>
          <w:p>
            <w:pPr>
              <w:adjustRightInd w:val="0"/>
              <w:snapToGrid w:val="0"/>
              <w:ind w:firstLine="482" w:firstLineChars="200"/>
              <w:rPr>
                <w:rFonts w:hint="eastAsia"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①</w:t>
            </w:r>
            <w:r>
              <w:rPr>
                <w:rFonts w:hint="eastAsia" w:ascii="Times New Roman" w:hAnsi="Times New Roman" w:eastAsia="宋体" w:cs="Times New Roman"/>
                <w:b/>
                <w:bCs w:val="0"/>
                <w:color w:val="auto"/>
                <w:szCs w:val="21"/>
                <w:lang w:val="en-US" w:eastAsia="zh-CN"/>
              </w:rPr>
              <w:t>废切削液及金属沉渣</w:t>
            </w:r>
          </w:p>
          <w:p>
            <w:pPr>
              <w:adjustRightInd w:val="0"/>
              <w:snapToGrid w:val="0"/>
              <w:ind w:firstLine="480" w:firstLineChars="200"/>
              <w:rPr>
                <w:rFonts w:hint="default" w:ascii="Times New Roman" w:hAnsi="Times New Roman" w:eastAsia="宋体" w:cs="Times New Roman"/>
                <w:b/>
                <w:bCs w:val="0"/>
                <w:color w:val="auto"/>
                <w:szCs w:val="21"/>
                <w:lang w:val="en-US" w:eastAsia="zh-CN"/>
              </w:rPr>
            </w:pPr>
            <w:r>
              <w:rPr>
                <w:color w:val="auto"/>
                <w:sz w:val="24"/>
              </w:rPr>
              <w:t>根据建设单位提供的资料，</w:t>
            </w:r>
            <w:r>
              <w:rPr>
                <w:rFonts w:hint="eastAsia"/>
                <w:color w:val="auto"/>
                <w:sz w:val="24"/>
                <w:lang w:val="en-US" w:eastAsia="zh-CN"/>
              </w:rPr>
              <w:t>雕刻工序的切削液需定期更换，</w:t>
            </w:r>
            <w:r>
              <w:rPr>
                <w:rFonts w:hint="eastAsia"/>
                <w:color w:val="FF0000"/>
                <w:sz w:val="24"/>
                <w:lang w:val="en-US" w:eastAsia="zh-CN"/>
              </w:rPr>
              <w:t>拟一年更换一次，</w:t>
            </w:r>
            <w:r>
              <w:rPr>
                <w:rFonts w:hint="eastAsia"/>
                <w:color w:val="auto"/>
                <w:sz w:val="24"/>
                <w:lang w:val="en-US" w:eastAsia="zh-CN"/>
              </w:rPr>
              <w:t>更换下来的切削液中含有金属沉渣，产生量约为</w:t>
            </w:r>
            <w:r>
              <w:rPr>
                <w:rFonts w:hint="eastAsia"/>
                <w:color w:val="FF0000"/>
                <w:sz w:val="24"/>
                <w:lang w:val="en-US" w:eastAsia="zh-CN"/>
              </w:rPr>
              <w:t>0.1t/a</w:t>
            </w:r>
            <w:r>
              <w:rPr>
                <w:rFonts w:hint="eastAsia"/>
                <w:color w:val="auto"/>
                <w:sz w:val="24"/>
                <w:lang w:val="en-US" w:eastAsia="zh-CN"/>
              </w:rPr>
              <w:t>，</w:t>
            </w:r>
            <w:r>
              <w:rPr>
                <w:rFonts w:hint="default" w:ascii="Times New Roman" w:hAnsi="Times New Roman" w:cs="Times New Roman"/>
                <w:bCs/>
                <w:color w:val="auto"/>
                <w:sz w:val="24"/>
              </w:rPr>
              <w:t>属于</w:t>
            </w:r>
            <w:r>
              <w:rPr>
                <w:rFonts w:hint="default" w:ascii="Times New Roman" w:hAnsi="Times New Roman" w:cs="Times New Roman"/>
                <w:color w:val="auto"/>
                <w:sz w:val="24"/>
              </w:rPr>
              <w:t>《国家危险废物名录》（2021年版）中HW</w:t>
            </w:r>
            <w:r>
              <w:rPr>
                <w:rFonts w:hint="eastAsia" w:ascii="Times New Roman" w:hAnsi="Times New Roman" w:cs="Times New Roman"/>
                <w:color w:val="auto"/>
                <w:sz w:val="24"/>
                <w:lang w:val="en-US" w:eastAsia="zh-CN"/>
              </w:rPr>
              <w:t>09（</w:t>
            </w:r>
            <w:r>
              <w:rPr>
                <w:color w:val="auto"/>
                <w:sz w:val="24"/>
              </w:rPr>
              <w:t>废物代码：</w:t>
            </w:r>
            <w:r>
              <w:rPr>
                <w:rFonts w:hint="eastAsia"/>
                <w:color w:val="auto"/>
                <w:sz w:val="24"/>
              </w:rPr>
              <w:t>900-006-09</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rPr>
              <w:t>。</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②废火花油及金属沉渣</w:t>
            </w:r>
          </w:p>
          <w:p>
            <w:pPr>
              <w:adjustRightInd w:val="0"/>
              <w:snapToGrid w:val="0"/>
              <w:ind w:firstLine="480"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cs="Times New Roman"/>
                <w:color w:val="auto"/>
                <w:sz w:val="24"/>
              </w:rPr>
              <w:t>根据建设单位提供的资料，</w:t>
            </w:r>
            <w:r>
              <w:rPr>
                <w:rFonts w:hint="default" w:ascii="Times New Roman" w:hAnsi="Times New Roman" w:cs="Times New Roman"/>
                <w:color w:val="auto"/>
                <w:sz w:val="24"/>
                <w:lang w:val="en-US" w:eastAsia="zh-CN"/>
              </w:rPr>
              <w:t>电火花工序的火花油需定期更换，</w:t>
            </w:r>
            <w:r>
              <w:rPr>
                <w:rFonts w:hint="eastAsia"/>
                <w:color w:val="FF0000"/>
                <w:sz w:val="24"/>
                <w:lang w:val="en-US" w:eastAsia="zh-CN"/>
              </w:rPr>
              <w:t>拟一年更换一次，</w:t>
            </w:r>
            <w:r>
              <w:rPr>
                <w:rFonts w:hint="default" w:ascii="Times New Roman" w:hAnsi="Times New Roman" w:cs="Times New Roman"/>
                <w:color w:val="auto"/>
                <w:sz w:val="24"/>
                <w:lang w:val="en-US" w:eastAsia="zh-CN"/>
              </w:rPr>
              <w:t>更换下来的火花油中含有金属沉渣，产生量约为</w:t>
            </w:r>
            <w:r>
              <w:rPr>
                <w:rFonts w:hint="default" w:ascii="Times New Roman" w:hAnsi="Times New Roman" w:cs="Times New Roman"/>
                <w:color w:val="FF0000"/>
                <w:sz w:val="24"/>
                <w:lang w:val="en-US" w:eastAsia="zh-CN"/>
              </w:rPr>
              <w:t>0.</w:t>
            </w:r>
            <w:r>
              <w:rPr>
                <w:rFonts w:hint="eastAsia" w:cs="Times New Roman"/>
                <w:color w:val="FF0000"/>
                <w:sz w:val="24"/>
                <w:lang w:val="en-US" w:eastAsia="zh-CN"/>
              </w:rPr>
              <w:t>1</w:t>
            </w:r>
            <w:r>
              <w:rPr>
                <w:rFonts w:hint="default" w:ascii="Times New Roman" w:hAnsi="Times New Roman" w:cs="Times New Roman"/>
                <w:color w:val="FF0000"/>
                <w:sz w:val="24"/>
                <w:lang w:val="en-US" w:eastAsia="zh-CN"/>
              </w:rPr>
              <w:t>t/a</w:t>
            </w:r>
            <w:r>
              <w:rPr>
                <w:rFonts w:hint="default" w:ascii="Times New Roman" w:hAnsi="Times New Roman" w:cs="Times New Roman"/>
                <w:color w:val="auto"/>
                <w:sz w:val="24"/>
                <w:lang w:val="en-US" w:eastAsia="zh-CN"/>
              </w:rPr>
              <w:t>，</w:t>
            </w:r>
            <w:r>
              <w:rPr>
                <w:rFonts w:hint="default" w:ascii="Times New Roman" w:hAnsi="Times New Roman" w:cs="Times New Roman"/>
                <w:bCs/>
                <w:color w:val="auto"/>
                <w:sz w:val="24"/>
              </w:rPr>
              <w:t>属于</w:t>
            </w:r>
            <w:r>
              <w:rPr>
                <w:rFonts w:hint="default" w:ascii="Times New Roman" w:hAnsi="Times New Roman" w:cs="Times New Roman"/>
                <w:color w:val="auto"/>
                <w:sz w:val="24"/>
              </w:rPr>
              <w:t>《国家危险废物名录》（2021年版）中HW</w:t>
            </w:r>
            <w:r>
              <w:rPr>
                <w:rFonts w:hint="default" w:ascii="Times New Roman" w:hAnsi="Times New Roman" w:cs="Times New Roman"/>
                <w:color w:val="auto"/>
                <w:sz w:val="24"/>
                <w:lang w:val="en-US" w:eastAsia="zh-CN"/>
              </w:rPr>
              <w:t>08（</w:t>
            </w:r>
            <w:r>
              <w:rPr>
                <w:rFonts w:hint="default" w:ascii="Times New Roman" w:hAnsi="Times New Roman" w:cs="Times New Roman"/>
                <w:color w:val="auto"/>
                <w:sz w:val="24"/>
              </w:rPr>
              <w:t>废物代码：</w:t>
            </w:r>
            <w:r>
              <w:rPr>
                <w:rFonts w:hint="default" w:ascii="Times New Roman" w:hAnsi="Times New Roman" w:cs="Times New Roman"/>
                <w:color w:val="auto"/>
                <w:kern w:val="0"/>
                <w:szCs w:val="21"/>
              </w:rPr>
              <w:t>900-249-08</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w:t>
            </w:r>
          </w:p>
          <w:p>
            <w:pPr>
              <w:adjustRightInd w:val="0"/>
              <w:snapToGrid w:val="0"/>
              <w:ind w:firstLine="482" w:firstLineChars="200"/>
              <w:rPr>
                <w:rFonts w:hint="eastAsia" w:cs="Times New Roman"/>
                <w:b/>
                <w:bCs w:val="0"/>
                <w:color w:val="auto"/>
                <w:lang w:val="en-US" w:eastAsia="zh-CN"/>
              </w:rPr>
            </w:pPr>
            <w:r>
              <w:rPr>
                <w:rFonts w:hint="eastAsia"/>
                <w:b/>
                <w:bCs/>
                <w:color w:val="auto"/>
                <w:sz w:val="24"/>
              </w:rPr>
              <w:t>③</w:t>
            </w:r>
            <w:r>
              <w:rPr>
                <w:rFonts w:hint="eastAsia" w:cs="Times New Roman"/>
                <w:b/>
                <w:bCs w:val="0"/>
                <w:color w:val="auto"/>
                <w:lang w:val="en-US" w:eastAsia="zh-CN"/>
              </w:rPr>
              <w:t>废活性炭</w:t>
            </w:r>
          </w:p>
          <w:p>
            <w:pPr>
              <w:adjustRightInd w:val="0"/>
              <w:snapToGrid w:val="0"/>
              <w:spacing w:line="360" w:lineRule="auto"/>
              <w:ind w:firstLine="480" w:firstLineChars="200"/>
              <w:rPr>
                <w:rFonts w:hint="eastAsia" w:ascii="Times New Roman" w:hAnsi="Times New Roman" w:eastAsia="宋体" w:cs="Times New Roman"/>
                <w:color w:val="auto"/>
                <w:kern w:val="2"/>
                <w:sz w:val="24"/>
                <w:szCs w:val="21"/>
                <w:highlight w:val="none"/>
                <w:lang w:val="en-US" w:eastAsia="zh-CN" w:bidi="ar-SA"/>
              </w:rPr>
            </w:pPr>
            <w:r>
              <w:rPr>
                <w:rFonts w:hint="eastAsia"/>
                <w:color w:val="auto"/>
                <w:lang w:val="en-US" w:eastAsia="zh-CN"/>
              </w:rPr>
              <w:t>根据现有项目监测数据计算可知，DA001现有项目需处理的非甲烷总烃量约为</w:t>
            </w:r>
            <w:r>
              <w:rPr>
                <w:rFonts w:hint="eastAsia"/>
                <w:color w:val="FF0000"/>
                <w:lang w:val="en-US" w:eastAsia="zh-CN"/>
              </w:rPr>
              <w:t>0.4992t/a</w:t>
            </w:r>
            <w:r>
              <w:rPr>
                <w:rFonts w:hint="eastAsia"/>
                <w:color w:val="auto"/>
                <w:lang w:val="en-US" w:eastAsia="zh-CN"/>
              </w:rPr>
              <w:t>，扩建项目需处理的非甲烷总烃的量约为0.0983t/a，则扩建后需处理的非甲烷总烃量为</w:t>
            </w:r>
            <w:r>
              <w:rPr>
                <w:rFonts w:hint="eastAsia"/>
                <w:color w:val="FF0000"/>
                <w:lang w:val="en-US" w:eastAsia="zh-CN"/>
              </w:rPr>
              <w:t>0.5975</w:t>
            </w:r>
            <w:r>
              <w:rPr>
                <w:rFonts w:hint="eastAsia"/>
                <w:color w:val="auto"/>
                <w:lang w:val="en-US" w:eastAsia="zh-CN"/>
              </w:rPr>
              <w:t>t/a，现有项目活性炭箱无法满足扩建后的废气风量，因此建议建设单位更换活性炭箱，</w:t>
            </w:r>
            <w:r>
              <w:rPr>
                <w:rFonts w:hint="eastAsia" w:cs="Times New Roman"/>
                <w:color w:val="auto"/>
                <w:kern w:val="2"/>
                <w:sz w:val="24"/>
                <w:szCs w:val="21"/>
                <w:highlight w:val="none"/>
                <w:lang w:val="en-US" w:eastAsia="zh-CN" w:bidi="ar-SA"/>
              </w:rPr>
              <w:t>根据前文分析，DA001废气处理设施单次填装量为1.8t，拟一年更换4次，则年更换量为7.2t，需处理的废气量为</w:t>
            </w:r>
            <w:r>
              <w:rPr>
                <w:rFonts w:hint="eastAsia"/>
                <w:color w:val="FF0000"/>
                <w:lang w:val="en-US" w:eastAsia="zh-CN"/>
              </w:rPr>
              <w:t>0.5975</w:t>
            </w:r>
            <w:r>
              <w:rPr>
                <w:rFonts w:hint="eastAsia"/>
                <w:color w:val="auto"/>
                <w:lang w:val="en-US" w:eastAsia="zh-CN"/>
              </w:rPr>
              <w:t>t/a，则DA001更换下来的废活性炭量为</w:t>
            </w:r>
            <w:r>
              <w:rPr>
                <w:rFonts w:hint="eastAsia"/>
                <w:color w:val="FF0000"/>
                <w:lang w:val="en-US" w:eastAsia="zh-CN"/>
              </w:rPr>
              <w:t>7.7975</w:t>
            </w:r>
            <w:r>
              <w:rPr>
                <w:rFonts w:hint="eastAsia"/>
                <w:color w:val="auto"/>
                <w:lang w:val="en-US" w:eastAsia="zh-CN"/>
              </w:rPr>
              <w:t>t/a；DA003废气处理措施</w:t>
            </w:r>
            <w:r>
              <w:rPr>
                <w:rFonts w:hint="eastAsia" w:cs="Times New Roman"/>
                <w:color w:val="auto"/>
                <w:kern w:val="2"/>
                <w:sz w:val="24"/>
                <w:szCs w:val="21"/>
                <w:highlight w:val="none"/>
                <w:lang w:val="en-US" w:eastAsia="zh-CN" w:bidi="ar-SA"/>
              </w:rPr>
              <w:t>单次填装量为0.86t，拟一年更换4次，则年更换量为3.46t，需处理的废气量为</w:t>
            </w:r>
            <w:r>
              <w:rPr>
                <w:rFonts w:hint="eastAsia"/>
                <w:color w:val="auto"/>
                <w:lang w:val="en-US" w:eastAsia="zh-CN"/>
              </w:rPr>
              <w:t>0.0043t/a，则DA001更换下来的废活性炭量为3.4643t/a。</w:t>
            </w:r>
            <w:r>
              <w:rPr>
                <w:rFonts w:hint="eastAsia" w:cs="Times New Roman"/>
                <w:color w:val="auto"/>
                <w:kern w:val="2"/>
                <w:sz w:val="24"/>
                <w:szCs w:val="21"/>
                <w:highlight w:val="none"/>
                <w:lang w:val="en-US" w:eastAsia="zh-CN" w:bidi="ar-SA"/>
              </w:rPr>
              <w:t>综上，扩建后本项目废活性炭产生量为</w:t>
            </w:r>
            <w:r>
              <w:rPr>
                <w:rFonts w:hint="eastAsia" w:cs="Times New Roman"/>
                <w:color w:val="FF0000"/>
                <w:kern w:val="2"/>
                <w:sz w:val="24"/>
                <w:szCs w:val="21"/>
                <w:highlight w:val="none"/>
                <w:lang w:val="en-US" w:eastAsia="zh-CN" w:bidi="ar-SA"/>
              </w:rPr>
              <w:t>11.2618</w:t>
            </w:r>
            <w:r>
              <w:rPr>
                <w:rFonts w:hint="default" w:ascii="Times New Roman" w:hAnsi="Times New Roman" w:eastAsia="宋体" w:cs="Times New Roman"/>
                <w:color w:val="auto"/>
                <w:kern w:val="2"/>
                <w:sz w:val="24"/>
                <w:szCs w:val="21"/>
                <w:highlight w:val="none"/>
                <w:lang w:val="en-US" w:eastAsia="zh-CN" w:bidi="ar-SA"/>
              </w:rPr>
              <w:t>t/a</w:t>
            </w:r>
            <w:r>
              <w:rPr>
                <w:rFonts w:hint="eastAsia" w:cs="Times New Roman"/>
                <w:color w:val="auto"/>
                <w:kern w:val="2"/>
                <w:sz w:val="24"/>
                <w:szCs w:val="21"/>
                <w:highlight w:val="none"/>
                <w:lang w:val="en-US" w:eastAsia="zh-CN" w:bidi="ar-SA"/>
              </w:rPr>
              <w:t>。废</w:t>
            </w:r>
            <w:r>
              <w:rPr>
                <w:rFonts w:hint="default" w:ascii="Times New Roman" w:hAnsi="Times New Roman" w:eastAsia="宋体" w:cs="Times New Roman"/>
                <w:color w:val="auto"/>
                <w:kern w:val="2"/>
                <w:sz w:val="24"/>
                <w:szCs w:val="21"/>
                <w:highlight w:val="none"/>
                <w:lang w:val="en-US" w:eastAsia="zh-CN" w:bidi="ar-SA"/>
              </w:rPr>
              <w:t>活性炭属于《国家危险废物名录》（2021年版）中</w:t>
            </w:r>
            <w:r>
              <w:rPr>
                <w:rFonts w:hint="default" w:ascii="Times New Roman" w:hAnsi="Times New Roman" w:eastAsia="宋体" w:cs="Times New Roman"/>
                <w:color w:val="auto"/>
                <w:kern w:val="2"/>
                <w:sz w:val="24"/>
                <w:szCs w:val="24"/>
                <w:lang w:val="en-US" w:eastAsia="zh-CN" w:bidi="ar-SA"/>
              </w:rPr>
              <w:t>HW49</w:t>
            </w:r>
            <w:r>
              <w:rPr>
                <w:rFonts w:hint="eastAsia" w:ascii="Times New Roman" w:hAnsi="Times New Roman" w:cs="Times New Roman"/>
                <w:color w:val="auto"/>
                <w:sz w:val="24"/>
                <w:lang w:val="en-US" w:eastAsia="zh-CN"/>
              </w:rPr>
              <w:t>（</w:t>
            </w:r>
            <w:r>
              <w:rPr>
                <w:color w:val="auto"/>
                <w:sz w:val="24"/>
              </w:rPr>
              <w:t>废物代码：</w:t>
            </w:r>
            <w:r>
              <w:rPr>
                <w:rFonts w:hint="default" w:ascii="Times New Roman" w:hAnsi="Times New Roman" w:eastAsia="宋体" w:cs="Times New Roman"/>
                <w:color w:val="auto"/>
                <w:kern w:val="2"/>
                <w:sz w:val="24"/>
                <w:szCs w:val="24"/>
                <w:lang w:val="en-US" w:eastAsia="zh-CN" w:bidi="ar-SA"/>
              </w:rPr>
              <w:t>900-039-49</w:t>
            </w:r>
            <w:r>
              <w:rPr>
                <w:rFonts w:hint="eastAsia" w:ascii="Times New Roman" w:hAnsi="Times New Roman" w:cs="Times New Roman"/>
                <w:color w:val="auto"/>
                <w:sz w:val="24"/>
                <w:lang w:val="en-US" w:eastAsia="zh-CN"/>
              </w:rPr>
              <w:t>）</w:t>
            </w:r>
            <w:r>
              <w:rPr>
                <w:rFonts w:hint="eastAsia" w:ascii="Times New Roman" w:hAnsi="Times New Roman" w:eastAsia="宋体" w:cs="Times New Roman"/>
                <w:color w:val="auto"/>
                <w:kern w:val="2"/>
                <w:sz w:val="24"/>
                <w:szCs w:val="21"/>
                <w:highlight w:val="none"/>
                <w:lang w:val="en-US" w:eastAsia="zh-CN" w:bidi="ar-SA"/>
              </w:rPr>
              <w:t>。</w:t>
            </w:r>
          </w:p>
          <w:p>
            <w:pPr>
              <w:spacing w:line="360" w:lineRule="auto"/>
              <w:ind w:firstLine="482" w:firstLineChars="200"/>
              <w:rPr>
                <w:b/>
                <w:bCs/>
                <w:color w:val="auto"/>
                <w:sz w:val="24"/>
              </w:rPr>
            </w:pPr>
            <w:r>
              <w:rPr>
                <w:rFonts w:hint="eastAsia"/>
                <w:b/>
                <w:bCs/>
                <w:color w:val="auto"/>
                <w:sz w:val="24"/>
              </w:rPr>
              <w:t>④</w:t>
            </w:r>
            <w:r>
              <w:rPr>
                <w:b/>
                <w:bCs/>
                <w:color w:val="auto"/>
                <w:sz w:val="24"/>
              </w:rPr>
              <w:t>废润滑油</w:t>
            </w:r>
          </w:p>
          <w:p>
            <w:pPr>
              <w:spacing w:line="360" w:lineRule="auto"/>
              <w:ind w:firstLine="480" w:firstLineChars="200"/>
              <w:rPr>
                <w:color w:val="auto"/>
                <w:sz w:val="24"/>
              </w:rPr>
            </w:pPr>
            <w:r>
              <w:rPr>
                <w:color w:val="auto"/>
                <w:sz w:val="24"/>
              </w:rPr>
              <w:t>项目设备维修及保养过程产生废润滑油，根据建设单位提供的资料，</w:t>
            </w:r>
            <w:r>
              <w:rPr>
                <w:color w:val="auto"/>
                <w:kern w:val="0"/>
                <w:sz w:val="24"/>
              </w:rPr>
              <w:t>项目</w:t>
            </w:r>
            <w:r>
              <w:rPr>
                <w:color w:val="auto"/>
                <w:sz w:val="24"/>
              </w:rPr>
              <w:t>废润滑油</w:t>
            </w:r>
            <w:r>
              <w:rPr>
                <w:color w:val="auto"/>
                <w:kern w:val="0"/>
                <w:sz w:val="24"/>
              </w:rPr>
              <w:t>产生量均为</w:t>
            </w:r>
            <w:r>
              <w:rPr>
                <w:color w:val="FF0000"/>
                <w:kern w:val="0"/>
                <w:sz w:val="24"/>
              </w:rPr>
              <w:t>0.</w:t>
            </w:r>
            <w:r>
              <w:rPr>
                <w:rFonts w:hint="eastAsia"/>
                <w:color w:val="FF0000"/>
                <w:lang w:val="en-US" w:eastAsia="zh-CN"/>
              </w:rPr>
              <w:t>2</w:t>
            </w:r>
            <w:r>
              <w:rPr>
                <w:color w:val="FF0000"/>
                <w:kern w:val="0"/>
                <w:sz w:val="24"/>
              </w:rPr>
              <w:t>t/a</w:t>
            </w:r>
            <w:r>
              <w:rPr>
                <w:color w:val="auto"/>
                <w:kern w:val="0"/>
                <w:sz w:val="24"/>
              </w:rPr>
              <w:t>，</w:t>
            </w:r>
            <w:r>
              <w:rPr>
                <w:color w:val="auto"/>
                <w:sz w:val="24"/>
              </w:rPr>
              <w:t>属于《国家危险废物名录》</w:t>
            </w:r>
            <w:r>
              <w:rPr>
                <w:rFonts w:hint="eastAsia"/>
                <w:color w:val="auto"/>
                <w:sz w:val="24"/>
              </w:rPr>
              <w:t>（2021年版）</w:t>
            </w:r>
            <w:r>
              <w:rPr>
                <w:rFonts w:hint="default" w:ascii="Times New Roman" w:hAnsi="Times New Roman" w:cs="Times New Roman"/>
                <w:color w:val="auto"/>
                <w:sz w:val="24"/>
              </w:rPr>
              <w:t>中编号为</w:t>
            </w:r>
            <w:r>
              <w:rPr>
                <w:color w:val="auto"/>
                <w:kern w:val="0"/>
                <w:sz w:val="24"/>
              </w:rPr>
              <w:t>HW</w:t>
            </w:r>
            <w:r>
              <w:rPr>
                <w:rFonts w:hint="eastAsia"/>
                <w:color w:val="auto"/>
                <w:kern w:val="0"/>
                <w:sz w:val="24"/>
              </w:rPr>
              <w:t>08废矿物油与含矿物油废物</w:t>
            </w:r>
            <w:r>
              <w:rPr>
                <w:color w:val="auto"/>
                <w:kern w:val="0"/>
                <w:sz w:val="24"/>
              </w:rPr>
              <w:t>（废物代码：</w:t>
            </w:r>
            <w:r>
              <w:rPr>
                <w:color w:val="auto"/>
                <w:sz w:val="24"/>
              </w:rPr>
              <w:t>900-217-08</w:t>
            </w:r>
            <w:r>
              <w:rPr>
                <w:color w:val="auto"/>
                <w:kern w:val="0"/>
                <w:sz w:val="24"/>
              </w:rPr>
              <w:t>）</w:t>
            </w:r>
            <w:r>
              <w:rPr>
                <w:rFonts w:hint="default" w:ascii="Times New Roman" w:hAnsi="Times New Roman" w:cs="Times New Roman"/>
                <w:color w:val="auto"/>
                <w:sz w:val="24"/>
              </w:rPr>
              <w:t>的危险废物</w:t>
            </w:r>
            <w:r>
              <w:rPr>
                <w:color w:val="auto"/>
                <w:sz w:val="24"/>
              </w:rPr>
              <w:t>。</w:t>
            </w:r>
          </w:p>
          <w:p>
            <w:pPr>
              <w:spacing w:line="360" w:lineRule="auto"/>
              <w:ind w:firstLine="482" w:firstLineChars="200"/>
              <w:rPr>
                <w:b/>
                <w:bCs/>
                <w:color w:val="auto"/>
                <w:sz w:val="24"/>
              </w:rPr>
            </w:pPr>
            <w:r>
              <w:rPr>
                <w:rFonts w:hint="eastAsia"/>
                <w:b/>
                <w:bCs/>
                <w:color w:val="auto"/>
                <w:sz w:val="24"/>
              </w:rPr>
              <w:t>⑤</w:t>
            </w:r>
            <w:r>
              <w:rPr>
                <w:b/>
                <w:bCs/>
                <w:color w:val="auto"/>
                <w:sz w:val="24"/>
              </w:rPr>
              <w:t>含油废抹布及手套</w:t>
            </w:r>
          </w:p>
          <w:p>
            <w:pPr>
              <w:spacing w:line="360" w:lineRule="auto"/>
              <w:ind w:firstLine="480" w:firstLineChars="200"/>
              <w:rPr>
                <w:bCs/>
                <w:color w:val="auto"/>
                <w:sz w:val="24"/>
              </w:rPr>
            </w:pPr>
            <w:r>
              <w:rPr>
                <w:color w:val="auto"/>
                <w:sz w:val="24"/>
              </w:rPr>
              <w:t>本项目营运期机械维修时产生含油抹布及手套，根据建设单位提供的资料，</w:t>
            </w:r>
            <w:r>
              <w:rPr>
                <w:color w:val="auto"/>
                <w:kern w:val="0"/>
                <w:sz w:val="24"/>
              </w:rPr>
              <w:t>项目</w:t>
            </w:r>
            <w:r>
              <w:rPr>
                <w:color w:val="auto"/>
                <w:sz w:val="24"/>
              </w:rPr>
              <w:t>含油抹布及手套</w:t>
            </w:r>
            <w:r>
              <w:rPr>
                <w:color w:val="auto"/>
                <w:kern w:val="0"/>
                <w:sz w:val="24"/>
              </w:rPr>
              <w:t>产生量均为0.2t/a</w:t>
            </w:r>
            <w:r>
              <w:rPr>
                <w:color w:val="auto"/>
                <w:sz w:val="24"/>
              </w:rPr>
              <w:t>，属于《国家危险废物名录》</w:t>
            </w:r>
            <w:r>
              <w:rPr>
                <w:rFonts w:hint="eastAsia"/>
                <w:color w:val="auto"/>
                <w:sz w:val="24"/>
              </w:rPr>
              <w:t>（2021年版）</w:t>
            </w:r>
            <w:r>
              <w:rPr>
                <w:color w:val="auto"/>
                <w:sz w:val="24"/>
              </w:rPr>
              <w:t>中HW49其他废物（废物代码：900-04</w:t>
            </w:r>
            <w:r>
              <w:rPr>
                <w:rFonts w:hint="eastAsia"/>
                <w:color w:val="auto"/>
                <w:sz w:val="24"/>
              </w:rPr>
              <w:t>1</w:t>
            </w:r>
            <w:r>
              <w:rPr>
                <w:color w:val="auto"/>
                <w:sz w:val="24"/>
              </w:rPr>
              <w:t>-49），收集后交由有危险废物处置资质单位处理。</w:t>
            </w:r>
          </w:p>
          <w:p>
            <w:pPr>
              <w:adjustRightInd w:val="0"/>
              <w:snapToGrid w:val="0"/>
              <w:spacing w:line="360" w:lineRule="auto"/>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⑥废油桶</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项目使用切削液和火花油会产生废</w:t>
            </w:r>
            <w:r>
              <w:rPr>
                <w:rFonts w:hint="eastAsia"/>
                <w:color w:val="auto"/>
                <w:kern w:val="0"/>
                <w:szCs w:val="21"/>
                <w:lang w:val="en-US" w:eastAsia="zh-CN"/>
              </w:rPr>
              <w:t>油桶，</w:t>
            </w:r>
            <w:r>
              <w:rPr>
                <w:rFonts w:hint="eastAsia" w:ascii="Times New Roman" w:hAnsi="Times New Roman" w:eastAsia="宋体" w:cs="Times New Roman"/>
                <w:bCs/>
                <w:color w:val="auto"/>
                <w:szCs w:val="21"/>
                <w:lang w:val="en-US" w:eastAsia="zh-CN"/>
              </w:rPr>
              <w:t>年产生量约为</w:t>
            </w:r>
            <w:r>
              <w:rPr>
                <w:rFonts w:hint="eastAsia" w:ascii="Times New Roman" w:hAnsi="Times New Roman" w:eastAsia="宋体" w:cs="Times New Roman"/>
                <w:bCs/>
                <w:color w:val="FF0000"/>
                <w:szCs w:val="21"/>
                <w:lang w:val="en-US" w:eastAsia="zh-CN"/>
              </w:rPr>
              <w:t>0.</w:t>
            </w:r>
            <w:r>
              <w:rPr>
                <w:rFonts w:hint="eastAsia" w:cs="Times New Roman"/>
                <w:bCs/>
                <w:color w:val="FF0000"/>
                <w:szCs w:val="21"/>
                <w:lang w:val="en-US" w:eastAsia="zh-CN"/>
              </w:rPr>
              <w:t>523</w:t>
            </w:r>
            <w:r>
              <w:rPr>
                <w:rFonts w:hint="eastAsia" w:ascii="Times New Roman" w:hAnsi="Times New Roman" w:eastAsia="宋体" w:cs="Times New Roman"/>
                <w:bCs/>
                <w:color w:val="FF0000"/>
                <w:szCs w:val="21"/>
                <w:lang w:val="en-US" w:eastAsia="zh-CN"/>
              </w:rPr>
              <w:t>t/a</w:t>
            </w:r>
            <w:r>
              <w:rPr>
                <w:rFonts w:hint="eastAsia" w:ascii="Times New Roman" w:hAnsi="Times New Roman" w:eastAsia="宋体" w:cs="Times New Roman"/>
                <w:bCs/>
                <w:color w:val="auto"/>
                <w:szCs w:val="21"/>
                <w:lang w:val="en-US" w:eastAsia="zh-CN"/>
              </w:rPr>
              <w:t>。</w:t>
            </w:r>
            <w:r>
              <w:rPr>
                <w:color w:val="auto"/>
                <w:sz w:val="24"/>
              </w:rPr>
              <w:t>属于《国家危险废物名录》</w:t>
            </w:r>
            <w:r>
              <w:rPr>
                <w:rFonts w:hint="eastAsia"/>
                <w:color w:val="auto"/>
                <w:sz w:val="24"/>
              </w:rPr>
              <w:t>（2021年版）</w:t>
            </w:r>
            <w:r>
              <w:rPr>
                <w:color w:val="auto"/>
                <w:sz w:val="24"/>
              </w:rPr>
              <w:t>中HW49其他废物（废物代码：900-04</w:t>
            </w:r>
            <w:r>
              <w:rPr>
                <w:rFonts w:hint="eastAsia"/>
                <w:color w:val="auto"/>
                <w:sz w:val="24"/>
              </w:rPr>
              <w:t>1</w:t>
            </w:r>
            <w:r>
              <w:rPr>
                <w:color w:val="auto"/>
                <w:sz w:val="24"/>
              </w:rPr>
              <w:t>-49）</w:t>
            </w:r>
            <w:r>
              <w:rPr>
                <w:rFonts w:hint="eastAsia" w:ascii="Times New Roman" w:hAnsi="Times New Roman" w:eastAsia="宋体" w:cs="Times New Roman"/>
                <w:bCs/>
                <w:color w:val="auto"/>
                <w:szCs w:val="21"/>
                <w:highlight w:val="none"/>
                <w:lang w:val="en-US" w:eastAsia="zh-CN"/>
              </w:rPr>
              <w:t>，收集后交由有资质单位进行处置。</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宋体" w:hAnsi="宋体" w:eastAsia="宋体" w:cs="宋体"/>
                <w:b/>
                <w:bCs w:val="0"/>
                <w:color w:val="auto"/>
                <w:szCs w:val="21"/>
                <w:highlight w:val="none"/>
                <w:lang w:val="en-US" w:eastAsia="zh-CN"/>
              </w:rPr>
            </w:pPr>
            <w:r>
              <w:rPr>
                <w:rFonts w:hint="eastAsia" w:ascii="宋体" w:hAnsi="宋体" w:eastAsia="宋体" w:cs="宋体"/>
                <w:b/>
                <w:bCs w:val="0"/>
                <w:color w:val="auto"/>
                <w:szCs w:val="21"/>
                <w:highlight w:val="none"/>
                <w:lang w:val="en-US" w:eastAsia="zh-CN"/>
              </w:rPr>
              <w:t>⑦废漆桶</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default" w:ascii="Times New Roman" w:hAnsi="Times New Roman" w:cs="Times New Roman"/>
                <w:color w:val="auto"/>
                <w:sz w:val="24"/>
              </w:rPr>
              <w:t>根据建设单位提供的资料，本项目水性漆使用过程中</w:t>
            </w:r>
            <w:r>
              <w:rPr>
                <w:rFonts w:hint="default" w:ascii="Times New Roman" w:hAnsi="Times New Roman" w:cs="Times New Roman"/>
                <w:color w:val="auto"/>
                <w:sz w:val="24"/>
                <w:lang w:val="en-US" w:eastAsia="zh-CN"/>
              </w:rPr>
              <w:t>会</w:t>
            </w:r>
            <w:r>
              <w:rPr>
                <w:rFonts w:hint="default" w:ascii="Times New Roman" w:hAnsi="Times New Roman" w:cs="Times New Roman"/>
                <w:color w:val="auto"/>
                <w:sz w:val="24"/>
              </w:rPr>
              <w:t>产生废漆桶</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产生量约</w:t>
            </w:r>
            <w:r>
              <w:rPr>
                <w:rFonts w:hint="default" w:ascii="Times New Roman" w:hAnsi="Times New Roman" w:cs="Times New Roman"/>
                <w:color w:val="FF0000"/>
                <w:sz w:val="24"/>
              </w:rPr>
              <w:t>0.</w:t>
            </w:r>
            <w:r>
              <w:rPr>
                <w:rFonts w:hint="eastAsia" w:cs="Times New Roman"/>
                <w:color w:val="FF0000"/>
                <w:sz w:val="24"/>
                <w:lang w:val="en-US" w:eastAsia="zh-CN"/>
              </w:rPr>
              <w:t>096</w:t>
            </w:r>
            <w:r>
              <w:rPr>
                <w:rFonts w:hint="default" w:ascii="Times New Roman" w:hAnsi="Times New Roman" w:cs="Times New Roman"/>
                <w:color w:val="FF0000"/>
                <w:sz w:val="24"/>
              </w:rPr>
              <w:t>t/a</w:t>
            </w:r>
            <w:r>
              <w:rPr>
                <w:rFonts w:hint="default" w:ascii="Times New Roman" w:hAnsi="Times New Roman" w:cs="Times New Roman"/>
                <w:color w:val="auto"/>
                <w:sz w:val="24"/>
              </w:rPr>
              <w:t>，</w:t>
            </w:r>
            <w:r>
              <w:rPr>
                <w:rFonts w:hint="eastAsia"/>
                <w:color w:val="auto"/>
                <w:sz w:val="24"/>
                <w:lang w:val="en-US" w:eastAsia="zh-CN"/>
              </w:rPr>
              <w:t>参照</w:t>
            </w:r>
            <w:r>
              <w:rPr>
                <w:color w:val="auto"/>
                <w:sz w:val="24"/>
              </w:rPr>
              <w:t>《国家危险废物名录》</w:t>
            </w:r>
            <w:r>
              <w:rPr>
                <w:rFonts w:hint="eastAsia"/>
                <w:color w:val="auto"/>
                <w:sz w:val="24"/>
              </w:rPr>
              <w:t>（2021年版）</w:t>
            </w:r>
            <w:r>
              <w:rPr>
                <w:color w:val="auto"/>
                <w:sz w:val="24"/>
              </w:rPr>
              <w:t>中HW</w:t>
            </w:r>
            <w:r>
              <w:rPr>
                <w:rFonts w:hint="eastAsia"/>
                <w:color w:val="auto"/>
                <w:sz w:val="24"/>
                <w:lang w:val="en-US" w:eastAsia="zh-CN"/>
              </w:rPr>
              <w:t>4</w:t>
            </w:r>
            <w:r>
              <w:rPr>
                <w:color w:val="auto"/>
                <w:sz w:val="24"/>
              </w:rPr>
              <w:t>9</w:t>
            </w:r>
            <w:r>
              <w:rPr>
                <w:rFonts w:hint="eastAsia"/>
                <w:color w:val="auto"/>
                <w:sz w:val="24"/>
              </w:rPr>
              <w:t>其他废物</w:t>
            </w:r>
            <w:r>
              <w:rPr>
                <w:color w:val="auto"/>
                <w:sz w:val="24"/>
              </w:rPr>
              <w:t>（废物代码：</w:t>
            </w:r>
            <w:r>
              <w:rPr>
                <w:rFonts w:hint="eastAsia"/>
                <w:color w:val="auto"/>
                <w:sz w:val="24"/>
              </w:rPr>
              <w:t>900-041-49</w:t>
            </w:r>
            <w:r>
              <w:rPr>
                <w:rFonts w:hint="eastAsia"/>
                <w:color w:val="auto"/>
                <w:sz w:val="24"/>
                <w:lang w:eastAsia="zh-CN"/>
              </w:rPr>
              <w:t>—含有或沾染毒性、感染性危险废物的废弃包装物、容器、过滤吸附介质</w:t>
            </w:r>
            <w:r>
              <w:rPr>
                <w:color w:val="auto"/>
                <w:sz w:val="24"/>
              </w:rPr>
              <w:t>）</w:t>
            </w:r>
            <w:r>
              <w:rPr>
                <w:rFonts w:hint="eastAsia"/>
                <w:color w:val="auto"/>
                <w:sz w:val="24"/>
                <w:lang w:val="en-US" w:eastAsia="zh-CN"/>
              </w:rPr>
              <w:t>管理</w:t>
            </w:r>
            <w:r>
              <w:rPr>
                <w:rFonts w:hint="eastAsia" w:ascii="Times New Roman" w:hAnsi="Times New Roman" w:eastAsia="宋体" w:cs="Times New Roman"/>
                <w:bCs/>
                <w:color w:val="auto"/>
                <w:szCs w:val="21"/>
                <w:highlight w:val="none"/>
                <w:lang w:val="en-US" w:eastAsia="zh-CN"/>
              </w:rPr>
              <w:t>，收集后交由有资质单位进行处置。</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宋体" w:hAnsi="宋体" w:eastAsia="宋体" w:cs="宋体"/>
                <w:b/>
                <w:bCs w:val="0"/>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⑧</w:t>
            </w:r>
            <w:r>
              <w:rPr>
                <w:rFonts w:hint="eastAsia" w:ascii="宋体" w:hAnsi="宋体" w:eastAsia="宋体" w:cs="宋体"/>
                <w:b/>
                <w:bCs w:val="0"/>
                <w:color w:val="auto"/>
                <w:szCs w:val="21"/>
                <w:highlight w:val="none"/>
                <w:lang w:val="en-US" w:eastAsia="zh-CN"/>
              </w:rPr>
              <w:t>废油墨罐</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根据建设单位提供的资料，本项目</w:t>
            </w:r>
            <w:r>
              <w:rPr>
                <w:rFonts w:hint="default" w:ascii="Times New Roman" w:hAnsi="Times New Roman" w:cs="Times New Roman"/>
                <w:color w:val="auto"/>
                <w:sz w:val="24"/>
                <w:lang w:val="en-US" w:eastAsia="zh-CN"/>
              </w:rPr>
              <w:t>水性</w:t>
            </w:r>
            <w:r>
              <w:rPr>
                <w:rFonts w:hint="default" w:ascii="Times New Roman" w:hAnsi="Times New Roman" w:cs="Times New Roman"/>
                <w:color w:val="auto"/>
                <w:sz w:val="24"/>
              </w:rPr>
              <w:t>油墨使用过程中</w:t>
            </w:r>
            <w:r>
              <w:rPr>
                <w:rFonts w:hint="default" w:ascii="Times New Roman" w:hAnsi="Times New Roman" w:cs="Times New Roman"/>
                <w:color w:val="auto"/>
                <w:sz w:val="24"/>
                <w:lang w:val="en-US" w:eastAsia="zh-CN"/>
              </w:rPr>
              <w:t>会</w:t>
            </w:r>
            <w:r>
              <w:rPr>
                <w:rFonts w:hint="default" w:ascii="Times New Roman" w:hAnsi="Times New Roman" w:cs="Times New Roman"/>
                <w:color w:val="auto"/>
                <w:sz w:val="24"/>
              </w:rPr>
              <w:t>产生废油墨罐，产生量约</w:t>
            </w:r>
            <w:r>
              <w:rPr>
                <w:rFonts w:hint="default" w:ascii="Times New Roman" w:hAnsi="Times New Roman" w:cs="Times New Roman"/>
                <w:color w:val="FF0000"/>
                <w:sz w:val="24"/>
              </w:rPr>
              <w:t>0.</w:t>
            </w:r>
            <w:r>
              <w:rPr>
                <w:rFonts w:hint="eastAsia" w:cs="Times New Roman"/>
                <w:color w:val="FF0000"/>
                <w:sz w:val="24"/>
                <w:lang w:val="en-US" w:eastAsia="zh-CN"/>
              </w:rPr>
              <w:t>001</w:t>
            </w:r>
            <w:r>
              <w:rPr>
                <w:rFonts w:hint="default" w:ascii="Times New Roman" w:hAnsi="Times New Roman" w:cs="Times New Roman"/>
                <w:color w:val="FF0000"/>
                <w:sz w:val="24"/>
              </w:rPr>
              <w:t>t/a</w:t>
            </w:r>
            <w:r>
              <w:rPr>
                <w:rFonts w:hint="default" w:ascii="Times New Roman" w:hAnsi="Times New Roman" w:cs="Times New Roman"/>
                <w:color w:val="auto"/>
                <w:sz w:val="24"/>
              </w:rPr>
              <w:t>，属于《国家危险废物名录》（2021年版）中HW12染料、涂料废物（废物代码：</w:t>
            </w:r>
            <w:r>
              <w:rPr>
                <w:rFonts w:hint="default" w:ascii="Times New Roman" w:hAnsi="Times New Roman" w:cs="Times New Roman"/>
                <w:color w:val="auto"/>
                <w:kern w:val="0"/>
                <w:szCs w:val="21"/>
              </w:rPr>
              <w:t>900-253-12</w:t>
            </w:r>
            <w:r>
              <w:rPr>
                <w:rFonts w:hint="default" w:ascii="Times New Roman" w:hAnsi="Times New Roman" w:cs="Times New Roman"/>
                <w:color w:val="auto"/>
                <w:sz w:val="24"/>
              </w:rPr>
              <w:t>）</w:t>
            </w:r>
            <w:r>
              <w:rPr>
                <w:rFonts w:hint="eastAsia" w:ascii="Times New Roman" w:hAnsi="Times New Roman" w:cs="Times New Roman"/>
                <w:color w:val="auto"/>
                <w:sz w:val="24"/>
                <w:lang w:eastAsia="zh-CN"/>
              </w:rPr>
              <w:t>。</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
                <w:bCs w:val="0"/>
                <w:color w:val="auto"/>
                <w:szCs w:val="21"/>
                <w:lang w:val="en-US" w:eastAsia="zh-CN"/>
              </w:rPr>
              <w:t>⑨</w:t>
            </w:r>
            <w:r>
              <w:rPr>
                <w:rFonts w:hint="eastAsia" w:ascii="Times New Roman" w:hAnsi="Times New Roman" w:eastAsia="宋体" w:cs="Times New Roman"/>
                <w:b/>
                <w:bCs w:val="0"/>
                <w:color w:val="auto"/>
                <w:szCs w:val="21"/>
                <w:highlight w:val="none"/>
                <w:lang w:val="en-US" w:eastAsia="zh-CN"/>
              </w:rPr>
              <w:t>漆渣</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highlight w:val="none"/>
                <w:lang w:val="en-US" w:eastAsia="zh-CN"/>
              </w:rPr>
              <w:t>喷</w:t>
            </w:r>
            <w:r>
              <w:rPr>
                <w:rFonts w:hint="eastAsia" w:ascii="Times New Roman" w:hAnsi="Times New Roman" w:cs="Times New Roman"/>
                <w:bCs/>
                <w:color w:val="auto"/>
                <w:szCs w:val="21"/>
                <w:highlight w:val="none"/>
                <w:lang w:val="en-US" w:eastAsia="zh-CN"/>
              </w:rPr>
              <w:t>漆水帘柜</w:t>
            </w:r>
            <w:r>
              <w:rPr>
                <w:rFonts w:hint="default" w:ascii="Times New Roman" w:hAnsi="Times New Roman" w:eastAsia="宋体" w:cs="Times New Roman"/>
                <w:bCs/>
                <w:color w:val="auto"/>
                <w:szCs w:val="21"/>
                <w:highlight w:val="none"/>
                <w:lang w:val="en-US" w:eastAsia="zh-CN"/>
              </w:rPr>
              <w:t>日常打捞沉渣会产生一定的漆渣，产生量约</w:t>
            </w:r>
            <w:r>
              <w:rPr>
                <w:rFonts w:hint="eastAsia" w:cs="Times New Roman"/>
                <w:bCs/>
                <w:color w:val="auto"/>
                <w:szCs w:val="21"/>
                <w:highlight w:val="none"/>
                <w:lang w:val="en-US" w:eastAsia="zh-CN"/>
              </w:rPr>
              <w:t>0.2101</w:t>
            </w:r>
            <w:r>
              <w:rPr>
                <w:rFonts w:hint="default" w:ascii="Times New Roman" w:hAnsi="Times New Roman" w:eastAsia="宋体" w:cs="Times New Roman"/>
                <w:bCs/>
                <w:color w:val="auto"/>
                <w:szCs w:val="21"/>
                <w:highlight w:val="none"/>
                <w:lang w:val="en-US" w:eastAsia="zh-CN"/>
              </w:rPr>
              <w:t>t/a</w:t>
            </w:r>
            <w:r>
              <w:rPr>
                <w:rFonts w:hint="eastAsia" w:cs="Times New Roman"/>
                <w:bCs/>
                <w:color w:val="auto"/>
                <w:szCs w:val="21"/>
                <w:highlight w:val="none"/>
                <w:lang w:val="en-US" w:eastAsia="zh-CN"/>
              </w:rPr>
              <w:t>。</w:t>
            </w:r>
            <w:r>
              <w:rPr>
                <w:rFonts w:hint="eastAsia"/>
                <w:color w:val="auto"/>
                <w:sz w:val="24"/>
                <w:lang w:val="en-US" w:eastAsia="zh-CN"/>
              </w:rPr>
              <w:t>参照</w:t>
            </w:r>
            <w:r>
              <w:rPr>
                <w:color w:val="auto"/>
                <w:sz w:val="24"/>
              </w:rPr>
              <w:t>《国家危险废物名录》</w:t>
            </w:r>
            <w:r>
              <w:rPr>
                <w:rFonts w:hint="eastAsia"/>
                <w:color w:val="auto"/>
                <w:sz w:val="24"/>
              </w:rPr>
              <w:t>（2021年版）</w:t>
            </w:r>
            <w:r>
              <w:rPr>
                <w:color w:val="auto"/>
                <w:sz w:val="24"/>
              </w:rPr>
              <w:t>中HW</w:t>
            </w:r>
            <w:r>
              <w:rPr>
                <w:rFonts w:hint="eastAsia"/>
                <w:color w:val="auto"/>
                <w:sz w:val="24"/>
                <w:lang w:val="en-US" w:eastAsia="zh-CN"/>
              </w:rPr>
              <w:t>0</w:t>
            </w:r>
            <w:r>
              <w:rPr>
                <w:color w:val="auto"/>
                <w:sz w:val="24"/>
              </w:rPr>
              <w:t>9</w:t>
            </w:r>
            <w:r>
              <w:rPr>
                <w:rFonts w:hint="eastAsia"/>
                <w:color w:val="auto"/>
                <w:sz w:val="24"/>
              </w:rPr>
              <w:t>油/水、烃/水混合物或乳化液</w:t>
            </w:r>
            <w:r>
              <w:rPr>
                <w:color w:val="auto"/>
                <w:sz w:val="24"/>
              </w:rPr>
              <w:t>（废物代码：900-0</w:t>
            </w:r>
            <w:r>
              <w:rPr>
                <w:rFonts w:hint="eastAsia"/>
                <w:color w:val="auto"/>
                <w:sz w:val="24"/>
                <w:lang w:val="en-US" w:eastAsia="zh-CN"/>
              </w:rPr>
              <w:t>07</w:t>
            </w:r>
            <w:r>
              <w:rPr>
                <w:color w:val="auto"/>
                <w:sz w:val="24"/>
              </w:rPr>
              <w:t>-</w:t>
            </w:r>
            <w:r>
              <w:rPr>
                <w:rFonts w:hint="eastAsia"/>
                <w:color w:val="auto"/>
                <w:sz w:val="24"/>
                <w:lang w:val="en-US" w:eastAsia="zh-CN"/>
              </w:rPr>
              <w:t>0</w:t>
            </w:r>
            <w:r>
              <w:rPr>
                <w:color w:val="auto"/>
                <w:sz w:val="24"/>
              </w:rPr>
              <w:t>9</w:t>
            </w:r>
            <w:r>
              <w:rPr>
                <w:rFonts w:hint="eastAsia"/>
                <w:color w:val="auto"/>
                <w:sz w:val="24"/>
                <w:lang w:eastAsia="zh-CN"/>
              </w:rPr>
              <w:t>—其他工艺过程中产生的油/水、烃/水混合物或乳化液</w:t>
            </w:r>
            <w:r>
              <w:rPr>
                <w:color w:val="auto"/>
                <w:sz w:val="24"/>
              </w:rPr>
              <w:t>）</w:t>
            </w:r>
            <w:r>
              <w:rPr>
                <w:rFonts w:hint="eastAsia"/>
                <w:color w:val="auto"/>
                <w:sz w:val="24"/>
                <w:lang w:val="en-US" w:eastAsia="zh-CN"/>
              </w:rPr>
              <w:t>管理</w:t>
            </w:r>
            <w:r>
              <w:rPr>
                <w:rFonts w:hint="eastAsia" w:ascii="Times New Roman" w:hAnsi="Times New Roman" w:eastAsia="宋体" w:cs="Times New Roman"/>
                <w:bCs/>
                <w:color w:val="auto"/>
                <w:szCs w:val="21"/>
                <w:highlight w:val="none"/>
                <w:lang w:val="en-US" w:eastAsia="zh-CN"/>
              </w:rPr>
              <w:t>，收集后交由有资质单位进行处置。</w:t>
            </w:r>
          </w:p>
          <w:p>
            <w:pPr>
              <w:adjustRightInd w:val="0"/>
              <w:snapToGrid w:val="0"/>
              <w:spacing w:line="360" w:lineRule="auto"/>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⑩水帘柜废水</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根据工程分析，</w:t>
            </w:r>
            <w:r>
              <w:rPr>
                <w:rFonts w:hint="eastAsia" w:ascii="Times New Roman" w:hAnsi="Times New Roman" w:eastAsia="宋体" w:cs="Times New Roman"/>
                <w:bCs/>
                <w:color w:val="auto"/>
                <w:szCs w:val="21"/>
                <w:lang w:val="en-US" w:eastAsia="zh-CN"/>
              </w:rPr>
              <w:t>本</w:t>
            </w:r>
            <w:r>
              <w:rPr>
                <w:rFonts w:hint="default" w:ascii="Times New Roman" w:hAnsi="Times New Roman" w:eastAsia="宋体" w:cs="Times New Roman"/>
                <w:bCs/>
                <w:color w:val="auto"/>
                <w:szCs w:val="21"/>
                <w:lang w:val="en-US" w:eastAsia="zh-CN"/>
              </w:rPr>
              <w:t>项目</w:t>
            </w:r>
            <w:r>
              <w:rPr>
                <w:rFonts w:hint="default" w:ascii="Times New Roman" w:hAnsi="Times New Roman" w:eastAsia="宋体" w:cs="Times New Roman"/>
                <w:color w:val="auto"/>
              </w:rPr>
              <w:t>喷</w:t>
            </w:r>
            <w:r>
              <w:rPr>
                <w:rFonts w:hint="default" w:ascii="Times New Roman" w:hAnsi="Times New Roman" w:eastAsia="宋体" w:cs="Times New Roman"/>
                <w:color w:val="auto"/>
                <w:highlight w:val="none"/>
              </w:rPr>
              <w:t>漆工序水帘柜废水产生量为</w:t>
            </w:r>
            <w:r>
              <w:rPr>
                <w:rFonts w:hint="eastAsia" w:cs="Times New Roman"/>
                <w:color w:val="auto"/>
                <w:highlight w:val="none"/>
                <w:lang w:val="en-US" w:eastAsia="zh-CN"/>
              </w:rPr>
              <w:t>3.036</w:t>
            </w:r>
            <w:r>
              <w:rPr>
                <w:rFonts w:hint="default" w:ascii="Times New Roman" w:hAnsi="Times New Roman" w:eastAsia="宋体" w:cs="Times New Roman"/>
                <w:color w:val="auto"/>
                <w:highlight w:val="none"/>
              </w:rPr>
              <w:t>t/a。</w:t>
            </w:r>
          </w:p>
          <w:p>
            <w:pPr>
              <w:adjustRightInd w:val="0"/>
              <w:snapToGrid w:val="0"/>
              <w:spacing w:line="360" w:lineRule="auto"/>
              <w:ind w:firstLine="482" w:firstLineChars="200"/>
              <w:rPr>
                <w:rFonts w:hint="default" w:ascii="Times New Roman" w:hAnsi="Times New Roman" w:eastAsia="宋体" w:cs="Times New Roman"/>
                <w:b/>
                <w:bCs w:val="0"/>
                <w:color w:val="4F0FBD"/>
                <w:szCs w:val="21"/>
                <w:lang w:val="en-US" w:eastAsia="zh-CN"/>
              </w:rPr>
            </w:pPr>
            <w:r>
              <w:rPr>
                <w:rFonts w:hint="eastAsia" w:ascii="Times New Roman" w:hAnsi="Times New Roman" w:eastAsia="宋体" w:cs="Times New Roman"/>
                <w:b/>
                <w:bCs w:val="0"/>
                <w:color w:val="4F0FBD"/>
                <w:szCs w:val="21"/>
                <w:lang w:val="en-US" w:eastAsia="zh-CN"/>
              </w:rPr>
              <w:t>⑪</w:t>
            </w:r>
            <w:r>
              <w:rPr>
                <w:rFonts w:hint="eastAsia" w:cs="Times New Roman"/>
                <w:b/>
                <w:bCs w:val="0"/>
                <w:color w:val="4F0FBD"/>
                <w:szCs w:val="21"/>
                <w:lang w:val="en-US" w:eastAsia="zh-CN"/>
              </w:rPr>
              <w:t>喷漆及丝印</w:t>
            </w:r>
            <w:r>
              <w:rPr>
                <w:rFonts w:hint="eastAsia" w:ascii="Times New Roman" w:hAnsi="Times New Roman" w:eastAsia="宋体" w:cs="Times New Roman"/>
                <w:b/>
                <w:bCs w:val="0"/>
                <w:color w:val="4F0FBD"/>
                <w:szCs w:val="21"/>
                <w:lang w:val="en-US" w:eastAsia="zh-CN"/>
              </w:rPr>
              <w:t>喷淋塔废水</w:t>
            </w:r>
          </w:p>
          <w:p>
            <w:pPr>
              <w:adjustRightInd w:val="0"/>
              <w:snapToGrid w:val="0"/>
              <w:spacing w:line="360" w:lineRule="auto"/>
              <w:ind w:firstLine="480" w:firstLineChars="200"/>
              <w:rPr>
                <w:rFonts w:hint="eastAsia" w:ascii="Times New Roman" w:hAnsi="Times New Roman" w:eastAsia="宋体" w:cs="Times New Roman"/>
                <w:bCs/>
                <w:color w:val="4F0FBD"/>
                <w:szCs w:val="21"/>
                <w:lang w:val="en-US" w:eastAsia="zh-CN"/>
              </w:rPr>
            </w:pPr>
            <w:r>
              <w:rPr>
                <w:rFonts w:hint="default" w:ascii="Times New Roman" w:hAnsi="Times New Roman" w:eastAsia="宋体" w:cs="Times New Roman"/>
                <w:bCs/>
                <w:color w:val="4F0FBD"/>
                <w:szCs w:val="21"/>
                <w:lang w:val="en-US" w:eastAsia="zh-CN"/>
              </w:rPr>
              <w:t>根据工程分析</w:t>
            </w:r>
            <w:r>
              <w:rPr>
                <w:rFonts w:hint="default" w:ascii="Times New Roman" w:hAnsi="Times New Roman" w:eastAsia="宋体" w:cs="Times New Roman"/>
                <w:color w:val="4F0FBD"/>
              </w:rPr>
              <w:t>，项目喷淋塔废水产生量</w:t>
            </w:r>
            <w:r>
              <w:rPr>
                <w:rFonts w:hint="default" w:ascii="Times New Roman" w:hAnsi="Times New Roman" w:eastAsia="宋体" w:cs="Times New Roman"/>
                <w:color w:val="4F0FBD"/>
                <w:highlight w:val="none"/>
              </w:rPr>
              <w:t>为</w:t>
            </w:r>
            <w:r>
              <w:rPr>
                <w:rFonts w:hint="eastAsia" w:cs="Times New Roman"/>
                <w:color w:val="4F0FBD"/>
                <w:highlight w:val="none"/>
                <w:lang w:val="en-US" w:eastAsia="zh-CN"/>
              </w:rPr>
              <w:t>1.413</w:t>
            </w:r>
            <w:r>
              <w:rPr>
                <w:rFonts w:hint="default" w:ascii="Times New Roman" w:hAnsi="Times New Roman" w:eastAsia="宋体" w:cs="Times New Roman"/>
                <w:color w:val="4F0FBD"/>
                <w:highlight w:val="none"/>
              </w:rPr>
              <w:t>t/a。</w:t>
            </w:r>
          </w:p>
          <w:p>
            <w:pPr>
              <w:adjustRightInd w:val="0"/>
              <w:snapToGrid w:val="0"/>
              <w:spacing w:line="360" w:lineRule="auto"/>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cs="Times New Roman"/>
                <w:b/>
                <w:bCs w:val="0"/>
                <w:color w:val="auto"/>
                <w:szCs w:val="21"/>
                <w:lang w:val="en-US" w:eastAsia="zh-CN"/>
              </w:rPr>
              <w:t>⑫喷枪清洗</w:t>
            </w:r>
            <w:r>
              <w:rPr>
                <w:rFonts w:hint="eastAsia" w:ascii="Times New Roman" w:hAnsi="Times New Roman" w:eastAsia="宋体" w:cs="Times New Roman"/>
                <w:b/>
                <w:bCs w:val="0"/>
                <w:color w:val="auto"/>
                <w:szCs w:val="21"/>
                <w:lang w:val="en-US" w:eastAsia="zh-CN"/>
              </w:rPr>
              <w:t>废水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s="Times New Roman"/>
                <w:color w:val="auto"/>
                <w:lang w:eastAsia="zh-CN"/>
              </w:rPr>
            </w:pPr>
            <w:r>
              <w:rPr>
                <w:rFonts w:hint="default" w:ascii="Times New Roman" w:hAnsi="Times New Roman" w:eastAsia="宋体" w:cs="Times New Roman"/>
                <w:color w:val="auto"/>
                <w:lang w:val="en-US" w:eastAsia="zh-CN"/>
              </w:rPr>
              <w:t>项目需定期对喷枪进行清洗，清洗频率为每天一次，喷枪清</w:t>
            </w:r>
            <w:r>
              <w:rPr>
                <w:rFonts w:hint="default" w:ascii="Times New Roman" w:hAnsi="Times New Roman" w:eastAsia="宋体" w:cs="Times New Roman"/>
                <w:color w:val="auto"/>
                <w:highlight w:val="none"/>
                <w:lang w:val="en-US" w:eastAsia="zh-CN"/>
              </w:rPr>
              <w:t>洗废水</w:t>
            </w:r>
            <w:r>
              <w:rPr>
                <w:rFonts w:hint="default" w:ascii="Times New Roman" w:hAnsi="Times New Roman" w:eastAsia="宋体" w:cs="Times New Roman"/>
                <w:color w:val="auto"/>
                <w:highlight w:val="none"/>
              </w:rPr>
              <w:t>量为</w:t>
            </w:r>
            <w:r>
              <w:rPr>
                <w:rFonts w:hint="eastAsia"/>
                <w:color w:val="auto"/>
                <w:lang w:val="en-US" w:eastAsia="zh-CN"/>
              </w:rPr>
              <w:t>5.625</w:t>
            </w:r>
            <w:r>
              <w:rPr>
                <w:rFonts w:hint="default" w:ascii="Times New Roman" w:hAnsi="Times New Roman" w:eastAsia="宋体" w:cs="Times New Roman"/>
                <w:color w:val="auto"/>
                <w:highlight w:val="none"/>
                <w:lang w:val="en-US" w:eastAsia="zh-CN"/>
              </w:rPr>
              <w:t>t/a</w:t>
            </w:r>
            <w:r>
              <w:rPr>
                <w:rFonts w:hint="eastAsia" w:ascii="Times New Roman" w:hAnsi="Times New Roman" w:cs="Times New Roman"/>
                <w:color w:val="auto"/>
                <w:lang w:eastAsia="zh-CN"/>
              </w:rPr>
              <w:t>。</w:t>
            </w:r>
          </w:p>
          <w:p>
            <w:pPr>
              <w:adjustRightInd w:val="0"/>
              <w:snapToGrid w:val="0"/>
              <w:spacing w:line="360" w:lineRule="auto"/>
              <w:ind w:firstLine="480" w:firstLineChars="200"/>
              <w:rPr>
                <w:rFonts w:hint="eastAsia" w:ascii="Times New Roman" w:hAnsi="Times New Roman" w:eastAsia="宋体" w:cs="Times New Roman"/>
                <w:bCs/>
                <w:color w:val="FF0000"/>
                <w:szCs w:val="21"/>
                <w:lang w:val="en-US" w:eastAsia="zh-CN"/>
              </w:rPr>
            </w:pPr>
            <w:r>
              <w:rPr>
                <w:rFonts w:hint="eastAsia" w:ascii="Times New Roman" w:hAnsi="Times New Roman" w:eastAsia="宋体" w:cs="Times New Roman"/>
                <w:b w:val="0"/>
                <w:bCs/>
                <w:color w:val="FF0000"/>
                <w:szCs w:val="21"/>
                <w:highlight w:val="green"/>
                <w:lang w:val="en-US" w:eastAsia="zh-CN"/>
              </w:rPr>
              <w:t>注塑喷淋废水</w:t>
            </w:r>
            <w:r>
              <w:rPr>
                <w:rFonts w:hint="eastAsia" w:cs="Times New Roman"/>
                <w:b w:val="0"/>
                <w:bCs/>
                <w:color w:val="FF0000"/>
                <w:szCs w:val="21"/>
                <w:highlight w:val="green"/>
                <w:lang w:val="en-US" w:eastAsia="zh-CN"/>
              </w:rPr>
              <w:t>、</w:t>
            </w:r>
            <w:r>
              <w:rPr>
                <w:rFonts w:hint="eastAsia" w:ascii="Times New Roman" w:hAnsi="Times New Roman" w:eastAsia="宋体" w:cs="Times New Roman"/>
                <w:b w:val="0"/>
                <w:bCs/>
                <w:color w:val="FF0000"/>
                <w:szCs w:val="21"/>
                <w:lang w:val="en-US" w:eastAsia="zh-CN"/>
              </w:rPr>
              <w:t>水帘柜废水、</w:t>
            </w:r>
            <w:r>
              <w:rPr>
                <w:rFonts w:hint="eastAsia" w:cs="Times New Roman"/>
                <w:b w:val="0"/>
                <w:bCs/>
                <w:color w:val="4F0FBD"/>
                <w:szCs w:val="21"/>
                <w:lang w:val="en-US" w:eastAsia="zh-CN"/>
              </w:rPr>
              <w:t>喷漆及丝印</w:t>
            </w:r>
            <w:r>
              <w:rPr>
                <w:rFonts w:hint="eastAsia" w:ascii="Times New Roman" w:hAnsi="Times New Roman" w:eastAsia="宋体" w:cs="Times New Roman"/>
                <w:b w:val="0"/>
                <w:bCs/>
                <w:color w:val="FF0000"/>
                <w:szCs w:val="21"/>
                <w:lang w:val="en-US" w:eastAsia="zh-CN"/>
              </w:rPr>
              <w:t>喷淋塔废水、</w:t>
            </w:r>
            <w:r>
              <w:rPr>
                <w:rFonts w:hint="eastAsia" w:ascii="Times New Roman" w:hAnsi="Times New Roman" w:cs="Times New Roman"/>
                <w:b w:val="0"/>
                <w:bCs/>
                <w:color w:val="FF0000"/>
                <w:szCs w:val="21"/>
                <w:lang w:val="en-US" w:eastAsia="zh-CN"/>
              </w:rPr>
              <w:t>喷枪清洗</w:t>
            </w:r>
            <w:r>
              <w:rPr>
                <w:rFonts w:hint="eastAsia" w:ascii="Times New Roman" w:hAnsi="Times New Roman" w:eastAsia="宋体" w:cs="Times New Roman"/>
                <w:b w:val="0"/>
                <w:bCs/>
                <w:color w:val="FF0000"/>
                <w:szCs w:val="21"/>
                <w:lang w:val="en-US" w:eastAsia="zh-CN"/>
              </w:rPr>
              <w:t>废水</w:t>
            </w:r>
            <w:r>
              <w:rPr>
                <w:rFonts w:hint="eastAsia"/>
                <w:b w:val="0"/>
                <w:bCs/>
                <w:color w:val="FF0000"/>
                <w:sz w:val="24"/>
                <w:lang w:val="en-US" w:eastAsia="zh-CN"/>
              </w:rPr>
              <w:t>参</w:t>
            </w:r>
            <w:r>
              <w:rPr>
                <w:rFonts w:hint="eastAsia"/>
                <w:color w:val="FF0000"/>
                <w:sz w:val="24"/>
                <w:lang w:val="en-US" w:eastAsia="zh-CN"/>
              </w:rPr>
              <w:t>照</w:t>
            </w:r>
            <w:r>
              <w:rPr>
                <w:color w:val="FF0000"/>
                <w:sz w:val="24"/>
              </w:rPr>
              <w:t>《国家危险废物名录》</w:t>
            </w:r>
            <w:r>
              <w:rPr>
                <w:rFonts w:hint="eastAsia"/>
                <w:color w:val="FF0000"/>
                <w:sz w:val="24"/>
              </w:rPr>
              <w:t>（2021年版）</w:t>
            </w:r>
            <w:r>
              <w:rPr>
                <w:color w:val="FF0000"/>
                <w:sz w:val="24"/>
              </w:rPr>
              <w:t>中HW</w:t>
            </w:r>
            <w:r>
              <w:rPr>
                <w:rFonts w:hint="eastAsia"/>
                <w:color w:val="FF0000"/>
                <w:sz w:val="24"/>
                <w:lang w:val="en-US" w:eastAsia="zh-CN"/>
              </w:rPr>
              <w:t>0</w:t>
            </w:r>
            <w:r>
              <w:rPr>
                <w:color w:val="FF0000"/>
                <w:sz w:val="24"/>
              </w:rPr>
              <w:t>9</w:t>
            </w:r>
            <w:r>
              <w:rPr>
                <w:rFonts w:hint="eastAsia"/>
                <w:color w:val="FF0000"/>
                <w:sz w:val="24"/>
              </w:rPr>
              <w:t>油/水、烃/水混合物或乳化液</w:t>
            </w:r>
            <w:r>
              <w:rPr>
                <w:color w:val="FF0000"/>
                <w:sz w:val="24"/>
              </w:rPr>
              <w:t>（废物代码：900-0</w:t>
            </w:r>
            <w:r>
              <w:rPr>
                <w:rFonts w:hint="eastAsia"/>
                <w:color w:val="FF0000"/>
                <w:sz w:val="24"/>
                <w:lang w:val="en-US" w:eastAsia="zh-CN"/>
              </w:rPr>
              <w:t>07</w:t>
            </w:r>
            <w:r>
              <w:rPr>
                <w:color w:val="FF0000"/>
                <w:sz w:val="24"/>
              </w:rPr>
              <w:t>-</w:t>
            </w:r>
            <w:r>
              <w:rPr>
                <w:rFonts w:hint="eastAsia"/>
                <w:color w:val="FF0000"/>
                <w:sz w:val="24"/>
                <w:lang w:val="en-US" w:eastAsia="zh-CN"/>
              </w:rPr>
              <w:t>0</w:t>
            </w:r>
            <w:r>
              <w:rPr>
                <w:color w:val="FF0000"/>
                <w:sz w:val="24"/>
              </w:rPr>
              <w:t>9</w:t>
            </w:r>
            <w:r>
              <w:rPr>
                <w:rFonts w:hint="eastAsia"/>
                <w:color w:val="FF0000"/>
                <w:sz w:val="24"/>
                <w:lang w:eastAsia="zh-CN"/>
              </w:rPr>
              <w:t>—其他工艺过程中产生的油/水、烃/水混合物或乳化液</w:t>
            </w:r>
            <w:r>
              <w:rPr>
                <w:color w:val="FF0000"/>
                <w:sz w:val="24"/>
              </w:rPr>
              <w:t>）</w:t>
            </w:r>
            <w:r>
              <w:rPr>
                <w:rFonts w:hint="eastAsia"/>
                <w:color w:val="FF0000"/>
                <w:sz w:val="24"/>
                <w:lang w:val="en-US" w:eastAsia="zh-CN"/>
              </w:rPr>
              <w:t>管理</w:t>
            </w:r>
            <w:r>
              <w:rPr>
                <w:rFonts w:hint="eastAsia" w:ascii="Times New Roman" w:hAnsi="Times New Roman" w:eastAsia="宋体" w:cs="Times New Roman"/>
                <w:bCs/>
                <w:color w:val="FF0000"/>
                <w:szCs w:val="21"/>
                <w:highlight w:val="none"/>
                <w:lang w:val="en-US" w:eastAsia="zh-CN"/>
              </w:rPr>
              <w:t>，收集后交由有危险废物处理资质单位进行处置。</w:t>
            </w:r>
          </w:p>
          <w:p>
            <w:pPr>
              <w:adjustRightInd w:val="0"/>
              <w:snapToGrid w:val="0"/>
              <w:ind w:firstLine="482" w:firstLineChars="200"/>
              <w:rPr>
                <w:rFonts w:hint="default" w:ascii="宋体" w:hAnsi="宋体" w:cs="宋体"/>
                <w:b/>
                <w:bCs w:val="0"/>
                <w:color w:val="FF0000"/>
                <w:szCs w:val="21"/>
                <w:highlight w:val="green"/>
                <w:lang w:val="en-US" w:eastAsia="zh-CN"/>
              </w:rPr>
            </w:pPr>
            <w:r>
              <w:rPr>
                <w:rFonts w:hint="eastAsia" w:ascii="宋体" w:hAnsi="宋体" w:cs="宋体"/>
                <w:b/>
                <w:bCs w:val="0"/>
                <w:color w:val="FF0000"/>
                <w:szCs w:val="21"/>
                <w:highlight w:val="green"/>
                <w:lang w:val="en-US" w:eastAsia="zh-CN"/>
              </w:rPr>
              <w:t>⑬注塑喷淋废水</w:t>
            </w:r>
          </w:p>
          <w:p>
            <w:pPr>
              <w:adjustRightInd w:val="0"/>
              <w:snapToGrid w:val="0"/>
              <w:spacing w:line="360" w:lineRule="auto"/>
              <w:ind w:firstLine="480" w:firstLineChars="200"/>
              <w:rPr>
                <w:rFonts w:hint="eastAsia" w:ascii="Times New Roman" w:hAnsi="Times New Roman" w:eastAsia="宋体" w:cs="Times New Roman"/>
                <w:bCs/>
                <w:color w:val="FF0000"/>
                <w:szCs w:val="21"/>
                <w:highlight w:val="green"/>
                <w:lang w:val="en-US" w:eastAsia="zh-CN"/>
              </w:rPr>
            </w:pPr>
            <w:r>
              <w:rPr>
                <w:rFonts w:hint="default" w:ascii="Times New Roman" w:hAnsi="Times New Roman" w:eastAsia="宋体" w:cs="Times New Roman"/>
                <w:bCs/>
                <w:color w:val="FF0000"/>
                <w:szCs w:val="21"/>
                <w:highlight w:val="green"/>
                <w:lang w:val="en-US" w:eastAsia="zh-CN"/>
              </w:rPr>
              <w:t>根据工程分析</w:t>
            </w:r>
            <w:r>
              <w:rPr>
                <w:rFonts w:hint="default" w:ascii="Times New Roman" w:hAnsi="Times New Roman" w:eastAsia="宋体" w:cs="Times New Roman"/>
                <w:color w:val="FF0000"/>
                <w:highlight w:val="green"/>
              </w:rPr>
              <w:t>，项目注塑喷淋废水产生量为</w:t>
            </w:r>
            <w:r>
              <w:rPr>
                <w:rFonts w:hint="eastAsia" w:cs="Times New Roman"/>
                <w:color w:val="FF0000"/>
                <w:highlight w:val="green"/>
                <w:lang w:val="en-US" w:eastAsia="zh-CN"/>
              </w:rPr>
              <w:t>1.413</w:t>
            </w:r>
            <w:r>
              <w:rPr>
                <w:rFonts w:hint="default" w:ascii="Times New Roman" w:hAnsi="Times New Roman" w:eastAsia="宋体" w:cs="Times New Roman"/>
                <w:color w:val="FF0000"/>
                <w:highlight w:val="green"/>
              </w:rPr>
              <w:t>t/a。</w:t>
            </w:r>
          </w:p>
          <w:p>
            <w:pPr>
              <w:adjustRightInd w:val="0"/>
              <w:snapToGrid w:val="0"/>
              <w:ind w:firstLine="482" w:firstLineChars="200"/>
              <w:rPr>
                <w:rFonts w:ascii="宋体" w:hAnsi="宋体" w:cs="宋体"/>
                <w:b/>
                <w:bCs w:val="0"/>
                <w:color w:val="auto"/>
                <w:szCs w:val="21"/>
              </w:rPr>
            </w:pPr>
            <w:r>
              <w:rPr>
                <w:rFonts w:hint="eastAsia" w:ascii="宋体" w:hAnsi="宋体" w:cs="宋体"/>
                <w:b/>
                <w:bCs w:val="0"/>
                <w:color w:val="auto"/>
                <w:szCs w:val="21"/>
                <w:lang w:val="en-US" w:eastAsia="zh-CN"/>
              </w:rPr>
              <w:t>（3）</w:t>
            </w:r>
            <w:r>
              <w:rPr>
                <w:rFonts w:hint="eastAsia" w:ascii="宋体" w:hAnsi="宋体" w:cs="宋体"/>
                <w:b/>
                <w:bCs w:val="0"/>
                <w:color w:val="auto"/>
                <w:szCs w:val="21"/>
              </w:rPr>
              <w:t>生活垃圾</w:t>
            </w:r>
          </w:p>
          <w:p>
            <w:pPr>
              <w:adjustRightInd w:val="0"/>
              <w:snapToGrid w:val="0"/>
              <w:ind w:firstLine="480" w:firstLineChars="200"/>
              <w:rPr>
                <w:rFonts w:hint="eastAsia" w:ascii="宋体" w:hAnsi="宋体" w:eastAsia="宋体" w:cs="宋体"/>
                <w:b/>
                <w:color w:val="auto"/>
                <w:szCs w:val="21"/>
                <w:lang w:eastAsia="zh-CN"/>
              </w:rPr>
            </w:pPr>
            <w:r>
              <w:rPr>
                <w:rFonts w:hint="eastAsia"/>
                <w:bCs/>
                <w:color w:val="auto"/>
                <w:szCs w:val="21"/>
                <w:lang w:eastAsia="zh-CN"/>
              </w:rPr>
              <w:t>扩建项目</w:t>
            </w:r>
            <w:r>
              <w:rPr>
                <w:rFonts w:hint="eastAsia"/>
                <w:bCs/>
                <w:color w:val="auto"/>
                <w:szCs w:val="21"/>
              </w:rPr>
              <w:t>无新增员工，故无新增生活垃圾的产生和排放</w:t>
            </w:r>
            <w:r>
              <w:rPr>
                <w:rFonts w:hint="eastAsia" w:ascii="宋体" w:hAnsi="宋体" w:cs="宋体"/>
                <w:bCs/>
                <w:color w:val="auto"/>
                <w:szCs w:val="21"/>
                <w:lang w:eastAsia="zh-CN"/>
              </w:rPr>
              <w:t>。</w:t>
            </w:r>
          </w:p>
          <w:p>
            <w:pPr>
              <w:pStyle w:val="44"/>
              <w:numPr>
                <w:ilvl w:val="0"/>
                <w:numId w:val="9"/>
              </w:numPr>
              <w:tabs>
                <w:tab w:val="clear" w:pos="0"/>
              </w:tabs>
              <w:bidi w:val="0"/>
              <w:ind w:left="0" w:leftChars="0" w:firstLine="403" w:firstLineChars="0"/>
              <w:rPr>
                <w:rFonts w:hint="eastAsia"/>
                <w:color w:val="auto"/>
                <w:lang w:val="en-US" w:eastAsia="zh-CN"/>
              </w:rPr>
            </w:pPr>
            <w:r>
              <w:rPr>
                <w:rFonts w:hint="eastAsia"/>
                <w:color w:val="auto"/>
                <w:lang w:val="en-US" w:eastAsia="zh-CN"/>
              </w:rPr>
              <w:t>项目危险废物汇总一览表</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8"/>
              <w:gridCol w:w="817"/>
              <w:gridCol w:w="1196"/>
              <w:gridCol w:w="899"/>
              <w:gridCol w:w="1022"/>
              <w:gridCol w:w="706"/>
              <w:gridCol w:w="724"/>
              <w:gridCol w:w="817"/>
              <w:gridCol w:w="689"/>
              <w:gridCol w:w="698"/>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540"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名称</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类别</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危废代码</w:t>
                  </w:r>
                </w:p>
              </w:tc>
              <w:tc>
                <w:tcPr>
                  <w:tcW w:w="449"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rPr>
                    <w:t>产生量</w:t>
                  </w:r>
                  <w:r>
                    <w:rPr>
                      <w:rFonts w:hint="eastAsia" w:cs="Times New Roman"/>
                      <w:b/>
                      <w:color w:val="auto"/>
                      <w:sz w:val="21"/>
                      <w:szCs w:val="21"/>
                      <w:lang w:val="en-US" w:eastAsia="zh-CN"/>
                    </w:rPr>
                    <w:t>t/a</w:t>
                  </w:r>
                </w:p>
              </w:tc>
              <w:tc>
                <w:tcPr>
                  <w:tcW w:w="56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产生工序</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形态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有害</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成分</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产废</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周期</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危险</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特性</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kern w:val="24"/>
                      <w:sz w:val="21"/>
                      <w:szCs w:val="21"/>
                    </w:rPr>
                    <w:t>储存方式</w:t>
                  </w:r>
                </w:p>
              </w:tc>
              <w:tc>
                <w:tcPr>
                  <w:tcW w:w="389" w:type="pct"/>
                  <w:noWrap w:val="0"/>
                  <w:vAlign w:val="center"/>
                </w:tcPr>
                <w:p>
                  <w:pPr>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snapToGrid w:val="0"/>
                      <w:color w:val="auto"/>
                      <w:sz w:val="21"/>
                      <w:szCs w:val="21"/>
                      <w:lang w:val="en-US" w:eastAsia="zh-CN" w:bidi="ar-SA"/>
                    </w:rPr>
                  </w:pPr>
                  <w:r>
                    <w:rPr>
                      <w:rFonts w:hint="eastAsia" w:ascii="Times New Roman" w:hAnsi="Times New Roman" w:eastAsia="宋体" w:cs="Times New Roman"/>
                      <w:b w:val="0"/>
                      <w:bCs/>
                      <w:color w:val="auto"/>
                      <w:sz w:val="21"/>
                      <w:szCs w:val="21"/>
                      <w:lang w:val="en-US" w:eastAsia="zh-CN"/>
                    </w:rPr>
                    <w:t>废切削液及金属沉渣</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900-006-09</w:t>
                  </w:r>
                </w:p>
              </w:tc>
              <w:tc>
                <w:tcPr>
                  <w:tcW w:w="449"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snapToGrid w:val="0"/>
                      <w:color w:val="FF0000"/>
                      <w:sz w:val="21"/>
                      <w:szCs w:val="21"/>
                      <w:lang w:val="en-US" w:eastAsia="zh-CN" w:bidi="ar-SA"/>
                    </w:rPr>
                  </w:pPr>
                  <w:r>
                    <w:rPr>
                      <w:rFonts w:hint="eastAsia" w:cs="Times New Roman"/>
                      <w:snapToGrid w:val="0"/>
                      <w:color w:val="FF0000"/>
                      <w:sz w:val="21"/>
                      <w:szCs w:val="21"/>
                      <w:lang w:val="en-US" w:eastAsia="zh-CN" w:bidi="ar-SA"/>
                    </w:rPr>
                    <w:t>0.1</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FF0000"/>
                      <w:kern w:val="2"/>
                      <w:sz w:val="21"/>
                      <w:szCs w:val="21"/>
                      <w:lang w:val="en-US" w:eastAsia="zh-CN" w:bidi="ar-SA"/>
                    </w:rPr>
                  </w:pPr>
                  <w:r>
                    <w:rPr>
                      <w:rFonts w:hint="eastAsia" w:hAnsi="Times New Roman" w:cs="Times New Roman"/>
                      <w:b w:val="0"/>
                      <w:bCs/>
                      <w:color w:val="FF0000"/>
                      <w:sz w:val="21"/>
                      <w:szCs w:val="21"/>
                      <w:lang w:val="en-US" w:eastAsia="zh-CN"/>
                    </w:rPr>
                    <w:t>机加工</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矿物油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FF0000"/>
                      <w:kern w:val="0"/>
                      <w:sz w:val="21"/>
                      <w:szCs w:val="21"/>
                      <w:u w:val="none"/>
                      <w:lang w:val="en-US" w:eastAsia="zh-CN" w:bidi="ar"/>
                    </w:rPr>
                    <w:t>一年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桶装</w:t>
                  </w:r>
                </w:p>
              </w:tc>
              <w:tc>
                <w:tcPr>
                  <w:tcW w:w="389" w:type="pct"/>
                  <w:vMerge w:val="restart"/>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收集放置危废暂存间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废火花油及金属沉渣</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rPr>
                  </w:pPr>
                  <w:r>
                    <w:rPr>
                      <w:rFonts w:hint="default" w:ascii="Times New Roman" w:hAnsi="Times New Roman" w:eastAsia="宋体" w:cs="Times New Roman"/>
                      <w:i w:val="0"/>
                      <w:iCs w:val="0"/>
                      <w:color w:val="FF0000"/>
                      <w:kern w:val="0"/>
                      <w:sz w:val="21"/>
                      <w:szCs w:val="21"/>
                      <w:u w:val="none"/>
                      <w:lang w:val="en-US" w:eastAsia="zh-CN" w:bidi="ar"/>
                    </w:rPr>
                    <w:t>HW08</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900-249-08</w:t>
                  </w:r>
                </w:p>
              </w:tc>
              <w:tc>
                <w:tcPr>
                  <w:tcW w:w="449"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FF0000"/>
                      <w:sz w:val="21"/>
                      <w:szCs w:val="21"/>
                      <w:lang w:val="en-US" w:eastAsia="zh-CN"/>
                    </w:rPr>
                  </w:pPr>
                  <w:r>
                    <w:rPr>
                      <w:rFonts w:hint="eastAsia" w:cs="Times New Roman"/>
                      <w:color w:val="FF0000"/>
                      <w:sz w:val="21"/>
                      <w:szCs w:val="21"/>
                      <w:lang w:val="en-US" w:eastAsia="zh-CN"/>
                    </w:rPr>
                    <w:t>0.1</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eastAsia" w:ascii="Times New Roman" w:hAnsi="Times New Roman" w:eastAsia="宋体" w:cs="Times New Roman"/>
                      <w:b w:val="0"/>
                      <w:bCs/>
                      <w:color w:val="FF0000"/>
                      <w:sz w:val="21"/>
                      <w:szCs w:val="21"/>
                      <w:lang w:val="en-US" w:eastAsia="zh-CN"/>
                    </w:rPr>
                  </w:pPr>
                  <w:r>
                    <w:rPr>
                      <w:rFonts w:hint="eastAsia" w:hAnsi="Times New Roman" w:cs="Times New Roman"/>
                      <w:b w:val="0"/>
                      <w:bCs/>
                      <w:color w:val="FF0000"/>
                      <w:sz w:val="21"/>
                      <w:szCs w:val="21"/>
                      <w:lang w:val="en-US" w:eastAsia="zh-CN"/>
                    </w:rPr>
                    <w:t>机加工</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一年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T</w:t>
                  </w:r>
                  <w:r>
                    <w:rPr>
                      <w:rFonts w:hint="eastAsia" w:ascii="宋体" w:hAnsi="宋体" w:eastAsia="宋体" w:cs="宋体"/>
                      <w:i w:val="0"/>
                      <w:iCs w:val="0"/>
                      <w:color w:val="FF0000"/>
                      <w:kern w:val="0"/>
                      <w:sz w:val="21"/>
                      <w:szCs w:val="21"/>
                      <w:u w:val="none"/>
                      <w:lang w:val="en-US" w:eastAsia="zh-CN" w:bidi="ar"/>
                    </w:rPr>
                    <w:t>，</w:t>
                  </w:r>
                  <w:r>
                    <w:rPr>
                      <w:rFonts w:hint="default" w:ascii="Times New Roman" w:hAnsi="Times New Roman" w:eastAsia="宋体" w:cs="Times New Roman"/>
                      <w:i w:val="0"/>
                      <w:iCs w:val="0"/>
                      <w:color w:val="FF0000"/>
                      <w:kern w:val="0"/>
                      <w:sz w:val="21"/>
                      <w:szCs w:val="21"/>
                      <w:u w:val="none"/>
                      <w:lang w:val="en-US" w:eastAsia="zh-CN" w:bidi="ar"/>
                    </w:rPr>
                    <w:t>I</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cs="Times New Roman"/>
                      <w:b w:val="0"/>
                      <w:bCs/>
                      <w:color w:val="auto"/>
                      <w:sz w:val="21"/>
                      <w:szCs w:val="21"/>
                      <w:lang w:val="en-US" w:eastAsia="zh-CN"/>
                    </w:rPr>
                    <w:t>废活性炭</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900-039-49</w:t>
                  </w:r>
                </w:p>
              </w:tc>
              <w:tc>
                <w:tcPr>
                  <w:tcW w:w="449"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eastAsia="宋体" w:cs="Times New Roman"/>
                      <w:color w:val="auto"/>
                      <w:sz w:val="21"/>
                      <w:szCs w:val="21"/>
                      <w:lang w:val="en-US" w:eastAsia="zh-CN"/>
                    </w:rPr>
                  </w:pPr>
                  <w:r>
                    <w:rPr>
                      <w:rFonts w:hint="eastAsia"/>
                      <w:color w:val="FF0000"/>
                      <w:sz w:val="21"/>
                      <w:szCs w:val="21"/>
                      <w:lang w:val="en-US" w:eastAsia="zh-CN"/>
                    </w:rPr>
                    <w:t>11.2618</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废气处理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3</w:t>
                  </w:r>
                  <w:r>
                    <w:rPr>
                      <w:rFonts w:hint="eastAsia" w:ascii="宋体" w:hAnsi="宋体" w:eastAsia="宋体" w:cs="宋体"/>
                      <w:i w:val="0"/>
                      <w:iCs w:val="0"/>
                      <w:color w:val="FF0000"/>
                      <w:kern w:val="0"/>
                      <w:sz w:val="21"/>
                      <w:szCs w:val="21"/>
                      <w:u w:val="none"/>
                      <w:lang w:val="en-US" w:eastAsia="zh-CN" w:bidi="ar"/>
                    </w:rPr>
                    <w:t>个月</w:t>
                  </w:r>
                </w:p>
              </w:tc>
              <w:tc>
                <w:tcPr>
                  <w:tcW w:w="384"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b w:val="0"/>
                      <w:bCs/>
                      <w:color w:val="auto"/>
                      <w:sz w:val="21"/>
                      <w:szCs w:val="21"/>
                    </w:rPr>
                    <w:t>废润滑油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HW08</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900-217-08</w:t>
                  </w:r>
                </w:p>
              </w:tc>
              <w:tc>
                <w:tcPr>
                  <w:tcW w:w="449"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FF0000"/>
                      <w:sz w:val="21"/>
                      <w:szCs w:val="21"/>
                      <w:lang w:val="en-US" w:eastAsia="zh-CN"/>
                    </w:rPr>
                  </w:pPr>
                  <w:r>
                    <w:rPr>
                      <w:rFonts w:hint="eastAsia" w:cs="Times New Roman"/>
                      <w:color w:val="FF0000"/>
                      <w:sz w:val="21"/>
                      <w:szCs w:val="21"/>
                      <w:lang w:val="en-US" w:eastAsia="zh-CN"/>
                    </w:rPr>
                    <w:t>0.2</w:t>
                  </w:r>
                </w:p>
              </w:tc>
              <w:tc>
                <w:tcPr>
                  <w:tcW w:w="564" w:type="pct"/>
                  <w:vMerge w:val="restar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设备维护</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三个月</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T</w:t>
                  </w:r>
                  <w:r>
                    <w:rPr>
                      <w:rFonts w:hint="eastAsia" w:ascii="宋体" w:hAnsi="宋体" w:eastAsia="宋体" w:cs="宋体"/>
                      <w:i w:val="0"/>
                      <w:iCs w:val="0"/>
                      <w:color w:val="FF0000"/>
                      <w:kern w:val="0"/>
                      <w:sz w:val="21"/>
                      <w:szCs w:val="21"/>
                      <w:u w:val="none"/>
                      <w:lang w:val="en-US" w:eastAsia="zh-CN" w:bidi="ar"/>
                    </w:rPr>
                    <w:t>，</w:t>
                  </w:r>
                  <w:r>
                    <w:rPr>
                      <w:rFonts w:hint="default" w:ascii="Times New Roman" w:hAnsi="Times New Roman" w:eastAsia="宋体" w:cs="Times New Roman"/>
                      <w:i w:val="0"/>
                      <w:iCs w:val="0"/>
                      <w:color w:val="FF0000"/>
                      <w:kern w:val="0"/>
                      <w:sz w:val="21"/>
                      <w:szCs w:val="21"/>
                      <w:u w:val="none"/>
                      <w:lang w:val="en-US" w:eastAsia="zh-CN" w:bidi="ar"/>
                    </w:rPr>
                    <w:t>I</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b w:val="0"/>
                      <w:bCs/>
                      <w:color w:val="auto"/>
                      <w:sz w:val="21"/>
                      <w:szCs w:val="21"/>
                    </w:rPr>
                    <w:t>含油废抹布及手套</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449"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FF0000"/>
                      <w:sz w:val="21"/>
                      <w:szCs w:val="21"/>
                      <w:lang w:val="en-US" w:eastAsia="zh-CN"/>
                    </w:rPr>
                  </w:pPr>
                  <w:r>
                    <w:rPr>
                      <w:rFonts w:hint="eastAsia" w:cs="Times New Roman"/>
                      <w:color w:val="FF0000"/>
                      <w:sz w:val="21"/>
                      <w:szCs w:val="21"/>
                      <w:lang w:val="en-US" w:eastAsia="zh-CN"/>
                    </w:rPr>
                    <w:t>0.2</w:t>
                  </w:r>
                </w:p>
              </w:tc>
              <w:tc>
                <w:tcPr>
                  <w:tcW w:w="564" w:type="pct"/>
                  <w:vMerge w:val="continue"/>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rPr>
                  </w:pP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三个月</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T/In</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袋装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废油桶</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449" w:type="pct"/>
                  <w:noWrap w:val="0"/>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0.523</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FF0000"/>
                      <w:sz w:val="21"/>
                      <w:szCs w:val="21"/>
                      <w:lang w:val="en-US" w:eastAsia="zh-CN"/>
                    </w:rPr>
                    <w:t>机加工</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一年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T/In</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宋体" w:hAnsi="宋体" w:eastAsia="宋体" w:cs="宋体"/>
                      <w:b w:val="0"/>
                      <w:bCs/>
                      <w:color w:val="auto"/>
                      <w:sz w:val="21"/>
                      <w:szCs w:val="21"/>
                      <w:highlight w:val="none"/>
                      <w:lang w:val="en-US" w:eastAsia="zh-CN"/>
                    </w:rPr>
                    <w:t>废漆桶</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449" w:type="pct"/>
                  <w:noWrap w:val="0"/>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0.096</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水性漆</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每个月</w:t>
                  </w:r>
                </w:p>
              </w:tc>
              <w:tc>
                <w:tcPr>
                  <w:tcW w:w="384"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T/In</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废油墨罐</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HW12</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900-253-12</w:t>
                  </w:r>
                </w:p>
              </w:tc>
              <w:tc>
                <w:tcPr>
                  <w:tcW w:w="44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0.001</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丝印</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油墨</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每个月</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w:t>
                  </w:r>
                  <w:r>
                    <w:rPr>
                      <w:rFonts w:hint="eastAsia" w:ascii="宋体" w:hAnsi="宋体" w:eastAsia="宋体" w:cs="宋体"/>
                      <w:i w:val="0"/>
                      <w:iCs w:val="0"/>
                      <w:color w:val="FF0000"/>
                      <w:kern w:val="0"/>
                      <w:sz w:val="21"/>
                      <w:szCs w:val="21"/>
                      <w:u w:val="none"/>
                      <w:lang w:val="en-US" w:eastAsia="zh-CN" w:bidi="ar"/>
                    </w:rPr>
                    <w:t>，</w:t>
                  </w:r>
                  <w:r>
                    <w:rPr>
                      <w:rFonts w:hint="default" w:ascii="Times New Roman" w:hAnsi="Times New Roman" w:eastAsia="宋体" w:cs="Times New Roman"/>
                      <w:i w:val="0"/>
                      <w:iCs w:val="0"/>
                      <w:color w:val="FF0000"/>
                      <w:kern w:val="0"/>
                      <w:sz w:val="21"/>
                      <w:szCs w:val="21"/>
                      <w:u w:val="none"/>
                      <w:lang w:val="en-US" w:eastAsia="zh-CN" w:bidi="ar"/>
                    </w:rPr>
                    <w:t>I</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highlight w:val="none"/>
                      <w:lang w:val="en-US" w:eastAsia="zh-CN"/>
                    </w:rPr>
                    <w:t>漆渣</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4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0.1014</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半年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水帘柜废水</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49" w:type="pct"/>
                  <w:noWrap w:val="0"/>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3.036</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半年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color w:val="auto"/>
                      <w:sz w:val="21"/>
                      <w:szCs w:val="21"/>
                    </w:rPr>
                  </w:pPr>
                  <w:r>
                    <w:rPr>
                      <w:rFonts w:hint="eastAsia" w:cs="Times New Roman"/>
                      <w:b w:val="0"/>
                      <w:bCs/>
                      <w:color w:val="4F0FBD"/>
                      <w:sz w:val="21"/>
                      <w:szCs w:val="21"/>
                      <w:lang w:val="en-US" w:eastAsia="zh-CN"/>
                    </w:rPr>
                    <w:t>喷漆及丝印</w:t>
                  </w:r>
                  <w:r>
                    <w:rPr>
                      <w:rFonts w:hint="eastAsia" w:ascii="Times New Roman" w:hAnsi="Times New Roman" w:eastAsia="宋体" w:cs="Times New Roman"/>
                      <w:b w:val="0"/>
                      <w:bCs/>
                      <w:color w:val="auto"/>
                      <w:sz w:val="21"/>
                      <w:szCs w:val="21"/>
                      <w:lang w:val="en-US" w:eastAsia="zh-CN"/>
                    </w:rPr>
                    <w:t>喷淋塔废水</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49" w:type="pct"/>
                  <w:noWrap w:val="0"/>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lang w:val="en-US" w:eastAsia="zh-CN"/>
                    </w:rPr>
                  </w:pPr>
                  <w:r>
                    <w:rPr>
                      <w:rFonts w:hint="eastAsia" w:cs="Times New Roman"/>
                      <w:i w:val="0"/>
                      <w:iCs w:val="0"/>
                      <w:color w:val="4F0FBD"/>
                      <w:kern w:val="0"/>
                      <w:sz w:val="21"/>
                      <w:szCs w:val="21"/>
                      <w:u w:val="none"/>
                      <w:lang w:val="en-US" w:eastAsia="zh-CN" w:bidi="ar"/>
                    </w:rPr>
                    <w:t>1.413</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废气处理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半年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Times New Roman" w:hAnsi="Times New Roman" w:cs="Times New Roman"/>
                      <w:b w:val="0"/>
                      <w:bCs/>
                      <w:color w:val="auto"/>
                      <w:sz w:val="21"/>
                      <w:szCs w:val="21"/>
                      <w:lang w:val="en-US" w:eastAsia="zh-CN"/>
                    </w:rPr>
                    <w:t>喷枪清洗</w:t>
                  </w:r>
                  <w:r>
                    <w:rPr>
                      <w:rFonts w:hint="eastAsia" w:ascii="Times New Roman" w:hAnsi="Times New Roman" w:eastAsia="宋体" w:cs="Times New Roman"/>
                      <w:b w:val="0"/>
                      <w:bCs/>
                      <w:color w:val="auto"/>
                      <w:sz w:val="21"/>
                      <w:szCs w:val="21"/>
                      <w:lang w:val="en-US" w:eastAsia="zh-CN"/>
                    </w:rPr>
                    <w:t>废水</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49" w:type="pct"/>
                  <w:noWrap w:val="0"/>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5.625</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lang w:val="en-US"/>
                    </w:rPr>
                  </w:pPr>
                  <w:r>
                    <w:rPr>
                      <w:rFonts w:hint="eastAsia" w:cs="Times New Roman"/>
                      <w:color w:val="auto"/>
                      <w:sz w:val="21"/>
                      <w:szCs w:val="21"/>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每天</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9"/>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b w:val="0"/>
                      <w:bCs/>
                      <w:color w:val="FF0000"/>
                      <w:sz w:val="21"/>
                      <w:szCs w:val="21"/>
                      <w:highlight w:val="green"/>
                      <w:lang w:val="en-US" w:eastAsia="zh-CN"/>
                    </w:rPr>
                  </w:pPr>
                  <w:r>
                    <w:rPr>
                      <w:rFonts w:hint="eastAsia" w:ascii="Times New Roman" w:hAnsi="Times New Roman" w:cs="Times New Roman"/>
                      <w:b w:val="0"/>
                      <w:bCs/>
                      <w:color w:val="FF0000"/>
                      <w:sz w:val="21"/>
                      <w:szCs w:val="21"/>
                      <w:highlight w:val="green"/>
                      <w:lang w:val="en-US" w:eastAsia="zh-CN"/>
                    </w:rPr>
                    <w:t>注塑喷淋废水</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green"/>
                      <w:lang w:val="en-US" w:eastAsia="zh-CN" w:bidi="ar-SA"/>
                    </w:rPr>
                  </w:pPr>
                  <w:r>
                    <w:rPr>
                      <w:rFonts w:hint="default" w:ascii="Times New Roman" w:hAnsi="Times New Roman" w:eastAsia="宋体" w:cs="Times New Roman"/>
                      <w:i w:val="0"/>
                      <w:iCs w:val="0"/>
                      <w:color w:val="FF0000"/>
                      <w:kern w:val="0"/>
                      <w:sz w:val="21"/>
                      <w:szCs w:val="21"/>
                      <w:highlight w:val="green"/>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snapToGrid w:val="0"/>
                      <w:color w:val="FF0000"/>
                      <w:kern w:val="2"/>
                      <w:sz w:val="21"/>
                      <w:szCs w:val="21"/>
                      <w:highlight w:val="green"/>
                      <w:lang w:val="en-US" w:eastAsia="zh-CN" w:bidi="ar-SA"/>
                    </w:rPr>
                  </w:pPr>
                  <w:r>
                    <w:rPr>
                      <w:rFonts w:hint="default" w:ascii="Times New Roman" w:hAnsi="Times New Roman" w:eastAsia="宋体" w:cs="Times New Roman"/>
                      <w:i w:val="0"/>
                      <w:iCs w:val="0"/>
                      <w:color w:val="FF0000"/>
                      <w:kern w:val="0"/>
                      <w:sz w:val="21"/>
                      <w:szCs w:val="21"/>
                      <w:highlight w:val="green"/>
                      <w:u w:val="none"/>
                      <w:lang w:val="en-US" w:eastAsia="zh-CN" w:bidi="ar"/>
                    </w:rPr>
                    <w:t>900-007-09</w:t>
                  </w:r>
                </w:p>
              </w:tc>
              <w:tc>
                <w:tcPr>
                  <w:tcW w:w="44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green"/>
                      <w:lang w:val="en-US" w:eastAsia="zh-CN" w:bidi="ar-SA"/>
                    </w:rPr>
                  </w:pPr>
                  <w:r>
                    <w:rPr>
                      <w:rFonts w:hint="eastAsia" w:cs="Times New Roman"/>
                      <w:i w:val="0"/>
                      <w:iCs w:val="0"/>
                      <w:color w:val="FF0000"/>
                      <w:kern w:val="0"/>
                      <w:sz w:val="21"/>
                      <w:szCs w:val="21"/>
                      <w:highlight w:val="green"/>
                      <w:u w:val="none"/>
                      <w:lang w:val="en-US" w:eastAsia="zh-CN" w:bidi="ar"/>
                    </w:rPr>
                    <w:t>1.413</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0" w:leftChars="0" w:firstLine="0" w:firstLineChars="0"/>
                    <w:jc w:val="center"/>
                    <w:textAlignment w:val="baseline"/>
                    <w:rPr>
                      <w:rFonts w:hint="default" w:ascii="Times New Roman" w:hAnsi="Times New Roman" w:eastAsia="宋体" w:cs="Times New Roman"/>
                      <w:b w:val="0"/>
                      <w:bCs/>
                      <w:color w:val="FF0000"/>
                      <w:kern w:val="11"/>
                      <w:sz w:val="21"/>
                      <w:szCs w:val="21"/>
                      <w:highlight w:val="green"/>
                      <w:lang w:val="en-US" w:eastAsia="zh-CN" w:bidi="ar-SA"/>
                    </w:rPr>
                  </w:pPr>
                  <w:r>
                    <w:rPr>
                      <w:rFonts w:hint="eastAsia" w:hAnsi="Times New Roman" w:cs="Times New Roman"/>
                      <w:b w:val="0"/>
                      <w:bCs/>
                      <w:color w:val="FF0000"/>
                      <w:sz w:val="21"/>
                      <w:szCs w:val="21"/>
                      <w:highlight w:val="green"/>
                      <w:lang w:val="en-US" w:eastAsia="zh-CN"/>
                    </w:rPr>
                    <w:t>废气处理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FF0000"/>
                      <w:kern w:val="2"/>
                      <w:sz w:val="21"/>
                      <w:szCs w:val="21"/>
                      <w:highlight w:val="green"/>
                      <w:lang w:val="en-US" w:eastAsia="zh-CN" w:bidi="ar-SA"/>
                    </w:rPr>
                  </w:pPr>
                  <w:r>
                    <w:rPr>
                      <w:rFonts w:hint="eastAsia" w:cs="Times New Roman"/>
                      <w:color w:val="FF0000"/>
                      <w:kern w:val="2"/>
                      <w:sz w:val="21"/>
                      <w:szCs w:val="21"/>
                      <w:highlight w:val="green"/>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FF0000"/>
                      <w:kern w:val="2"/>
                      <w:sz w:val="21"/>
                      <w:szCs w:val="21"/>
                      <w:highlight w:val="green"/>
                      <w:lang w:val="en-US" w:eastAsia="zh-CN" w:bidi="ar-SA"/>
                    </w:rPr>
                  </w:pPr>
                  <w:r>
                    <w:rPr>
                      <w:rFonts w:hint="eastAsia" w:cs="Times New Roman"/>
                      <w:color w:val="FF0000"/>
                      <w:sz w:val="21"/>
                      <w:szCs w:val="21"/>
                      <w:highlight w:val="green"/>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kern w:val="2"/>
                      <w:sz w:val="21"/>
                      <w:szCs w:val="21"/>
                      <w:highlight w:val="green"/>
                      <w:lang w:val="en-US" w:eastAsia="zh-CN" w:bidi="ar-SA"/>
                    </w:rPr>
                  </w:pPr>
                  <w:r>
                    <w:rPr>
                      <w:rFonts w:hint="eastAsia" w:ascii="宋体" w:hAnsi="宋体" w:eastAsia="宋体" w:cs="宋体"/>
                      <w:i w:val="0"/>
                      <w:iCs w:val="0"/>
                      <w:color w:val="FF0000"/>
                      <w:kern w:val="0"/>
                      <w:sz w:val="21"/>
                      <w:szCs w:val="21"/>
                      <w:highlight w:val="green"/>
                      <w:u w:val="none"/>
                      <w:lang w:val="en-US" w:eastAsia="zh-CN" w:bidi="ar"/>
                    </w:rPr>
                    <w:t>半年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green"/>
                      <w:lang w:val="en-US" w:eastAsia="zh-CN" w:bidi="ar-SA"/>
                    </w:rPr>
                  </w:pPr>
                  <w:r>
                    <w:rPr>
                      <w:rFonts w:hint="default" w:ascii="Times New Roman" w:hAnsi="Times New Roman" w:eastAsia="宋体" w:cs="Times New Roman"/>
                      <w:i w:val="0"/>
                      <w:iCs w:val="0"/>
                      <w:color w:val="FF0000"/>
                      <w:kern w:val="0"/>
                      <w:sz w:val="21"/>
                      <w:szCs w:val="21"/>
                      <w:highlight w:val="green"/>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FF0000"/>
                      <w:kern w:val="24"/>
                      <w:sz w:val="21"/>
                      <w:szCs w:val="21"/>
                      <w:highlight w:val="green"/>
                      <w:lang w:val="en-US" w:eastAsia="zh-CN" w:bidi="ar-SA"/>
                    </w:rPr>
                  </w:pPr>
                  <w:r>
                    <w:rPr>
                      <w:rFonts w:hint="eastAsia" w:cs="Times New Roman"/>
                      <w:color w:val="FF0000"/>
                      <w:kern w:val="2"/>
                      <w:sz w:val="21"/>
                      <w:szCs w:val="21"/>
                      <w:highlight w:val="green"/>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bl>
          <w:p>
            <w:pPr>
              <w:adjustRightInd w:val="0"/>
              <w:snapToGrid w:val="0"/>
              <w:ind w:firstLine="482" w:firstLineChars="200"/>
              <w:rPr>
                <w:rFonts w:ascii="宋体" w:hAnsi="宋体" w:cs="宋体"/>
                <w:b/>
                <w:color w:val="auto"/>
                <w:szCs w:val="21"/>
              </w:rPr>
            </w:pPr>
            <w:r>
              <w:rPr>
                <w:b/>
                <w:color w:val="auto"/>
                <w:szCs w:val="21"/>
              </w:rPr>
              <w:t>（2）</w:t>
            </w:r>
            <w:r>
              <w:rPr>
                <w:rFonts w:hint="eastAsia" w:ascii="宋体" w:hAnsi="宋体" w:cs="宋体"/>
                <w:b/>
                <w:color w:val="auto"/>
                <w:szCs w:val="21"/>
              </w:rPr>
              <w:t>处置去向及环境管理要求</w:t>
            </w:r>
          </w:p>
          <w:p>
            <w:pPr>
              <w:adjustRightInd w:val="0"/>
              <w:snapToGrid w:val="0"/>
              <w:ind w:firstLine="480" w:firstLineChars="200"/>
              <w:rPr>
                <w:bCs/>
                <w:color w:val="auto"/>
                <w:szCs w:val="21"/>
              </w:rPr>
            </w:pPr>
            <w:r>
              <w:rPr>
                <w:bCs/>
                <w:color w:val="auto"/>
                <w:szCs w:val="21"/>
              </w:rPr>
              <w:t>①一般固体废物</w:t>
            </w:r>
          </w:p>
          <w:p>
            <w:pPr>
              <w:adjustRightInd w:val="0"/>
              <w:snapToGrid w:val="0"/>
              <w:ind w:firstLine="480" w:firstLineChars="200"/>
              <w:rPr>
                <w:bCs/>
                <w:color w:val="auto"/>
                <w:szCs w:val="21"/>
              </w:rPr>
            </w:pPr>
            <w:r>
              <w:rPr>
                <w:bCs/>
                <w:color w:val="auto"/>
                <w:szCs w:val="21"/>
              </w:rPr>
              <w:t>对于一般工业废物，根据《一般工业固体废物贮存和填埋污染控制标准》(GB 18599-2020)及相关国家及地方法律法规，提出如下环保措施：</w:t>
            </w:r>
          </w:p>
          <w:p>
            <w:pPr>
              <w:adjustRightInd w:val="0"/>
              <w:snapToGrid w:val="0"/>
              <w:ind w:firstLine="480" w:firstLineChars="200"/>
              <w:rPr>
                <w:bCs/>
                <w:color w:val="auto"/>
                <w:szCs w:val="21"/>
              </w:rPr>
            </w:pPr>
            <w:r>
              <w:rPr>
                <w:bCs/>
                <w:color w:val="auto"/>
                <w:szCs w:val="21"/>
              </w:rPr>
              <w:t>1）为防止雨水径流进入贮存场内，避免渗滤液量增加和滑坡，贮存场周边应设置导流渠。</w:t>
            </w:r>
          </w:p>
          <w:p>
            <w:pPr>
              <w:adjustRightInd w:val="0"/>
              <w:snapToGrid w:val="0"/>
              <w:ind w:firstLine="480" w:firstLineChars="200"/>
              <w:rPr>
                <w:bCs/>
                <w:color w:val="auto"/>
                <w:szCs w:val="21"/>
              </w:rPr>
            </w:pPr>
            <w:r>
              <w:rPr>
                <w:bCs/>
                <w:color w:val="auto"/>
                <w:szCs w:val="21"/>
              </w:rPr>
              <w:t>2）为加强监督管理，贮存场应按GB15562.2设置环境保护图形标志。</w:t>
            </w:r>
          </w:p>
          <w:p>
            <w:pPr>
              <w:adjustRightInd w:val="0"/>
              <w:snapToGrid w:val="0"/>
              <w:ind w:firstLine="480" w:firstLineChars="200"/>
              <w:rPr>
                <w:bCs/>
                <w:color w:val="auto"/>
                <w:szCs w:val="21"/>
              </w:rPr>
            </w:pPr>
            <w:r>
              <w:rPr>
                <w:bCs/>
                <w:color w:val="auto"/>
                <w:szCs w:val="21"/>
              </w:rPr>
              <w:t>3）贮存场使用单位，应建立检查维护制度。定期检查维护堤、坝、挡土墙、导流渠等设施，发现有损坏可能或异常，应及时采取必要措施，以保障正常运行。</w:t>
            </w:r>
          </w:p>
          <w:p>
            <w:pPr>
              <w:adjustRightInd w:val="0"/>
              <w:snapToGrid w:val="0"/>
              <w:ind w:firstLine="480" w:firstLineChars="200"/>
              <w:rPr>
                <w:bCs/>
                <w:color w:val="auto"/>
                <w:szCs w:val="21"/>
              </w:rPr>
            </w:pPr>
            <w:r>
              <w:rPr>
                <w:bCs/>
                <w:color w:val="auto"/>
                <w:szCs w:val="21"/>
              </w:rPr>
              <w:t>4）贮存场的使用单位，应建立档案制度。应将入场的一般工业固体废物的种类和数量以及下列资料。详细记录在案，长期保存，供随时查阅</w:t>
            </w:r>
            <w:r>
              <w:rPr>
                <w:rFonts w:hint="eastAsia"/>
                <w:bCs/>
                <w:color w:val="auto"/>
                <w:szCs w:val="21"/>
              </w:rPr>
              <w:t>。</w:t>
            </w:r>
          </w:p>
          <w:p>
            <w:pPr>
              <w:adjustRightInd w:val="0"/>
              <w:snapToGrid w:val="0"/>
              <w:ind w:firstLine="480" w:firstLineChars="200"/>
              <w:rPr>
                <w:bCs/>
                <w:color w:val="auto"/>
                <w:szCs w:val="21"/>
              </w:rPr>
            </w:pPr>
            <w:r>
              <w:rPr>
                <w:bCs/>
                <w:color w:val="auto"/>
                <w:szCs w:val="21"/>
              </w:rPr>
              <w:t>②危险废物</w:t>
            </w:r>
          </w:p>
          <w:p>
            <w:pPr>
              <w:adjustRightInd w:val="0"/>
              <w:snapToGrid w:val="0"/>
              <w:ind w:firstLine="480" w:firstLineChars="200"/>
              <w:rPr>
                <w:color w:val="auto"/>
              </w:rPr>
            </w:pPr>
            <w:r>
              <w:rPr>
                <w:bCs/>
                <w:color w:val="auto"/>
                <w:szCs w:val="21"/>
              </w:rPr>
              <w:t>为保证固体废物暂存场内暂存的危险废物不对环境产生污染，依据</w:t>
            </w:r>
            <w:r>
              <w:rPr>
                <w:bCs/>
                <w:color w:val="BF9000" w:themeColor="accent4" w:themeShade="BF"/>
                <w:szCs w:val="21"/>
              </w:rPr>
              <w:t>《危险废物贮存污染控制标准》（GB18597-20</w:t>
            </w:r>
            <w:r>
              <w:rPr>
                <w:rFonts w:hint="eastAsia"/>
                <w:bCs/>
                <w:color w:val="BF9000" w:themeColor="accent4" w:themeShade="BF"/>
                <w:szCs w:val="21"/>
                <w:lang w:val="en-US" w:eastAsia="zh-CN"/>
              </w:rPr>
              <w:t>23</w:t>
            </w:r>
            <w:r>
              <w:rPr>
                <w:rFonts w:hint="eastAsia"/>
                <w:bCs/>
                <w:color w:val="BF9000" w:themeColor="accent4" w:themeShade="BF"/>
                <w:szCs w:val="21"/>
                <w:lang w:eastAsia="zh-CN"/>
              </w:rPr>
              <w:t>）</w:t>
            </w:r>
            <w:r>
              <w:rPr>
                <w:bCs/>
                <w:color w:val="auto"/>
                <w:szCs w:val="21"/>
              </w:rPr>
              <w:t>、《危险废物收集、贮运、运输技术规范》（HJ2025-2012）及相关国家及地方法律法规，项目危险废物的暂存场所设置情况如下表：</w:t>
            </w:r>
          </w:p>
          <w:p>
            <w:pPr>
              <w:pStyle w:val="44"/>
              <w:numPr>
                <w:ilvl w:val="0"/>
                <w:numId w:val="9"/>
              </w:numPr>
              <w:tabs>
                <w:tab w:val="clear" w:pos="0"/>
              </w:tabs>
              <w:bidi w:val="0"/>
              <w:ind w:left="0" w:leftChars="0" w:firstLine="403" w:firstLineChars="0"/>
              <w:rPr>
                <w:color w:val="auto"/>
                <w:highlight w:val="none"/>
              </w:rPr>
            </w:pPr>
            <w:r>
              <w:rPr>
                <w:rFonts w:hint="eastAsia"/>
                <w:color w:val="auto"/>
                <w:highlight w:val="none"/>
              </w:rPr>
              <w:t xml:space="preserve">项目危险废物贮存场所（设施）基本情况表 </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
              <w:gridCol w:w="1107"/>
              <w:gridCol w:w="1362"/>
              <w:gridCol w:w="983"/>
              <w:gridCol w:w="983"/>
              <w:gridCol w:w="1135"/>
              <w:gridCol w:w="728"/>
              <w:gridCol w:w="728"/>
              <w:gridCol w:w="1026"/>
              <w:gridCol w:w="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9"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序号</w:t>
                  </w:r>
                </w:p>
              </w:tc>
              <w:tc>
                <w:tcPr>
                  <w:tcW w:w="379"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贮存场所</w:t>
                  </w:r>
                </w:p>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名称</w:t>
                  </w:r>
                </w:p>
              </w:tc>
              <w:tc>
                <w:tcPr>
                  <w:tcW w:w="811"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危险废物名称</w:t>
                  </w:r>
                </w:p>
              </w:tc>
              <w:tc>
                <w:tcPr>
                  <w:tcW w:w="531"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危险废物类别</w:t>
                  </w:r>
                </w:p>
              </w:tc>
              <w:tc>
                <w:tcPr>
                  <w:tcW w:w="919"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危险废物代码</w:t>
                  </w:r>
                </w:p>
              </w:tc>
              <w:tc>
                <w:tcPr>
                  <w:tcW w:w="465"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位置</w:t>
                  </w:r>
                </w:p>
              </w:tc>
              <w:tc>
                <w:tcPr>
                  <w:tcW w:w="432"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占地面积</w:t>
                  </w:r>
                </w:p>
              </w:tc>
              <w:tc>
                <w:tcPr>
                  <w:tcW w:w="4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贮存方式</w:t>
                  </w:r>
                </w:p>
              </w:tc>
              <w:tc>
                <w:tcPr>
                  <w:tcW w:w="430"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b/>
                      <w:color w:val="auto"/>
                      <w:sz w:val="21"/>
                      <w:szCs w:val="21"/>
                      <w:lang w:eastAsia="zh-CN"/>
                    </w:rPr>
                  </w:pPr>
                  <w:r>
                    <w:rPr>
                      <w:rFonts w:ascii="Times New Roman" w:hAnsi="Times New Roman" w:cs="Times New Roman"/>
                      <w:b/>
                      <w:color w:val="auto"/>
                      <w:sz w:val="21"/>
                      <w:szCs w:val="21"/>
                    </w:rPr>
                    <w:t>贮存能力</w:t>
                  </w:r>
                  <w:r>
                    <w:rPr>
                      <w:rFonts w:hint="eastAsia" w:ascii="Times New Roman" w:hAnsi="Times New Roman" w:cs="Times New Roman"/>
                      <w:b/>
                      <w:color w:val="auto"/>
                      <w:sz w:val="21"/>
                      <w:szCs w:val="21"/>
                      <w:lang w:eastAsia="zh-CN"/>
                    </w:rPr>
                    <w:t>（</w:t>
                  </w:r>
                  <w:r>
                    <w:rPr>
                      <w:rFonts w:hint="eastAsia" w:ascii="Times New Roman" w:hAnsi="Times New Roman" w:cs="Times New Roman"/>
                      <w:b/>
                      <w:color w:val="auto"/>
                      <w:sz w:val="21"/>
                      <w:szCs w:val="21"/>
                      <w:lang w:val="en-US" w:eastAsia="zh-CN"/>
                    </w:rPr>
                    <w:t>t</w:t>
                  </w:r>
                  <w:r>
                    <w:rPr>
                      <w:rFonts w:hint="eastAsia" w:ascii="Times New Roman" w:hAnsi="Times New Roman" w:cs="Times New Roman"/>
                      <w:b/>
                      <w:color w:val="auto"/>
                      <w:sz w:val="21"/>
                      <w:szCs w:val="21"/>
                      <w:lang w:eastAsia="zh-CN"/>
                    </w:rPr>
                    <w:t>）</w:t>
                  </w:r>
                </w:p>
              </w:tc>
              <w:tc>
                <w:tcPr>
                  <w:tcW w:w="351"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1</w:t>
                  </w:r>
                </w:p>
              </w:tc>
              <w:tc>
                <w:tcPr>
                  <w:tcW w:w="379" w:type="pct"/>
                  <w:vMerge w:val="restar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color w:val="auto"/>
                      <w:sz w:val="21"/>
                      <w:szCs w:val="21"/>
                      <w:lang w:val="en-US" w:eastAsia="zh-CN"/>
                    </w:rPr>
                  </w:pPr>
                  <w:r>
                    <w:rPr>
                      <w:rFonts w:ascii="Times New Roman" w:hAnsi="Times New Roman" w:cs="Times New Roman"/>
                      <w:color w:val="auto"/>
                      <w:sz w:val="21"/>
                      <w:szCs w:val="21"/>
                    </w:rPr>
                    <w:t>危险废物</w:t>
                  </w:r>
                  <w:r>
                    <w:rPr>
                      <w:rFonts w:hint="eastAsia" w:ascii="Times New Roman" w:hAnsi="Times New Roman" w:cs="Times New Roman"/>
                      <w:color w:val="auto"/>
                      <w:sz w:val="21"/>
                      <w:szCs w:val="21"/>
                      <w:lang w:val="en-US" w:eastAsia="zh-CN"/>
                    </w:rPr>
                    <w:t>暂存间</w:t>
                  </w: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spacing w:line="240" w:lineRule="auto"/>
                    <w:jc w:val="center"/>
                    <w:textAlignment w:val="baseline"/>
                    <w:rPr>
                      <w:rFonts w:hint="default" w:ascii="Times New Roman" w:hAnsi="Times New Roman" w:eastAsia="宋体" w:cs="Times New Roman"/>
                      <w:b w:val="0"/>
                      <w:bCs/>
                      <w:snapToGrid w:val="0"/>
                      <w:color w:val="auto"/>
                      <w:sz w:val="21"/>
                      <w:szCs w:val="21"/>
                      <w:lang w:val="en-US" w:eastAsia="zh-CN" w:bidi="ar-SA"/>
                    </w:rPr>
                  </w:pPr>
                  <w:r>
                    <w:rPr>
                      <w:rFonts w:hint="eastAsia" w:ascii="Times New Roman" w:hAnsi="Times New Roman" w:eastAsia="宋体" w:cs="Times New Roman"/>
                      <w:b w:val="0"/>
                      <w:bCs/>
                      <w:color w:val="auto"/>
                      <w:sz w:val="21"/>
                      <w:szCs w:val="21"/>
                      <w:lang w:val="en-US" w:eastAsia="zh-CN"/>
                    </w:rPr>
                    <w:t>废切削液及金属沉渣</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color w:val="FF0000"/>
                      <w:kern w:val="0"/>
                      <w:sz w:val="21"/>
                      <w:szCs w:val="21"/>
                    </w:rPr>
                  </w:pPr>
                  <w:r>
                    <w:rPr>
                      <w:rFonts w:hint="default" w:ascii="Times New Roman" w:hAnsi="Times New Roman" w:eastAsia="宋体" w:cs="Times New Roman"/>
                      <w:i w:val="0"/>
                      <w:iCs w:val="0"/>
                      <w:color w:val="FF0000"/>
                      <w:kern w:val="0"/>
                      <w:sz w:val="21"/>
                      <w:szCs w:val="21"/>
                      <w:u w:val="none"/>
                      <w:lang w:val="en-US" w:eastAsia="zh-CN" w:bidi="ar"/>
                    </w:rPr>
                    <w:t>900-006-09</w:t>
                  </w:r>
                </w:p>
              </w:tc>
              <w:tc>
                <w:tcPr>
                  <w:tcW w:w="465" w:type="pct"/>
                  <w:vMerge w:val="restar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olor w:val="auto"/>
                      <w:sz w:val="21"/>
                      <w:szCs w:val="21"/>
                      <w:lang w:val="en-US" w:eastAsia="zh-CN"/>
                    </w:rPr>
                  </w:pPr>
                  <w:r>
                    <w:rPr>
                      <w:rFonts w:hint="eastAsia"/>
                      <w:color w:val="FF0000"/>
                      <w:sz w:val="21"/>
                      <w:szCs w:val="21"/>
                      <w:lang w:val="en-US" w:eastAsia="zh-CN"/>
                    </w:rPr>
                    <w:t>位于生产车间1F</w:t>
                  </w:r>
                </w:p>
              </w:tc>
              <w:tc>
                <w:tcPr>
                  <w:tcW w:w="432" w:type="pct"/>
                  <w:vMerge w:val="restar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highlight w:val="none"/>
                    </w:rPr>
                    <w:t>约</w:t>
                  </w:r>
                  <w:r>
                    <w:rPr>
                      <w:rFonts w:hint="eastAsia" w:ascii="Times New Roman" w:hAnsi="Times New Roman" w:cs="Times New Roman"/>
                      <w:color w:val="FF0000"/>
                      <w:sz w:val="21"/>
                      <w:szCs w:val="21"/>
                      <w:highlight w:val="none"/>
                      <w:lang w:val="en-US" w:eastAsia="zh-CN"/>
                    </w:rPr>
                    <w:t>10m</w:t>
                  </w:r>
                  <w:r>
                    <w:rPr>
                      <w:rFonts w:ascii="Times New Roman" w:hAnsi="Times New Roman" w:cs="Times New Roman"/>
                      <w:color w:val="FF0000"/>
                      <w:sz w:val="21"/>
                      <w:szCs w:val="21"/>
                      <w:highlight w:val="none"/>
                      <w:vertAlign w:val="superscript"/>
                    </w:rPr>
                    <w:t>2</w:t>
                  </w: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kern w:val="2"/>
                      <w:sz w:val="21"/>
                      <w:szCs w:val="21"/>
                      <w:lang w:val="en-US" w:eastAsia="zh-CN" w:bidi="ar-SA"/>
                    </w:rPr>
                    <w:t>桶装</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0.1</w:t>
                  </w:r>
                </w:p>
              </w:tc>
              <w:tc>
                <w:tcPr>
                  <w:tcW w:w="351" w:type="pct"/>
                  <w:tcBorders>
                    <w:tl2br w:val="nil"/>
                    <w:tr2bl w:val="nil"/>
                  </w:tcBorders>
                  <w:noWrap/>
                  <w:vAlign w:val="center"/>
                </w:tcPr>
                <w:p>
                  <w:pPr>
                    <w:pStyle w:val="7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2</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spacing w:line="240" w:lineRule="auto"/>
                    <w:jc w:val="center"/>
                    <w:textAlignment w:val="baseline"/>
                    <w:rPr>
                      <w:rFonts w:hint="default" w:ascii="Times New Roman" w:hAnsi="Times New Roman" w:eastAsia="宋体" w:cs="Times New Roman"/>
                      <w:b w:val="0"/>
                      <w:bCs/>
                      <w:snapToGrid w:val="0"/>
                      <w:color w:val="auto"/>
                      <w:sz w:val="21"/>
                      <w:szCs w:val="21"/>
                      <w:lang w:val="en-US" w:eastAsia="zh-CN" w:bidi="ar-SA"/>
                    </w:rPr>
                  </w:pPr>
                  <w:r>
                    <w:rPr>
                      <w:rFonts w:hint="eastAsia" w:ascii="Times New Roman" w:hAnsi="Times New Roman" w:eastAsia="宋体" w:cs="Times New Roman"/>
                      <w:b w:val="0"/>
                      <w:bCs/>
                      <w:color w:val="auto"/>
                      <w:sz w:val="21"/>
                      <w:szCs w:val="21"/>
                      <w:lang w:val="en-US" w:eastAsia="zh-CN"/>
                    </w:rPr>
                    <w:t>废火花油及金属沉渣</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HW08</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900-249-08</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Times New Roman" w:hAnsi="Times New Roman" w:cs="Times New Roman"/>
                      <w:color w:val="auto"/>
                      <w:sz w:val="21"/>
                      <w:szCs w:val="21"/>
                    </w:rPr>
                  </w:pPr>
                  <w:r>
                    <w:rPr>
                      <w:rFonts w:hint="eastAsia" w:cs="Times New Roman"/>
                      <w:color w:val="auto"/>
                      <w:kern w:val="2"/>
                      <w:sz w:val="21"/>
                      <w:szCs w:val="21"/>
                      <w:lang w:val="en-US" w:eastAsia="zh-CN" w:bidi="ar-SA"/>
                    </w:rPr>
                    <w:t>桶装</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FF0000"/>
                      <w:sz w:val="21"/>
                      <w:szCs w:val="21"/>
                      <w:lang w:val="en-US"/>
                    </w:rPr>
                  </w:pPr>
                  <w:r>
                    <w:rPr>
                      <w:rFonts w:hint="default" w:ascii="Times New Roman" w:hAnsi="Times New Roman" w:eastAsia="宋体" w:cs="Times New Roman"/>
                      <w:i w:val="0"/>
                      <w:iCs w:val="0"/>
                      <w:color w:val="FF0000"/>
                      <w:kern w:val="0"/>
                      <w:sz w:val="21"/>
                      <w:szCs w:val="21"/>
                      <w:u w:val="none"/>
                      <w:lang w:val="en-US" w:eastAsia="zh-CN" w:bidi="ar"/>
                    </w:rPr>
                    <w:t>0.1</w:t>
                  </w:r>
                </w:p>
              </w:tc>
              <w:tc>
                <w:tcPr>
                  <w:tcW w:w="351" w:type="pct"/>
                  <w:tcBorders>
                    <w:tl2br w:val="nil"/>
                    <w:tr2bl w:val="nil"/>
                  </w:tcBorders>
                  <w:noWrap/>
                  <w:vAlign w:val="center"/>
                </w:tcPr>
                <w:p>
                  <w:pPr>
                    <w:pStyle w:val="7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3</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spacing w:line="240" w:lineRule="auto"/>
                    <w:jc w:val="center"/>
                    <w:textAlignment w:val="baseline"/>
                    <w:rPr>
                      <w:rFonts w:hint="default" w:ascii="Times New Roman" w:hAnsi="Times New Roman" w:eastAsia="宋体" w:cs="Times New Roman"/>
                      <w:b w:val="0"/>
                      <w:bCs/>
                      <w:color w:val="auto"/>
                      <w:sz w:val="21"/>
                      <w:szCs w:val="21"/>
                      <w:lang w:val="en-US" w:eastAsia="zh-CN" w:bidi="ar-SA"/>
                    </w:rPr>
                  </w:pPr>
                  <w:r>
                    <w:rPr>
                      <w:rFonts w:hint="eastAsia" w:cs="Times New Roman"/>
                      <w:b w:val="0"/>
                      <w:bCs/>
                      <w:color w:val="auto"/>
                      <w:sz w:val="21"/>
                      <w:szCs w:val="21"/>
                      <w:lang w:val="en-US" w:eastAsia="zh-CN"/>
                    </w:rPr>
                    <w:t>废活性炭</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900-039-49</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auto"/>
                      <w:kern w:val="2"/>
                      <w:sz w:val="21"/>
                      <w:szCs w:val="21"/>
                      <w:lang w:val="en-US" w:eastAsia="zh-CN" w:bidi="ar-SA"/>
                    </w:rPr>
                    <w:t>桶装</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FF0000"/>
                      <w:sz w:val="21"/>
                      <w:szCs w:val="21"/>
                      <w:lang w:val="en-US" w:eastAsia="zh-CN"/>
                    </w:rPr>
                  </w:pPr>
                  <w:r>
                    <w:rPr>
                      <w:rFonts w:hint="eastAsia" w:ascii="宋体" w:hAnsi="宋体" w:eastAsia="宋体" w:cs="宋体"/>
                      <w:i w:val="0"/>
                      <w:iCs w:val="0"/>
                      <w:color w:val="FF0000"/>
                      <w:kern w:val="0"/>
                      <w:sz w:val="21"/>
                      <w:szCs w:val="21"/>
                      <w:u w:val="none"/>
                      <w:lang w:val="en-US" w:eastAsia="zh-CN" w:bidi="ar"/>
                    </w:rPr>
                    <w:t>3</w:t>
                  </w:r>
                </w:p>
              </w:tc>
              <w:tc>
                <w:tcPr>
                  <w:tcW w:w="351" w:type="pct"/>
                  <w:tcBorders>
                    <w:tl2br w:val="nil"/>
                    <w:tr2bl w:val="nil"/>
                  </w:tcBorders>
                  <w:noWrap/>
                  <w:vAlign w:val="center"/>
                </w:tcPr>
                <w:p>
                  <w:pPr>
                    <w:pStyle w:val="7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spacing w:line="240" w:lineRule="auto"/>
                    <w:jc w:val="center"/>
                    <w:textAlignment w:val="baseline"/>
                    <w:rPr>
                      <w:rFonts w:hint="eastAsia" w:ascii="Times New Roman" w:hAnsi="Times New Roman" w:eastAsia="宋体" w:cs="Times New Roman"/>
                      <w:b w:val="0"/>
                      <w:bCs/>
                      <w:color w:val="auto"/>
                      <w:sz w:val="21"/>
                      <w:szCs w:val="21"/>
                      <w:lang w:val="en-US" w:eastAsia="zh-CN" w:bidi="ar-SA"/>
                    </w:rPr>
                  </w:pPr>
                  <w:r>
                    <w:rPr>
                      <w:b w:val="0"/>
                      <w:bCs/>
                      <w:color w:val="auto"/>
                      <w:sz w:val="21"/>
                      <w:szCs w:val="21"/>
                    </w:rPr>
                    <w:t>废润滑油</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HW08</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900-217-08</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cs="Times New Roman"/>
                      <w:color w:val="auto"/>
                      <w:sz w:val="21"/>
                      <w:szCs w:val="21"/>
                      <w:lang w:val="en-US" w:eastAsia="zh-CN"/>
                    </w:rPr>
                  </w:pPr>
                  <w:r>
                    <w:rPr>
                      <w:rFonts w:hint="eastAsia" w:cs="Times New Roman"/>
                      <w:color w:val="auto"/>
                      <w:kern w:val="2"/>
                      <w:sz w:val="21"/>
                      <w:szCs w:val="21"/>
                      <w:lang w:val="en-US" w:eastAsia="zh-CN" w:bidi="ar-SA"/>
                    </w:rPr>
                    <w:t>桶装</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cs="Times New Roman"/>
                      <w:b w:val="0"/>
                      <w:bCs/>
                      <w:color w:val="FF0000"/>
                      <w:sz w:val="21"/>
                      <w:szCs w:val="21"/>
                      <w:vertAlign w:val="baseli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0.2</w:t>
                  </w:r>
                </w:p>
              </w:tc>
              <w:tc>
                <w:tcPr>
                  <w:tcW w:w="351" w:type="pct"/>
                  <w:tcBorders>
                    <w:tl2br w:val="nil"/>
                    <w:tr2bl w:val="nil"/>
                  </w:tcBorders>
                  <w:noWrap/>
                  <w:vAlign w:val="center"/>
                </w:tcPr>
                <w:p>
                  <w:pPr>
                    <w:pStyle w:val="74"/>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spacing w:line="240" w:lineRule="auto"/>
                    <w:jc w:val="center"/>
                    <w:textAlignment w:val="baseline"/>
                    <w:rPr>
                      <w:rFonts w:hint="eastAsia" w:ascii="Times New Roman" w:hAnsi="Times New Roman" w:eastAsia="宋体" w:cs="Times New Roman"/>
                      <w:b w:val="0"/>
                      <w:bCs/>
                      <w:color w:val="auto"/>
                      <w:sz w:val="21"/>
                      <w:szCs w:val="21"/>
                      <w:lang w:val="en-US" w:eastAsia="zh-CN" w:bidi="ar-SA"/>
                    </w:rPr>
                  </w:pPr>
                  <w:r>
                    <w:rPr>
                      <w:b w:val="0"/>
                      <w:bCs/>
                      <w:color w:val="auto"/>
                      <w:sz w:val="21"/>
                      <w:szCs w:val="21"/>
                    </w:rPr>
                    <w:t>含油废抹布及手套</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cs="Times New Roman"/>
                      <w:color w:val="auto"/>
                      <w:sz w:val="21"/>
                      <w:szCs w:val="21"/>
                      <w:lang w:val="en-US" w:eastAsia="zh-CN"/>
                    </w:rPr>
                  </w:pPr>
                  <w:r>
                    <w:rPr>
                      <w:rFonts w:hint="eastAsia" w:cs="Times New Roman"/>
                      <w:color w:val="auto"/>
                      <w:kern w:val="24"/>
                      <w:sz w:val="21"/>
                      <w:szCs w:val="21"/>
                      <w:lang w:val="en-US" w:eastAsia="zh-CN"/>
                    </w:rPr>
                    <w:t>袋装</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b w:val="0"/>
                      <w:bCs/>
                      <w:color w:val="FF0000"/>
                      <w:sz w:val="21"/>
                      <w:szCs w:val="21"/>
                      <w:vertAlign w:val="baseli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0.2</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spacing w:line="240" w:lineRule="auto"/>
                    <w:jc w:val="center"/>
                    <w:textAlignment w:val="baseline"/>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 w:val="21"/>
                      <w:szCs w:val="21"/>
                      <w:lang w:val="en-US" w:eastAsia="zh-CN"/>
                    </w:rPr>
                    <w:t>废油桶</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cs="Times New Roman"/>
                      <w:color w:val="auto"/>
                      <w:sz w:val="21"/>
                      <w:szCs w:val="21"/>
                      <w:lang w:val="en-US" w:eastAsia="zh-CN"/>
                    </w:rPr>
                  </w:pPr>
                  <w:r>
                    <w:rPr>
                      <w:rFonts w:hint="eastAsia" w:cs="Times New Roman"/>
                      <w:color w:val="auto"/>
                      <w:kern w:val="24"/>
                      <w:sz w:val="21"/>
                      <w:szCs w:val="21"/>
                      <w:lang w:val="en-US" w:eastAsia="zh-CN"/>
                    </w:rPr>
                    <w:t>/</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b w:val="0"/>
                      <w:bCs/>
                      <w:color w:val="FF0000"/>
                      <w:sz w:val="21"/>
                      <w:szCs w:val="21"/>
                      <w:vertAlign w:val="baseli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w:t>
                  </w:r>
                  <w:r>
                    <w:rPr>
                      <w:rFonts w:hint="eastAsia" w:ascii="Times New Roman" w:hAnsi="Times New Roman" w:eastAsia="宋体" w:cs="Times New Roman"/>
                      <w:i w:val="0"/>
                      <w:iCs w:val="0"/>
                      <w:color w:val="FF0000"/>
                      <w:kern w:val="0"/>
                      <w:sz w:val="21"/>
                      <w:szCs w:val="21"/>
                      <w:u w:val="none"/>
                      <w:lang w:val="en-US" w:eastAsia="zh-CN" w:bidi="ar"/>
                    </w:rPr>
                    <w:t>3</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7</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spacing w:line="240" w:lineRule="auto"/>
                    <w:jc w:val="center"/>
                    <w:textAlignment w:val="baseline"/>
                    <w:rPr>
                      <w:rFonts w:hint="eastAsia" w:ascii="Times New Roman" w:hAnsi="Times New Roman" w:eastAsia="宋体" w:cs="Times New Roman"/>
                      <w:b w:val="0"/>
                      <w:bCs/>
                      <w:color w:val="auto"/>
                      <w:sz w:val="21"/>
                      <w:szCs w:val="21"/>
                      <w:lang w:val="en-US" w:eastAsia="zh-CN" w:bidi="ar-SA"/>
                    </w:rPr>
                  </w:pPr>
                  <w:r>
                    <w:rPr>
                      <w:rFonts w:hint="eastAsia" w:ascii="宋体" w:hAnsi="宋体" w:eastAsia="宋体" w:cs="宋体"/>
                      <w:b w:val="0"/>
                      <w:bCs/>
                      <w:color w:val="auto"/>
                      <w:sz w:val="21"/>
                      <w:szCs w:val="21"/>
                      <w:highlight w:val="none"/>
                      <w:lang w:val="en-US" w:eastAsia="zh-CN"/>
                    </w:rPr>
                    <w:t>废漆桶</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cs="Times New Roman"/>
                      <w:color w:val="auto"/>
                      <w:sz w:val="21"/>
                      <w:szCs w:val="21"/>
                      <w:lang w:val="en-US" w:eastAsia="zh-CN"/>
                    </w:rPr>
                  </w:pPr>
                  <w:r>
                    <w:rPr>
                      <w:rFonts w:hint="eastAsia" w:cs="Times New Roman"/>
                      <w:color w:val="auto"/>
                      <w:kern w:val="24"/>
                      <w:sz w:val="21"/>
                      <w:szCs w:val="21"/>
                      <w:lang w:val="en-US" w:eastAsia="zh-CN"/>
                    </w:rPr>
                    <w:t>/</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cs="Times New Roman"/>
                      <w:b w:val="0"/>
                      <w:bCs/>
                      <w:color w:val="FF0000"/>
                      <w:sz w:val="21"/>
                      <w:szCs w:val="21"/>
                      <w:vertAlign w:val="baseline"/>
                      <w:lang w:val="en-US" w:eastAsia="zh-CN"/>
                    </w:rPr>
                  </w:pPr>
                  <w:r>
                    <w:rPr>
                      <w:rFonts w:hint="eastAsia" w:ascii="Times New Roman" w:hAnsi="Times New Roman" w:eastAsia="宋体" w:cs="Times New Roman"/>
                      <w:i w:val="0"/>
                      <w:iCs w:val="0"/>
                      <w:color w:val="FF0000"/>
                      <w:kern w:val="0"/>
                      <w:sz w:val="21"/>
                      <w:szCs w:val="21"/>
                      <w:u w:val="none"/>
                      <w:lang w:val="en-US" w:eastAsia="zh-CN" w:bidi="ar"/>
                    </w:rPr>
                    <w:t>0.1</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8</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宋体" w:hAnsi="宋体" w:eastAsia="宋体" w:cs="宋体"/>
                      <w:b w:val="0"/>
                      <w:bCs/>
                      <w:color w:val="auto"/>
                      <w:sz w:val="21"/>
                      <w:szCs w:val="21"/>
                      <w:highlight w:val="none"/>
                      <w:lang w:val="en-US" w:eastAsia="zh-CN"/>
                    </w:rPr>
                    <w:t>废油墨罐</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HW12</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900-253-12</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cs="Times New Roman"/>
                      <w:b w:val="0"/>
                      <w:bCs/>
                      <w:color w:val="FF0000"/>
                      <w:sz w:val="21"/>
                      <w:szCs w:val="21"/>
                      <w:vertAlign w:val="baseline"/>
                      <w:lang w:val="en-US" w:eastAsia="zh-CN"/>
                    </w:rPr>
                  </w:pPr>
                  <w:r>
                    <w:rPr>
                      <w:rFonts w:hint="eastAsia" w:ascii="Times New Roman" w:hAnsi="Times New Roman" w:eastAsia="宋体" w:cs="Times New Roman"/>
                      <w:i w:val="0"/>
                      <w:iCs w:val="0"/>
                      <w:color w:val="FF0000"/>
                      <w:kern w:val="0"/>
                      <w:sz w:val="21"/>
                      <w:szCs w:val="21"/>
                      <w:u w:val="none"/>
                      <w:lang w:val="en-US" w:eastAsia="zh-CN" w:bidi="ar"/>
                    </w:rPr>
                    <w:t>0.01</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9</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spacing w:line="240" w:lineRule="auto"/>
                    <w:jc w:val="center"/>
                    <w:textAlignment w:val="baseline"/>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highlight w:val="none"/>
                      <w:lang w:val="en-US" w:eastAsia="zh-CN"/>
                    </w:rPr>
                    <w:t>漆渣</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eastAsia="宋体" w:cs="Times New Roman"/>
                      <w:color w:val="FF0000"/>
                      <w:sz w:val="21"/>
                      <w:szCs w:val="21"/>
                      <w:lang w:val="en-US" w:eastAsia="zh-CN"/>
                    </w:rPr>
                  </w:pPr>
                  <w:r>
                    <w:rPr>
                      <w:rFonts w:hint="eastAsia" w:ascii="宋体" w:hAnsi="宋体" w:eastAsia="宋体" w:cs="宋体"/>
                      <w:i w:val="0"/>
                      <w:iCs w:val="0"/>
                      <w:color w:val="FF0000"/>
                      <w:kern w:val="0"/>
                      <w:sz w:val="21"/>
                      <w:szCs w:val="21"/>
                      <w:u w:val="none"/>
                      <w:lang w:val="en-US" w:eastAsia="zh-CN" w:bidi="ar"/>
                    </w:rPr>
                    <w:t>0.12</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水帘柜废水</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cs="Times New Roman"/>
                      <w:color w:val="FF0000"/>
                      <w:sz w:val="21"/>
                      <w:szCs w:val="21"/>
                      <w:lang w:val="en-US" w:eastAsia="zh-CN"/>
                    </w:rPr>
                  </w:pPr>
                  <w:r>
                    <w:rPr>
                      <w:rFonts w:hint="eastAsia" w:ascii="Times New Roman" w:hAnsi="Times New Roman" w:eastAsia="宋体" w:cs="Times New Roman"/>
                      <w:i w:val="0"/>
                      <w:iCs w:val="0"/>
                      <w:color w:val="FF0000"/>
                      <w:kern w:val="0"/>
                      <w:sz w:val="21"/>
                      <w:szCs w:val="21"/>
                      <w:u w:val="none"/>
                      <w:lang w:val="en-US" w:eastAsia="zh-CN" w:bidi="ar"/>
                    </w:rPr>
                    <w:t>1.5</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11</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喷淋塔废水</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cs="Times New Roman"/>
                      <w:color w:val="FF0000"/>
                      <w:sz w:val="21"/>
                      <w:szCs w:val="21"/>
                      <w:lang w:val="en-US" w:eastAsia="zh-CN"/>
                    </w:rPr>
                  </w:pPr>
                  <w:r>
                    <w:rPr>
                      <w:rFonts w:hint="eastAsia" w:ascii="Times New Roman" w:hAnsi="Times New Roman" w:eastAsia="宋体" w:cs="Times New Roman"/>
                      <w:i w:val="0"/>
                      <w:iCs w:val="0"/>
                      <w:color w:val="FF0000"/>
                      <w:kern w:val="0"/>
                      <w:sz w:val="21"/>
                      <w:szCs w:val="21"/>
                      <w:u w:val="none"/>
                      <w:lang w:val="en-US" w:eastAsia="zh-CN" w:bidi="ar"/>
                    </w:rPr>
                    <w:t>1.5</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cs="Times New Roman"/>
                      <w:b w:val="0"/>
                      <w:bCs/>
                      <w:color w:val="auto"/>
                      <w:sz w:val="21"/>
                      <w:szCs w:val="21"/>
                      <w:lang w:val="en-US" w:eastAsia="zh-CN"/>
                    </w:rPr>
                  </w:pPr>
                  <w:r>
                    <w:rPr>
                      <w:rFonts w:hint="eastAsia" w:ascii="Times New Roman" w:hAnsi="Times New Roman" w:cs="Times New Roman"/>
                      <w:b w:val="0"/>
                      <w:bCs/>
                      <w:color w:val="auto"/>
                      <w:sz w:val="21"/>
                      <w:szCs w:val="21"/>
                      <w:lang w:val="en-US" w:eastAsia="zh-CN"/>
                    </w:rPr>
                    <w:t>喷枪清洗</w:t>
                  </w:r>
                  <w:r>
                    <w:rPr>
                      <w:rFonts w:hint="eastAsia" w:ascii="Times New Roman" w:hAnsi="Times New Roman" w:eastAsia="宋体" w:cs="Times New Roman"/>
                      <w:b w:val="0"/>
                      <w:bCs/>
                      <w:color w:val="auto"/>
                      <w:sz w:val="21"/>
                      <w:szCs w:val="21"/>
                      <w:lang w:val="en-US" w:eastAsia="zh-CN"/>
                    </w:rPr>
                    <w:t>废水</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cs="Times New Roman"/>
                      <w:color w:val="FF0000"/>
                      <w:sz w:val="21"/>
                      <w:szCs w:val="21"/>
                      <w:lang w:val="en-US" w:eastAsia="zh-CN"/>
                    </w:rPr>
                  </w:pPr>
                  <w:r>
                    <w:rPr>
                      <w:rFonts w:hint="eastAsia" w:ascii="Times New Roman" w:hAnsi="Times New Roman" w:eastAsia="宋体" w:cs="Times New Roman"/>
                      <w:i w:val="0"/>
                      <w:iCs w:val="0"/>
                      <w:color w:val="FF0000"/>
                      <w:kern w:val="0"/>
                      <w:sz w:val="21"/>
                      <w:szCs w:val="21"/>
                      <w:u w:val="none"/>
                      <w:lang w:val="en-US" w:eastAsia="zh-CN" w:bidi="ar"/>
                    </w:rPr>
                    <w:t>3</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38" w:type="pct"/>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13</w:t>
                  </w:r>
                </w:p>
              </w:tc>
              <w:tc>
                <w:tcPr>
                  <w:tcW w:w="379"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811" w:type="pct"/>
                  <w:tcBorders>
                    <w:tl2br w:val="nil"/>
                    <w:tr2bl w:val="nil"/>
                  </w:tcBorders>
                  <w:noWrap/>
                  <w:vAlign w:val="center"/>
                </w:tcPr>
                <w:p>
                  <w:pPr>
                    <w:pStyle w:val="59"/>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b w:val="0"/>
                      <w:bCs/>
                      <w:color w:val="auto"/>
                      <w:sz w:val="21"/>
                      <w:szCs w:val="21"/>
                      <w:lang w:val="en-US" w:eastAsia="zh-CN"/>
                    </w:rPr>
                  </w:pPr>
                  <w:r>
                    <w:rPr>
                      <w:rFonts w:hint="eastAsia" w:ascii="Times New Roman" w:hAnsi="Times New Roman" w:cs="Times New Roman"/>
                      <w:b w:val="0"/>
                      <w:bCs/>
                      <w:color w:val="FF0000"/>
                      <w:sz w:val="21"/>
                      <w:szCs w:val="21"/>
                      <w:highlight w:val="green"/>
                      <w:lang w:val="en-US" w:eastAsia="zh-CN"/>
                    </w:rPr>
                    <w:t>注塑喷淋废水</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green"/>
                      <w:lang w:val="en-US" w:eastAsia="zh-CN" w:bidi="ar-SA"/>
                    </w:rPr>
                  </w:pPr>
                  <w:r>
                    <w:rPr>
                      <w:rFonts w:hint="default" w:ascii="Times New Roman" w:hAnsi="Times New Roman" w:eastAsia="宋体" w:cs="Times New Roman"/>
                      <w:i w:val="0"/>
                      <w:iCs w:val="0"/>
                      <w:color w:val="FF0000"/>
                      <w:kern w:val="0"/>
                      <w:sz w:val="21"/>
                      <w:szCs w:val="21"/>
                      <w:highlight w:val="green"/>
                      <w:u w:val="none"/>
                      <w:lang w:val="en-US" w:eastAsia="zh-CN" w:bidi="ar"/>
                    </w:rPr>
                    <w:t>HW09</w:t>
                  </w:r>
                </w:p>
              </w:tc>
              <w:tc>
                <w:tcPr>
                  <w:tcW w:w="919"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snapToGrid w:val="0"/>
                      <w:color w:val="FF0000"/>
                      <w:kern w:val="2"/>
                      <w:sz w:val="21"/>
                      <w:szCs w:val="21"/>
                      <w:highlight w:val="green"/>
                      <w:lang w:val="en-US" w:eastAsia="zh-CN" w:bidi="ar-SA"/>
                    </w:rPr>
                  </w:pPr>
                  <w:r>
                    <w:rPr>
                      <w:rFonts w:hint="default" w:ascii="Times New Roman" w:hAnsi="Times New Roman" w:eastAsia="宋体" w:cs="Times New Roman"/>
                      <w:i w:val="0"/>
                      <w:iCs w:val="0"/>
                      <w:color w:val="FF0000"/>
                      <w:kern w:val="0"/>
                      <w:sz w:val="21"/>
                      <w:szCs w:val="21"/>
                      <w:highlight w:val="green"/>
                      <w:u w:val="none"/>
                      <w:lang w:val="en-US" w:eastAsia="zh-CN" w:bidi="ar"/>
                    </w:rPr>
                    <w:t>900-007-09</w:t>
                  </w:r>
                </w:p>
              </w:tc>
              <w:tc>
                <w:tcPr>
                  <w:tcW w:w="465"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2" w:type="pct"/>
                  <w:vMerge w:val="continue"/>
                  <w:tcBorders>
                    <w:tl2br w:val="nil"/>
                    <w:tr2bl w:val="nil"/>
                  </w:tcBorders>
                  <w:noWrap/>
                  <w:vAlign w:val="center"/>
                </w:tcPr>
                <w:p>
                  <w:pPr>
                    <w:pStyle w:val="74"/>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438"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cs="Times New Roman"/>
                      <w:color w:val="FF0000"/>
                      <w:kern w:val="2"/>
                      <w:sz w:val="21"/>
                      <w:szCs w:val="21"/>
                      <w:highlight w:val="green"/>
                      <w:lang w:val="en-US" w:eastAsia="zh-CN" w:bidi="ar-SA"/>
                    </w:rPr>
                  </w:pPr>
                  <w:r>
                    <w:rPr>
                      <w:rFonts w:hint="eastAsia" w:cs="Times New Roman"/>
                      <w:color w:val="FF0000"/>
                      <w:kern w:val="2"/>
                      <w:sz w:val="21"/>
                      <w:szCs w:val="21"/>
                      <w:highlight w:val="green"/>
                      <w:lang w:val="en-US" w:eastAsia="zh-CN" w:bidi="ar-SA"/>
                    </w:rPr>
                    <w:t>桶装</w:t>
                  </w:r>
                </w:p>
              </w:tc>
              <w:tc>
                <w:tcPr>
                  <w:tcW w:w="430"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i w:val="0"/>
                      <w:iCs w:val="0"/>
                      <w:color w:val="FF0000"/>
                      <w:kern w:val="0"/>
                      <w:sz w:val="21"/>
                      <w:szCs w:val="21"/>
                      <w:highlight w:val="green"/>
                      <w:u w:val="none"/>
                      <w:lang w:val="en-US" w:eastAsia="zh-CN" w:bidi="ar"/>
                    </w:rPr>
                  </w:pPr>
                  <w:r>
                    <w:rPr>
                      <w:rFonts w:hint="eastAsia" w:ascii="Times New Roman" w:hAnsi="Times New Roman" w:eastAsia="宋体" w:cs="Times New Roman"/>
                      <w:i w:val="0"/>
                      <w:iCs w:val="0"/>
                      <w:color w:val="FF0000"/>
                      <w:kern w:val="0"/>
                      <w:sz w:val="21"/>
                      <w:szCs w:val="21"/>
                      <w:highlight w:val="green"/>
                      <w:u w:val="none"/>
                      <w:lang w:val="en-US" w:eastAsia="zh-CN" w:bidi="ar"/>
                    </w:rPr>
                    <w:t>1.5</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FF0000"/>
                      <w:sz w:val="21"/>
                      <w:szCs w:val="21"/>
                      <w:highlight w:val="green"/>
                      <w:lang w:val="en-US" w:eastAsia="zh-CN"/>
                    </w:rPr>
                  </w:pPr>
                  <w:r>
                    <w:rPr>
                      <w:rFonts w:hint="eastAsia" w:ascii="Times New Roman" w:hAnsi="Times New Roman" w:cs="Times New Roman"/>
                      <w:color w:val="FF0000"/>
                      <w:sz w:val="21"/>
                      <w:szCs w:val="21"/>
                      <w:highlight w:val="green"/>
                      <w:lang w:val="en-US" w:eastAsia="zh-CN"/>
                    </w:rPr>
                    <w:t>半年</w:t>
                  </w:r>
                </w:p>
              </w:tc>
            </w:tr>
          </w:tbl>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3</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为保证固体废物暂存场内暂存的危险废物不对环境产生污染，依据</w:t>
            </w:r>
            <w:r>
              <w:rPr>
                <w:rFonts w:hint="default" w:ascii="Times New Roman" w:hAnsi="Times New Roman" w:eastAsia="宋体" w:cs="Times New Roman"/>
                <w:color w:val="BF9000" w:themeColor="accent4" w:themeShade="BF"/>
                <w:sz w:val="24"/>
                <w:szCs w:val="24"/>
                <w:highlight w:val="none"/>
              </w:rPr>
              <w:t>《危险废物贮存污染控制标准》（GB18597-20</w:t>
            </w:r>
            <w:r>
              <w:rPr>
                <w:rFonts w:hint="eastAsia" w:cs="Times New Roman"/>
                <w:color w:val="BF9000" w:themeColor="accent4" w:themeShade="BF"/>
                <w:sz w:val="24"/>
                <w:szCs w:val="24"/>
                <w:highlight w:val="none"/>
                <w:lang w:val="en-US" w:eastAsia="zh-CN"/>
              </w:rPr>
              <w:t>23</w:t>
            </w:r>
            <w:r>
              <w:rPr>
                <w:rFonts w:hint="default" w:ascii="Times New Roman" w:hAnsi="Times New Roman" w:eastAsia="宋体" w:cs="Times New Roman"/>
                <w:color w:val="BF9000" w:themeColor="accent4" w:themeShade="BF"/>
                <w:sz w:val="24"/>
                <w:szCs w:val="24"/>
                <w:highlight w:val="none"/>
              </w:rPr>
              <w:t>）</w:t>
            </w:r>
            <w:r>
              <w:rPr>
                <w:rFonts w:hint="default" w:ascii="Times New Roman" w:hAnsi="Times New Roman" w:eastAsia="宋体" w:cs="Times New Roman"/>
                <w:color w:val="auto"/>
                <w:sz w:val="24"/>
                <w:szCs w:val="24"/>
                <w:highlight w:val="none"/>
              </w:rPr>
              <w:t>、《危险废物收集、贮运、运输技术规范》（HJ2025-2012）及相关国家及地方法律法规，提出如下环保措施：</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①采取室内贮存方式，设置环境保护图形标志和警示标志。房屋上设坡屋顶防雨。为防止暴雨径流进入室内，周边设置导流渠，室内地坪高出室外地坪。</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②固体废物袋装收集后，按类别放入相应的容器内，禁止一般废物与危险废物混放，不相容的危险废物分开存放并设有隔离间隔断。</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③收集固体废物的容器放置在隔架上，其底部与地面相距一定距离，以保持地面干燥，盛装在容器内的同类危险废物可以堆叠存放，每个堆间应留有搬运通道。</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color w:val="auto"/>
                <w:sz w:val="24"/>
                <w:szCs w:val="24"/>
                <w:highlight w:val="none"/>
              </w:rPr>
              <w:t>④</w:t>
            </w:r>
            <w:r>
              <w:rPr>
                <w:rFonts w:hint="eastAsia" w:cs="Times New Roman"/>
                <w:color w:val="auto"/>
                <w:sz w:val="24"/>
                <w:szCs w:val="24"/>
                <w:highlight w:val="none"/>
                <w:lang w:val="en-US" w:eastAsia="zh-CN"/>
              </w:rPr>
              <w:t>危险废物暂存间</w:t>
            </w:r>
            <w:r>
              <w:rPr>
                <w:rFonts w:hint="default" w:ascii="Times New Roman" w:hAnsi="Times New Roman" w:eastAsia="宋体" w:cs="Times New Roman"/>
                <w:color w:val="auto"/>
                <w:sz w:val="24"/>
                <w:szCs w:val="24"/>
                <w:highlight w:val="none"/>
              </w:rPr>
              <w:t>室内地面做耐腐蚀硬化处理，且表面无裂隙。</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⑤固体废物</w:t>
            </w:r>
            <w:r>
              <w:rPr>
                <w:rFonts w:hint="eastAsia"/>
                <w:color w:val="auto"/>
                <w:lang w:val="en-US" w:eastAsia="zh-CN"/>
              </w:rPr>
              <w:t>间</w:t>
            </w:r>
            <w:r>
              <w:rPr>
                <w:rFonts w:hint="default" w:ascii="Times New Roman" w:hAnsi="Times New Roman" w:eastAsia="宋体" w:cs="Times New Roman"/>
                <w:color w:val="auto"/>
                <w:sz w:val="24"/>
                <w:szCs w:val="24"/>
                <w:highlight w:val="none"/>
              </w:rPr>
              <w:t>内暂存的固体废物定期运至有关部门处置。</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⑥室内做</w:t>
            </w:r>
            <w:r>
              <w:rPr>
                <w:rFonts w:hint="eastAsia" w:cs="Times New Roman"/>
                <w:color w:val="auto"/>
                <w:sz w:val="24"/>
                <w:szCs w:val="24"/>
                <w:highlight w:val="none"/>
                <w:lang w:val="en-US" w:eastAsia="zh-CN"/>
              </w:rPr>
              <w:t>集水</w:t>
            </w:r>
            <w:r>
              <w:rPr>
                <w:rFonts w:hint="default" w:ascii="Times New Roman" w:hAnsi="Times New Roman" w:eastAsia="宋体" w:cs="Times New Roman"/>
                <w:color w:val="auto"/>
                <w:sz w:val="24"/>
                <w:szCs w:val="24"/>
                <w:highlight w:val="none"/>
              </w:rPr>
              <w:t>沟收集渗漏液，</w:t>
            </w:r>
            <w:r>
              <w:rPr>
                <w:rFonts w:hint="eastAsia" w:cs="Times New Roman"/>
                <w:color w:val="auto"/>
                <w:sz w:val="24"/>
                <w:szCs w:val="24"/>
                <w:highlight w:val="none"/>
                <w:lang w:val="en-US" w:eastAsia="zh-CN"/>
              </w:rPr>
              <w:t>集</w:t>
            </w:r>
            <w:r>
              <w:rPr>
                <w:rFonts w:hint="default" w:ascii="Times New Roman" w:hAnsi="Times New Roman" w:eastAsia="宋体" w:cs="Times New Roman"/>
                <w:color w:val="auto"/>
                <w:sz w:val="24"/>
                <w:szCs w:val="24"/>
                <w:highlight w:val="none"/>
              </w:rPr>
              <w:t>水沟设排</w:t>
            </w:r>
            <w:r>
              <w:rPr>
                <w:rFonts w:hint="eastAsia" w:cs="Times New Roman"/>
                <w:color w:val="auto"/>
                <w:sz w:val="24"/>
                <w:szCs w:val="24"/>
                <w:highlight w:val="none"/>
                <w:lang w:val="en-US" w:eastAsia="zh-CN"/>
              </w:rPr>
              <w:t>集</w:t>
            </w:r>
            <w:r>
              <w:rPr>
                <w:rFonts w:hint="default" w:ascii="Times New Roman" w:hAnsi="Times New Roman" w:eastAsia="宋体" w:cs="Times New Roman"/>
                <w:color w:val="auto"/>
                <w:sz w:val="24"/>
                <w:szCs w:val="24"/>
                <w:highlight w:val="none"/>
              </w:rPr>
              <w:t>水泵坑。</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⑦固体废物置场室内地面、裙脚和积水沟做防渗漏处理，所使用的材料要与危险废物相容。</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⑧</w:t>
            </w:r>
            <w:r>
              <w:rPr>
                <w:rFonts w:hint="default" w:ascii="Times New Roman" w:hAnsi="Times New Roman" w:eastAsia="宋体" w:cs="Times New Roman"/>
                <w:color w:val="auto"/>
                <w:sz w:val="24"/>
                <w:szCs w:val="24"/>
                <w:highlight w:val="none"/>
              </w:rPr>
              <w:t>建立档案制度，对暂存的废物种类、数量、特性、包装容器类别、存放库位、存入日期、运出日期等详细记录在案并长期保存。建立定期巡查、维护制度。</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项目运营期产生的危险废物应委托具有危险废物经营资质的单位统一收集并妥善处置；同时，项目需设置专门的危险固废收集设施，与普通的城市生活垃圾区别开来。危险废物临时贮存设施要符合</w:t>
            </w:r>
            <w:r>
              <w:rPr>
                <w:rFonts w:hint="default" w:ascii="Times New Roman" w:hAnsi="Times New Roman" w:eastAsia="宋体" w:cs="Times New Roman"/>
                <w:color w:val="BF9000" w:themeColor="accent4" w:themeShade="BF"/>
                <w:sz w:val="24"/>
                <w:szCs w:val="24"/>
                <w:highlight w:val="none"/>
              </w:rPr>
              <w:t>《危险废物贮存污染控制标准》（GB18597</w:t>
            </w:r>
            <w:r>
              <w:rPr>
                <w:rFonts w:hint="eastAsia" w:cs="Times New Roman"/>
                <w:color w:val="BF9000" w:themeColor="accent4" w:themeShade="BF"/>
                <w:sz w:val="24"/>
                <w:szCs w:val="24"/>
                <w:highlight w:val="none"/>
                <w:lang w:val="en-US" w:eastAsia="zh-CN"/>
              </w:rPr>
              <w:t>-</w:t>
            </w:r>
            <w:r>
              <w:rPr>
                <w:rFonts w:hint="default" w:ascii="Times New Roman" w:hAnsi="Times New Roman" w:eastAsia="宋体" w:cs="Times New Roman"/>
                <w:color w:val="BF9000" w:themeColor="accent4" w:themeShade="BF"/>
                <w:sz w:val="24"/>
                <w:szCs w:val="24"/>
                <w:highlight w:val="none"/>
              </w:rPr>
              <w:t>20</w:t>
            </w:r>
            <w:r>
              <w:rPr>
                <w:rFonts w:hint="eastAsia" w:cs="Times New Roman"/>
                <w:color w:val="BF9000" w:themeColor="accent4" w:themeShade="BF"/>
                <w:sz w:val="24"/>
                <w:szCs w:val="24"/>
                <w:highlight w:val="none"/>
                <w:lang w:val="en-US" w:eastAsia="zh-CN"/>
              </w:rPr>
              <w:t>23</w:t>
            </w:r>
            <w:r>
              <w:rPr>
                <w:rFonts w:hint="default" w:ascii="Times New Roman" w:hAnsi="Times New Roman" w:eastAsia="宋体" w:cs="Times New Roman"/>
                <w:color w:val="BF9000" w:themeColor="accent4" w:themeShade="BF"/>
                <w:sz w:val="24"/>
                <w:szCs w:val="24"/>
                <w:highlight w:val="none"/>
              </w:rPr>
              <w:t>）</w:t>
            </w:r>
            <w:r>
              <w:rPr>
                <w:rFonts w:hint="default" w:ascii="Times New Roman" w:hAnsi="Times New Roman" w:eastAsia="宋体" w:cs="Times New Roman"/>
                <w:color w:val="auto"/>
                <w:sz w:val="24"/>
                <w:szCs w:val="24"/>
                <w:highlight w:val="none"/>
              </w:rPr>
              <w:t>的有关规定。且严格按《国家危险废物名录（2021年版）》、《中华人民共和国固体废物污染防治法》和《广东省危险废物转移报告联单管理暂行规定》中的有关要求实施。加强对危险废物的管理，对危险废物的产生、利用、收集、运输、贮存、处置等环节建立追踪性的帐目和手续，并纳入环保部门的监督管理。</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根据《危险废物产生单位危险废物规范化管理工作指引》，危险废物转移报批程序如下：</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①危险废物申报登记。每年3月31日前，危险废物产生单位必须将上年度危险废物的种类、产生量、流向、贮存、处置等有关资料向所在县级以上环保部门申报登记。</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危险废物管理台帐和危险废物管理计划的登记备案。通过广东省固体废物管理平台提供的危险废物转移管理台帐登记功能进行登记以及根据管理台帐和近年生产计划，制订危险废物管理计划，并报所在地县级以上地方环保部门备案。</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③危险废物产生单位委托有资质单位处理处置危险废物时，必须严格执行危险废物转移计划报批和依法运行危险废物转移联单。</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项目运营后产生的固体废物种类明确，各类固体废物处置去向明确，切实可行，不会造成二次污染。</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color w:val="auto"/>
                <w:sz w:val="24"/>
                <w:szCs w:val="24"/>
                <w:highlight w:val="none"/>
              </w:rPr>
              <w:t>总之，本项目实施后对固体废物的处置应本着减量化、资源化、无害化的原则，进行妥善处理，预计可以避免对环境造成二次污染，不会对环境造成不利影响。</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color w:val="auto"/>
                <w:sz w:val="24"/>
                <w:szCs w:val="24"/>
                <w:highlight w:val="none"/>
              </w:rPr>
              <w:t>通过以上处理措施，项目营运期产生的固体废物不直接外排入环境，因此，对环境的影响较小</w:t>
            </w:r>
            <w:r>
              <w:rPr>
                <w:rFonts w:hint="default" w:ascii="Times New Roman" w:hAnsi="Times New Roman" w:eastAsia="宋体" w:cs="Times New Roman"/>
                <w:color w:val="auto"/>
                <w:sz w:val="24"/>
                <w:szCs w:val="24"/>
                <w:highlight w:val="none"/>
                <w:lang w:eastAsia="zh-CN"/>
              </w:rPr>
              <w:t>。</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5.地下水、土壤</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根据《环境影响评价技术导则 土壤环境》（HJ964-2018），污染类项目土壤环境影响的途径有三种：“大气沉降”，“地表漫流”，“垂直入渗”。根据《农用地土壤污染状况详查点位布设技术规定》的附表1，本项目不属于“需考虑大气沉降影响的行业”，也不属于“需考虑地表产流的行业”，因此本项目不涉及大气沉降和地表漫流这两个土壤污染途径。</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本</w:t>
            </w:r>
            <w:r>
              <w:rPr>
                <w:rFonts w:hint="default" w:ascii="Times New Roman" w:hAnsi="Times New Roman" w:eastAsia="宋体" w:cs="Times New Roman"/>
                <w:color w:val="auto"/>
                <w:sz w:val="24"/>
                <w:szCs w:val="24"/>
                <w:highlight w:val="none"/>
              </w:rPr>
              <w:t>项目</w:t>
            </w:r>
            <w:r>
              <w:rPr>
                <w:rFonts w:hint="eastAsia" w:cs="Times New Roman"/>
                <w:color w:val="auto"/>
                <w:sz w:val="24"/>
                <w:szCs w:val="24"/>
                <w:highlight w:val="none"/>
                <w:lang w:val="en-US" w:eastAsia="zh-CN"/>
              </w:rPr>
              <w:t>利用</w:t>
            </w:r>
            <w:r>
              <w:rPr>
                <w:rFonts w:hint="default" w:ascii="Times New Roman" w:hAnsi="Times New Roman" w:eastAsia="宋体" w:cs="Times New Roman"/>
                <w:color w:val="auto"/>
                <w:sz w:val="24"/>
                <w:szCs w:val="24"/>
                <w:highlight w:val="none"/>
              </w:rPr>
              <w:t>现有厂房进行生产，生产车间等用地范围内均进行了硬底化，不存在土壤、地下水污染途径，不会对土壤及地下水环境产生影响。</w:t>
            </w:r>
          </w:p>
          <w:p>
            <w:pPr>
              <w:keepNext w:val="0"/>
              <w:keepLines w:val="0"/>
              <w:pageBreakBefore w:val="0"/>
              <w:widowControl w:val="0"/>
              <w:kinsoku/>
              <w:wordWrap/>
              <w:overflowPunct/>
              <w:topLinePunct w:val="0"/>
              <w:bidi w:val="0"/>
              <w:spacing w:line="360" w:lineRule="auto"/>
              <w:ind w:firstLine="480" w:firstLineChars="200"/>
              <w:textAlignment w:val="auto"/>
              <w:rPr>
                <w:rFonts w:hint="eastAsia"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根据《环境影响评价技术导则</w:t>
            </w:r>
            <w:r>
              <w:rPr>
                <w:rFonts w:hint="eastAsia"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土壤环境》（HJ964-2018）要求，为减小项目对土壤的污染，项目生产厂房、危废暂存</w:t>
            </w:r>
            <w:r>
              <w:rPr>
                <w:rFonts w:hint="eastAsia" w:cs="Times New Roman"/>
                <w:color w:val="auto"/>
                <w:sz w:val="24"/>
                <w:szCs w:val="24"/>
                <w:highlight w:val="none"/>
                <w:lang w:val="en-US" w:eastAsia="zh-CN"/>
              </w:rPr>
              <w:t>间</w:t>
            </w:r>
            <w:r>
              <w:rPr>
                <w:rFonts w:hint="default" w:ascii="Times New Roman" w:hAnsi="Times New Roman" w:eastAsia="宋体" w:cs="Times New Roman"/>
                <w:color w:val="auto"/>
                <w:sz w:val="24"/>
                <w:szCs w:val="24"/>
                <w:highlight w:val="none"/>
              </w:rPr>
              <w:t>属于重点污染区，</w:t>
            </w:r>
            <w:r>
              <w:rPr>
                <w:rFonts w:hint="eastAsia" w:cs="Times New Roman"/>
                <w:color w:val="auto"/>
                <w:sz w:val="24"/>
                <w:szCs w:val="24"/>
                <w:highlight w:val="none"/>
                <w:lang w:val="en-US" w:eastAsia="zh-CN"/>
              </w:rPr>
              <w:t>生产车间地面采取粘土铺底，再在上层铺设10-15cm的水泥进行硬化；</w:t>
            </w:r>
            <w:r>
              <w:rPr>
                <w:rFonts w:hint="default" w:ascii="Times New Roman" w:hAnsi="Times New Roman" w:eastAsia="宋体" w:cs="Times New Roman"/>
                <w:color w:val="auto"/>
                <w:kern w:val="0"/>
                <w:sz w:val="24"/>
                <w:szCs w:val="24"/>
                <w:lang w:bidi="ar"/>
              </w:rPr>
              <w:t>危险废物暂存</w:t>
            </w:r>
            <w:r>
              <w:rPr>
                <w:rFonts w:hint="default" w:ascii="Times New Roman" w:hAnsi="Times New Roman" w:eastAsia="宋体" w:cs="Times New Roman"/>
                <w:color w:val="auto"/>
                <w:kern w:val="0"/>
                <w:sz w:val="24"/>
                <w:szCs w:val="24"/>
                <w:lang w:eastAsia="zh-CN" w:bidi="ar"/>
              </w:rPr>
              <w:t>间</w:t>
            </w:r>
            <w:r>
              <w:rPr>
                <w:color w:val="auto"/>
                <w:szCs w:val="21"/>
              </w:rPr>
              <w:t>按照</w:t>
            </w:r>
            <w:r>
              <w:rPr>
                <w:color w:val="BF9000" w:themeColor="accent4" w:themeShade="BF"/>
                <w:szCs w:val="21"/>
              </w:rPr>
              <w:t>《危险废物贮存污染控制标准》（GB18597-20</w:t>
            </w:r>
            <w:r>
              <w:rPr>
                <w:rFonts w:hint="eastAsia"/>
                <w:color w:val="BF9000" w:themeColor="accent4" w:themeShade="BF"/>
                <w:szCs w:val="21"/>
                <w:lang w:val="en-US" w:eastAsia="zh-CN"/>
              </w:rPr>
              <w:t>23</w:t>
            </w:r>
            <w:r>
              <w:rPr>
                <w:color w:val="BF9000" w:themeColor="accent4" w:themeShade="BF"/>
                <w:szCs w:val="21"/>
              </w:rPr>
              <w:t>）</w:t>
            </w:r>
            <w:r>
              <w:rPr>
                <w:rFonts w:hint="default" w:ascii="Times New Roman" w:hAnsi="Times New Roman" w:eastAsia="宋体" w:cs="Times New Roman"/>
                <w:color w:val="auto"/>
                <w:kern w:val="0"/>
                <w:sz w:val="24"/>
                <w:szCs w:val="24"/>
                <w:lang w:bidi="ar"/>
              </w:rPr>
              <w:t>基础设置防渗地坪</w:t>
            </w:r>
            <w:r>
              <w:rPr>
                <w:rFonts w:hint="default" w:ascii="Times New Roman" w:hAnsi="Times New Roman" w:eastAsia="宋体" w:cs="Times New Roman"/>
                <w:color w:val="auto"/>
                <w:kern w:val="0"/>
                <w:sz w:val="24"/>
                <w:szCs w:val="24"/>
                <w:lang w:eastAsia="zh-CN" w:bidi="ar"/>
              </w:rPr>
              <w:t>，该防渗地坪的具体技术要求为“等效黏土防渗层</w:t>
            </w:r>
            <w:r>
              <w:rPr>
                <w:rFonts w:hint="default" w:ascii="Times New Roman" w:hAnsi="Times New Roman" w:eastAsia="宋体" w:cs="Times New Roman"/>
                <w:bCs w:val="0"/>
                <w:color w:val="auto"/>
                <w:spacing w:val="0"/>
                <w:kern w:val="0"/>
                <w:sz w:val="24"/>
                <w:szCs w:val="24"/>
                <w:vertAlign w:val="baseline"/>
                <w:lang w:val="en-US" w:eastAsia="zh-CN" w:bidi="ar"/>
              </w:rPr>
              <w:t>Mb≥6.0m，</w:t>
            </w:r>
            <w:r>
              <w:rPr>
                <w:rFonts w:hint="default" w:ascii="Times New Roman" w:hAnsi="Times New Roman" w:eastAsia="宋体" w:cs="Times New Roman"/>
                <w:bCs w:val="0"/>
                <w:color w:val="auto"/>
                <w:kern w:val="0"/>
                <w:sz w:val="24"/>
                <w:szCs w:val="24"/>
                <w:lang w:eastAsia="zh-CN" w:bidi="ar"/>
              </w:rPr>
              <w:t>渗透系数≤10</w:t>
            </w:r>
            <w:r>
              <w:rPr>
                <w:rFonts w:hint="default" w:ascii="Times New Roman" w:hAnsi="Times New Roman" w:eastAsia="宋体" w:cs="Times New Roman"/>
                <w:bCs w:val="0"/>
                <w:color w:val="auto"/>
                <w:kern w:val="0"/>
                <w:sz w:val="24"/>
                <w:szCs w:val="24"/>
                <w:vertAlign w:val="superscript"/>
                <w:lang w:eastAsia="zh-CN" w:bidi="ar"/>
              </w:rPr>
              <w:t>-7</w:t>
            </w:r>
            <w:r>
              <w:rPr>
                <w:rFonts w:hint="default" w:ascii="Times New Roman" w:hAnsi="Times New Roman" w:eastAsia="宋体" w:cs="Times New Roman"/>
                <w:bCs w:val="0"/>
                <w:color w:val="auto"/>
                <w:kern w:val="0"/>
                <w:sz w:val="24"/>
                <w:szCs w:val="24"/>
                <w:lang w:eastAsia="zh-CN" w:bidi="ar"/>
              </w:rPr>
              <w:t>cm/s</w:t>
            </w:r>
            <w:r>
              <w:rPr>
                <w:rFonts w:hint="default" w:ascii="Times New Roman" w:hAnsi="Times New Roman" w:eastAsia="宋体" w:cs="Times New Roman"/>
                <w:color w:val="auto"/>
                <w:kern w:val="0"/>
                <w:sz w:val="24"/>
                <w:szCs w:val="24"/>
                <w:lang w:eastAsia="zh-CN" w:bidi="ar"/>
              </w:rPr>
              <w:t>”</w:t>
            </w:r>
            <w:r>
              <w:rPr>
                <w:rFonts w:hint="eastAsia" w:cs="Times New Roman"/>
                <w:color w:val="auto"/>
                <w:sz w:val="24"/>
                <w:szCs w:val="24"/>
                <w:highlight w:val="none"/>
                <w:lang w:eastAsia="zh-CN"/>
              </w:rPr>
              <w:t>；</w:t>
            </w:r>
            <w:r>
              <w:rPr>
                <w:color w:val="auto"/>
                <w:szCs w:val="21"/>
              </w:rPr>
              <w:t>不存在地下水污染途径</w:t>
            </w:r>
            <w:r>
              <w:rPr>
                <w:rFonts w:hint="eastAsia"/>
                <w:color w:val="auto"/>
                <w:szCs w:val="21"/>
                <w:lang w:eastAsia="zh-CN"/>
              </w:rPr>
              <w:t>。</w:t>
            </w:r>
          </w:p>
          <w:p>
            <w:pPr>
              <w:keepNext w:val="0"/>
              <w:keepLines w:val="0"/>
              <w:pageBreakBefore w:val="0"/>
              <w:widowControl w:val="0"/>
              <w:kinsoku/>
              <w:wordWrap/>
              <w:overflowPunct/>
              <w:topLinePunct w:val="0"/>
              <w:bidi w:val="0"/>
              <w:spacing w:line="360" w:lineRule="auto"/>
              <w:ind w:firstLine="480" w:firstLineChars="200"/>
              <w:textAlignment w:val="auto"/>
              <w:rPr>
                <w:rFonts w:hint="eastAsia"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加强生产管理，减少废气的有组织和无组织排放，以减少废气污染物通过大气沉降落在地面，污染土壤。建设单位必须确保废气收集系统和净化装置的正常运行，并达到本评价所要求的治理效果，定期检查废气收集装置、净化装置、排气筒；若废气收集系统和净化装置发生故障或效率降低时，建设单位必须及时修复，在未修复前必须根据故障情况采取限产或停产措施</w:t>
            </w:r>
            <w:r>
              <w:rPr>
                <w:rFonts w:hint="default" w:ascii="Times New Roman" w:hAnsi="Times New Roman" w:eastAsia="宋体" w:cs="Times New Roman"/>
                <w:color w:val="auto"/>
                <w:sz w:val="24"/>
                <w:szCs w:val="24"/>
                <w:highlight w:val="none"/>
                <w:lang w:eastAsia="zh-CN"/>
              </w:rPr>
              <w:t>。</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6.生态</w:t>
            </w:r>
          </w:p>
          <w:p>
            <w:pPr>
              <w:adjustRightInd w:val="0"/>
              <w:snapToGrid w:val="0"/>
              <w:ind w:firstLine="480" w:firstLineChars="200"/>
              <w:rPr>
                <w:rFonts w:ascii="宋体" w:hAnsi="宋体" w:cs="宋体"/>
                <w:b/>
                <w:color w:val="auto"/>
                <w:szCs w:val="21"/>
              </w:rPr>
            </w:pPr>
            <w:r>
              <w:rPr>
                <w:rFonts w:hint="eastAsia" w:ascii="宋体" w:hAnsi="宋体" w:cs="宋体"/>
                <w:bCs/>
                <w:color w:val="auto"/>
                <w:szCs w:val="21"/>
                <w:lang w:eastAsia="zh-CN"/>
              </w:rPr>
              <w:t>扩建项目</w:t>
            </w:r>
            <w:r>
              <w:rPr>
                <w:rFonts w:hint="eastAsia" w:ascii="宋体" w:hAnsi="宋体" w:eastAsia="宋体" w:cs="宋体"/>
                <w:bCs/>
                <w:color w:val="auto"/>
                <w:szCs w:val="21"/>
              </w:rPr>
              <w:t>位于</w:t>
            </w:r>
            <w:r>
              <w:rPr>
                <w:rFonts w:hint="eastAsia"/>
                <w:color w:val="auto"/>
                <w:lang w:val="en-US" w:eastAsia="zh-CN"/>
              </w:rPr>
              <w:t>现有项目厂区内</w:t>
            </w:r>
            <w:r>
              <w:rPr>
                <w:rFonts w:hint="eastAsia" w:ascii="宋体" w:hAnsi="宋体" w:eastAsia="宋体" w:cs="宋体"/>
                <w:bCs/>
                <w:color w:val="auto"/>
                <w:szCs w:val="21"/>
              </w:rPr>
              <w:t>，无</w:t>
            </w:r>
            <w:r>
              <w:rPr>
                <w:rFonts w:hint="eastAsia" w:ascii="宋体" w:hAnsi="宋体" w:cs="宋体"/>
                <w:bCs/>
                <w:color w:val="auto"/>
                <w:szCs w:val="21"/>
              </w:rPr>
              <w:t>新增用地，项目建设对生态环境影响较小。</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7、环境风险</w:t>
            </w:r>
          </w:p>
          <w:p>
            <w:pPr>
              <w:pStyle w:val="42"/>
              <w:keepNext w:val="0"/>
              <w:keepLines w:val="0"/>
              <w:pageBreakBefore w:val="0"/>
              <w:widowControl w:val="0"/>
              <w:kinsoku/>
              <w:wordWrap/>
              <w:overflowPunct/>
              <w:topLinePunct w:val="0"/>
              <w:bidi w:val="0"/>
              <w:spacing w:line="360" w:lineRule="auto"/>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（1）重大危险源判定</w:t>
            </w:r>
          </w:p>
          <w:p>
            <w:pPr>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根据《建设项目环境风险评价技术导则》（HJ/T169-2018），对照《危险化学品重大危险源辨识》（GB18218-2018），本项目生产过程中所用原辅材料未涉及该标准所规定的四大类物质，因此，本项目不存在重大危险源。</w:t>
            </w:r>
          </w:p>
          <w:p>
            <w:pPr>
              <w:pStyle w:val="42"/>
              <w:keepNext w:val="0"/>
              <w:keepLines w:val="0"/>
              <w:pageBreakBefore w:val="0"/>
              <w:widowControl w:val="0"/>
              <w:kinsoku/>
              <w:wordWrap/>
              <w:overflowPunct/>
              <w:topLinePunct w:val="0"/>
              <w:bidi w:val="0"/>
              <w:spacing w:line="360" w:lineRule="auto"/>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（2）危险物质和风险源分布情况及可能影响途径</w:t>
            </w:r>
          </w:p>
          <w:p>
            <w:pPr>
              <w:keepNext w:val="0"/>
              <w:keepLines w:val="0"/>
              <w:pageBreakBefore w:val="0"/>
              <w:widowControl w:val="0"/>
              <w:kinsoku/>
              <w:wordWrap/>
              <w:overflowPunct/>
              <w:topLinePunct w:val="0"/>
              <w:bidi w:val="0"/>
              <w:spacing w:line="360" w:lineRule="auto"/>
              <w:ind w:firstLine="480" w:firstLineChars="200"/>
              <w:rPr>
                <w:color w:val="auto"/>
                <w:szCs w:val="21"/>
                <w:highlight w:val="none"/>
              </w:rPr>
            </w:pPr>
            <w:r>
              <w:rPr>
                <w:rFonts w:hint="default" w:ascii="Times New Roman" w:hAnsi="Times New Roman" w:eastAsia="宋体" w:cs="Times New Roman"/>
                <w:color w:val="auto"/>
                <w:sz w:val="24"/>
                <w:szCs w:val="24"/>
                <w:highlight w:val="none"/>
              </w:rPr>
              <w:t>根据《建设项目环境风险评价技术导则》（HJ 169-2018），</w:t>
            </w:r>
            <w:r>
              <w:rPr>
                <w:color w:val="auto"/>
                <w:szCs w:val="21"/>
                <w:highlight w:val="none"/>
              </w:rPr>
              <w:t>物质危险性识别包括主要原辅材料、燃料、中间产品、副产品、最终产品、污染物、火灾和爆炸伴生/次生物等。本项目生产原料、生产工艺、贮存、运输、“三废”处理过程中涉及的主要有：</w:t>
            </w:r>
            <w:r>
              <w:rPr>
                <w:rFonts w:hint="eastAsia"/>
                <w:color w:val="auto"/>
                <w:szCs w:val="21"/>
                <w:highlight w:val="none"/>
                <w:lang w:val="en-US" w:eastAsia="zh-CN"/>
              </w:rPr>
              <w:t>润滑油、切削液、火花油、废润滑油、废切削液、废火花油</w:t>
            </w:r>
            <w:r>
              <w:rPr>
                <w:color w:val="auto"/>
                <w:szCs w:val="21"/>
                <w:highlight w:val="none"/>
              </w:rPr>
              <w:t>等。</w:t>
            </w:r>
          </w:p>
          <w:p>
            <w:pPr>
              <w:pStyle w:val="44"/>
              <w:numPr>
                <w:ilvl w:val="0"/>
                <w:numId w:val="9"/>
              </w:numPr>
              <w:tabs>
                <w:tab w:val="clear" w:pos="0"/>
              </w:tabs>
              <w:bidi w:val="0"/>
              <w:ind w:left="0" w:leftChars="0" w:firstLine="403" w:firstLineChars="0"/>
              <w:rPr>
                <w:rFonts w:hint="eastAsia"/>
                <w:color w:val="auto"/>
                <w:lang w:val="en-US" w:eastAsia="zh-CN"/>
              </w:rPr>
            </w:pPr>
            <w:r>
              <w:rPr>
                <w:rFonts w:hint="eastAsia"/>
                <w:color w:val="auto"/>
                <w:lang w:val="en-US" w:eastAsia="zh-CN"/>
              </w:rPr>
              <w:t>项目涉及的物质Q值确定表</w:t>
            </w:r>
          </w:p>
          <w:tbl>
            <w:tblPr>
              <w:tblStyle w:val="29"/>
              <w:tblW w:w="49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6"/>
              <w:gridCol w:w="1207"/>
              <w:gridCol w:w="1426"/>
              <w:gridCol w:w="1367"/>
              <w:gridCol w:w="1719"/>
              <w:gridCol w:w="1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pStyle w:val="59"/>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物质名称</w:t>
                  </w:r>
                </w:p>
              </w:tc>
              <w:tc>
                <w:tcPr>
                  <w:tcW w:w="656" w:type="pct"/>
                  <w:noWrap w:val="0"/>
                  <w:vAlign w:val="center"/>
                </w:tcPr>
                <w:p>
                  <w:pPr>
                    <w:pStyle w:val="59"/>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状态</w:t>
                  </w:r>
                </w:p>
              </w:tc>
              <w:tc>
                <w:tcPr>
                  <w:tcW w:w="775" w:type="pct"/>
                  <w:noWrap w:val="0"/>
                  <w:vAlign w:val="center"/>
                </w:tcPr>
                <w:p>
                  <w:pPr>
                    <w:pStyle w:val="59"/>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CAS号</w:t>
                  </w:r>
                </w:p>
              </w:tc>
              <w:tc>
                <w:tcPr>
                  <w:tcW w:w="743" w:type="pct"/>
                  <w:noWrap w:val="0"/>
                  <w:vAlign w:val="center"/>
                </w:tcPr>
                <w:p>
                  <w:pPr>
                    <w:pStyle w:val="59"/>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最大存在总量t</w:t>
                  </w:r>
                </w:p>
              </w:tc>
              <w:tc>
                <w:tcPr>
                  <w:tcW w:w="932" w:type="pct"/>
                  <w:noWrap w:val="0"/>
                  <w:vAlign w:val="center"/>
                </w:tcPr>
                <w:p>
                  <w:pPr>
                    <w:pStyle w:val="59"/>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临界量/t</w:t>
                  </w:r>
                </w:p>
              </w:tc>
              <w:tc>
                <w:tcPr>
                  <w:tcW w:w="991" w:type="pct"/>
                  <w:noWrap w:val="0"/>
                  <w:vAlign w:val="center"/>
                </w:tcPr>
                <w:p>
                  <w:pPr>
                    <w:pStyle w:val="59"/>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该种危险物质Q值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润滑油</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0.06</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0.000024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水性切削液</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0.1</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火花油</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i w:val="0"/>
                      <w:iCs w:val="0"/>
                      <w:color w:val="0000FF"/>
                      <w:kern w:val="0"/>
                      <w:sz w:val="21"/>
                      <w:szCs w:val="21"/>
                      <w:u w:val="none"/>
                      <w:lang w:val="en-US" w:eastAsia="zh-CN" w:bidi="ar"/>
                    </w:rPr>
                    <w:t>0.1</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废润滑油</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i w:val="0"/>
                      <w:iCs w:val="0"/>
                      <w:color w:val="0000FF"/>
                      <w:kern w:val="0"/>
                      <w:sz w:val="21"/>
                      <w:szCs w:val="21"/>
                      <w:u w:val="none"/>
                      <w:lang w:val="en-US" w:eastAsia="zh-CN" w:bidi="ar"/>
                    </w:rPr>
                    <w:t>0.2</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ascii="宋体" w:hAnsi="宋体" w:eastAsia="宋体" w:cs="宋体"/>
                      <w:i w:val="0"/>
                      <w:iCs w:val="0"/>
                      <w:color w:val="0000FF"/>
                      <w:kern w:val="0"/>
                      <w:sz w:val="21"/>
                      <w:szCs w:val="21"/>
                      <w:u w:val="none"/>
                      <w:lang w:val="en-US" w:eastAsia="zh-CN" w:bidi="ar"/>
                    </w:rPr>
                    <w:t>废切削液及金属沉渣</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0.1</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ascii="宋体" w:hAnsi="宋体" w:eastAsia="宋体" w:cs="宋体"/>
                      <w:i w:val="0"/>
                      <w:iCs w:val="0"/>
                      <w:color w:val="0000FF"/>
                      <w:kern w:val="0"/>
                      <w:sz w:val="21"/>
                      <w:szCs w:val="21"/>
                      <w:u w:val="none"/>
                      <w:lang w:val="en-US" w:eastAsia="zh-CN" w:bidi="ar"/>
                    </w:rPr>
                    <w:t>废火花油及金属沉渣</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0.1</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08" w:type="pct"/>
                  <w:gridSpan w:val="5"/>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合计</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w:t>
                  </w:r>
                  <w:r>
                    <w:rPr>
                      <w:rFonts w:hint="eastAsia" w:cs="Times New Roman"/>
                      <w:i w:val="0"/>
                      <w:iCs w:val="0"/>
                      <w:color w:val="0000FF"/>
                      <w:kern w:val="0"/>
                      <w:sz w:val="21"/>
                      <w:szCs w:val="21"/>
                      <w:u w:val="none"/>
                      <w:lang w:val="en-US" w:eastAsia="zh-CN" w:bidi="ar"/>
                    </w:rPr>
                    <w:t>000264</w:t>
                  </w:r>
                </w:p>
              </w:tc>
            </w:tr>
          </w:tbl>
          <w:p>
            <w:pPr>
              <w:keepNext w:val="0"/>
              <w:keepLines w:val="0"/>
              <w:pageBreakBefore w:val="0"/>
              <w:wordWrap/>
              <w:overflowPunct/>
              <w:topLinePunct w:val="0"/>
              <w:bidi w:val="0"/>
              <w:spacing w:line="360" w:lineRule="auto"/>
              <w:ind w:firstLine="480" w:firstLineChars="200"/>
              <w:jc w:val="left"/>
              <w:rPr>
                <w:rFonts w:hint="default" w:ascii="Times New Roman" w:hAnsi="Times New Roman" w:eastAsia="宋体" w:cs="Times New Roman"/>
                <w:color w:val="auto"/>
                <w:szCs w:val="21"/>
                <w:highlight w:val="none"/>
                <w:lang w:bidi="ar"/>
              </w:rPr>
            </w:pPr>
            <w:r>
              <w:rPr>
                <w:rFonts w:hint="default" w:ascii="Times New Roman" w:hAnsi="Times New Roman" w:eastAsia="宋体" w:cs="Times New Roman"/>
                <w:color w:val="auto"/>
                <w:szCs w:val="21"/>
                <w:highlight w:val="none"/>
                <w:lang w:bidi="ar"/>
              </w:rPr>
              <w:t>由此可知项目Q=</w:t>
            </w:r>
            <w:r>
              <w:rPr>
                <w:rFonts w:hint="default" w:ascii="Times New Roman" w:hAnsi="Times New Roman" w:eastAsia="宋体" w:cs="Times New Roman"/>
                <w:color w:val="0000FF"/>
                <w:szCs w:val="21"/>
                <w:highlight w:val="none"/>
                <w:lang w:bidi="ar"/>
              </w:rPr>
              <w:t>0.000264</w:t>
            </w:r>
            <w:r>
              <w:rPr>
                <w:rFonts w:hint="default" w:ascii="Times New Roman" w:hAnsi="Times New Roman" w:eastAsia="宋体" w:cs="Times New Roman"/>
                <w:color w:val="auto"/>
                <w:szCs w:val="21"/>
                <w:highlight w:val="none"/>
                <w:lang w:bidi="ar"/>
              </w:rPr>
              <w:t>＜1，项目营运期不存在重大风险源。</w:t>
            </w:r>
          </w:p>
          <w:p>
            <w:pPr>
              <w:keepNext w:val="0"/>
              <w:keepLines w:val="0"/>
              <w:pageBreakBefore w:val="0"/>
              <w:wordWrap/>
              <w:overflowPunct/>
              <w:topLinePunct w:val="0"/>
              <w:bidi w:val="0"/>
              <w:spacing w:line="360" w:lineRule="auto"/>
              <w:ind w:firstLine="480" w:firstLineChars="200"/>
              <w:jc w:val="left"/>
              <w:rPr>
                <w:rFonts w:hint="eastAsia" w:eastAsia="宋体"/>
                <w:color w:val="auto"/>
                <w:szCs w:val="21"/>
                <w:highlight w:val="none"/>
                <w:lang w:eastAsia="zh-CN" w:bidi="ar"/>
              </w:rPr>
            </w:pPr>
            <w:r>
              <w:rPr>
                <w:rFonts w:hint="default" w:ascii="Times New Roman" w:hAnsi="Times New Roman" w:eastAsia="宋体" w:cs="Times New Roman"/>
                <w:color w:val="auto"/>
                <w:szCs w:val="21"/>
                <w:highlight w:val="none"/>
                <w:lang w:bidi="ar"/>
              </w:rPr>
              <w:t>根据国内外同行业事故统计分析及典型事故案例资料，主要生产装置、贮运系统、公用工程系统、环保工程设施及辅助生产设施等中的风险源项为贮运系统、环保工程设施、公用工程系统，风险类型为化学品及危险废物泄漏事故、废气处理系统事故、废水处理系统事故、火灾事故。本项目风险识别如下</w:t>
            </w:r>
            <w:r>
              <w:rPr>
                <w:rFonts w:hint="eastAsia" w:cs="Times New Roman"/>
                <w:color w:val="auto"/>
                <w:szCs w:val="21"/>
                <w:highlight w:val="none"/>
                <w:lang w:eastAsia="zh-CN" w:bidi="ar"/>
              </w:rPr>
              <w:t>：</w:t>
            </w:r>
          </w:p>
          <w:p>
            <w:pPr>
              <w:pStyle w:val="44"/>
              <w:numPr>
                <w:ilvl w:val="0"/>
                <w:numId w:val="9"/>
              </w:numPr>
              <w:tabs>
                <w:tab w:val="clear" w:pos="0"/>
              </w:tabs>
              <w:bidi w:val="0"/>
              <w:ind w:left="0" w:leftChars="0" w:firstLine="403" w:firstLineChars="0"/>
              <w:rPr>
                <w:color w:val="auto"/>
              </w:rPr>
            </w:pPr>
            <w:r>
              <w:rPr>
                <w:color w:val="auto"/>
              </w:rPr>
              <w:t>环境风险识别一览表</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1103"/>
              <w:gridCol w:w="1364"/>
              <w:gridCol w:w="1049"/>
              <w:gridCol w:w="1632"/>
              <w:gridCol w:w="866"/>
              <w:gridCol w:w="2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364" w:type="pct"/>
                  <w:noWrap w:val="0"/>
                  <w:vAlign w:val="center"/>
                </w:tcPr>
                <w:p>
                  <w:pPr>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事故类型</w:t>
                  </w:r>
                </w:p>
              </w:tc>
              <w:tc>
                <w:tcPr>
                  <w:tcW w:w="596" w:type="pct"/>
                  <w:noWrap w:val="0"/>
                  <w:vAlign w:val="center"/>
                </w:tcPr>
                <w:p>
                  <w:pPr>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环境风险描述</w:t>
                  </w:r>
                </w:p>
              </w:tc>
              <w:tc>
                <w:tcPr>
                  <w:tcW w:w="737"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涉及化学品（污染物）</w:t>
                  </w:r>
                </w:p>
              </w:tc>
              <w:tc>
                <w:tcPr>
                  <w:tcW w:w="567" w:type="pct"/>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风险类别</w:t>
                  </w:r>
                </w:p>
              </w:tc>
              <w:tc>
                <w:tcPr>
                  <w:tcW w:w="882"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影响途径及后果</w:t>
                  </w:r>
                </w:p>
              </w:tc>
              <w:tc>
                <w:tcPr>
                  <w:tcW w:w="468"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危险单元</w:t>
                  </w:r>
                </w:p>
              </w:tc>
              <w:tc>
                <w:tcPr>
                  <w:tcW w:w="1383"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风险防范措施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jc w:val="center"/>
              </w:trPr>
              <w:tc>
                <w:tcPr>
                  <w:tcW w:w="364"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化学品泄漏</w:t>
                  </w:r>
                </w:p>
              </w:tc>
              <w:tc>
                <w:tcPr>
                  <w:tcW w:w="596"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kern w:val="0"/>
                      <w:sz w:val="21"/>
                      <w:szCs w:val="21"/>
                      <w:highlight w:val="none"/>
                      <w:lang w:val="zh-CN" w:eastAsia="zh-CN" w:bidi="ar-SA"/>
                    </w:rPr>
                    <w:t>泄漏化学品进入附近水体，危害水生环境</w:t>
                  </w:r>
                </w:p>
              </w:tc>
              <w:tc>
                <w:tcPr>
                  <w:tcW w:w="737"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color w:val="auto"/>
                      <w:sz w:val="21"/>
                      <w:szCs w:val="21"/>
                      <w:highlight w:val="none"/>
                      <w:shd w:val="clear" w:color="auto" w:fill="auto"/>
                      <w:lang w:val="en-US" w:eastAsia="zh-CN"/>
                    </w:rPr>
                    <w:t>润滑油、切削液、火花油、水性油墨、水性漆</w:t>
                  </w:r>
                </w:p>
              </w:tc>
              <w:tc>
                <w:tcPr>
                  <w:tcW w:w="567" w:type="pct"/>
                  <w:vMerge w:val="restar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水环境</w:t>
                  </w:r>
                </w:p>
              </w:tc>
              <w:tc>
                <w:tcPr>
                  <w:tcW w:w="882" w:type="pct"/>
                  <w:vMerge w:val="restar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通过雨水管排放到附近水体，影响内河涌水质，影响水生环境</w:t>
                  </w:r>
                </w:p>
              </w:tc>
              <w:tc>
                <w:tcPr>
                  <w:tcW w:w="468"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仓库</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应按有关规范设置足够的消防措施，定期对储放设施以及消防进行检查、维护，生产过程中必须按照相关的操作规范和方法进行，加强设备管理。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364"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危险废物泄漏</w:t>
                  </w:r>
                </w:p>
              </w:tc>
              <w:tc>
                <w:tcPr>
                  <w:tcW w:w="596"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kern w:val="0"/>
                      <w:sz w:val="21"/>
                      <w:szCs w:val="21"/>
                      <w:highlight w:val="none"/>
                      <w:lang w:val="zh-CN" w:eastAsia="zh-CN" w:bidi="ar-SA"/>
                    </w:rPr>
                    <w:t xml:space="preserve">泄漏危险废物污染地表水及地下水 </w:t>
                  </w:r>
                </w:p>
              </w:tc>
              <w:tc>
                <w:tcPr>
                  <w:tcW w:w="737"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废润滑油、废切削液、废火花油</w:t>
                  </w:r>
                </w:p>
              </w:tc>
              <w:tc>
                <w:tcPr>
                  <w:tcW w:w="567"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882"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68"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危废暂存间</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危险废物暂存间设置缓坡，做好防渗措施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364" w:type="pct"/>
                  <w:vMerge w:val="restar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火灾、爆炸伴生污染</w:t>
                  </w:r>
                </w:p>
              </w:tc>
              <w:tc>
                <w:tcPr>
                  <w:tcW w:w="596"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kern w:val="2"/>
                      <w:sz w:val="21"/>
                      <w:szCs w:val="21"/>
                      <w:highlight w:val="none"/>
                      <w:lang w:val="en-US" w:eastAsia="zh-CN" w:bidi="ar-SA"/>
                    </w:rPr>
                    <w:t>燃烧烟尘及污染物污染周围大气环境</w:t>
                  </w:r>
                </w:p>
              </w:tc>
              <w:tc>
                <w:tcPr>
                  <w:tcW w:w="73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CO、烟尘</w:t>
                  </w:r>
                </w:p>
              </w:tc>
              <w:tc>
                <w:tcPr>
                  <w:tcW w:w="56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大气环境</w:t>
                  </w:r>
                </w:p>
              </w:tc>
              <w:tc>
                <w:tcPr>
                  <w:tcW w:w="882"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通过燃烧烟气扩散，对周围大气环境造成短时污染</w:t>
                  </w:r>
                </w:p>
              </w:tc>
              <w:tc>
                <w:tcPr>
                  <w:tcW w:w="468" w:type="pct"/>
                  <w:vMerge w:val="restar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车间、原辅料仓、危废暂存间</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防渗材料破裂，贮存容器破损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64"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596"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kern w:val="2"/>
                      <w:sz w:val="21"/>
                      <w:szCs w:val="21"/>
                      <w:highlight w:val="none"/>
                      <w:lang w:val="en-US" w:eastAsia="zh-CN" w:bidi="ar-SA"/>
                    </w:rPr>
                    <w:t>消防废水进入附近水体</w:t>
                  </w:r>
                </w:p>
              </w:tc>
              <w:tc>
                <w:tcPr>
                  <w:tcW w:w="73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COD、SS等</w:t>
                  </w:r>
                </w:p>
              </w:tc>
              <w:tc>
                <w:tcPr>
                  <w:tcW w:w="56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水环境</w:t>
                  </w:r>
                </w:p>
              </w:tc>
              <w:tc>
                <w:tcPr>
                  <w:tcW w:w="882"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通过雨水管对附近内河涌水质造成影响</w:t>
                  </w:r>
                </w:p>
              </w:tc>
              <w:tc>
                <w:tcPr>
                  <w:tcW w:w="468"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落实防止火灾措施，在雨水管网的厂区出口处设置一个闸门，发生事故时及时关闭闸门，防止泄露液体和消防废水流出厂区，将其可能产生的环境影响控制在厂区之内。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jc w:val="center"/>
              </w:trPr>
              <w:tc>
                <w:tcPr>
                  <w:tcW w:w="364"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废气处理设施事故排放</w:t>
                  </w:r>
                </w:p>
              </w:tc>
              <w:tc>
                <w:tcPr>
                  <w:tcW w:w="596"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kern w:val="0"/>
                      <w:sz w:val="21"/>
                      <w:szCs w:val="21"/>
                      <w:highlight w:val="none"/>
                      <w:lang w:val="zh-CN" w:eastAsia="zh-CN" w:bidi="ar-SA"/>
                    </w:rPr>
                    <w:t>未经处理达标的废气直接排入大气中</w:t>
                  </w:r>
                </w:p>
              </w:tc>
              <w:tc>
                <w:tcPr>
                  <w:tcW w:w="737"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非甲烷总烃、</w:t>
                  </w:r>
                  <w:r>
                    <w:rPr>
                      <w:rFonts w:hint="eastAsia" w:ascii="Times New Roman" w:hAnsi="Times New Roman" w:eastAsia="宋体" w:cs="Times New Roman"/>
                      <w:color w:val="auto"/>
                      <w:kern w:val="0"/>
                      <w:sz w:val="21"/>
                      <w:szCs w:val="21"/>
                      <w:highlight w:val="none"/>
                      <w:lang w:val="en-US" w:eastAsia="zh-CN" w:bidi="ar-SA"/>
                    </w:rPr>
                    <w:t>总VOCs</w:t>
                  </w:r>
                  <w:r>
                    <w:rPr>
                      <w:rFonts w:hint="default"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颗粒物</w:t>
                  </w:r>
                </w:p>
              </w:tc>
              <w:tc>
                <w:tcPr>
                  <w:tcW w:w="56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大气环境</w:t>
                  </w:r>
                </w:p>
              </w:tc>
              <w:tc>
                <w:tcPr>
                  <w:tcW w:w="882"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废气处理设施部分出现故障，生产过程中产生的废气不能及时处理直接排放到大气</w:t>
                  </w:r>
                </w:p>
              </w:tc>
              <w:tc>
                <w:tcPr>
                  <w:tcW w:w="468"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废气处理设施</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加强检修，发现事故情况立即停止生产</w:t>
                  </w:r>
                </w:p>
              </w:tc>
            </w:tr>
          </w:tbl>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（3）风险防范措施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①危险废物贮存风险事故防范措施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本项目生产过程中将产生一定量的危险废物，为了最大限度减少项目对周围环境的风险，危险废物处置的管理应符合国家、地区或地方的相关要求。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②废气事故排放风险防范措施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废气事故排放情况下，即有机废气不经活性炭吸附装置处理而直接在高空排放，对周边的大气环境有一定的影响。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为避免出现事故排放，建设单位应建立健全环保管理机制和各项环保规章制度，落实岗位环保责任制，加强环境风险防范工作，防止事故排放导致环境问题，避免出现废水和废气处理事故排放，防止废水处理设施与废气处理设施事故性失效，要求加强对废水处理设施、废气处理设施的日常运行管理，加强对操作人员的岗位培训，确保废水、废气稳定达标排放，杜绝事故性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③泄漏、火灾事故防范措施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当发生火灾事故时，在火灾的灭火过程中，消防喷水、泡沫喷淋等均会产生废水，以上消防废液若直接排入地表水体，含高浓度的消防排水势必对水体造成不利的影响。为预防和减少突发环境事件的发生，控制、减轻和消除突发环境事件引起的危害，规范突发环境事件应急管理工作，保障公众生命、环境和财产的安全。本次评价要求项目在生产运营过程中要注意做好贮存、操作、管理等各项安全措施，以确保人身的安全及环境的维护。</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●应加强车间内的通风次数；</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●采购有证企业生产的合格产品，不得靠近热源和明火，保证周围环境通风、干燥；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●当发生泄漏时，应迅速撤离泄漏污染区人员至上风处，并进行隔离，严格限制出入，并切断火源；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●指导群众向上风方向疏散，减少吸入火灾烟气，从末端控制污染物，减少火灾大气污染物伤害；</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●在雨水管网、污水管网的厂区出口处设置闸门，发生事故时及时关闭闸门，防止消防废水流出厂区，将其可能产生的环境影响控制在厂区之内，从传播途径控制污染物，减少火灾水污染物扩散范围；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●在事故发生位置四周用装满沙土的袋子围成围堰拦截消防废水，并在厂内采取导流方式将消防废水统一收集，集中处理，消除安全隐患后交由有资质单位处理，从末端处理污染物，减少火灾水污染物排放。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（4）风险分析结论</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FF0000"/>
              </w:rPr>
            </w:pPr>
            <w:r>
              <w:rPr>
                <w:rFonts w:hint="default" w:ascii="Times New Roman" w:hAnsi="Times New Roman" w:eastAsia="宋体" w:cs="Times New Roman"/>
                <w:color w:val="FF0000"/>
              </w:rPr>
              <w:t>①本项目建成后制定有效的风险事故应急预案，并向所在地生态环境主管部门备案，把可能发生风险事故造成的危害降到最低程度。重点保护对象为项目周围居住区、村民点、机关单位等。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FF0000"/>
              </w:rPr>
              <w:t>②定期对有关人员进行事故应急培训、教育，提高发生事故时的应急处理能力。</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建设单位将严格采取实施上述提出的要求措施后，可有效防止项目产生的污染物进入环境，有效降低了对周围环境存在的风险影响。并且通过上述措施，建设单位可将生物危害和毒性危害控制在可接受的范围内，不会人体、周围敏感点及水体、大气、土壤等造成明显危害。项目运营期厂区内不存在重大风险源，控制措施有效，环境风险可接受。</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宋体"/>
                <w:color w:val="auto"/>
                <w:kern w:val="2"/>
                <w:sz w:val="24"/>
                <w:szCs w:val="24"/>
                <w:lang w:val="en-US" w:eastAsia="zh-CN" w:bidi="ar-SA"/>
              </w:rPr>
            </w:pP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rPr>
          <w:rFonts w:hint="eastAsia" w:eastAsia="宋体"/>
          <w:color w:val="auto"/>
          <w:lang w:eastAsia="zh-CN"/>
        </w:rPr>
      </w:pPr>
      <w:r>
        <w:rPr>
          <w:rFonts w:hint="eastAsia"/>
          <w:color w:val="auto"/>
        </w:rPr>
        <w:t>五、</w:t>
      </w:r>
      <w:r>
        <w:rPr>
          <w:color w:val="auto"/>
        </w:rPr>
        <w:t>环境保护措施监督检查清单</w:t>
      </w:r>
    </w:p>
    <w:tbl>
      <w:tblPr>
        <w:tblStyle w:val="29"/>
        <w:tblW w:w="498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4"/>
        <w:gridCol w:w="795"/>
        <w:gridCol w:w="1005"/>
        <w:gridCol w:w="1275"/>
        <w:gridCol w:w="2595"/>
        <w:gridCol w:w="33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19" w:type="pct"/>
            <w:tcBorders>
              <w:tl2br w:val="single" w:color="auto" w:sz="4" w:space="0"/>
            </w:tcBorders>
            <w:noWrap/>
          </w:tcPr>
          <w:p>
            <w:pPr>
              <w:adjustRightInd w:val="0"/>
              <w:snapToGrid w:val="0"/>
              <w:spacing w:line="240" w:lineRule="auto"/>
              <w:rPr>
                <w:color w:val="auto"/>
                <w:szCs w:val="21"/>
              </w:rPr>
            </w:pPr>
            <w:r>
              <w:rPr>
                <w:color w:val="auto"/>
                <w:szCs w:val="21"/>
              </w:rPr>
              <w:t>内容</w:t>
            </w:r>
          </w:p>
          <w:p>
            <w:pPr>
              <w:adjustRightInd w:val="0"/>
              <w:snapToGrid w:val="0"/>
              <w:spacing w:line="240" w:lineRule="auto"/>
              <w:rPr>
                <w:color w:val="auto"/>
                <w:szCs w:val="21"/>
              </w:rPr>
            </w:pPr>
            <w:r>
              <w:rPr>
                <w:color w:val="auto"/>
                <w:szCs w:val="21"/>
              </w:rPr>
              <w:t>要素</w:t>
            </w:r>
          </w:p>
        </w:tc>
        <w:tc>
          <w:tcPr>
            <w:tcW w:w="916" w:type="pct"/>
            <w:gridSpan w:val="2"/>
            <w:noWrap/>
            <w:vAlign w:val="center"/>
          </w:tcPr>
          <w:p>
            <w:pPr>
              <w:adjustRightInd w:val="0"/>
              <w:snapToGrid w:val="0"/>
              <w:spacing w:line="240" w:lineRule="auto"/>
              <w:jc w:val="center"/>
              <w:rPr>
                <w:color w:val="auto"/>
                <w:szCs w:val="21"/>
              </w:rPr>
            </w:pPr>
            <w:r>
              <w:rPr>
                <w:color w:val="auto"/>
                <w:szCs w:val="21"/>
              </w:rPr>
              <w:t>排放口(编号、</w:t>
            </w:r>
          </w:p>
          <w:p>
            <w:pPr>
              <w:adjustRightInd w:val="0"/>
              <w:snapToGrid w:val="0"/>
              <w:spacing w:line="240" w:lineRule="auto"/>
              <w:jc w:val="center"/>
              <w:rPr>
                <w:color w:val="auto"/>
                <w:szCs w:val="21"/>
              </w:rPr>
            </w:pPr>
            <w:r>
              <w:rPr>
                <w:color w:val="auto"/>
                <w:szCs w:val="21"/>
              </w:rPr>
              <w:t>名称)/污染源</w:t>
            </w:r>
          </w:p>
        </w:tc>
        <w:tc>
          <w:tcPr>
            <w:tcW w:w="649" w:type="pct"/>
            <w:noWrap/>
            <w:vAlign w:val="center"/>
          </w:tcPr>
          <w:p>
            <w:pPr>
              <w:adjustRightInd w:val="0"/>
              <w:snapToGrid w:val="0"/>
              <w:spacing w:line="240" w:lineRule="auto"/>
              <w:jc w:val="center"/>
              <w:rPr>
                <w:color w:val="auto"/>
                <w:szCs w:val="21"/>
              </w:rPr>
            </w:pPr>
            <w:r>
              <w:rPr>
                <w:color w:val="auto"/>
                <w:szCs w:val="21"/>
              </w:rPr>
              <w:t>污染物项目</w:t>
            </w:r>
          </w:p>
        </w:tc>
        <w:tc>
          <w:tcPr>
            <w:tcW w:w="1321" w:type="pct"/>
            <w:noWrap/>
            <w:vAlign w:val="center"/>
          </w:tcPr>
          <w:p>
            <w:pPr>
              <w:adjustRightInd w:val="0"/>
              <w:snapToGrid w:val="0"/>
              <w:spacing w:line="240" w:lineRule="auto"/>
              <w:jc w:val="center"/>
              <w:rPr>
                <w:color w:val="auto"/>
                <w:szCs w:val="21"/>
              </w:rPr>
            </w:pPr>
            <w:r>
              <w:rPr>
                <w:color w:val="auto"/>
                <w:szCs w:val="21"/>
              </w:rPr>
              <w:t>环境保护措施</w:t>
            </w:r>
          </w:p>
        </w:tc>
        <w:tc>
          <w:tcPr>
            <w:tcW w:w="1693" w:type="pct"/>
            <w:noWrap/>
            <w:vAlign w:val="center"/>
          </w:tcPr>
          <w:p>
            <w:pPr>
              <w:adjustRightInd w:val="0"/>
              <w:snapToGrid w:val="0"/>
              <w:spacing w:line="240" w:lineRule="auto"/>
              <w:jc w:val="center"/>
              <w:rPr>
                <w:color w:val="auto"/>
                <w:szCs w:val="21"/>
              </w:rPr>
            </w:pPr>
            <w:r>
              <w:rPr>
                <w:color w:val="auto"/>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restart"/>
            <w:noWrap/>
            <w:vAlign w:val="center"/>
          </w:tcPr>
          <w:p>
            <w:pPr>
              <w:adjustRightInd w:val="0"/>
              <w:snapToGrid w:val="0"/>
              <w:spacing w:line="240" w:lineRule="auto"/>
              <w:jc w:val="center"/>
              <w:rPr>
                <w:color w:val="auto"/>
                <w:szCs w:val="21"/>
              </w:rPr>
            </w:pPr>
            <w:r>
              <w:rPr>
                <w:color w:val="auto"/>
                <w:szCs w:val="21"/>
              </w:rPr>
              <w:t>大气环境</w:t>
            </w:r>
          </w:p>
        </w:tc>
        <w:tc>
          <w:tcPr>
            <w:tcW w:w="916" w:type="pct"/>
            <w:gridSpan w:val="2"/>
            <w:vMerge w:val="restar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lang w:val="en-US" w:eastAsia="zh-CN" w:bidi="ar-SA"/>
              </w:rPr>
            </w:pPr>
            <w:r>
              <w:rPr>
                <w:rFonts w:hint="eastAsia" w:cs="Times New Roman"/>
                <w:bCs/>
                <w:color w:val="BF9000" w:themeColor="accent4" w:themeShade="BF"/>
                <w:lang w:val="en-US" w:eastAsia="zh-CN"/>
              </w:rPr>
              <w:t>注塑及焊接废气排放口</w:t>
            </w:r>
          </w:p>
        </w:tc>
        <w:tc>
          <w:tcPr>
            <w:tcW w:w="649"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lang w:val="en-US" w:eastAsia="zh-CN" w:bidi="ar-SA"/>
              </w:rPr>
            </w:pPr>
            <w:r>
              <w:rPr>
                <w:rFonts w:hint="eastAsia" w:cs="Times New Roman"/>
                <w:bCs/>
                <w:color w:val="BF9000" w:themeColor="accent4" w:themeShade="BF"/>
                <w:lang w:val="en-US" w:eastAsia="zh-CN"/>
              </w:rPr>
              <w:t>非甲烷总烃</w:t>
            </w:r>
          </w:p>
        </w:tc>
        <w:tc>
          <w:tcPr>
            <w:tcW w:w="1321"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lang w:val="en-US" w:eastAsia="zh-CN" w:bidi="ar-SA"/>
              </w:rPr>
            </w:pPr>
            <w:r>
              <w:rPr>
                <w:rFonts w:hint="eastAsia" w:ascii="Times New Roman" w:hAnsi="Times New Roman" w:eastAsia="宋体" w:cs="Times New Roman"/>
                <w:bCs/>
                <w:color w:val="BF9000" w:themeColor="accent4" w:themeShade="BF"/>
              </w:rPr>
              <w:t>“</w:t>
            </w:r>
            <w:r>
              <w:rPr>
                <w:rFonts w:hint="eastAsia" w:ascii="Times New Roman" w:hAnsi="Times New Roman" w:eastAsia="宋体" w:cs="Times New Roman"/>
                <w:bCs/>
                <w:color w:val="BF9000" w:themeColor="accent4" w:themeShade="BF"/>
                <w:lang w:val="en-US" w:eastAsia="zh-CN"/>
              </w:rPr>
              <w:t>水喷淋+干式过滤器+</w:t>
            </w:r>
            <w:r>
              <w:rPr>
                <w:rFonts w:hint="eastAsia" w:cs="Times New Roman"/>
                <w:bCs/>
                <w:color w:val="BF9000" w:themeColor="accent4" w:themeShade="BF"/>
                <w:lang w:val="en-US" w:eastAsia="zh-CN"/>
              </w:rPr>
              <w:t>二级活性炭装置</w:t>
            </w:r>
            <w:r>
              <w:rPr>
                <w:rFonts w:hint="eastAsia" w:ascii="Times New Roman" w:hAnsi="Times New Roman" w:eastAsia="宋体" w:cs="Times New Roman"/>
                <w:bCs/>
                <w:color w:val="BF9000" w:themeColor="accent4" w:themeShade="BF"/>
              </w:rPr>
              <w:t>”+</w:t>
            </w:r>
            <w:r>
              <w:rPr>
                <w:rFonts w:hint="eastAsia" w:cs="Times New Roman"/>
                <w:bCs/>
                <w:color w:val="BF9000" w:themeColor="accent4" w:themeShade="BF"/>
                <w:lang w:val="en-US" w:eastAsia="zh-CN"/>
              </w:rPr>
              <w:t>15m</w:t>
            </w:r>
            <w:r>
              <w:rPr>
                <w:rFonts w:hint="eastAsia" w:ascii="Times New Roman" w:hAnsi="Times New Roman" w:eastAsia="宋体" w:cs="Times New Roman"/>
                <w:bCs/>
                <w:color w:val="BF9000" w:themeColor="accent4" w:themeShade="BF"/>
              </w:rPr>
              <w:t>排气筒（DA00</w:t>
            </w:r>
            <w:r>
              <w:rPr>
                <w:rFonts w:hint="eastAsia" w:cs="Times New Roman"/>
                <w:bCs/>
                <w:color w:val="BF9000" w:themeColor="accent4" w:themeShade="BF"/>
                <w:lang w:val="en-US" w:eastAsia="zh-CN"/>
              </w:rPr>
              <w:t>1</w:t>
            </w:r>
            <w:r>
              <w:rPr>
                <w:rFonts w:hint="eastAsia" w:ascii="Times New Roman" w:hAnsi="Times New Roman" w:eastAsia="宋体" w:cs="Times New Roman"/>
                <w:bCs/>
                <w:color w:val="BF9000" w:themeColor="accent4" w:themeShade="BF"/>
              </w:rPr>
              <w:t>）</w:t>
            </w: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sz w:val="24"/>
                <w:szCs w:val="24"/>
                <w:lang w:val="en-US" w:eastAsia="zh-CN"/>
              </w:rPr>
            </w:pPr>
            <w:r>
              <w:rPr>
                <w:rFonts w:hint="eastAsia" w:ascii="Times New Roman" w:hAnsi="Times New Roman" w:eastAsia="宋体" w:cs="Times New Roman"/>
                <w:bCs/>
                <w:color w:val="BF9000" w:themeColor="accent4" w:themeShade="BF"/>
                <w:sz w:val="24"/>
                <w:szCs w:val="24"/>
                <w:lang w:val="en-US" w:eastAsia="zh-CN"/>
              </w:rPr>
              <w:t>《合成树脂工业污染物排放标准》（GB31572-2015）中表5污染物特别排放限值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vMerge w:val="continue"/>
            <w:noWrap/>
            <w:vAlign w:val="center"/>
          </w:tcPr>
          <w:p>
            <w:pPr>
              <w:adjustRightInd w:val="0"/>
              <w:snapToGrid w:val="0"/>
              <w:spacing w:line="240" w:lineRule="auto"/>
              <w:jc w:val="center"/>
              <w:rPr>
                <w:rFonts w:hint="eastAsia" w:cs="Times New Roman"/>
                <w:bCs/>
                <w:color w:val="BF9000" w:themeColor="accent4" w:themeShade="BF"/>
                <w:lang w:val="en-US" w:eastAsia="zh-CN"/>
              </w:rPr>
            </w:pPr>
          </w:p>
        </w:tc>
        <w:tc>
          <w:tcPr>
            <w:tcW w:w="649" w:type="pct"/>
            <w:noWrap/>
            <w:vAlign w:val="center"/>
          </w:tcPr>
          <w:p>
            <w:pPr>
              <w:adjustRightInd w:val="0"/>
              <w:snapToGrid w:val="0"/>
              <w:spacing w:line="240" w:lineRule="auto"/>
              <w:jc w:val="center"/>
              <w:rPr>
                <w:rFonts w:hint="default" w:cs="Times New Roman"/>
                <w:bCs/>
                <w:color w:val="BF9000" w:themeColor="accent4" w:themeShade="BF"/>
                <w:lang w:val="en-US" w:eastAsia="zh-CN"/>
              </w:rPr>
            </w:pPr>
            <w:r>
              <w:rPr>
                <w:rFonts w:hint="eastAsia" w:cs="Times New Roman"/>
                <w:bCs/>
                <w:color w:val="BF9000" w:themeColor="accent4" w:themeShade="BF"/>
                <w:lang w:val="en-US" w:eastAsia="zh-CN"/>
              </w:rPr>
              <w:t>臭气浓度</w:t>
            </w:r>
          </w:p>
        </w:tc>
        <w:tc>
          <w:tcPr>
            <w:tcW w:w="132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rPr>
            </w:pP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sz w:val="24"/>
                <w:szCs w:val="24"/>
                <w:lang w:val="en-US" w:eastAsia="zh-CN"/>
              </w:rPr>
            </w:pPr>
            <w:r>
              <w:rPr>
                <w:rFonts w:hint="eastAsia" w:ascii="Times New Roman" w:hAnsi="Times New Roman" w:eastAsia="宋体" w:cs="Times New Roman"/>
                <w:bCs/>
                <w:color w:val="BF9000" w:themeColor="accent4" w:themeShade="BF"/>
                <w:sz w:val="24"/>
                <w:szCs w:val="24"/>
                <w:lang w:val="en-US" w:eastAsia="zh-CN"/>
              </w:rPr>
              <w:t xml:space="preserve"> 《恶臭污染物排放标准》</w:t>
            </w:r>
            <w:r>
              <w:rPr>
                <w:rFonts w:hint="eastAsia" w:ascii="Times New Roman" w:hAnsi="Times New Roman" w:cs="Times New Roman"/>
                <w:bCs/>
                <w:color w:val="BF9000" w:themeColor="accent4" w:themeShade="BF"/>
                <w:sz w:val="24"/>
                <w:szCs w:val="24"/>
                <w:lang w:val="en-US" w:eastAsia="zh-CN"/>
              </w:rPr>
              <w:t>（</w:t>
            </w:r>
            <w:r>
              <w:rPr>
                <w:rFonts w:hint="eastAsia" w:ascii="Times New Roman" w:hAnsi="Times New Roman" w:eastAsia="宋体" w:cs="Times New Roman"/>
                <w:bCs/>
                <w:color w:val="BF9000" w:themeColor="accent4" w:themeShade="BF"/>
                <w:sz w:val="24"/>
                <w:szCs w:val="24"/>
                <w:lang w:val="en-US" w:eastAsia="zh-CN"/>
              </w:rPr>
              <w:t>GB14554-93</w:t>
            </w:r>
            <w:r>
              <w:rPr>
                <w:rFonts w:hint="eastAsia" w:ascii="Times New Roman" w:hAnsi="Times New Roman" w:cs="Times New Roman"/>
                <w:bCs/>
                <w:color w:val="BF9000" w:themeColor="accent4" w:themeShade="BF"/>
                <w:sz w:val="24"/>
                <w:szCs w:val="24"/>
                <w:lang w:val="en-US" w:eastAsia="zh-CN"/>
              </w:rPr>
              <w:t>）表2二级标准中的新改扩建标准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highlight w:val="none"/>
                <w:lang w:val="en-US" w:eastAsia="zh-CN" w:bidi="ar-SA"/>
              </w:rPr>
            </w:pPr>
            <w:r>
              <w:rPr>
                <w:rFonts w:hint="eastAsia" w:cs="Times New Roman"/>
                <w:bCs/>
                <w:color w:val="BF9000" w:themeColor="accent4" w:themeShade="BF"/>
                <w:highlight w:val="none"/>
                <w:lang w:val="en-US" w:eastAsia="zh-CN"/>
              </w:rPr>
              <w:t>混料及破碎</w:t>
            </w:r>
            <w:r>
              <w:rPr>
                <w:rFonts w:hint="eastAsia" w:ascii="Times New Roman" w:hAnsi="Times New Roman" w:eastAsia="宋体" w:cs="Times New Roman"/>
                <w:bCs/>
                <w:color w:val="BF9000" w:themeColor="accent4" w:themeShade="BF"/>
                <w:highlight w:val="none"/>
              </w:rPr>
              <w:t>排放口</w:t>
            </w:r>
          </w:p>
        </w:tc>
        <w:tc>
          <w:tcPr>
            <w:tcW w:w="649"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highlight w:val="none"/>
                <w:lang w:val="en-US" w:eastAsia="zh-CN" w:bidi="ar-SA"/>
              </w:rPr>
            </w:pPr>
            <w:r>
              <w:rPr>
                <w:rFonts w:hint="eastAsia" w:cs="Times New Roman"/>
                <w:bCs/>
                <w:color w:val="BF9000" w:themeColor="accent4" w:themeShade="BF"/>
                <w:highlight w:val="none"/>
                <w:lang w:val="en-US" w:eastAsia="zh-CN"/>
              </w:rPr>
              <w:t>颗粒物</w:t>
            </w:r>
          </w:p>
        </w:tc>
        <w:tc>
          <w:tcPr>
            <w:tcW w:w="1321"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highlight w:val="none"/>
                <w:lang w:val="en-US" w:eastAsia="zh-CN" w:bidi="ar-SA"/>
              </w:rPr>
            </w:pPr>
            <w:r>
              <w:rPr>
                <w:rFonts w:hint="eastAsia" w:ascii="Times New Roman" w:hAnsi="Times New Roman" w:eastAsia="宋体" w:cs="Times New Roman"/>
                <w:bCs/>
                <w:color w:val="BF9000" w:themeColor="accent4" w:themeShade="BF"/>
                <w:highlight w:val="none"/>
              </w:rPr>
              <w:t>“</w:t>
            </w:r>
            <w:r>
              <w:rPr>
                <w:rFonts w:hint="eastAsia" w:cs="Times New Roman"/>
                <w:bCs/>
                <w:color w:val="BF9000" w:themeColor="accent4" w:themeShade="BF"/>
                <w:highlight w:val="none"/>
                <w:lang w:val="en-US" w:eastAsia="zh-CN"/>
              </w:rPr>
              <w:t>布袋除尘器</w:t>
            </w:r>
            <w:r>
              <w:rPr>
                <w:rFonts w:hint="eastAsia" w:ascii="Times New Roman" w:hAnsi="Times New Roman" w:eastAsia="宋体" w:cs="Times New Roman"/>
                <w:bCs/>
                <w:color w:val="BF9000" w:themeColor="accent4" w:themeShade="BF"/>
                <w:highlight w:val="none"/>
              </w:rPr>
              <w:t>”</w:t>
            </w:r>
            <w:r>
              <w:rPr>
                <w:rFonts w:hint="eastAsia" w:cs="Times New Roman"/>
                <w:bCs/>
                <w:color w:val="BF9000" w:themeColor="accent4" w:themeShade="BF"/>
                <w:highlight w:val="none"/>
                <w:lang w:val="en-US" w:eastAsia="zh-CN"/>
              </w:rPr>
              <w:t>处理</w:t>
            </w:r>
            <w:r>
              <w:rPr>
                <w:rFonts w:hint="eastAsia" w:ascii="Times New Roman" w:hAnsi="Times New Roman" w:eastAsia="宋体" w:cs="Times New Roman"/>
                <w:bCs/>
                <w:color w:val="BF9000" w:themeColor="accent4" w:themeShade="BF"/>
                <w:highlight w:val="none"/>
              </w:rPr>
              <w:t>+</w:t>
            </w:r>
            <w:r>
              <w:rPr>
                <w:rFonts w:hint="eastAsia" w:cs="Times New Roman"/>
                <w:bCs/>
                <w:color w:val="BF9000" w:themeColor="accent4" w:themeShade="BF"/>
                <w:highlight w:val="none"/>
                <w:lang w:val="en-US" w:eastAsia="zh-CN"/>
              </w:rPr>
              <w:t>15m</w:t>
            </w:r>
            <w:r>
              <w:rPr>
                <w:rFonts w:hint="eastAsia" w:ascii="Times New Roman" w:hAnsi="Times New Roman" w:eastAsia="宋体" w:cs="Times New Roman"/>
                <w:bCs/>
                <w:color w:val="BF9000" w:themeColor="accent4" w:themeShade="BF"/>
                <w:highlight w:val="none"/>
              </w:rPr>
              <w:t>排气筒（DA00</w:t>
            </w:r>
            <w:r>
              <w:rPr>
                <w:rFonts w:hint="eastAsia" w:cs="Times New Roman"/>
                <w:bCs/>
                <w:color w:val="BF9000" w:themeColor="accent4" w:themeShade="BF"/>
                <w:highlight w:val="none"/>
                <w:lang w:val="en-US" w:eastAsia="zh-CN"/>
              </w:rPr>
              <w:t>2</w:t>
            </w:r>
            <w:r>
              <w:rPr>
                <w:rFonts w:hint="eastAsia" w:ascii="Times New Roman" w:hAnsi="Times New Roman" w:eastAsia="宋体" w:cs="Times New Roman"/>
                <w:bCs/>
                <w:color w:val="BF9000" w:themeColor="accent4" w:themeShade="BF"/>
                <w:highlight w:val="none"/>
              </w:rPr>
              <w:t>）</w:t>
            </w: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sz w:val="24"/>
                <w:szCs w:val="24"/>
                <w:highlight w:val="none"/>
                <w:lang w:val="en-US" w:eastAsia="zh-CN"/>
              </w:rPr>
            </w:pPr>
            <w:r>
              <w:rPr>
                <w:rFonts w:hint="eastAsia" w:ascii="Times New Roman" w:hAnsi="Times New Roman" w:eastAsia="宋体" w:cs="Times New Roman"/>
                <w:bCs/>
                <w:color w:val="BF9000" w:themeColor="accent4" w:themeShade="BF"/>
                <w:sz w:val="24"/>
                <w:szCs w:val="24"/>
                <w:highlight w:val="none"/>
                <w:lang w:val="en-US" w:eastAsia="zh-CN"/>
              </w:rPr>
              <w:t>《合成树脂工业污染物排放标准》（GB31572-2015）中表5污染物特别排放限值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vMerge w:val="restart"/>
            <w:noWrap/>
            <w:vAlign w:val="center"/>
          </w:tcPr>
          <w:p>
            <w:pPr>
              <w:adjustRightInd w:val="0"/>
              <w:snapToGrid w:val="0"/>
              <w:spacing w:line="240" w:lineRule="auto"/>
              <w:jc w:val="center"/>
              <w:rPr>
                <w:rFonts w:hint="default" w:cs="Times New Roman"/>
                <w:bCs/>
                <w:color w:val="BF9000" w:themeColor="accent4" w:themeShade="BF"/>
                <w:lang w:val="en-US" w:eastAsia="zh-CN"/>
              </w:rPr>
            </w:pPr>
            <w:r>
              <w:rPr>
                <w:rFonts w:hint="eastAsia" w:cs="Times New Roman"/>
                <w:bCs/>
                <w:color w:val="BF9000" w:themeColor="accent4" w:themeShade="BF"/>
                <w:lang w:val="en-US" w:eastAsia="zh-CN"/>
              </w:rPr>
              <w:t>喷漆及丝印废气排放口</w:t>
            </w:r>
          </w:p>
        </w:tc>
        <w:tc>
          <w:tcPr>
            <w:tcW w:w="649" w:type="pct"/>
            <w:noWrap/>
            <w:vAlign w:val="center"/>
          </w:tcPr>
          <w:p>
            <w:pPr>
              <w:adjustRightInd w:val="0"/>
              <w:snapToGrid w:val="0"/>
              <w:spacing w:line="240" w:lineRule="auto"/>
              <w:jc w:val="center"/>
              <w:rPr>
                <w:rFonts w:hint="default" w:cs="Times New Roman"/>
                <w:bCs/>
                <w:color w:val="BF9000" w:themeColor="accent4" w:themeShade="BF"/>
                <w:lang w:val="en-US" w:eastAsia="zh-CN"/>
              </w:rPr>
            </w:pPr>
            <w:r>
              <w:rPr>
                <w:rFonts w:hint="eastAsia" w:cs="Times New Roman"/>
                <w:bCs/>
                <w:color w:val="BF9000" w:themeColor="accent4" w:themeShade="BF"/>
                <w:lang w:val="en-US" w:eastAsia="zh-CN"/>
              </w:rPr>
              <w:t>颗粒物</w:t>
            </w:r>
          </w:p>
        </w:tc>
        <w:tc>
          <w:tcPr>
            <w:tcW w:w="1321"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rPr>
            </w:pPr>
            <w:r>
              <w:rPr>
                <w:rFonts w:hint="eastAsia" w:cs="Times New Roman"/>
                <w:bCs/>
                <w:color w:val="BF9000" w:themeColor="accent4" w:themeShade="BF"/>
                <w:lang w:val="en-US" w:eastAsia="zh-CN"/>
              </w:rPr>
              <w:t>喷漆产生的漆雾经水帘柜预处理后，与喷漆及烘烤、丝印及烘烤产生的有机废气一并经一套</w:t>
            </w:r>
            <w:r>
              <w:rPr>
                <w:rFonts w:hint="eastAsia" w:cs="Times New Roman"/>
                <w:bCs/>
                <w:color w:val="BF9000" w:themeColor="accent4" w:themeShade="BF"/>
                <w:lang w:eastAsia="zh-CN"/>
              </w:rPr>
              <w:t>“</w:t>
            </w:r>
            <w:r>
              <w:rPr>
                <w:rFonts w:hint="eastAsia" w:ascii="Times New Roman" w:hAnsi="Times New Roman" w:eastAsia="宋体" w:cs="Times New Roman"/>
                <w:bCs/>
                <w:color w:val="BF9000" w:themeColor="accent4" w:themeShade="BF"/>
              </w:rPr>
              <w:t>水喷淋+干式过滤器+二级活性炭吸附装置</w:t>
            </w:r>
            <w:r>
              <w:rPr>
                <w:rFonts w:hint="eastAsia" w:cs="Times New Roman"/>
                <w:bCs/>
                <w:color w:val="BF9000" w:themeColor="accent4" w:themeShade="BF"/>
                <w:lang w:eastAsia="zh-CN"/>
              </w:rPr>
              <w:t>”</w:t>
            </w:r>
            <w:r>
              <w:rPr>
                <w:rFonts w:hint="eastAsia" w:cs="Times New Roman"/>
                <w:bCs/>
                <w:color w:val="BF9000" w:themeColor="accent4" w:themeShade="BF"/>
                <w:lang w:val="en-US" w:eastAsia="zh-CN"/>
              </w:rPr>
              <w:t>处理</w:t>
            </w:r>
            <w:r>
              <w:rPr>
                <w:rFonts w:hint="eastAsia" w:ascii="Times New Roman" w:hAnsi="Times New Roman" w:eastAsia="宋体" w:cs="Times New Roman"/>
                <w:bCs/>
                <w:color w:val="BF9000" w:themeColor="accent4" w:themeShade="BF"/>
              </w:rPr>
              <w:t>+</w:t>
            </w:r>
            <w:r>
              <w:rPr>
                <w:rFonts w:hint="eastAsia" w:cs="Times New Roman"/>
                <w:bCs/>
                <w:color w:val="BF9000" w:themeColor="accent4" w:themeShade="BF"/>
                <w:lang w:val="en-US" w:eastAsia="zh-CN"/>
              </w:rPr>
              <w:t>15m</w:t>
            </w:r>
            <w:r>
              <w:rPr>
                <w:rFonts w:hint="eastAsia" w:ascii="Times New Roman" w:hAnsi="Times New Roman" w:eastAsia="宋体" w:cs="Times New Roman"/>
                <w:bCs/>
                <w:color w:val="BF9000" w:themeColor="accent4" w:themeShade="BF"/>
              </w:rPr>
              <w:t>排气筒（DA00</w:t>
            </w:r>
            <w:r>
              <w:rPr>
                <w:rFonts w:hint="eastAsia" w:cs="Times New Roman"/>
                <w:bCs/>
                <w:color w:val="BF9000" w:themeColor="accent4" w:themeShade="BF"/>
                <w:lang w:val="en-US" w:eastAsia="zh-CN"/>
              </w:rPr>
              <w:t>3</w:t>
            </w:r>
            <w:r>
              <w:rPr>
                <w:rFonts w:hint="eastAsia" w:ascii="Times New Roman" w:hAnsi="Times New Roman" w:eastAsia="宋体" w:cs="Times New Roman"/>
                <w:bCs/>
                <w:color w:val="BF9000" w:themeColor="accent4" w:themeShade="BF"/>
              </w:rPr>
              <w:t>）</w:t>
            </w: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sz w:val="24"/>
                <w:szCs w:val="24"/>
                <w:lang w:val="en-US" w:eastAsia="zh-CN"/>
              </w:rPr>
            </w:pPr>
            <w:r>
              <w:rPr>
                <w:rFonts w:hint="eastAsia" w:ascii="Times New Roman" w:hAnsi="Times New Roman" w:eastAsia="宋体" w:cs="Times New Roman"/>
                <w:bCs/>
                <w:color w:val="BF9000" w:themeColor="accent4" w:themeShade="BF"/>
                <w:sz w:val="24"/>
                <w:szCs w:val="24"/>
                <w:lang w:val="en-US" w:eastAsia="zh-CN"/>
              </w:rPr>
              <w:t>广东省地方标准《大气污染物排放限值》（DB44/27-2001）中第二时段二级标准限值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vMerge w:val="continue"/>
            <w:noWrap/>
            <w:vAlign w:val="center"/>
          </w:tcPr>
          <w:p>
            <w:pPr>
              <w:adjustRightInd w:val="0"/>
              <w:snapToGrid w:val="0"/>
              <w:spacing w:line="240" w:lineRule="auto"/>
              <w:jc w:val="center"/>
              <w:rPr>
                <w:rFonts w:hint="eastAsia" w:cs="Times New Roman"/>
                <w:bCs/>
                <w:color w:val="BF9000" w:themeColor="accent4" w:themeShade="BF"/>
                <w:lang w:val="en-US" w:eastAsia="zh-CN"/>
              </w:rPr>
            </w:pPr>
          </w:p>
        </w:tc>
        <w:tc>
          <w:tcPr>
            <w:tcW w:w="649" w:type="pct"/>
            <w:noWrap/>
            <w:vAlign w:val="center"/>
          </w:tcPr>
          <w:p>
            <w:pPr>
              <w:adjustRightInd w:val="0"/>
              <w:snapToGrid w:val="0"/>
              <w:spacing w:line="240" w:lineRule="auto"/>
              <w:jc w:val="center"/>
              <w:rPr>
                <w:rFonts w:hint="eastAsia" w:cs="Times New Roman"/>
                <w:bCs/>
                <w:color w:val="BF9000" w:themeColor="accent4" w:themeShade="BF"/>
                <w:lang w:val="en-US" w:eastAsia="zh-CN"/>
              </w:rPr>
            </w:pPr>
            <w:r>
              <w:rPr>
                <w:rFonts w:hint="eastAsia" w:cs="Times New Roman"/>
                <w:bCs/>
                <w:color w:val="BF9000" w:themeColor="accent4" w:themeShade="BF"/>
                <w:lang w:val="en-US" w:eastAsia="zh-CN"/>
              </w:rPr>
              <w:t>总VOCs</w:t>
            </w:r>
          </w:p>
        </w:tc>
        <w:tc>
          <w:tcPr>
            <w:tcW w:w="132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rPr>
            </w:pPr>
          </w:p>
        </w:tc>
        <w:tc>
          <w:tcPr>
            <w:tcW w:w="1693" w:type="pct"/>
            <w:noWrap/>
            <w:vAlign w:val="center"/>
          </w:tcPr>
          <w:p>
            <w:pPr>
              <w:adjustRightInd w:val="0"/>
              <w:snapToGrid w:val="0"/>
              <w:spacing w:line="240" w:lineRule="auto"/>
              <w:jc w:val="center"/>
              <w:rPr>
                <w:rFonts w:hint="default" w:ascii="Times New Roman" w:hAnsi="Times New Roman" w:eastAsia="宋体" w:cs="Times New Roman"/>
                <w:bCs/>
                <w:color w:val="BF9000" w:themeColor="accent4" w:themeShade="BF"/>
                <w:sz w:val="24"/>
                <w:szCs w:val="24"/>
                <w:lang w:val="en-US" w:eastAsia="zh-CN"/>
              </w:rPr>
            </w:pPr>
            <w:r>
              <w:rPr>
                <w:rFonts w:hint="eastAsia"/>
                <w:color w:val="BF9000" w:themeColor="accent4" w:themeShade="BF"/>
                <w:sz w:val="24"/>
                <w:szCs w:val="24"/>
                <w:highlight w:val="none"/>
                <w:lang w:val="en-US" w:eastAsia="zh-CN"/>
              </w:rPr>
              <w:t>《印刷行业挥发性有机化合物排放标准》（DB44/815-2010）表2中Ⅱ时段丝网印刷要求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vMerge w:val="continue"/>
            <w:noWrap/>
            <w:vAlign w:val="center"/>
          </w:tcPr>
          <w:p>
            <w:pPr>
              <w:adjustRightInd w:val="0"/>
              <w:snapToGrid w:val="0"/>
              <w:spacing w:line="240" w:lineRule="auto"/>
              <w:jc w:val="center"/>
              <w:rPr>
                <w:rFonts w:hint="eastAsia" w:cs="Times New Roman"/>
                <w:bCs/>
                <w:color w:val="BF9000" w:themeColor="accent4" w:themeShade="BF"/>
                <w:lang w:val="en-US" w:eastAsia="zh-CN"/>
              </w:rPr>
            </w:pPr>
          </w:p>
        </w:tc>
        <w:tc>
          <w:tcPr>
            <w:tcW w:w="649" w:type="pct"/>
            <w:noWrap/>
            <w:vAlign w:val="center"/>
          </w:tcPr>
          <w:p>
            <w:pPr>
              <w:adjustRightInd w:val="0"/>
              <w:snapToGrid w:val="0"/>
              <w:spacing w:line="240" w:lineRule="auto"/>
              <w:jc w:val="center"/>
              <w:rPr>
                <w:rFonts w:hint="default" w:cs="Times New Roman"/>
                <w:bCs/>
                <w:color w:val="BF9000" w:themeColor="accent4" w:themeShade="BF"/>
                <w:lang w:val="en-US" w:eastAsia="zh-CN"/>
              </w:rPr>
            </w:pPr>
            <w:r>
              <w:rPr>
                <w:rFonts w:hint="eastAsia" w:cs="Times New Roman"/>
                <w:bCs/>
                <w:color w:val="BF9000" w:themeColor="accent4" w:themeShade="BF"/>
                <w:lang w:val="en-US" w:eastAsia="zh-CN"/>
              </w:rPr>
              <w:t>TVOC</w:t>
            </w:r>
          </w:p>
        </w:tc>
        <w:tc>
          <w:tcPr>
            <w:tcW w:w="132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rPr>
            </w:pP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sz w:val="24"/>
                <w:szCs w:val="24"/>
                <w:lang w:val="en-US" w:eastAsia="zh-CN"/>
              </w:rPr>
            </w:pPr>
            <w:r>
              <w:rPr>
                <w:rFonts w:hint="eastAsia" w:ascii="Times New Roman" w:hAnsi="Times New Roman" w:eastAsia="宋体" w:cs="Times New Roman"/>
                <w:bCs/>
                <w:color w:val="BF9000" w:themeColor="accent4" w:themeShade="BF"/>
                <w:sz w:val="24"/>
                <w:szCs w:val="24"/>
                <w:lang w:val="en-US" w:eastAsia="zh-CN"/>
              </w:rPr>
              <w:t>广东省地方标准《固定污染源挥发性有机物综合排放标准》（DB44/2367—2022）表1挥发性有机物排放限值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vMerge w:val="continue"/>
            <w:noWrap/>
            <w:vAlign w:val="center"/>
          </w:tcPr>
          <w:p>
            <w:pPr>
              <w:adjustRightInd w:val="0"/>
              <w:snapToGrid w:val="0"/>
              <w:spacing w:line="240" w:lineRule="auto"/>
              <w:jc w:val="center"/>
              <w:rPr>
                <w:rFonts w:hint="eastAsia" w:cs="Times New Roman"/>
                <w:bCs/>
                <w:color w:val="BF9000" w:themeColor="accent4" w:themeShade="BF"/>
                <w:lang w:val="en-US" w:eastAsia="zh-CN"/>
              </w:rPr>
            </w:pPr>
          </w:p>
        </w:tc>
        <w:tc>
          <w:tcPr>
            <w:tcW w:w="649" w:type="pct"/>
            <w:noWrap/>
            <w:vAlign w:val="center"/>
          </w:tcPr>
          <w:p>
            <w:pPr>
              <w:adjustRightInd w:val="0"/>
              <w:snapToGrid w:val="0"/>
              <w:spacing w:line="240" w:lineRule="auto"/>
              <w:jc w:val="center"/>
              <w:rPr>
                <w:rFonts w:hint="eastAsia" w:cs="Times New Roman"/>
                <w:bCs/>
                <w:color w:val="BF9000" w:themeColor="accent4" w:themeShade="BF"/>
                <w:lang w:val="en-US" w:eastAsia="zh-CN"/>
              </w:rPr>
            </w:pPr>
            <w:r>
              <w:rPr>
                <w:rFonts w:hint="eastAsia" w:cs="Times New Roman"/>
                <w:bCs/>
                <w:color w:val="BF9000" w:themeColor="accent4" w:themeShade="BF"/>
                <w:lang w:val="en-US" w:eastAsia="zh-CN"/>
              </w:rPr>
              <w:t>非甲烷总烃</w:t>
            </w:r>
          </w:p>
        </w:tc>
        <w:tc>
          <w:tcPr>
            <w:tcW w:w="132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rPr>
            </w:pPr>
          </w:p>
        </w:tc>
        <w:tc>
          <w:tcPr>
            <w:tcW w:w="1693" w:type="pct"/>
            <w:noWrap/>
            <w:vAlign w:val="center"/>
          </w:tcPr>
          <w:p>
            <w:pPr>
              <w:adjustRightInd w:val="0"/>
              <w:snapToGrid w:val="0"/>
              <w:spacing w:line="240" w:lineRule="auto"/>
              <w:jc w:val="center"/>
              <w:rPr>
                <w:rFonts w:hint="default" w:ascii="Times New Roman" w:hAnsi="Times New Roman" w:eastAsia="宋体" w:cs="Times New Roman"/>
                <w:bCs/>
                <w:color w:val="BF9000" w:themeColor="accent4" w:themeShade="BF"/>
                <w:sz w:val="24"/>
                <w:szCs w:val="24"/>
                <w:lang w:val="en-US" w:eastAsia="zh-CN"/>
              </w:rPr>
            </w:pPr>
            <w:r>
              <w:rPr>
                <w:rFonts w:hint="eastAsia"/>
                <w:color w:val="BF9000" w:themeColor="accent4" w:themeShade="BF"/>
                <w:sz w:val="24"/>
                <w:szCs w:val="24"/>
                <w:highlight w:val="none"/>
                <w:lang w:val="en-US" w:eastAsia="zh-CN"/>
              </w:rPr>
              <w:t>广东省地方标准《固定污染源挥发性有机物综合排放标准》（DB44/2367—2022）表1挥发性有机物排放限值与《印刷工业大气污染物排放标准》（GB 41616—2022）表1排放限值两者较严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noWrap/>
            <w:vAlign w:val="center"/>
          </w:tcPr>
          <w:p>
            <w:pPr>
              <w:adjustRightInd w:val="0"/>
              <w:snapToGrid w:val="0"/>
              <w:spacing w:line="240" w:lineRule="auto"/>
              <w:jc w:val="center"/>
              <w:rPr>
                <w:rFonts w:hint="default" w:cs="Times New Roman"/>
                <w:bCs/>
                <w:color w:val="BF9000" w:themeColor="accent4" w:themeShade="BF"/>
                <w:highlight w:val="none"/>
                <w:lang w:val="en-US" w:eastAsia="zh-CN"/>
              </w:rPr>
            </w:pPr>
            <w:r>
              <w:rPr>
                <w:rFonts w:hint="eastAsia" w:cs="Times New Roman"/>
                <w:bCs/>
                <w:color w:val="BF9000" w:themeColor="accent4" w:themeShade="BF"/>
                <w:highlight w:val="none"/>
                <w:lang w:val="en-US" w:eastAsia="zh-CN"/>
              </w:rPr>
              <w:t>机加工、打磨</w:t>
            </w:r>
          </w:p>
        </w:tc>
        <w:tc>
          <w:tcPr>
            <w:tcW w:w="649" w:type="pct"/>
            <w:noWrap/>
            <w:vAlign w:val="center"/>
          </w:tcPr>
          <w:p>
            <w:pPr>
              <w:adjustRightInd w:val="0"/>
              <w:snapToGrid w:val="0"/>
              <w:spacing w:line="240" w:lineRule="auto"/>
              <w:jc w:val="center"/>
              <w:rPr>
                <w:rFonts w:hint="default" w:cs="Times New Roman"/>
                <w:bCs/>
                <w:color w:val="BF9000" w:themeColor="accent4" w:themeShade="BF"/>
                <w:highlight w:val="none"/>
                <w:lang w:val="en-US" w:eastAsia="zh-CN"/>
              </w:rPr>
            </w:pPr>
            <w:r>
              <w:rPr>
                <w:rFonts w:hint="eastAsia" w:cs="Times New Roman"/>
                <w:bCs/>
                <w:color w:val="BF9000" w:themeColor="accent4" w:themeShade="BF"/>
                <w:highlight w:val="none"/>
                <w:lang w:val="en-US" w:eastAsia="zh-CN"/>
              </w:rPr>
              <w:t>颗粒物</w:t>
            </w:r>
          </w:p>
        </w:tc>
        <w:tc>
          <w:tcPr>
            <w:tcW w:w="1321"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highlight w:val="none"/>
              </w:rPr>
            </w:pPr>
            <w:r>
              <w:rPr>
                <w:rFonts w:hint="eastAsia" w:ascii="Times New Roman" w:hAnsi="Times New Roman" w:eastAsia="宋体" w:cs="Times New Roman"/>
                <w:bCs/>
                <w:color w:val="BF9000" w:themeColor="accent4" w:themeShade="BF"/>
                <w:highlight w:val="none"/>
              </w:rPr>
              <w:t>“</w:t>
            </w:r>
            <w:r>
              <w:rPr>
                <w:rFonts w:hint="eastAsia" w:ascii="Times New Roman" w:hAnsi="Times New Roman" w:cs="Times New Roman"/>
                <w:bCs/>
                <w:color w:val="BF9000" w:themeColor="accent4" w:themeShade="BF"/>
                <w:highlight w:val="none"/>
                <w:lang w:val="en-US" w:eastAsia="zh-CN"/>
              </w:rPr>
              <w:t>布袋除尘器</w:t>
            </w:r>
            <w:r>
              <w:rPr>
                <w:rFonts w:hint="eastAsia" w:ascii="Times New Roman" w:hAnsi="Times New Roman" w:eastAsia="宋体" w:cs="Times New Roman"/>
                <w:bCs/>
                <w:color w:val="BF9000" w:themeColor="accent4" w:themeShade="BF"/>
                <w:highlight w:val="none"/>
              </w:rPr>
              <w:t>”+</w:t>
            </w:r>
            <w:r>
              <w:rPr>
                <w:rFonts w:hint="eastAsia" w:cs="Times New Roman"/>
                <w:bCs/>
                <w:color w:val="BF9000" w:themeColor="accent4" w:themeShade="BF"/>
                <w:highlight w:val="none"/>
                <w:lang w:val="en-US" w:eastAsia="zh-CN"/>
              </w:rPr>
              <w:t>15m</w:t>
            </w:r>
            <w:r>
              <w:rPr>
                <w:rFonts w:hint="eastAsia" w:ascii="Times New Roman" w:hAnsi="Times New Roman" w:eastAsia="宋体" w:cs="Times New Roman"/>
                <w:bCs/>
                <w:color w:val="BF9000" w:themeColor="accent4" w:themeShade="BF"/>
                <w:highlight w:val="none"/>
              </w:rPr>
              <w:t>排气筒（DA00</w:t>
            </w:r>
            <w:r>
              <w:rPr>
                <w:rFonts w:hint="eastAsia" w:cs="Times New Roman"/>
                <w:bCs/>
                <w:color w:val="BF9000" w:themeColor="accent4" w:themeShade="BF"/>
                <w:highlight w:val="none"/>
                <w:lang w:val="en-US" w:eastAsia="zh-CN"/>
              </w:rPr>
              <w:t>4</w:t>
            </w:r>
            <w:r>
              <w:rPr>
                <w:rFonts w:hint="eastAsia" w:ascii="Times New Roman" w:hAnsi="Times New Roman" w:eastAsia="宋体" w:cs="Times New Roman"/>
                <w:bCs/>
                <w:color w:val="BF9000" w:themeColor="accent4" w:themeShade="BF"/>
                <w:highlight w:val="none"/>
              </w:rPr>
              <w:t>）</w:t>
            </w: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highlight w:val="none"/>
                <w:lang w:val="en-US" w:eastAsia="zh-CN"/>
              </w:rPr>
            </w:pPr>
            <w:r>
              <w:rPr>
                <w:rFonts w:hint="eastAsia" w:ascii="Times New Roman" w:hAnsi="Times New Roman" w:eastAsia="宋体" w:cs="Times New Roman"/>
                <w:bCs/>
                <w:color w:val="BF9000" w:themeColor="accent4" w:themeShade="BF"/>
                <w:highlight w:val="none"/>
                <w:lang w:val="en-US" w:eastAsia="zh-CN"/>
              </w:rPr>
              <w:t>广东省地方标准《大气污染物排放限值》（DB44/27-2001）中第二时段二级标准限值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7"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404" w:type="pct"/>
            <w:vMerge w:val="restart"/>
            <w:noWrap/>
            <w:vAlign w:val="center"/>
          </w:tcPr>
          <w:p>
            <w:pPr>
              <w:adjustRightInd w:val="0"/>
              <w:snapToGrid w:val="0"/>
              <w:spacing w:line="240" w:lineRule="auto"/>
              <w:jc w:val="center"/>
              <w:rPr>
                <w:color w:val="BF9000" w:themeColor="accent4" w:themeShade="BF"/>
                <w:szCs w:val="21"/>
              </w:rPr>
            </w:pPr>
            <w:r>
              <w:rPr>
                <w:rFonts w:hint="eastAsia"/>
                <w:color w:val="BF9000" w:themeColor="accent4" w:themeShade="BF"/>
                <w:szCs w:val="21"/>
              </w:rPr>
              <w:t>无组织排放</w:t>
            </w:r>
          </w:p>
        </w:tc>
        <w:tc>
          <w:tcPr>
            <w:tcW w:w="511"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lang w:val="en-US" w:eastAsia="zh-CN"/>
              </w:rPr>
            </w:pPr>
            <w:r>
              <w:rPr>
                <w:rFonts w:hint="eastAsia" w:ascii="Times New Roman" w:hAnsi="Times New Roman" w:eastAsia="宋体" w:cs="Times New Roman"/>
                <w:bCs/>
                <w:color w:val="BF9000" w:themeColor="accent4" w:themeShade="BF"/>
                <w:lang w:val="en-US" w:eastAsia="zh-CN"/>
              </w:rPr>
              <w:t>厂界</w:t>
            </w:r>
          </w:p>
        </w:tc>
        <w:tc>
          <w:tcPr>
            <w:tcW w:w="649"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lang w:val="en-US" w:eastAsia="zh-CN"/>
              </w:rPr>
            </w:pPr>
            <w:r>
              <w:rPr>
                <w:rFonts w:hint="eastAsia" w:ascii="Times New Roman" w:hAnsi="Times New Roman" w:eastAsia="宋体" w:cs="Times New Roman"/>
                <w:bCs/>
                <w:color w:val="BF9000" w:themeColor="accent4" w:themeShade="BF"/>
                <w:lang w:val="en-US" w:eastAsia="zh-CN"/>
              </w:rPr>
              <w:t>颗粒物</w:t>
            </w:r>
          </w:p>
        </w:tc>
        <w:tc>
          <w:tcPr>
            <w:tcW w:w="1321"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BF9000" w:themeColor="accent4" w:themeShade="BF"/>
                <w:lang w:val="en-US" w:eastAsia="zh-CN"/>
              </w:rPr>
              <w:t>加强车间通风</w:t>
            </w:r>
          </w:p>
        </w:tc>
        <w:tc>
          <w:tcPr>
            <w:tcW w:w="1693" w:type="pc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eastAsia" w:ascii="Times New Roman" w:hAnsi="Times New Roman" w:eastAsia="宋体" w:cs="Times New Roman"/>
                <w:bCs/>
                <w:color w:val="BF9000" w:themeColor="accent4" w:themeShade="BF"/>
                <w:lang w:val="en-US" w:eastAsia="zh-CN"/>
              </w:rPr>
              <w:t>《合成树脂工业污染物排放标准》（GB31572-2015）中表9企业边界大气污染物浓度限值</w:t>
            </w:r>
            <w:r>
              <w:rPr>
                <w:rFonts w:hint="eastAsia" w:cs="Times New Roman"/>
                <w:bCs/>
                <w:color w:val="BF9000" w:themeColor="accent4" w:themeShade="BF"/>
                <w:lang w:val="en-US" w:eastAsia="zh-CN"/>
              </w:rPr>
              <w:t>与广东省地方标准《大气污染物排放限值》（DB44/27-2001）中第二时段无组织排放监控浓度限值两者中较严值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9" w:type="pct"/>
            <w:vMerge w:val="continue"/>
            <w:noWrap/>
            <w:vAlign w:val="center"/>
          </w:tcPr>
          <w:p>
            <w:pPr>
              <w:adjustRightInd w:val="0"/>
              <w:snapToGrid w:val="0"/>
              <w:spacing w:line="240" w:lineRule="auto"/>
              <w:jc w:val="center"/>
              <w:rPr>
                <w:color w:val="auto"/>
              </w:rPr>
            </w:pPr>
          </w:p>
        </w:tc>
        <w:tc>
          <w:tcPr>
            <w:tcW w:w="404" w:type="pct"/>
            <w:vMerge w:val="continue"/>
            <w:noWrap/>
            <w:vAlign w:val="center"/>
          </w:tcPr>
          <w:p>
            <w:pPr>
              <w:adjustRightInd w:val="0"/>
              <w:snapToGrid w:val="0"/>
              <w:spacing w:line="240" w:lineRule="auto"/>
              <w:jc w:val="center"/>
              <w:rPr>
                <w:color w:val="auto"/>
              </w:rPr>
            </w:pPr>
          </w:p>
        </w:tc>
        <w:tc>
          <w:tcPr>
            <w:tcW w:w="51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p>
        </w:tc>
        <w:tc>
          <w:tcPr>
            <w:tcW w:w="649"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lang w:val="en-US" w:eastAsia="zh-CN" w:bidi="ar-SA"/>
              </w:rPr>
            </w:pPr>
            <w:r>
              <w:rPr>
                <w:rFonts w:hint="eastAsia" w:ascii="Times New Roman" w:hAnsi="Times New Roman" w:eastAsia="宋体" w:cs="Times New Roman"/>
                <w:bCs/>
                <w:color w:val="BF9000" w:themeColor="accent4" w:themeShade="BF"/>
                <w:lang w:val="en-US" w:eastAsia="zh-CN"/>
              </w:rPr>
              <w:t>总VOCs</w:t>
            </w:r>
          </w:p>
        </w:tc>
        <w:tc>
          <w:tcPr>
            <w:tcW w:w="1321"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p>
        </w:tc>
        <w:tc>
          <w:tcPr>
            <w:tcW w:w="1693" w:type="pct"/>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BF9000" w:themeColor="accent4" w:themeShade="BF"/>
                <w:kern w:val="2"/>
                <w:sz w:val="24"/>
                <w:szCs w:val="24"/>
                <w:lang w:val="en-US" w:eastAsia="zh-CN" w:bidi="ar-SA"/>
              </w:rPr>
              <w:t>《家具制造行业挥发性有机化合物排放标准》（DB44/814-2010）中的表2无组织排放监控点浓度限值</w:t>
            </w:r>
            <w:r>
              <w:rPr>
                <w:rFonts w:hint="eastAsia" w:cs="Times New Roman"/>
                <w:bCs/>
                <w:color w:val="BF9000" w:themeColor="accent4" w:themeShade="BF"/>
                <w:kern w:val="2"/>
                <w:sz w:val="24"/>
                <w:szCs w:val="24"/>
                <w:lang w:val="en-US" w:eastAsia="zh-CN" w:bidi="ar-SA"/>
              </w:rPr>
              <w:t>与《印刷行业挥发性有机化合物排放标准》（DB44/815-2010）无组织排放监控点浓度限值两者中较严值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419" w:type="pct"/>
            <w:vMerge w:val="continue"/>
            <w:noWrap/>
            <w:vAlign w:val="center"/>
          </w:tcPr>
          <w:p>
            <w:pPr>
              <w:adjustRightInd w:val="0"/>
              <w:snapToGrid w:val="0"/>
              <w:spacing w:line="240" w:lineRule="auto"/>
              <w:jc w:val="center"/>
              <w:rPr>
                <w:color w:val="auto"/>
              </w:rPr>
            </w:pPr>
          </w:p>
        </w:tc>
        <w:tc>
          <w:tcPr>
            <w:tcW w:w="404" w:type="pct"/>
            <w:vMerge w:val="continue"/>
            <w:noWrap/>
            <w:vAlign w:val="center"/>
          </w:tcPr>
          <w:p>
            <w:pPr>
              <w:adjustRightInd w:val="0"/>
              <w:snapToGrid w:val="0"/>
              <w:spacing w:line="240" w:lineRule="auto"/>
              <w:jc w:val="center"/>
              <w:rPr>
                <w:color w:val="auto"/>
              </w:rPr>
            </w:pPr>
          </w:p>
        </w:tc>
        <w:tc>
          <w:tcPr>
            <w:tcW w:w="51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p>
        </w:tc>
        <w:tc>
          <w:tcPr>
            <w:tcW w:w="649"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lang w:val="en-US" w:eastAsia="zh-CN"/>
              </w:rPr>
            </w:pPr>
            <w:r>
              <w:rPr>
                <w:rFonts w:hint="default" w:ascii="Times New Roman" w:hAnsi="Times New Roman" w:eastAsia="宋体" w:cs="Times New Roman"/>
                <w:bCs/>
                <w:color w:val="BF9000" w:themeColor="accent4" w:themeShade="BF"/>
                <w:lang w:val="en-US" w:eastAsia="zh-CN"/>
              </w:rPr>
              <w:t>非甲烷总烃</w:t>
            </w:r>
          </w:p>
        </w:tc>
        <w:tc>
          <w:tcPr>
            <w:tcW w:w="1321"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BF9000" w:themeColor="accent4" w:themeShade="BF"/>
                <w:lang w:val="en-US" w:eastAsia="zh-CN"/>
              </w:rPr>
              <w:t>《合成树脂工业污染物排放标准》（GB31572-2015）中表9企业边界大气污染物浓度限值</w:t>
            </w:r>
            <w:r>
              <w:rPr>
                <w:rFonts w:hint="eastAsia" w:cs="Times New Roman"/>
                <w:bCs/>
                <w:color w:val="BF9000" w:themeColor="accent4" w:themeShade="BF"/>
                <w:lang w:val="en-US" w:eastAsia="zh-CN"/>
              </w:rPr>
              <w:t>与广东省地方标准《大气污染物排放限值》（DB44/27-2001）中第二时段无组织排放监控浓度限值两者中较严值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419" w:type="pct"/>
            <w:vMerge w:val="continue"/>
            <w:noWrap/>
            <w:vAlign w:val="center"/>
          </w:tcPr>
          <w:p>
            <w:pPr>
              <w:adjustRightInd w:val="0"/>
              <w:snapToGrid w:val="0"/>
              <w:spacing w:line="240" w:lineRule="auto"/>
              <w:jc w:val="center"/>
              <w:rPr>
                <w:color w:val="auto"/>
              </w:rPr>
            </w:pPr>
          </w:p>
        </w:tc>
        <w:tc>
          <w:tcPr>
            <w:tcW w:w="404" w:type="pct"/>
            <w:vMerge w:val="continue"/>
            <w:noWrap/>
            <w:vAlign w:val="center"/>
          </w:tcPr>
          <w:p>
            <w:pPr>
              <w:adjustRightInd w:val="0"/>
              <w:snapToGrid w:val="0"/>
              <w:spacing w:line="240" w:lineRule="auto"/>
              <w:jc w:val="center"/>
              <w:rPr>
                <w:color w:val="auto"/>
              </w:rPr>
            </w:pPr>
          </w:p>
        </w:tc>
        <w:tc>
          <w:tcPr>
            <w:tcW w:w="511" w:type="pct"/>
            <w:noWrap/>
            <w:vAlign w:val="center"/>
          </w:tcPr>
          <w:p>
            <w:pPr>
              <w:adjustRightInd w:val="0"/>
              <w:snapToGrid w:val="0"/>
              <w:spacing w:line="240" w:lineRule="auto"/>
              <w:jc w:val="center"/>
              <w:rPr>
                <w:rFonts w:hint="default" w:ascii="Times New Roman" w:hAnsi="Times New Roman" w:eastAsia="宋体" w:cs="Times New Roman"/>
                <w:bCs/>
                <w:color w:val="BF9000" w:themeColor="accent4" w:themeShade="BF"/>
                <w:lang w:val="en-US" w:eastAsia="zh-CN"/>
              </w:rPr>
            </w:pPr>
            <w:r>
              <w:rPr>
                <w:rFonts w:hint="eastAsia" w:ascii="Times New Roman" w:hAnsi="Times New Roman" w:eastAsia="宋体" w:cs="Times New Roman"/>
                <w:bCs/>
                <w:color w:val="BF9000" w:themeColor="accent4" w:themeShade="BF"/>
                <w:lang w:val="en-US" w:eastAsia="zh-CN"/>
              </w:rPr>
              <w:t>厂区内</w:t>
            </w:r>
          </w:p>
        </w:tc>
        <w:tc>
          <w:tcPr>
            <w:tcW w:w="649" w:type="pct"/>
            <w:noWrap/>
            <w:vAlign w:val="center"/>
          </w:tcPr>
          <w:p>
            <w:pPr>
              <w:adjustRightInd w:val="0"/>
              <w:snapToGrid w:val="0"/>
              <w:spacing w:line="240" w:lineRule="auto"/>
              <w:jc w:val="center"/>
              <w:rPr>
                <w:rFonts w:hint="default" w:ascii="Times New Roman" w:hAnsi="Times New Roman" w:eastAsia="宋体" w:cs="Times New Roman"/>
                <w:bCs/>
                <w:color w:val="BF9000" w:themeColor="accent4" w:themeShade="BF"/>
                <w:lang w:val="en-US" w:eastAsia="zh-CN"/>
              </w:rPr>
            </w:pPr>
            <w:r>
              <w:rPr>
                <w:rFonts w:hint="eastAsia" w:cs="Times New Roman"/>
                <w:bCs/>
                <w:color w:val="BF9000" w:themeColor="accent4" w:themeShade="BF"/>
                <w:lang w:val="en-US" w:eastAsia="zh-CN"/>
              </w:rPr>
              <w:t>NMHC</w:t>
            </w:r>
          </w:p>
        </w:tc>
        <w:tc>
          <w:tcPr>
            <w:tcW w:w="1321"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BF9000" w:themeColor="accent4" w:themeShade="BF"/>
                <w:lang w:val="en-US" w:eastAsia="zh-CN"/>
              </w:rPr>
              <w:t>广东省地方标准《固定污染源挥发性有机物综合排放标准》（DB44/2367-2022）中的表3厂区内无组织排放限值《印刷工业大气污染物排放标准》（GB41616-2022）表 A.1 厂区内VOCs无组织排放限值两者较严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19" w:type="pct"/>
            <w:noWrap/>
            <w:vAlign w:val="center"/>
          </w:tcPr>
          <w:p>
            <w:pPr>
              <w:adjustRightInd w:val="0"/>
              <w:snapToGrid w:val="0"/>
              <w:spacing w:line="240" w:lineRule="auto"/>
              <w:jc w:val="center"/>
              <w:rPr>
                <w:rFonts w:ascii="Times New Roman" w:hAnsi="Times New Roman" w:eastAsia="宋体" w:cs="Times New Roman"/>
                <w:color w:val="auto"/>
                <w:kern w:val="2"/>
                <w:sz w:val="24"/>
                <w:szCs w:val="21"/>
                <w:lang w:val="en-US" w:eastAsia="zh-CN" w:bidi="ar-SA"/>
              </w:rPr>
            </w:pPr>
            <w:r>
              <w:rPr>
                <w:color w:val="auto"/>
                <w:szCs w:val="21"/>
              </w:rPr>
              <w:t>地表水环境</w:t>
            </w:r>
          </w:p>
        </w:tc>
        <w:tc>
          <w:tcPr>
            <w:tcW w:w="916" w:type="pct"/>
            <w:gridSpan w:val="2"/>
            <w:noWrap/>
            <w:vAlign w:val="center"/>
          </w:tcPr>
          <w:p>
            <w:pPr>
              <w:adjustRightInd w:val="0"/>
              <w:snapToGrid w:val="0"/>
              <w:spacing w:line="240" w:lineRule="auto"/>
              <w:jc w:val="center"/>
              <w:rPr>
                <w:rFonts w:hint="eastAsia" w:ascii="Times New Roman" w:hAnsi="Times New Roman" w:eastAsia="宋体" w:cs="Times New Roman"/>
                <w:color w:val="auto"/>
                <w:kern w:val="2"/>
                <w:sz w:val="24"/>
                <w:szCs w:val="21"/>
                <w:lang w:val="en-US" w:eastAsia="zh-CN" w:bidi="ar-SA"/>
              </w:rPr>
            </w:pPr>
            <w:r>
              <w:rPr>
                <w:color w:val="auto"/>
                <w:szCs w:val="21"/>
              </w:rPr>
              <w:t>生活污水</w:t>
            </w:r>
          </w:p>
        </w:tc>
        <w:tc>
          <w:tcPr>
            <w:tcW w:w="649" w:type="pct"/>
            <w:noWrap/>
            <w:vAlign w:val="center"/>
          </w:tcPr>
          <w:p>
            <w:pPr>
              <w:adjustRightInd w:val="0"/>
              <w:snapToGrid w:val="0"/>
              <w:spacing w:line="240" w:lineRule="auto"/>
              <w:jc w:val="center"/>
              <w:rPr>
                <w:rFonts w:hint="default" w:eastAsia="宋体"/>
                <w:color w:val="auto"/>
                <w:szCs w:val="21"/>
                <w:lang w:val="en-US" w:eastAsia="zh-CN"/>
              </w:rPr>
            </w:pPr>
            <w:r>
              <w:rPr>
                <w:rFonts w:hint="eastAsia"/>
                <w:color w:val="auto"/>
                <w:szCs w:val="21"/>
                <w:lang w:val="en-US" w:eastAsia="zh-CN"/>
              </w:rPr>
              <w:t>不新增生活污水</w:t>
            </w:r>
          </w:p>
        </w:tc>
        <w:tc>
          <w:tcPr>
            <w:tcW w:w="1321" w:type="pct"/>
            <w:noWrap/>
            <w:vAlign w:val="center"/>
          </w:tcPr>
          <w:p>
            <w:pPr>
              <w:adjustRightInd w:val="0"/>
              <w:snapToGrid w:val="0"/>
              <w:spacing w:line="240" w:lineRule="auto"/>
              <w:jc w:val="center"/>
              <w:rPr>
                <w:rFonts w:hint="default" w:eastAsia="宋体"/>
                <w:color w:val="auto"/>
                <w:szCs w:val="21"/>
                <w:lang w:val="en-US" w:eastAsia="zh-CN"/>
              </w:rPr>
            </w:pPr>
            <w:r>
              <w:rPr>
                <w:rFonts w:hint="eastAsia"/>
                <w:color w:val="auto"/>
                <w:szCs w:val="21"/>
                <w:lang w:val="en-US" w:eastAsia="zh-CN"/>
              </w:rPr>
              <w:t>/</w:t>
            </w:r>
          </w:p>
        </w:tc>
        <w:tc>
          <w:tcPr>
            <w:tcW w:w="1693" w:type="pct"/>
            <w:noWrap/>
            <w:vAlign w:val="center"/>
          </w:tcPr>
          <w:p>
            <w:pPr>
              <w:adjustRightInd w:val="0"/>
              <w:snapToGrid w:val="0"/>
              <w:spacing w:line="240" w:lineRule="auto"/>
              <w:jc w:val="center"/>
              <w:rPr>
                <w:rFonts w:hint="eastAsia" w:eastAsia="宋体"/>
                <w:color w:val="auto"/>
                <w:szCs w:val="21"/>
                <w:lang w:val="en-US" w:eastAsia="zh-CN"/>
              </w:rPr>
            </w:pPr>
            <w:r>
              <w:rPr>
                <w:rFonts w:hint="eastAsia"/>
                <w:color w:val="auto"/>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19" w:type="pct"/>
            <w:noWrap/>
            <w:vAlign w:val="center"/>
          </w:tcPr>
          <w:p>
            <w:pPr>
              <w:adjustRightInd w:val="0"/>
              <w:snapToGrid w:val="0"/>
              <w:spacing w:line="240" w:lineRule="auto"/>
              <w:jc w:val="center"/>
              <w:rPr>
                <w:color w:val="auto"/>
                <w:szCs w:val="21"/>
              </w:rPr>
            </w:pPr>
            <w:r>
              <w:rPr>
                <w:color w:val="auto"/>
                <w:szCs w:val="21"/>
              </w:rPr>
              <w:t>声环境</w:t>
            </w:r>
          </w:p>
        </w:tc>
        <w:tc>
          <w:tcPr>
            <w:tcW w:w="916" w:type="pct"/>
            <w:gridSpan w:val="2"/>
            <w:noWrap/>
            <w:vAlign w:val="center"/>
          </w:tcPr>
          <w:p>
            <w:pPr>
              <w:adjustRightInd w:val="0"/>
              <w:snapToGrid w:val="0"/>
              <w:spacing w:line="240" w:lineRule="auto"/>
              <w:jc w:val="center"/>
              <w:rPr>
                <w:color w:val="auto"/>
                <w:szCs w:val="21"/>
              </w:rPr>
            </w:pPr>
            <w:r>
              <w:rPr>
                <w:rFonts w:hint="eastAsia"/>
                <w:color w:val="auto"/>
                <w:szCs w:val="21"/>
              </w:rPr>
              <w:t>设备运行</w:t>
            </w:r>
          </w:p>
        </w:tc>
        <w:tc>
          <w:tcPr>
            <w:tcW w:w="649" w:type="pct"/>
            <w:noWrap/>
            <w:vAlign w:val="center"/>
          </w:tcPr>
          <w:p>
            <w:pPr>
              <w:adjustRightInd w:val="0"/>
              <w:snapToGrid w:val="0"/>
              <w:spacing w:line="240" w:lineRule="auto"/>
              <w:jc w:val="center"/>
              <w:rPr>
                <w:color w:val="auto"/>
                <w:szCs w:val="21"/>
              </w:rPr>
            </w:pPr>
            <w:r>
              <w:rPr>
                <w:rFonts w:hint="eastAsia"/>
                <w:color w:val="auto"/>
                <w:szCs w:val="21"/>
              </w:rPr>
              <w:t>噪声</w:t>
            </w:r>
          </w:p>
        </w:tc>
        <w:tc>
          <w:tcPr>
            <w:tcW w:w="1321" w:type="pct"/>
            <w:noWrap/>
            <w:vAlign w:val="center"/>
          </w:tcPr>
          <w:p>
            <w:pPr>
              <w:adjustRightInd w:val="0"/>
              <w:snapToGrid w:val="0"/>
              <w:spacing w:line="240" w:lineRule="auto"/>
              <w:jc w:val="center"/>
              <w:rPr>
                <w:color w:val="auto"/>
                <w:szCs w:val="21"/>
              </w:rPr>
            </w:pPr>
            <w:r>
              <w:rPr>
                <w:color w:val="auto"/>
                <w:szCs w:val="21"/>
              </w:rPr>
              <w:t>采取减震、隔声等措施</w:t>
            </w:r>
          </w:p>
        </w:tc>
        <w:tc>
          <w:tcPr>
            <w:tcW w:w="1693" w:type="pct"/>
            <w:noWrap/>
            <w:vAlign w:val="center"/>
          </w:tcPr>
          <w:p>
            <w:pPr>
              <w:adjustRightInd w:val="0"/>
              <w:snapToGrid w:val="0"/>
              <w:spacing w:line="240" w:lineRule="auto"/>
              <w:jc w:val="center"/>
              <w:rPr>
                <w:color w:val="auto"/>
                <w:szCs w:val="21"/>
              </w:rPr>
            </w:pPr>
            <w:r>
              <w:rPr>
                <w:color w:val="auto"/>
                <w:szCs w:val="21"/>
              </w:rPr>
              <w:t>《工业企业厂界环境噪声排放标准》</w:t>
            </w:r>
          </w:p>
          <w:p>
            <w:pPr>
              <w:adjustRightInd w:val="0"/>
              <w:snapToGrid w:val="0"/>
              <w:spacing w:line="240" w:lineRule="auto"/>
              <w:jc w:val="center"/>
              <w:rPr>
                <w:color w:val="auto"/>
                <w:szCs w:val="21"/>
              </w:rPr>
            </w:pPr>
            <w:r>
              <w:rPr>
                <w:color w:val="auto"/>
                <w:szCs w:val="21"/>
              </w:rPr>
              <w:t>（GB12348-2008）中</w:t>
            </w:r>
            <w:r>
              <w:rPr>
                <w:rFonts w:hint="eastAsia"/>
                <w:color w:val="auto"/>
                <w:szCs w:val="21"/>
                <w:lang w:val="en-US" w:eastAsia="zh-CN"/>
              </w:rPr>
              <w:t>2</w:t>
            </w:r>
            <w:r>
              <w:rPr>
                <w:color w:val="auto"/>
                <w:szCs w:val="21"/>
              </w:rPr>
              <w:t>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19" w:type="pct"/>
            <w:noWrap/>
            <w:vAlign w:val="center"/>
          </w:tcPr>
          <w:p>
            <w:pPr>
              <w:adjustRightInd w:val="0"/>
              <w:snapToGrid w:val="0"/>
              <w:spacing w:line="240" w:lineRule="auto"/>
              <w:jc w:val="center"/>
              <w:rPr>
                <w:color w:val="auto"/>
                <w:szCs w:val="21"/>
              </w:rPr>
            </w:pPr>
            <w:r>
              <w:rPr>
                <w:color w:val="auto"/>
                <w:szCs w:val="21"/>
              </w:rPr>
              <w:t>电磁辐射</w:t>
            </w:r>
          </w:p>
        </w:tc>
        <w:tc>
          <w:tcPr>
            <w:tcW w:w="916" w:type="pct"/>
            <w:gridSpan w:val="2"/>
            <w:noWrap/>
            <w:vAlign w:val="center"/>
          </w:tcPr>
          <w:p>
            <w:pPr>
              <w:adjustRightInd w:val="0"/>
              <w:snapToGrid w:val="0"/>
              <w:spacing w:line="240" w:lineRule="auto"/>
              <w:jc w:val="center"/>
              <w:rPr>
                <w:color w:val="auto"/>
                <w:szCs w:val="21"/>
              </w:rPr>
            </w:pPr>
            <w:r>
              <w:rPr>
                <w:rFonts w:hint="eastAsia"/>
                <w:color w:val="auto"/>
                <w:szCs w:val="21"/>
              </w:rPr>
              <w:t>/</w:t>
            </w:r>
          </w:p>
        </w:tc>
        <w:tc>
          <w:tcPr>
            <w:tcW w:w="649" w:type="pct"/>
            <w:noWrap/>
            <w:vAlign w:val="center"/>
          </w:tcPr>
          <w:p>
            <w:pPr>
              <w:adjustRightInd w:val="0"/>
              <w:snapToGrid w:val="0"/>
              <w:spacing w:line="240" w:lineRule="auto"/>
              <w:jc w:val="center"/>
              <w:rPr>
                <w:color w:val="auto"/>
                <w:szCs w:val="21"/>
              </w:rPr>
            </w:pPr>
            <w:r>
              <w:rPr>
                <w:rFonts w:hint="eastAsia"/>
                <w:color w:val="auto"/>
                <w:szCs w:val="21"/>
              </w:rPr>
              <w:t>/</w:t>
            </w:r>
          </w:p>
        </w:tc>
        <w:tc>
          <w:tcPr>
            <w:tcW w:w="1321" w:type="pct"/>
            <w:noWrap/>
            <w:vAlign w:val="center"/>
          </w:tcPr>
          <w:p>
            <w:pPr>
              <w:adjustRightInd w:val="0"/>
              <w:snapToGrid w:val="0"/>
              <w:spacing w:line="240" w:lineRule="auto"/>
              <w:jc w:val="center"/>
              <w:rPr>
                <w:color w:val="auto"/>
                <w:szCs w:val="21"/>
              </w:rPr>
            </w:pPr>
            <w:r>
              <w:rPr>
                <w:rFonts w:hint="eastAsia"/>
                <w:color w:val="auto"/>
                <w:szCs w:val="21"/>
              </w:rPr>
              <w:t>/</w:t>
            </w:r>
          </w:p>
        </w:tc>
        <w:tc>
          <w:tcPr>
            <w:tcW w:w="1693" w:type="pct"/>
            <w:noWrap/>
            <w:vAlign w:val="center"/>
          </w:tcPr>
          <w:p>
            <w:pPr>
              <w:adjustRightInd w:val="0"/>
              <w:snapToGrid w:val="0"/>
              <w:spacing w:line="240" w:lineRule="auto"/>
              <w:jc w:val="center"/>
              <w:rPr>
                <w:color w:val="auto"/>
                <w:szCs w:val="21"/>
              </w:rPr>
            </w:pPr>
            <w:r>
              <w:rPr>
                <w:rFonts w:hint="eastAsia"/>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419" w:type="pct"/>
            <w:noWrap/>
            <w:vAlign w:val="center"/>
          </w:tcPr>
          <w:p>
            <w:pPr>
              <w:adjustRightInd w:val="0"/>
              <w:snapToGrid w:val="0"/>
              <w:spacing w:line="240" w:lineRule="auto"/>
              <w:jc w:val="center"/>
              <w:rPr>
                <w:color w:val="auto"/>
                <w:szCs w:val="21"/>
              </w:rPr>
            </w:pPr>
            <w:r>
              <w:rPr>
                <w:color w:val="auto"/>
                <w:szCs w:val="21"/>
              </w:rPr>
              <w:t>固体废物</w:t>
            </w:r>
          </w:p>
        </w:tc>
        <w:tc>
          <w:tcPr>
            <w:tcW w:w="4580" w:type="pct"/>
            <w:gridSpan w:val="5"/>
            <w:noWrap/>
          </w:tcPr>
          <w:p>
            <w:pPr>
              <w:adjustRightInd w:val="0"/>
              <w:snapToGrid w:val="0"/>
              <w:spacing w:line="240" w:lineRule="auto"/>
              <w:rPr>
                <w:color w:val="auto"/>
                <w:szCs w:val="21"/>
              </w:rPr>
            </w:pPr>
            <w:r>
              <w:rPr>
                <w:color w:val="auto"/>
                <w:szCs w:val="21"/>
              </w:rPr>
              <w:t>生活垃圾定点、集中收集后由当地环卫部门定期清运；一般工业固体废物应集中收集后由专业回收公司回收处理；危险废物经分类收集后委托有危险废物处理资质的单位处理；危废暂存间地面做好防腐防渗措施，贮存不同危险废物时应做好分类、分区措施，存放点应做好缓坡，并设置相应警示标志及危险废物标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419" w:type="pct"/>
            <w:noWrap/>
            <w:vAlign w:val="center"/>
          </w:tcPr>
          <w:p>
            <w:pPr>
              <w:adjustRightInd w:val="0"/>
              <w:snapToGrid w:val="0"/>
              <w:spacing w:line="240" w:lineRule="auto"/>
              <w:jc w:val="center"/>
              <w:rPr>
                <w:color w:val="auto"/>
                <w:szCs w:val="21"/>
              </w:rPr>
            </w:pPr>
            <w:r>
              <w:rPr>
                <w:color w:val="auto"/>
                <w:szCs w:val="21"/>
              </w:rPr>
              <w:t>土壤及地下水</w:t>
            </w:r>
          </w:p>
          <w:p>
            <w:pPr>
              <w:adjustRightInd w:val="0"/>
              <w:snapToGrid w:val="0"/>
              <w:spacing w:line="240" w:lineRule="auto"/>
              <w:jc w:val="center"/>
              <w:rPr>
                <w:color w:val="auto"/>
                <w:szCs w:val="21"/>
              </w:rPr>
            </w:pPr>
            <w:r>
              <w:rPr>
                <w:color w:val="auto"/>
                <w:szCs w:val="21"/>
              </w:rPr>
              <w:t>污染防治措施</w:t>
            </w:r>
          </w:p>
        </w:tc>
        <w:tc>
          <w:tcPr>
            <w:tcW w:w="4580" w:type="pct"/>
            <w:gridSpan w:val="5"/>
            <w:noWrap/>
            <w:vAlign w:val="center"/>
          </w:tcPr>
          <w:p>
            <w:pPr>
              <w:adjustRightInd w:val="0"/>
              <w:snapToGrid w:val="0"/>
              <w:spacing w:line="240" w:lineRule="auto"/>
              <w:jc w:val="left"/>
              <w:rPr>
                <w:color w:val="auto"/>
                <w:szCs w:val="21"/>
              </w:rPr>
            </w:pPr>
            <w:r>
              <w:rPr>
                <w:color w:val="auto"/>
                <w:szCs w:val="21"/>
              </w:rPr>
              <w:t>①源头控制</w:t>
            </w:r>
          </w:p>
          <w:p>
            <w:pPr>
              <w:adjustRightInd w:val="0"/>
              <w:snapToGrid w:val="0"/>
              <w:spacing w:line="240" w:lineRule="auto"/>
              <w:jc w:val="left"/>
              <w:rPr>
                <w:color w:val="auto"/>
                <w:szCs w:val="21"/>
              </w:rPr>
            </w:pPr>
            <w:r>
              <w:rPr>
                <w:color w:val="auto"/>
                <w:szCs w:val="21"/>
              </w:rPr>
              <w:t>A. 针对可能造成地下水污染的污染源，定期排查。</w:t>
            </w:r>
          </w:p>
          <w:p>
            <w:pPr>
              <w:adjustRightInd w:val="0"/>
              <w:snapToGrid w:val="0"/>
              <w:spacing w:line="240" w:lineRule="auto"/>
              <w:jc w:val="left"/>
              <w:rPr>
                <w:color w:val="auto"/>
                <w:szCs w:val="21"/>
              </w:rPr>
            </w:pPr>
            <w:r>
              <w:rPr>
                <w:color w:val="auto"/>
                <w:szCs w:val="21"/>
              </w:rPr>
              <w:t>B. 定期对污染防治区生产装置、阀门、管道等进行检查。</w:t>
            </w:r>
          </w:p>
          <w:p>
            <w:pPr>
              <w:adjustRightInd w:val="0"/>
              <w:snapToGrid w:val="0"/>
              <w:spacing w:line="240" w:lineRule="auto"/>
              <w:jc w:val="left"/>
              <w:rPr>
                <w:color w:val="auto"/>
                <w:szCs w:val="21"/>
              </w:rPr>
            </w:pPr>
            <w:r>
              <w:rPr>
                <w:color w:val="auto"/>
                <w:szCs w:val="21"/>
              </w:rPr>
              <w:t>C. 定期检查各区域防渗层情况。</w:t>
            </w:r>
          </w:p>
          <w:p>
            <w:pPr>
              <w:adjustRightInd w:val="0"/>
              <w:snapToGrid w:val="0"/>
              <w:spacing w:line="240" w:lineRule="auto"/>
              <w:jc w:val="left"/>
              <w:rPr>
                <w:color w:val="auto"/>
                <w:szCs w:val="21"/>
              </w:rPr>
            </w:pPr>
            <w:r>
              <w:rPr>
                <w:color w:val="auto"/>
                <w:szCs w:val="21"/>
              </w:rPr>
              <w:t>②地下水污染分区防渗措施</w:t>
            </w:r>
          </w:p>
          <w:p>
            <w:pPr>
              <w:adjustRightInd w:val="0"/>
              <w:snapToGrid w:val="0"/>
              <w:spacing w:line="240" w:lineRule="auto"/>
              <w:jc w:val="left"/>
              <w:rPr>
                <w:color w:val="auto"/>
                <w:szCs w:val="21"/>
              </w:rPr>
            </w:pPr>
            <w:r>
              <w:rPr>
                <w:color w:val="auto"/>
                <w:szCs w:val="21"/>
              </w:rPr>
              <w:t>③废气及废水治理设施运行保障措施。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9" w:type="pct"/>
            <w:noWrap/>
            <w:vAlign w:val="center"/>
          </w:tcPr>
          <w:p>
            <w:pPr>
              <w:adjustRightInd w:val="0"/>
              <w:snapToGrid w:val="0"/>
              <w:spacing w:line="240" w:lineRule="auto"/>
              <w:jc w:val="center"/>
              <w:rPr>
                <w:color w:val="auto"/>
                <w:szCs w:val="21"/>
              </w:rPr>
            </w:pPr>
            <w:r>
              <w:rPr>
                <w:color w:val="auto"/>
                <w:szCs w:val="21"/>
              </w:rPr>
              <w:t>生态保护措施</w:t>
            </w:r>
          </w:p>
        </w:tc>
        <w:tc>
          <w:tcPr>
            <w:tcW w:w="4580" w:type="pct"/>
            <w:gridSpan w:val="5"/>
            <w:noWrap/>
            <w:vAlign w:val="center"/>
          </w:tcPr>
          <w:p>
            <w:pPr>
              <w:adjustRightInd w:val="0"/>
              <w:snapToGrid w:val="0"/>
              <w:spacing w:line="240" w:lineRule="auto"/>
              <w:jc w:val="center"/>
              <w:rPr>
                <w:color w:val="auto"/>
                <w:szCs w:val="21"/>
              </w:rPr>
            </w:pPr>
            <w:r>
              <w:rPr>
                <w:rFonts w:hint="eastAsia"/>
                <w:color w:val="auto"/>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419" w:type="pct"/>
            <w:noWrap/>
            <w:vAlign w:val="center"/>
          </w:tcPr>
          <w:p>
            <w:pPr>
              <w:adjustRightInd w:val="0"/>
              <w:snapToGrid w:val="0"/>
              <w:spacing w:line="240" w:lineRule="auto"/>
              <w:jc w:val="center"/>
              <w:rPr>
                <w:color w:val="auto"/>
                <w:spacing w:val="-8"/>
                <w:szCs w:val="21"/>
              </w:rPr>
            </w:pPr>
            <w:r>
              <w:rPr>
                <w:color w:val="auto"/>
                <w:spacing w:val="-8"/>
                <w:szCs w:val="21"/>
              </w:rPr>
              <w:t>环境风险</w:t>
            </w:r>
          </w:p>
          <w:p>
            <w:pPr>
              <w:adjustRightInd w:val="0"/>
              <w:snapToGrid w:val="0"/>
              <w:spacing w:line="240" w:lineRule="auto"/>
              <w:jc w:val="center"/>
              <w:rPr>
                <w:color w:val="auto"/>
                <w:spacing w:val="-8"/>
                <w:szCs w:val="21"/>
              </w:rPr>
            </w:pPr>
            <w:r>
              <w:rPr>
                <w:color w:val="auto"/>
                <w:spacing w:val="-8"/>
                <w:szCs w:val="21"/>
              </w:rPr>
              <w:t>防范措施</w:t>
            </w:r>
          </w:p>
        </w:tc>
        <w:tc>
          <w:tcPr>
            <w:tcW w:w="4580" w:type="pct"/>
            <w:gridSpan w:val="5"/>
            <w:noWrap/>
            <w:vAlign w:val="center"/>
          </w:tcPr>
          <w:p>
            <w:pPr>
              <w:adjustRightInd w:val="0"/>
              <w:snapToGrid w:val="0"/>
              <w:spacing w:line="240" w:lineRule="auto"/>
              <w:jc w:val="left"/>
              <w:rPr>
                <w:color w:val="auto"/>
                <w:szCs w:val="21"/>
              </w:rPr>
            </w:pPr>
            <w:r>
              <w:rPr>
                <w:rFonts w:hint="eastAsia"/>
                <w:color w:val="auto"/>
                <w:szCs w:val="21"/>
              </w:rPr>
              <w:t>运营期间，危险废物储存点应严格按建筑规范要求做好防渗、硬底化工程，做好危险废物储存场所的风险防范。危险废物储存点应严格按照</w:t>
            </w:r>
            <w:r>
              <w:rPr>
                <w:rFonts w:hint="eastAsia"/>
                <w:color w:val="BF9000" w:themeColor="accent4" w:themeShade="BF"/>
                <w:szCs w:val="21"/>
              </w:rPr>
              <w:t>《危险废物贮存污染控制标准》（GB18597-20</w:t>
            </w:r>
            <w:r>
              <w:rPr>
                <w:rFonts w:hint="eastAsia"/>
                <w:color w:val="BF9000" w:themeColor="accent4" w:themeShade="BF"/>
                <w:szCs w:val="21"/>
                <w:lang w:val="en-US" w:eastAsia="zh-CN"/>
              </w:rPr>
              <w:t>23</w:t>
            </w:r>
            <w:r>
              <w:rPr>
                <w:rFonts w:hint="eastAsia"/>
                <w:color w:val="BF9000" w:themeColor="accent4" w:themeShade="BF"/>
                <w:szCs w:val="21"/>
              </w:rPr>
              <w:t>）</w:t>
            </w:r>
            <w:r>
              <w:rPr>
                <w:rFonts w:hint="eastAsia"/>
                <w:color w:val="auto"/>
                <w:szCs w:val="21"/>
              </w:rPr>
              <w:t>对进行设计和建设，同时按相关法律法规将危险废物交有相关资质单位处理，做好供应商的管理，并且严格按《危险废物转移联单管理办法》做好转移记录。</w:t>
            </w:r>
          </w:p>
          <w:p>
            <w:pPr>
              <w:adjustRightInd w:val="0"/>
              <w:snapToGrid w:val="0"/>
              <w:spacing w:line="240" w:lineRule="auto"/>
              <w:jc w:val="left"/>
              <w:rPr>
                <w:color w:val="auto"/>
                <w:szCs w:val="21"/>
              </w:rPr>
            </w:pPr>
            <w:r>
              <w:rPr>
                <w:rFonts w:hint="eastAsia"/>
                <w:color w:val="auto"/>
                <w:szCs w:val="21"/>
              </w:rPr>
              <w:t>废气治理设施如发生设施故障，应立即停止生产，维修或更换设备后方可继续运行。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419" w:type="pct"/>
            <w:noWrap/>
            <w:vAlign w:val="center"/>
          </w:tcPr>
          <w:p>
            <w:pPr>
              <w:adjustRightInd w:val="0"/>
              <w:snapToGrid w:val="0"/>
              <w:spacing w:line="240" w:lineRule="auto"/>
              <w:jc w:val="center"/>
              <w:rPr>
                <w:color w:val="auto"/>
                <w:spacing w:val="-8"/>
                <w:szCs w:val="21"/>
              </w:rPr>
            </w:pPr>
            <w:r>
              <w:rPr>
                <w:color w:val="auto"/>
                <w:spacing w:val="-8"/>
                <w:szCs w:val="21"/>
              </w:rPr>
              <w:t>其他环境</w:t>
            </w:r>
          </w:p>
          <w:p>
            <w:pPr>
              <w:adjustRightInd w:val="0"/>
              <w:snapToGrid w:val="0"/>
              <w:spacing w:line="240" w:lineRule="auto"/>
              <w:jc w:val="center"/>
              <w:rPr>
                <w:color w:val="auto"/>
                <w:spacing w:val="-8"/>
                <w:szCs w:val="21"/>
              </w:rPr>
            </w:pPr>
            <w:r>
              <w:rPr>
                <w:color w:val="auto"/>
                <w:spacing w:val="-8"/>
                <w:szCs w:val="21"/>
              </w:rPr>
              <w:t>管理要求</w:t>
            </w:r>
          </w:p>
        </w:tc>
        <w:tc>
          <w:tcPr>
            <w:tcW w:w="4580" w:type="pct"/>
            <w:gridSpan w:val="5"/>
            <w:noWrap/>
            <w:vAlign w:val="center"/>
          </w:tcPr>
          <w:p>
            <w:pPr>
              <w:adjustRightInd w:val="0"/>
              <w:snapToGrid w:val="0"/>
              <w:spacing w:line="240" w:lineRule="auto"/>
              <w:jc w:val="center"/>
              <w:rPr>
                <w:color w:val="auto"/>
                <w:szCs w:val="21"/>
              </w:rPr>
            </w:pPr>
            <w:r>
              <w:rPr>
                <w:rFonts w:hint="eastAsia"/>
                <w:color w:val="auto"/>
                <w:szCs w:val="21"/>
              </w:rPr>
              <w:t>/</w:t>
            </w: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3"/>
        <w:rPr>
          <w:color w:val="auto"/>
        </w:rPr>
      </w:pPr>
      <w:r>
        <w:rPr>
          <w:rFonts w:hint="eastAsia"/>
          <w:color w:val="auto"/>
        </w:rPr>
        <w:t>六、</w:t>
      </w:r>
      <w:r>
        <w:rPr>
          <w:color w:val="auto"/>
        </w:rPr>
        <w:t>结论</w:t>
      </w: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000" w:type="pct"/>
            <w:noWrap/>
            <w:vAlign w:val="center"/>
          </w:tcPr>
          <w:p>
            <w:pPr>
              <w:ind w:firstLine="480" w:firstLineChars="200"/>
              <w:jc w:val="left"/>
              <w:rPr>
                <w:color w:val="auto"/>
                <w:szCs w:val="21"/>
              </w:rPr>
            </w:pPr>
          </w:p>
          <w:p>
            <w:pPr>
              <w:pStyle w:val="3"/>
              <w:rPr>
                <w:color w:val="auto"/>
                <w:szCs w:val="21"/>
              </w:rPr>
            </w:pPr>
          </w:p>
          <w:p>
            <w:pPr>
              <w:rPr>
                <w:color w:val="auto"/>
                <w:szCs w:val="21"/>
              </w:rPr>
            </w:pPr>
          </w:p>
          <w:p>
            <w:pPr>
              <w:pStyle w:val="3"/>
              <w:rPr>
                <w:color w:val="auto"/>
                <w:szCs w:val="21"/>
              </w:rPr>
            </w:pPr>
          </w:p>
          <w:p>
            <w:pPr>
              <w:rPr>
                <w:color w:val="auto"/>
                <w:szCs w:val="21"/>
              </w:rPr>
            </w:pPr>
          </w:p>
          <w:p>
            <w:pPr>
              <w:pStyle w:val="3"/>
              <w:rPr>
                <w:color w:val="auto"/>
                <w:szCs w:val="21"/>
              </w:rPr>
            </w:pPr>
          </w:p>
          <w:p>
            <w:pPr>
              <w:rPr>
                <w:color w:val="auto"/>
                <w:szCs w:val="21"/>
              </w:rPr>
            </w:pPr>
          </w:p>
          <w:p>
            <w:pPr>
              <w:pStyle w:val="3"/>
              <w:rPr>
                <w:color w:val="auto"/>
                <w:szCs w:val="21"/>
              </w:rPr>
            </w:pPr>
          </w:p>
          <w:p>
            <w:pPr>
              <w:rPr>
                <w:color w:val="auto"/>
                <w:szCs w:val="21"/>
              </w:rPr>
            </w:pPr>
          </w:p>
          <w:p>
            <w:pPr>
              <w:pStyle w:val="3"/>
              <w:rPr>
                <w:color w:val="auto"/>
                <w:szCs w:val="21"/>
              </w:rPr>
            </w:pPr>
          </w:p>
          <w:p>
            <w:pPr>
              <w:rPr>
                <w:color w:val="auto"/>
              </w:rPr>
            </w:pPr>
          </w:p>
          <w:p>
            <w:pPr>
              <w:ind w:firstLine="480" w:firstLineChars="200"/>
              <w:jc w:val="left"/>
              <w:rPr>
                <w:color w:val="auto"/>
                <w:szCs w:val="21"/>
              </w:rPr>
            </w:pPr>
            <w:r>
              <w:rPr>
                <w:rFonts w:hint="eastAsia"/>
                <w:color w:val="auto"/>
                <w:szCs w:val="21"/>
              </w:rPr>
              <w:t>综上所述，从环境保护角度分析，本项目建设具有可行性</w:t>
            </w:r>
            <w:r>
              <w:rPr>
                <w:rFonts w:hint="eastAsia"/>
                <w:color w:val="auto"/>
                <w:szCs w:val="21"/>
                <w:lang w:eastAsia="zh-CN"/>
              </w:rPr>
              <w:t>。</w:t>
            </w: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25"/>
        <w:adjustRightInd w:val="0"/>
        <w:snapToGrid w:val="0"/>
        <w:spacing w:before="0" w:beforeAutospacing="0" w:after="0" w:afterAutospacing="0"/>
        <w:outlineLvl w:val="0"/>
        <w:rPr>
          <w:rFonts w:ascii="Times New Roman" w:hAnsi="Times New Roman"/>
          <w:snapToGrid w:val="0"/>
          <w:color w:val="auto"/>
          <w:kern w:val="21"/>
          <w:sz w:val="21"/>
          <w:szCs w:val="21"/>
        </w:rPr>
      </w:pPr>
      <w:r>
        <w:rPr>
          <w:rFonts w:ascii="Times New Roman" w:hAnsi="Times New Roman"/>
          <w:snapToGrid w:val="0"/>
          <w:color w:val="auto"/>
          <w:kern w:val="21"/>
          <w:sz w:val="32"/>
          <w:szCs w:val="32"/>
        </w:rPr>
        <w:t>附表</w:t>
      </w:r>
    </w:p>
    <w:p>
      <w:pPr>
        <w:jc w:val="center"/>
        <w:rPr>
          <w:color w:val="auto"/>
          <w:sz w:val="32"/>
          <w:szCs w:val="32"/>
        </w:rPr>
      </w:pPr>
      <w:r>
        <w:rPr>
          <w:color w:val="auto"/>
          <w:sz w:val="32"/>
          <w:szCs w:val="32"/>
        </w:rPr>
        <w:t>建设项目污染物排放量汇总表</w:t>
      </w:r>
    </w:p>
    <w:tbl>
      <w:tblPr>
        <w:tblStyle w:val="2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1"/>
        <w:gridCol w:w="773"/>
        <w:gridCol w:w="1704"/>
        <w:gridCol w:w="1475"/>
        <w:gridCol w:w="1267"/>
        <w:gridCol w:w="1800"/>
        <w:gridCol w:w="1930"/>
        <w:gridCol w:w="1464"/>
        <w:gridCol w:w="2087"/>
        <w:gridCol w:w="10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285" w:type="pct"/>
            <w:tcBorders>
              <w:tl2br w:val="single" w:color="auto" w:sz="4" w:space="0"/>
            </w:tcBorders>
            <w:noWrap/>
            <w:tcMar>
              <w:left w:w="28" w:type="dxa"/>
              <w:right w:w="28" w:type="dxa"/>
            </w:tcMar>
            <w:vAlign w:val="center"/>
          </w:tcPr>
          <w:p>
            <w:pPr>
              <w:pStyle w:val="75"/>
              <w:spacing w:beforeLines="0" w:afterLines="0" w:line="240" w:lineRule="auto"/>
              <w:jc w:val="right"/>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项目</w:t>
            </w:r>
          </w:p>
          <w:p>
            <w:pPr>
              <w:pStyle w:val="75"/>
              <w:spacing w:beforeLines="0" w:afterLines="0" w:line="240" w:lineRule="auto"/>
              <w:jc w:val="left"/>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分类</w:t>
            </w:r>
          </w:p>
        </w:tc>
        <w:tc>
          <w:tcPr>
            <w:tcW w:w="860" w:type="pct"/>
            <w:gridSpan w:val="2"/>
            <w:noWrap/>
            <w:tcMar>
              <w:left w:w="28" w:type="dxa"/>
              <w:right w:w="28" w:type="dxa"/>
            </w:tcMar>
            <w:vAlign w:val="center"/>
          </w:tcPr>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污染物名称</w:t>
            </w:r>
          </w:p>
        </w:tc>
        <w:tc>
          <w:tcPr>
            <w:tcW w:w="512" w:type="pct"/>
            <w:noWrap/>
            <w:tcMar>
              <w:left w:w="28" w:type="dxa"/>
              <w:right w:w="28" w:type="dxa"/>
            </w:tcMar>
            <w:vAlign w:val="center"/>
          </w:tcPr>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现有工程</w:t>
            </w:r>
          </w:p>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1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①</w:t>
            </w:r>
            <w:r>
              <w:rPr>
                <w:rFonts w:hint="default" w:ascii="Times New Roman" w:hAnsi="Times New Roman" w:cs="Times New Roman"/>
                <w:b/>
                <w:bCs/>
                <w:snapToGrid w:val="0"/>
                <w:color w:val="auto"/>
                <w:kern w:val="21"/>
                <w:sz w:val="21"/>
                <w:szCs w:val="21"/>
              </w:rPr>
              <w:fldChar w:fldCharType="end"/>
            </w:r>
          </w:p>
        </w:tc>
        <w:tc>
          <w:tcPr>
            <w:tcW w:w="439" w:type="pct"/>
            <w:noWrap/>
            <w:tcMar>
              <w:left w:w="28" w:type="dxa"/>
              <w:right w:w="28" w:type="dxa"/>
            </w:tcMar>
            <w:vAlign w:val="center"/>
          </w:tcPr>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现有工程</w:t>
            </w:r>
          </w:p>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许可排放量</w:t>
            </w:r>
          </w:p>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2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snapToGrid w:val="0"/>
                <w:color w:val="auto"/>
                <w:kern w:val="21"/>
                <w:sz w:val="21"/>
                <w:szCs w:val="21"/>
              </w:rPr>
              <w:t>②</w:t>
            </w:r>
            <w:r>
              <w:rPr>
                <w:rFonts w:hint="default" w:ascii="Times New Roman" w:hAnsi="Times New Roman" w:cs="Times New Roman"/>
                <w:b/>
                <w:bCs/>
                <w:snapToGrid w:val="0"/>
                <w:color w:val="auto"/>
                <w:kern w:val="21"/>
                <w:sz w:val="21"/>
                <w:szCs w:val="21"/>
              </w:rPr>
              <w:fldChar w:fldCharType="end"/>
            </w:r>
          </w:p>
        </w:tc>
        <w:tc>
          <w:tcPr>
            <w:tcW w:w="625" w:type="pct"/>
            <w:noWrap/>
            <w:tcMar>
              <w:left w:w="28" w:type="dxa"/>
              <w:right w:w="28" w:type="dxa"/>
            </w:tcMar>
            <w:vAlign w:val="center"/>
          </w:tcPr>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在建工程</w:t>
            </w:r>
          </w:p>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3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③</w:t>
            </w:r>
            <w:r>
              <w:rPr>
                <w:rFonts w:hint="default" w:ascii="Times New Roman" w:hAnsi="Times New Roman" w:cs="Times New Roman"/>
                <w:b/>
                <w:bCs/>
                <w:snapToGrid w:val="0"/>
                <w:color w:val="auto"/>
                <w:kern w:val="21"/>
                <w:sz w:val="21"/>
                <w:szCs w:val="21"/>
              </w:rPr>
              <w:fldChar w:fldCharType="end"/>
            </w:r>
          </w:p>
        </w:tc>
        <w:tc>
          <w:tcPr>
            <w:tcW w:w="670" w:type="pct"/>
            <w:noWrap/>
            <w:tcMar>
              <w:left w:w="28" w:type="dxa"/>
              <w:right w:w="28" w:type="dxa"/>
            </w:tcMar>
            <w:vAlign w:val="center"/>
          </w:tcPr>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本项目</w:t>
            </w:r>
          </w:p>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4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④</w:t>
            </w:r>
            <w:r>
              <w:rPr>
                <w:rFonts w:hint="default" w:ascii="Times New Roman" w:hAnsi="Times New Roman" w:cs="Times New Roman"/>
                <w:b/>
                <w:bCs/>
                <w:snapToGrid w:val="0"/>
                <w:color w:val="auto"/>
                <w:kern w:val="21"/>
                <w:sz w:val="21"/>
                <w:szCs w:val="21"/>
              </w:rPr>
              <w:fldChar w:fldCharType="end"/>
            </w:r>
          </w:p>
        </w:tc>
        <w:tc>
          <w:tcPr>
            <w:tcW w:w="508" w:type="pct"/>
            <w:noWrap/>
            <w:tcMar>
              <w:left w:w="28" w:type="dxa"/>
              <w:right w:w="28" w:type="dxa"/>
            </w:tcMar>
            <w:vAlign w:val="center"/>
          </w:tcPr>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以新带老削减量</w:t>
            </w:r>
          </w:p>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（新建项目不填）</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5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⑤</w:t>
            </w:r>
            <w:r>
              <w:rPr>
                <w:rFonts w:hint="default" w:ascii="Times New Roman" w:hAnsi="Times New Roman" w:cs="Times New Roman"/>
                <w:b/>
                <w:bCs/>
                <w:snapToGrid w:val="0"/>
                <w:color w:val="auto"/>
                <w:kern w:val="21"/>
                <w:sz w:val="21"/>
                <w:szCs w:val="21"/>
              </w:rPr>
              <w:fldChar w:fldCharType="end"/>
            </w:r>
          </w:p>
        </w:tc>
        <w:tc>
          <w:tcPr>
            <w:tcW w:w="724" w:type="pct"/>
            <w:noWrap/>
            <w:tcMar>
              <w:left w:w="28" w:type="dxa"/>
              <w:right w:w="28" w:type="dxa"/>
            </w:tcMar>
            <w:vAlign w:val="center"/>
          </w:tcPr>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本项目建成后</w:t>
            </w:r>
          </w:p>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全厂排放量（固体废物产生量）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6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⑥</w:t>
            </w:r>
            <w:r>
              <w:rPr>
                <w:rFonts w:hint="default" w:ascii="Times New Roman" w:hAnsi="Times New Roman" w:cs="Times New Roman"/>
                <w:b/>
                <w:bCs/>
                <w:snapToGrid w:val="0"/>
                <w:color w:val="auto"/>
                <w:kern w:val="21"/>
                <w:sz w:val="21"/>
                <w:szCs w:val="21"/>
              </w:rPr>
              <w:fldChar w:fldCharType="end"/>
            </w:r>
          </w:p>
        </w:tc>
        <w:tc>
          <w:tcPr>
            <w:tcW w:w="374" w:type="pct"/>
            <w:noWrap/>
            <w:tcMar>
              <w:left w:w="28" w:type="dxa"/>
              <w:right w:w="28" w:type="dxa"/>
            </w:tcMar>
            <w:vAlign w:val="center"/>
          </w:tcPr>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变化量</w:t>
            </w:r>
          </w:p>
          <w:p>
            <w:pPr>
              <w:pStyle w:val="75"/>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7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⑦</w:t>
            </w:r>
            <w:r>
              <w:rPr>
                <w:rFonts w:hint="default" w:ascii="Times New Roman" w:hAnsi="Times New Roman" w:cs="Times New Roman"/>
                <w:b/>
                <w:bCs/>
                <w:snapToGrid w:val="0"/>
                <w:color w:val="auto"/>
                <w:kern w:val="21"/>
                <w:sz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85" w:type="pct"/>
            <w:vMerge w:val="restart"/>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废气</w:t>
            </w:r>
          </w:p>
        </w:tc>
        <w:tc>
          <w:tcPr>
            <w:tcW w:w="860" w:type="pct"/>
            <w:gridSpan w:val="2"/>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FF0000"/>
                <w:kern w:val="21"/>
                <w:sz w:val="21"/>
                <w:szCs w:val="21"/>
                <w:highlight w:val="none"/>
              </w:rPr>
            </w:pPr>
            <w:r>
              <w:rPr>
                <w:rFonts w:hint="eastAsia" w:ascii="Times New Roman" w:cs="Times New Roman"/>
                <w:snapToGrid w:val="0"/>
                <w:color w:val="FF0000"/>
                <w:kern w:val="21"/>
                <w:sz w:val="21"/>
                <w:szCs w:val="21"/>
                <w:highlight w:val="none"/>
                <w:lang w:val="en-US" w:eastAsia="zh-CN"/>
              </w:rPr>
              <w:t>总VOCs</w:t>
            </w:r>
            <w:r>
              <w:rPr>
                <w:rFonts w:hint="default" w:ascii="Times New Roman" w:hAnsi="Times New Roman" w:cs="Times New Roman"/>
                <w:snapToGrid w:val="0"/>
                <w:color w:val="FF0000"/>
                <w:kern w:val="21"/>
                <w:sz w:val="21"/>
                <w:szCs w:val="21"/>
                <w:highlight w:val="none"/>
              </w:rPr>
              <w:t>（t/a）</w:t>
            </w:r>
          </w:p>
        </w:tc>
        <w:tc>
          <w:tcPr>
            <w:tcW w:w="512" w:type="pct"/>
            <w:noWrap/>
            <w:vAlign w:val="center"/>
          </w:tcPr>
          <w:p>
            <w:pPr>
              <w:keepNext w:val="0"/>
              <w:keepLines w:val="0"/>
              <w:widowControl/>
              <w:suppressLineNumbers w:val="0"/>
              <w:jc w:val="center"/>
              <w:textAlignment w:val="center"/>
              <w:rPr>
                <w:rFonts w:hint="eastAsia" w:ascii="Times New Roman" w:hAnsi="Times New Roman" w:eastAsia="宋体" w:cs="Times New Roman"/>
                <w:snapToGrid w:val="0"/>
                <w:color w:val="BF9000" w:themeColor="accent4" w:themeShade="BF"/>
                <w:kern w:val="21"/>
                <w:sz w:val="21"/>
                <w:szCs w:val="21"/>
                <w:highlight w:val="none"/>
                <w:lang w:val="en-US" w:eastAsia="zh-CN"/>
              </w:rPr>
            </w:pPr>
            <w:r>
              <w:rPr>
                <w:rFonts w:hint="eastAsia" w:cs="Times New Roman"/>
                <w:snapToGrid w:val="0"/>
                <w:color w:val="BF9000" w:themeColor="accent4" w:themeShade="BF"/>
                <w:kern w:val="21"/>
                <w:sz w:val="21"/>
                <w:szCs w:val="21"/>
                <w:highlight w:val="none"/>
                <w:lang w:val="en-US" w:eastAsia="zh-CN"/>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BF9000" w:themeColor="accent4" w:themeShade="BF"/>
                <w:kern w:val="21"/>
                <w:sz w:val="21"/>
                <w:szCs w:val="21"/>
                <w:highlight w:val="none"/>
                <w:lang w:val="en-US" w:eastAsia="zh-CN"/>
              </w:rPr>
            </w:pPr>
            <w: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BF9000" w:themeColor="accent4" w:themeShade="BF"/>
                <w:sz w:val="21"/>
                <w:szCs w:val="21"/>
                <w:highlight w:val="none"/>
                <w:lang w:val="en-US" w:eastAsia="zh-CN"/>
              </w:rPr>
              <w:t>0.0013</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BF9000" w:themeColor="accent4" w:themeShade="BF"/>
                <w:sz w:val="21"/>
                <w:szCs w:val="21"/>
                <w:highlight w:val="none"/>
                <w:lang w:val="en-US" w:eastAsia="zh-CN"/>
              </w:rPr>
              <w:t>0.0013</w:t>
            </w:r>
          </w:p>
        </w:tc>
        <w:tc>
          <w:tcPr>
            <w:tcW w:w="1079" w:type="dxa"/>
            <w:noWrap/>
            <w:vAlign w:val="center"/>
          </w:tcPr>
          <w:p>
            <w:pPr>
              <w:keepNext w:val="0"/>
              <w:keepLines w:val="0"/>
              <w:widowControl/>
              <w:suppressLineNumbers w:val="0"/>
              <w:jc w:val="center"/>
              <w:textAlignment w:val="center"/>
              <w:rPr>
                <w:rFonts w:hint="default" w:ascii="Times New Roman" w:hAnsi="Times New Roman" w:cs="Times New Roman"/>
                <w:color w:val="0000FF"/>
                <w:sz w:val="21"/>
                <w:szCs w:val="21"/>
                <w:highlight w:val="none"/>
                <w:lang w:val="en-US" w:eastAsia="zh-CN"/>
              </w:rPr>
            </w:pPr>
            <w:r>
              <w:rPr>
                <w:rFonts w:hint="eastAsia" w:cs="Times New Roman"/>
                <w:color w:val="BF9000" w:themeColor="accent4" w:themeShade="BF"/>
                <w:sz w:val="21"/>
                <w:szCs w:val="21"/>
                <w:highlight w:val="none"/>
                <w:lang w:val="en-US" w:eastAsia="zh-CN"/>
              </w:rPr>
              <w:t>+0.0013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860" w:type="pct"/>
            <w:gridSpan w:val="2"/>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snapToGrid w:val="0"/>
                <w:color w:val="FF0000"/>
                <w:kern w:val="21"/>
                <w:sz w:val="21"/>
                <w:szCs w:val="21"/>
                <w:highlight w:val="none"/>
                <w:lang w:val="en-US" w:eastAsia="zh-CN"/>
              </w:rPr>
            </w:pPr>
            <w:r>
              <w:rPr>
                <w:rFonts w:hint="eastAsia" w:ascii="Times New Roman" w:cs="Times New Roman"/>
                <w:snapToGrid w:val="0"/>
                <w:color w:val="FF0000"/>
                <w:kern w:val="21"/>
                <w:sz w:val="21"/>
                <w:szCs w:val="21"/>
                <w:highlight w:val="none"/>
                <w:lang w:val="en-US" w:eastAsia="zh-CN"/>
              </w:rPr>
              <w:t>非甲烷总烃</w:t>
            </w:r>
            <w:r>
              <w:rPr>
                <w:rFonts w:hint="default" w:ascii="Times New Roman" w:hAnsi="Times New Roman" w:cs="Times New Roman"/>
                <w:snapToGrid w:val="0"/>
                <w:color w:val="FF0000"/>
                <w:kern w:val="21"/>
                <w:sz w:val="21"/>
                <w:szCs w:val="21"/>
                <w:highlight w:val="none"/>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pPr>
            <w:r>
              <w:rPr>
                <w:rFonts w:hint="eastAsia" w:cs="Times New Roman"/>
                <w:i w:val="0"/>
                <w:iCs w:val="0"/>
                <w:color w:val="BF9000" w:themeColor="accent4" w:themeShade="BF"/>
                <w:kern w:val="0"/>
                <w:sz w:val="21"/>
                <w:szCs w:val="21"/>
                <w:highlight w:val="none"/>
                <w:u w:val="none"/>
                <w:lang w:val="en-US" w:eastAsia="zh-CN" w:bidi="ar"/>
              </w:rPr>
              <w:t>0.5408</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BF9000" w:themeColor="accent4" w:themeShade="BF"/>
                <w:kern w:val="21"/>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pPr>
            <w:r>
              <w:rPr>
                <w:rFonts w:hint="eastAsia" w:cs="Times New Roman"/>
                <w:i w:val="0"/>
                <w:iCs w:val="0"/>
                <w:color w:val="BF9000" w:themeColor="accent4" w:themeShade="BF"/>
                <w:kern w:val="0"/>
                <w:sz w:val="21"/>
                <w:szCs w:val="21"/>
                <w:highlight w:val="none"/>
                <w:u w:val="none"/>
                <w:lang w:val="en-US" w:eastAsia="zh-CN" w:bidi="ar"/>
              </w:rPr>
              <w:t>0.1076</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pPr>
            <w: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pPr>
            <w:r>
              <w:rPr>
                <w:rFonts w:hint="eastAsia" w:cs="Times New Roman"/>
                <w:i w:val="0"/>
                <w:iCs w:val="0"/>
                <w:color w:val="BF9000" w:themeColor="accent4" w:themeShade="BF"/>
                <w:kern w:val="0"/>
                <w:sz w:val="21"/>
                <w:szCs w:val="21"/>
                <w:highlight w:val="none"/>
                <w:u w:val="none"/>
                <w:lang w:val="en-US" w:eastAsia="zh-CN" w:bidi="ar"/>
              </w:rPr>
              <w:t>0.6484</w:t>
            </w:r>
          </w:p>
        </w:tc>
        <w:tc>
          <w:tcPr>
            <w:tcW w:w="1079" w:type="dxa"/>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FF"/>
                <w:kern w:val="0"/>
                <w:sz w:val="21"/>
                <w:szCs w:val="21"/>
                <w:highlight w:val="none"/>
                <w:u w:val="none"/>
                <w:lang w:val="en-US" w:eastAsia="zh-CN" w:bidi="ar"/>
              </w:rPr>
            </w:pPr>
            <w:r>
              <w:rPr>
                <w:rFonts w:hint="eastAsia" w:cs="Times New Roman"/>
                <w:i w:val="0"/>
                <w:iCs w:val="0"/>
                <w:color w:val="BF9000" w:themeColor="accent4" w:themeShade="BF"/>
                <w:kern w:val="0"/>
                <w:sz w:val="21"/>
                <w:szCs w:val="21"/>
                <w:highlight w:val="none"/>
                <w:u w:val="none"/>
                <w:lang w:val="en-US" w:eastAsia="zh-CN" w:bidi="ar"/>
              </w:rPr>
              <w:t>+0.1076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860" w:type="pct"/>
            <w:gridSpan w:val="2"/>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锡及其化合物</w:t>
            </w:r>
            <w:r>
              <w:rPr>
                <w:rFonts w:hint="default" w:ascii="Times New Roman" w:hAnsi="Times New Roman" w:cs="Times New Roman"/>
                <w:snapToGrid w:val="0"/>
                <w:color w:val="auto"/>
                <w:kern w:val="21"/>
                <w:sz w:val="21"/>
                <w:szCs w:val="21"/>
                <w:highlight w:val="none"/>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BF9000" w:themeColor="accent4" w:themeShade="BF"/>
                <w:sz w:val="21"/>
                <w:szCs w:val="21"/>
                <w:highlight w:val="none"/>
                <w:lang w:val="en-US" w:eastAsia="zh-CN"/>
              </w:rPr>
              <w:t>0.00008</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BF9000" w:themeColor="accent4" w:themeShade="BF"/>
                <w:kern w:val="21"/>
                <w:sz w:val="21"/>
                <w:szCs w:val="21"/>
                <w:highlight w:val="none"/>
                <w:lang w:val="en-US" w:eastAsia="zh-CN"/>
              </w:rPr>
            </w:pPr>
            <w: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BF9000" w:themeColor="accent4" w:themeShade="BF"/>
                <w:sz w:val="21"/>
                <w:szCs w:val="21"/>
                <w:highlight w:val="none"/>
                <w:lang w:val="en-US" w:eastAsia="zh-CN"/>
              </w:rPr>
              <w:t>0.000017</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BF9000" w:themeColor="accent4" w:themeShade="BF"/>
                <w:sz w:val="21"/>
                <w:szCs w:val="21"/>
                <w:highlight w:val="none"/>
                <w:lang w:val="en-US" w:eastAsia="zh-CN"/>
              </w:rPr>
              <w:t>0.000063</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i w:val="0"/>
                <w:iCs w:val="0"/>
                <w:color w:val="BF9000" w:themeColor="accent4" w:themeShade="BF"/>
                <w:kern w:val="0"/>
                <w:sz w:val="21"/>
                <w:szCs w:val="21"/>
                <w:highlight w:val="none"/>
                <w:u w:val="none"/>
                <w:lang w:val="en-US" w:eastAsia="zh-CN" w:bidi="ar"/>
              </w:rPr>
              <w:t>-</w:t>
            </w:r>
            <w:r>
              <w:rPr>
                <w:rFonts w:hint="eastAsia" w:cs="Times New Roman"/>
                <w:color w:val="BF9000" w:themeColor="accent4" w:themeShade="BF"/>
                <w:sz w:val="21"/>
                <w:szCs w:val="21"/>
                <w:highlight w:val="none"/>
                <w:lang w:val="en-US" w:eastAsia="zh-CN"/>
              </w:rPr>
              <w:t>0.000017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860" w:type="pct"/>
            <w:gridSpan w:val="2"/>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颗粒物</w:t>
            </w:r>
            <w:r>
              <w:rPr>
                <w:rFonts w:hint="default" w:ascii="Times New Roman" w:hAnsi="Times New Roman" w:cs="Times New Roman"/>
                <w:snapToGrid w:val="0"/>
                <w:color w:val="auto"/>
                <w:kern w:val="21"/>
                <w:sz w:val="21"/>
                <w:szCs w:val="21"/>
                <w:highlight w:val="none"/>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BF9000" w:themeColor="accent4" w:themeShade="BF"/>
                <w:sz w:val="21"/>
                <w:szCs w:val="21"/>
                <w:highlight w:val="none"/>
                <w:lang w:val="en-US" w:eastAsia="zh-CN"/>
              </w:rPr>
              <w:t>3.744</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BF9000" w:themeColor="accent4" w:themeShade="BF"/>
                <w:sz w:val="21"/>
                <w:szCs w:val="21"/>
                <w:highlight w:val="none"/>
                <w:lang w:val="en-US" w:eastAsia="zh-CN"/>
              </w:rPr>
              <w:t>0.0385</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default" w:ascii="Times New Roman" w:hAnsi="Times New Roman" w:cs="Times New Roman"/>
                <w:color w:val="BF9000" w:themeColor="accent4" w:themeShade="BF"/>
                <w:sz w:val="21"/>
                <w:szCs w:val="21"/>
                <w:highlight w:val="none"/>
                <w:lang w:val="en-US" w:eastAsia="zh-CN"/>
              </w:rPr>
              <w:t>3.73104</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BF9000" w:themeColor="accent4" w:themeShade="BF"/>
                <w:sz w:val="21"/>
                <w:szCs w:val="21"/>
                <w:highlight w:val="none"/>
                <w:lang w:val="en-US" w:eastAsia="zh-CN"/>
              </w:rPr>
              <w:t>2.9315</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BF9000" w:themeColor="accent4" w:themeShade="BF"/>
                <w:sz w:val="21"/>
                <w:szCs w:val="21"/>
                <w:highlight w:val="none"/>
                <w:lang w:val="en-US" w:eastAsia="zh-CN"/>
              </w:rPr>
              <w:t>-0.0385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85" w:type="pct"/>
            <w:vMerge w:val="restart"/>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废水</w:t>
            </w:r>
          </w:p>
        </w:tc>
        <w:tc>
          <w:tcPr>
            <w:tcW w:w="268" w:type="pct"/>
            <w:vMerge w:val="restart"/>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color w:val="auto"/>
                <w:sz w:val="21"/>
                <w:szCs w:val="21"/>
                <w:highlight w:val="none"/>
                <w:lang w:val="en-US" w:eastAsia="zh-CN"/>
              </w:rPr>
              <w:t>生活污水</w:t>
            </w:r>
          </w:p>
        </w:tc>
        <w:tc>
          <w:tcPr>
            <w:tcW w:w="591" w:type="pct"/>
            <w:noWrap/>
            <w:vAlign w:val="center"/>
          </w:tcPr>
          <w:p>
            <w:pPr>
              <w:pStyle w:val="74"/>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废水量</w:t>
            </w:r>
            <w:r>
              <w:rPr>
                <w:rFonts w:hint="default" w:ascii="Times New Roman" w:hAnsi="Times New Roman" w:cs="Times New Roman"/>
                <w:snapToGrid w:val="0"/>
                <w:color w:val="auto"/>
                <w:kern w:val="21"/>
                <w:sz w:val="21"/>
                <w:szCs w:val="21"/>
                <w:highlight w:val="none"/>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12000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12000</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591" w:type="pct"/>
            <w:noWrap/>
            <w:vAlign w:val="center"/>
          </w:tcPr>
          <w:p>
            <w:pPr>
              <w:pStyle w:val="74"/>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COD</w:t>
            </w:r>
            <w:r>
              <w:rPr>
                <w:rFonts w:hint="default" w:ascii="Times New Roman" w:hAnsi="Times New Roman" w:eastAsia="宋体" w:cs="Times New Roman"/>
                <w:color w:val="auto"/>
                <w:kern w:val="2"/>
                <w:sz w:val="21"/>
                <w:szCs w:val="21"/>
                <w:highlight w:val="none"/>
                <w:vertAlign w:val="subscript"/>
                <w:lang w:val="en-US" w:eastAsia="zh-CN"/>
              </w:rPr>
              <w:t>Cr</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0.48</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0.48</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591" w:type="pct"/>
            <w:noWrap/>
            <w:vAlign w:val="center"/>
          </w:tcPr>
          <w:p>
            <w:pPr>
              <w:pStyle w:val="74"/>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NH</w:t>
            </w:r>
            <w:r>
              <w:rPr>
                <w:rFonts w:hint="default" w:ascii="Times New Roman" w:hAnsi="Times New Roman" w:eastAsia="宋体" w:cs="Times New Roman"/>
                <w:color w:val="auto"/>
                <w:kern w:val="2"/>
                <w:sz w:val="21"/>
                <w:szCs w:val="21"/>
                <w:highlight w:val="none"/>
                <w:vertAlign w:val="subscript"/>
                <w:lang w:val="en-US" w:eastAsia="zh-CN"/>
              </w:rPr>
              <w:t>3</w:t>
            </w:r>
            <w:r>
              <w:rPr>
                <w:rFonts w:hint="default" w:ascii="Times New Roman" w:hAnsi="Times New Roman" w:eastAsia="宋体" w:cs="Times New Roman"/>
                <w:color w:val="auto"/>
                <w:kern w:val="2"/>
                <w:sz w:val="21"/>
                <w:szCs w:val="21"/>
                <w:highlight w:val="none"/>
                <w:lang w:val="en-US" w:eastAsia="zh-CN"/>
              </w:rPr>
              <w:t>-N（t/a）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0.024</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0.024</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85" w:type="pct"/>
            <w:vMerge w:val="restart"/>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固体废物</w:t>
            </w:r>
          </w:p>
        </w:tc>
        <w:tc>
          <w:tcPr>
            <w:tcW w:w="268" w:type="pct"/>
            <w:vMerge w:val="restart"/>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一般固体废物</w:t>
            </w: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b w:val="0"/>
                <w:bCs w:val="0"/>
                <w:i w:val="0"/>
                <w:iCs w:val="0"/>
                <w:color w:val="auto"/>
                <w:kern w:val="0"/>
                <w:sz w:val="21"/>
                <w:szCs w:val="21"/>
                <w:highlight w:val="none"/>
                <w:u w:val="none"/>
                <w:lang w:val="en-US" w:eastAsia="zh-CN" w:bidi="ar"/>
              </w:rPr>
              <w:t>元件边角料</w:t>
            </w:r>
            <w:r>
              <w:rPr>
                <w:rFonts w:hint="default" w:ascii="Times New Roman" w:hAnsi="Times New Roman" w:eastAsia="宋体" w:cs="Times New Roman"/>
                <w:b w:val="0"/>
                <w:bCs w:val="0"/>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0.3</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0.3</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color w:val="auto"/>
                <w:sz w:val="21"/>
                <w:szCs w:val="21"/>
                <w:highlight w:val="none"/>
                <w:lang w:val="en-US" w:eastAsia="zh-CN"/>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次品</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7</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17</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65"/>
              <w:keepNext w:val="0"/>
              <w:keepLines w:val="0"/>
              <w:pageBreakBefore w:val="0"/>
              <w:kinsoku/>
              <w:wordWrap/>
              <w:overflowPunct/>
              <w:topLinePunct w:val="0"/>
              <w:autoSpaceDE/>
              <w:autoSpaceDN/>
              <w:bidi w:val="0"/>
              <w:adjustRightInd/>
              <w:spacing w:line="240" w:lineRule="auto"/>
              <w:textAlignment w:val="auto"/>
              <w:rPr>
                <w:rFonts w:hint="default" w:ascii="Times New Roman" w:hAnsi="Times New Roman" w:cs="Times New Roman"/>
                <w:color w:val="auto"/>
                <w:kern w:val="2"/>
                <w:position w:val="0"/>
                <w:sz w:val="21"/>
                <w:szCs w:val="21"/>
                <w:highlight w:val="none"/>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金属碎屑及边角料</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65"/>
              <w:keepNext w:val="0"/>
              <w:keepLines w:val="0"/>
              <w:pageBreakBefore w:val="0"/>
              <w:kinsoku/>
              <w:wordWrap/>
              <w:overflowPunct/>
              <w:topLinePunct w:val="0"/>
              <w:autoSpaceDE/>
              <w:autoSpaceDN/>
              <w:bidi w:val="0"/>
              <w:adjustRightInd/>
              <w:spacing w:line="240" w:lineRule="auto"/>
              <w:textAlignment w:val="auto"/>
              <w:rPr>
                <w:rFonts w:hint="default" w:ascii="Times New Roman" w:hAnsi="Times New Roman" w:cs="Times New Roman"/>
                <w:color w:val="auto"/>
                <w:kern w:val="2"/>
                <w:position w:val="0"/>
                <w:sz w:val="21"/>
                <w:szCs w:val="21"/>
                <w:highlight w:val="none"/>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废包装材料</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restart"/>
            <w:noWrap/>
            <w:vAlign w:val="center"/>
          </w:tcPr>
          <w:p>
            <w:pPr>
              <w:pStyle w:val="74"/>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cs="Times New Roman"/>
                <w:color w:val="auto"/>
                <w:kern w:val="2"/>
                <w:sz w:val="21"/>
                <w:szCs w:val="21"/>
                <w:highlight w:val="none"/>
                <w:lang w:val="en-US" w:eastAsia="zh-CN"/>
              </w:rPr>
              <w:t>危险废物</w:t>
            </w: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废切削液及金属沉渣</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4"/>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color w:val="auto"/>
                <w:kern w:val="2"/>
                <w:sz w:val="21"/>
                <w:szCs w:val="21"/>
                <w:highlight w:val="none"/>
                <w:lang w:val="en-US" w:eastAsia="zh-CN"/>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废火花油及金属沉渣</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废活性炭</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0.3</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eastAsia"/>
                <w:color w:val="FF0000"/>
                <w:sz w:val="21"/>
                <w:szCs w:val="21"/>
                <w:lang w:val="en-US" w:eastAsia="zh-CN"/>
              </w:rPr>
              <w:t>11.2618</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0.3</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eastAsia" w:cs="Times New Roman"/>
                <w:color w:val="FF0000"/>
                <w:kern w:val="0"/>
                <w:sz w:val="21"/>
                <w:szCs w:val="21"/>
                <w:highlight w:val="none"/>
                <w:lang w:val="en-US" w:eastAsia="zh-CN" w:bidi="ar-SA"/>
              </w:rPr>
              <w:t>11.5618</w:t>
            </w:r>
          </w:p>
        </w:tc>
        <w:tc>
          <w:tcPr>
            <w:tcW w:w="37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w:t>
            </w:r>
            <w:r>
              <w:rPr>
                <w:rFonts w:hint="eastAsia"/>
                <w:color w:val="FF0000"/>
                <w:sz w:val="21"/>
                <w:szCs w:val="21"/>
                <w:lang w:val="en-US" w:eastAsia="zh-CN"/>
              </w:rPr>
              <w:t>11.2618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废润滑油</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0000FF"/>
                <w:kern w:val="0"/>
                <w:sz w:val="21"/>
                <w:szCs w:val="21"/>
                <w:highlight w:val="none"/>
                <w:u w:val="none"/>
                <w:lang w:val="en-US" w:eastAsia="zh-CN" w:bidi="ar"/>
              </w:rPr>
              <w:t>0</w:t>
            </w:r>
            <w:r>
              <w:rPr>
                <w:rFonts w:hint="eastAsia" w:cs="Times New Roman"/>
                <w:i w:val="0"/>
                <w:iCs w:val="0"/>
                <w:color w:val="0000FF"/>
                <w:kern w:val="0"/>
                <w:sz w:val="21"/>
                <w:szCs w:val="21"/>
                <w:highlight w:val="none"/>
                <w:u w:val="none"/>
                <w:lang w:val="en-US" w:eastAsia="zh-CN" w:bidi="ar"/>
              </w:rPr>
              <w:t>.08</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0000FF"/>
                <w:kern w:val="0"/>
                <w:sz w:val="21"/>
                <w:szCs w:val="21"/>
                <w:highlight w:val="none"/>
                <w:u w:val="none"/>
                <w:lang w:val="en-US" w:eastAsia="zh-CN" w:bidi="ar"/>
              </w:rPr>
              <w:t>0.2</w:t>
            </w:r>
            <w:r>
              <w:rPr>
                <w:rFonts w:hint="eastAsia" w:cs="Times New Roman"/>
                <w:i w:val="0"/>
                <w:iCs w:val="0"/>
                <w:color w:val="0000FF"/>
                <w:kern w:val="0"/>
                <w:sz w:val="21"/>
                <w:szCs w:val="21"/>
                <w:highlight w:val="none"/>
                <w:u w:val="none"/>
                <w:lang w:val="en-US" w:eastAsia="zh-CN" w:bidi="ar"/>
              </w:rPr>
              <w:t>8</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含油废抹布及手套</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0.2</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0.2</w:t>
            </w:r>
          </w:p>
        </w:tc>
        <w:tc>
          <w:tcPr>
            <w:tcW w:w="37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废油桶</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0.523</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0.523</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0.523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废漆桶</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0.096</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0.096</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0.096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废油墨罐</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漆渣</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4F0FBD"/>
                <w:sz w:val="21"/>
                <w:szCs w:val="21"/>
                <w:highlight w:val="none"/>
                <w:lang w:val="en-US" w:eastAsia="zh-CN"/>
              </w:rPr>
            </w:pPr>
            <w:r>
              <w:rPr>
                <w:rFonts w:hint="eastAsia" w:ascii="宋体" w:hAnsi="宋体" w:cs="宋体"/>
                <w:i w:val="0"/>
                <w:iCs w:val="0"/>
                <w:color w:val="4F0FBD"/>
                <w:kern w:val="0"/>
                <w:sz w:val="21"/>
                <w:szCs w:val="21"/>
                <w:highlight w:val="none"/>
                <w:u w:val="none"/>
                <w:lang w:val="en-US" w:eastAsia="zh-CN" w:bidi="ar"/>
              </w:rPr>
              <w:t>0.2101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4F0FBD"/>
                <w:sz w:val="21"/>
                <w:szCs w:val="21"/>
                <w:highlight w:val="none"/>
                <w:lang w:val="en-US" w:eastAsia="zh-CN"/>
              </w:rPr>
            </w:pPr>
            <w:r>
              <w:rPr>
                <w:rFonts w:hint="default" w:ascii="Times New Roman" w:hAnsi="Times New Roman" w:eastAsia="宋体" w:cs="Times New Roman"/>
                <w:i w:val="0"/>
                <w:iCs w:val="0"/>
                <w:color w:val="4F0FBD"/>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4F0FBD"/>
                <w:kern w:val="2"/>
                <w:sz w:val="21"/>
                <w:szCs w:val="21"/>
                <w:highlight w:val="none"/>
                <w:lang w:val="en-US" w:eastAsia="zh-CN" w:bidi="ar-SA"/>
              </w:rPr>
            </w:pPr>
            <w:r>
              <w:rPr>
                <w:rFonts w:hint="eastAsia" w:ascii="宋体" w:hAnsi="宋体" w:cs="宋体"/>
                <w:i w:val="0"/>
                <w:iCs w:val="0"/>
                <w:color w:val="4F0FBD"/>
                <w:kern w:val="0"/>
                <w:sz w:val="21"/>
                <w:szCs w:val="21"/>
                <w:highlight w:val="none"/>
                <w:u w:val="none"/>
                <w:lang w:val="en-US" w:eastAsia="zh-CN" w:bidi="ar"/>
              </w:rPr>
              <w:t>0.2101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4F0FBD"/>
                <w:kern w:val="0"/>
                <w:sz w:val="21"/>
                <w:szCs w:val="21"/>
                <w:highlight w:val="none"/>
                <w:lang w:val="en-US" w:eastAsia="zh-CN" w:bidi="ar-SA"/>
              </w:rPr>
            </w:pPr>
            <w:r>
              <w:rPr>
                <w:rFonts w:hint="eastAsia" w:ascii="宋体" w:hAnsi="宋体" w:eastAsia="宋体" w:cs="宋体"/>
                <w:i w:val="0"/>
                <w:iCs w:val="0"/>
                <w:color w:val="4F0FBD"/>
                <w:kern w:val="0"/>
                <w:sz w:val="21"/>
                <w:szCs w:val="21"/>
                <w:highlight w:val="none"/>
                <w:u w:val="none"/>
                <w:lang w:val="en-US" w:eastAsia="zh-CN" w:bidi="ar"/>
              </w:rPr>
              <w:t>+</w:t>
            </w:r>
            <w:r>
              <w:rPr>
                <w:rFonts w:hint="eastAsia" w:ascii="宋体" w:hAnsi="宋体" w:cs="宋体"/>
                <w:i w:val="0"/>
                <w:iCs w:val="0"/>
                <w:color w:val="4F0FBD"/>
                <w:kern w:val="0"/>
                <w:sz w:val="21"/>
                <w:szCs w:val="21"/>
                <w:highlight w:val="none"/>
                <w:u w:val="none"/>
                <w:lang w:val="en-US" w:eastAsia="zh-CN" w:bidi="ar"/>
              </w:rPr>
              <w:t>0.2101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水帘柜废水</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3.036</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3.036</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3.036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eastAsia" w:cs="Times New Roman"/>
                <w:i w:val="0"/>
                <w:iCs w:val="0"/>
                <w:color w:val="4F0FBD"/>
                <w:kern w:val="0"/>
                <w:sz w:val="21"/>
                <w:szCs w:val="21"/>
                <w:highlight w:val="none"/>
                <w:u w:val="none"/>
                <w:lang w:val="en-US" w:eastAsia="zh-CN" w:bidi="ar"/>
              </w:rPr>
              <w:t>喷漆及丝印</w:t>
            </w:r>
            <w:r>
              <w:rPr>
                <w:rFonts w:hint="default" w:ascii="Times New Roman" w:hAnsi="Times New Roman" w:eastAsia="宋体" w:cs="Times New Roman"/>
                <w:i w:val="0"/>
                <w:iCs w:val="0"/>
                <w:color w:val="auto"/>
                <w:kern w:val="0"/>
                <w:sz w:val="21"/>
                <w:szCs w:val="21"/>
                <w:highlight w:val="none"/>
                <w:u w:val="none"/>
                <w:lang w:val="en-US" w:eastAsia="zh-CN" w:bidi="ar"/>
              </w:rPr>
              <w:t>喷淋塔废水</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eastAsia" w:cs="Times New Roman"/>
                <w:color w:val="4F0FBD"/>
                <w:sz w:val="21"/>
                <w:szCs w:val="21"/>
                <w:highlight w:val="none"/>
                <w:lang w:val="en-US" w:eastAsia="zh-CN"/>
              </w:rPr>
              <w:t>1.413</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4F0FBD"/>
                <w:sz w:val="21"/>
                <w:szCs w:val="21"/>
                <w:highlight w:val="none"/>
                <w:lang w:val="en-US" w:eastAsia="zh-CN"/>
              </w:rPr>
              <w:t>1.413</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eastAsia" w:cs="Times New Roman"/>
                <w:color w:val="4F0FBD"/>
                <w:sz w:val="21"/>
                <w:szCs w:val="21"/>
                <w:highlight w:val="none"/>
                <w:lang w:val="en-US" w:eastAsia="zh-CN"/>
              </w:rPr>
              <w:t>1.413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FF0000"/>
                <w:kern w:val="0"/>
                <w:sz w:val="21"/>
                <w:szCs w:val="21"/>
                <w:highlight w:val="green"/>
                <w:u w:val="none"/>
                <w:lang w:val="en-US" w:eastAsia="zh-CN" w:bidi="ar"/>
              </w:rPr>
            </w:pPr>
            <w:r>
              <w:rPr>
                <w:rFonts w:hint="eastAsia" w:cs="Times New Roman"/>
                <w:color w:val="FF0000"/>
                <w:sz w:val="21"/>
                <w:szCs w:val="21"/>
                <w:highlight w:val="green"/>
                <w:lang w:val="en-US" w:eastAsia="zh-CN"/>
              </w:rPr>
              <w:t>注塑喷淋废水</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green"/>
                <w:lang w:val="en-US" w:eastAsia="zh-CN" w:bidi="ar-SA"/>
              </w:rPr>
            </w:pPr>
            <w:r>
              <w:rPr>
                <w:rFonts w:hint="default" w:ascii="Times New Roman" w:hAnsi="Times New Roman" w:eastAsia="宋体" w:cs="Times New Roman"/>
                <w:i w:val="0"/>
                <w:iCs w:val="0"/>
                <w:color w:val="FF0000"/>
                <w:kern w:val="0"/>
                <w:sz w:val="21"/>
                <w:szCs w:val="21"/>
                <w:highlight w:val="green"/>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green"/>
                <w:lang w:val="en-US" w:eastAsia="zh-CN" w:bidi="ar-SA"/>
              </w:rPr>
            </w:pPr>
            <w:r>
              <w:rPr>
                <w:rFonts w:hint="default" w:ascii="Times New Roman" w:hAnsi="Times New Roman" w:eastAsia="宋体" w:cs="Times New Roman"/>
                <w:i w:val="0"/>
                <w:iCs w:val="0"/>
                <w:color w:val="FF0000"/>
                <w:kern w:val="0"/>
                <w:sz w:val="21"/>
                <w:szCs w:val="21"/>
                <w:highlight w:val="green"/>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green"/>
                <w:lang w:val="en-US" w:eastAsia="zh-CN" w:bidi="ar-SA"/>
              </w:rPr>
            </w:pPr>
            <w:r>
              <w:rPr>
                <w:rFonts w:hint="default" w:ascii="Times New Roman" w:hAnsi="Times New Roman" w:eastAsia="宋体" w:cs="Times New Roman"/>
                <w:i w:val="0"/>
                <w:iCs w:val="0"/>
                <w:color w:val="FF0000"/>
                <w:kern w:val="0"/>
                <w:sz w:val="21"/>
                <w:szCs w:val="21"/>
                <w:highlight w:val="green"/>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green"/>
                <w:lang w:val="en-US" w:eastAsia="zh-CN" w:bidi="ar-SA"/>
              </w:rPr>
            </w:pPr>
            <w:r>
              <w:rPr>
                <w:rFonts w:hint="eastAsia" w:cs="Times New Roman"/>
                <w:color w:val="FF0000"/>
                <w:sz w:val="21"/>
                <w:szCs w:val="21"/>
                <w:highlight w:val="green"/>
                <w:lang w:val="en-US" w:eastAsia="zh-CN"/>
              </w:rPr>
              <w:t>1.413</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green"/>
                <w:lang w:val="en-US" w:eastAsia="zh-CN" w:bidi="ar-SA"/>
              </w:rPr>
            </w:pPr>
            <w:r>
              <w:rPr>
                <w:rFonts w:hint="default" w:ascii="Times New Roman" w:hAnsi="Times New Roman" w:eastAsia="宋体" w:cs="Times New Roman"/>
                <w:i w:val="0"/>
                <w:iCs w:val="0"/>
                <w:color w:val="FF0000"/>
                <w:kern w:val="0"/>
                <w:sz w:val="21"/>
                <w:szCs w:val="21"/>
                <w:highlight w:val="green"/>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green"/>
                <w:lang w:val="en-US" w:eastAsia="zh-CN" w:bidi="ar-SA"/>
              </w:rPr>
            </w:pPr>
            <w:r>
              <w:rPr>
                <w:rFonts w:hint="eastAsia" w:cs="Times New Roman"/>
                <w:color w:val="FF0000"/>
                <w:sz w:val="21"/>
                <w:szCs w:val="21"/>
                <w:highlight w:val="green"/>
                <w:lang w:val="en-US" w:eastAsia="zh-CN"/>
              </w:rPr>
              <w:t>1.413</w:t>
            </w:r>
          </w:p>
        </w:tc>
        <w:tc>
          <w:tcPr>
            <w:tcW w:w="374" w:type="pct"/>
            <w:noWrap/>
            <w:vAlign w:val="center"/>
          </w:tcPr>
          <w:p>
            <w:pPr>
              <w:keepNext w:val="0"/>
              <w:keepLines w:val="0"/>
              <w:widowControl/>
              <w:suppressLineNumbers w:val="0"/>
              <w:jc w:val="center"/>
              <w:textAlignment w:val="center"/>
              <w:rPr>
                <w:rFonts w:hint="eastAsia" w:ascii="Times New Roman" w:hAnsi="Times New Roman" w:eastAsia="宋体" w:cs="Times New Roman"/>
                <w:color w:val="FF0000"/>
                <w:kern w:val="0"/>
                <w:sz w:val="21"/>
                <w:szCs w:val="21"/>
                <w:highlight w:val="green"/>
                <w:lang w:val="en-US" w:eastAsia="zh-CN" w:bidi="ar-SA"/>
              </w:rPr>
            </w:pPr>
            <w:r>
              <w:rPr>
                <w:rFonts w:hint="eastAsia" w:ascii="Times New Roman" w:hAnsi="Times New Roman" w:eastAsia="宋体" w:cs="Times New Roman"/>
                <w:i w:val="0"/>
                <w:iCs w:val="0"/>
                <w:color w:val="FF0000"/>
                <w:kern w:val="0"/>
                <w:sz w:val="21"/>
                <w:szCs w:val="21"/>
                <w:highlight w:val="green"/>
                <w:u w:val="none"/>
                <w:lang w:val="en-US" w:eastAsia="zh-CN" w:bidi="ar"/>
              </w:rPr>
              <w:t>+</w:t>
            </w:r>
            <w:r>
              <w:rPr>
                <w:rFonts w:hint="eastAsia" w:cs="Times New Roman"/>
                <w:color w:val="FF0000"/>
                <w:sz w:val="21"/>
                <w:szCs w:val="21"/>
                <w:highlight w:val="green"/>
                <w:lang w:val="en-US" w:eastAsia="zh-CN"/>
              </w:rPr>
              <w:t>1.413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喷枪清洗废水</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5.625</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5.625</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5.625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85" w:type="pct"/>
            <w:vMerge w:val="continue"/>
            <w:noWrap/>
            <w:vAlign w:val="center"/>
          </w:tcPr>
          <w:p>
            <w:pPr>
              <w:pStyle w:val="75"/>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860" w:type="pct"/>
            <w:gridSpan w:val="2"/>
            <w:noWrap/>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生活垃圾（t/a）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37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bl>
    <w:p>
      <w:pPr>
        <w:rPr>
          <w:rFonts w:hint="eastAsia" w:eastAsia="宋体"/>
          <w:snapToGrid w:val="0"/>
          <w:color w:val="auto"/>
          <w:kern w:val="21"/>
          <w:szCs w:val="21"/>
          <w:lang w:eastAsia="zh-CN"/>
        </w:rPr>
      </w:pPr>
      <w:r>
        <w:rPr>
          <w:snapToGrid w:val="0"/>
          <w:color w:val="auto"/>
          <w:kern w:val="21"/>
          <w:szCs w:val="21"/>
          <w:highlight w:val="none"/>
        </w:rPr>
        <w:t>注：</w:t>
      </w:r>
      <w:r>
        <w:rPr>
          <w:snapToGrid w:val="0"/>
          <w:color w:val="auto"/>
          <w:kern w:val="21"/>
          <w:szCs w:val="21"/>
          <w:highlight w:val="none"/>
        </w:rPr>
        <w:fldChar w:fldCharType="begin"/>
      </w:r>
      <w:r>
        <w:rPr>
          <w:snapToGrid w:val="0"/>
          <w:color w:val="auto"/>
          <w:kern w:val="21"/>
          <w:szCs w:val="21"/>
          <w:highlight w:val="none"/>
        </w:rPr>
        <w:instrText xml:space="preserve"> = 6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⑥</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1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①</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3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③</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4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④</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5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⑤</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7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⑦</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6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⑥</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1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①</w:t>
      </w:r>
      <w:r>
        <w:rPr>
          <w:snapToGrid w:val="0"/>
          <w:color w:val="auto"/>
          <w:kern w:val="21"/>
          <w:szCs w:val="21"/>
          <w:highlight w:val="none"/>
        </w:rPr>
        <w:fldChar w:fldCharType="end"/>
      </w:r>
    </w:p>
    <w:p>
      <w:pPr>
        <w:pStyle w:val="5"/>
        <w:rPr>
          <w:rFonts w:hint="eastAsia"/>
          <w:color w:val="auto"/>
          <w:lang w:eastAsia="zh-CN"/>
        </w:rPr>
      </w:pPr>
    </w:p>
    <w:p>
      <w:pPr>
        <w:rPr>
          <w:rFonts w:hint="eastAsia"/>
          <w:color w:val="auto"/>
          <w:lang w:eastAsia="zh-CN"/>
        </w:rPr>
        <w:sectPr>
          <w:footerReference r:id="rId8" w:type="default"/>
          <w:pgSz w:w="16838" w:h="11906" w:orient="landscape"/>
          <w:pgMar w:top="1134" w:right="1247" w:bottom="1134" w:left="1247"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38"/>
        <w:ind w:left="0" w:leftChars="0" w:firstLine="0" w:firstLineChars="0"/>
        <w:rPr>
          <w:rFonts w:hint="default"/>
          <w:lang w:val="en-US" w:eastAsia="zh-CN"/>
        </w:rPr>
      </w:pPr>
    </w:p>
    <w:sectPr>
      <w:type w:val="continuous"/>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MS Mincho">
    <w:altName w:val="Yu Gothic UI"/>
    <w:panose1 w:val="02020609040205080304"/>
    <w:charset w:val="80"/>
    <w:family w:val="modern"/>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Impact">
    <w:panose1 w:val="020B0806030902050204"/>
    <w:charset w:val="00"/>
    <w:family w:val="swiss"/>
    <w:pitch w:val="default"/>
    <w:sig w:usb0="00000287" w:usb1="00000000" w:usb2="00000000" w:usb3="00000000" w:csb0="2000009F" w:csb1="DFD70000"/>
  </w:font>
  <w:font w:name="Roman">
    <w:altName w:val="Times New Roman"/>
    <w:panose1 w:val="00000000000000000000"/>
    <w:charset w:val="00"/>
    <w:family w:val="roman"/>
    <w:pitch w:val="default"/>
    <w:sig w:usb0="00000000" w:usb1="00000000" w:usb2="00000000"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方正小标宋_GBK">
    <w:altName w:val="微软雅黑"/>
    <w:panose1 w:val="02000000000000000000"/>
    <w:charset w:val="86"/>
    <w:family w:val="script"/>
    <w:pitch w:val="default"/>
    <w:sig w:usb0="00000000" w:usb1="00000000" w:usb2="00082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- 9 -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Ev2zUA5AgAAcQQAAA4AAAAAAAAAAQAgAAAAHwEAAGRycy9lMm9Eb2Mu&#10;eG1sUEsFBgAAAAAGAAYAWQEAAMoFAAAAAA==&#10;">
              <v:fill on="f" focussize="0,0"/>
              <v:stroke on="f" weight="0.5pt"/>
              <v:imagedata o:title=""/>
              <o:lock v:ext="edit" aspectratio="f"/>
              <v:textbox inset="0mm,0mm,0mm,0mm" style="mso-fit-shape-to-text:t;">
                <w:txbxContent>
                  <w:p>
                    <w:pPr>
                      <w:pStyle w:val="2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- 9 -</w:t>
                    </w:r>
                    <w:r>
                      <w:rPr>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rPr>
                              <w:sz w:val="28"/>
                              <w:szCs w:val="28"/>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99rAQ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99rAQzAgAAZQQAAA4AAAAAAAAAAQAgAAAAHwEAAGRycy9lMm9Eb2MueG1sUEsF&#10;BgAAAAAGAAYAWQEAAMQFAAAAAA==&#10;">
              <v:fill on="f" focussize="0,0"/>
              <v:stroke on="f" weight="0.5pt"/>
              <v:imagedata o:title=""/>
              <o:lock v:ext="edit" aspectratio="f"/>
              <v:textbox inset="0mm,0mm,0mm,0mm" style="mso-fit-shape-to-text:t;">
                <w:txbxContent>
                  <w:p>
                    <w:pPr>
                      <w:pStyle w:val="22"/>
                      <w:rPr>
                        <w:sz w:val="28"/>
                        <w:szCs w:val="28"/>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9"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- 125 -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tuGLA5AgAAcQQAAA4AAABkcnMvZTJvRG9jLnhtbK1UzY7TMBC+I/EO&#10;lu80aVesSt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CtuGLA5AgAAcQQAAA4AAAAAAAAAAQAgAAAAHwEAAGRycy9lMm9Eb2Mu&#10;eG1sUEsFBgAAAAAGAAYAWQEAAMoFAAAAAA==&#10;">
              <v:fill on="f" focussize="0,0"/>
              <v:stroke on="f" weight="0.5pt"/>
              <v:imagedata o:title=""/>
              <o:lock v:ext="edit" aspectratio="f"/>
              <v:textbox inset="0mm,0mm,0mm,0mm" style="mso-fit-shape-to-text:t;">
                <w:txbxContent>
                  <w:p>
                    <w:pPr>
                      <w:pStyle w:val="2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- 125 -</w:t>
                    </w:r>
                    <w:r>
                      <w:rPr>
                        <w:sz w:val="21"/>
                        <w:szCs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25A2E"/>
    <w:multiLevelType w:val="singleLevel"/>
    <w:tmpl w:val="8DD25A2E"/>
    <w:lvl w:ilvl="0" w:tentative="0">
      <w:start w:val="1"/>
      <w:numFmt w:val="decimal"/>
      <w:suff w:val="nothing"/>
      <w:lvlText w:val="%1、"/>
      <w:lvlJc w:val="left"/>
    </w:lvl>
  </w:abstractNum>
  <w:abstractNum w:abstractNumId="1">
    <w:nsid w:val="8FD56F23"/>
    <w:multiLevelType w:val="singleLevel"/>
    <w:tmpl w:val="8FD56F23"/>
    <w:lvl w:ilvl="0" w:tentative="0">
      <w:start w:val="1"/>
      <w:numFmt w:val="decimal"/>
      <w:suff w:val="nothing"/>
      <w:lvlText w:val="表%1　"/>
      <w:lvlJc w:val="left"/>
      <w:pPr>
        <w:ind w:left="0" w:firstLine="397"/>
      </w:pPr>
      <w:rPr>
        <w:rFonts w:hint="default"/>
        <w:b/>
        <w:bCs/>
        <w:vertAlign w:val="baseline"/>
      </w:rPr>
    </w:lvl>
  </w:abstractNum>
  <w:abstractNum w:abstractNumId="2">
    <w:nsid w:val="9A4732FD"/>
    <w:multiLevelType w:val="singleLevel"/>
    <w:tmpl w:val="9A4732FD"/>
    <w:lvl w:ilvl="0" w:tentative="0">
      <w:start w:val="1"/>
      <w:numFmt w:val="upperLetter"/>
      <w:suff w:val="nothing"/>
      <w:lvlText w:val="%1、"/>
      <w:lvlJc w:val="left"/>
    </w:lvl>
  </w:abstractNum>
  <w:abstractNum w:abstractNumId="3">
    <w:nsid w:val="A693B8E0"/>
    <w:multiLevelType w:val="multilevel"/>
    <w:tmpl w:val="A693B8E0"/>
    <w:lvl w:ilvl="0" w:tentative="0">
      <w:start w:val="1"/>
      <w:numFmt w:val="decimal"/>
      <w:pStyle w:val="44"/>
      <w:isLgl/>
      <w:lvlText w:val="表%1 "/>
      <w:lvlJc w:val="left"/>
      <w:pPr>
        <w:tabs>
          <w:tab w:val="left" w:pos="0"/>
        </w:tabs>
        <w:ind w:left="0" w:leftChars="0" w:firstLine="0" w:firstLineChars="0"/>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BEADF091"/>
    <w:multiLevelType w:val="singleLevel"/>
    <w:tmpl w:val="BEADF091"/>
    <w:lvl w:ilvl="0" w:tentative="0">
      <w:start w:val="13"/>
      <w:numFmt w:val="chineseCounting"/>
      <w:suff w:val="space"/>
      <w:lvlText w:val="第%1条"/>
      <w:lvlJc w:val="left"/>
      <w:rPr>
        <w:rFonts w:hint="eastAsia"/>
      </w:rPr>
    </w:lvl>
  </w:abstractNum>
  <w:abstractNum w:abstractNumId="5">
    <w:nsid w:val="C234B945"/>
    <w:multiLevelType w:val="singleLevel"/>
    <w:tmpl w:val="C234B945"/>
    <w:lvl w:ilvl="0" w:tentative="0">
      <w:start w:val="2"/>
      <w:numFmt w:val="decimal"/>
      <w:suff w:val="nothing"/>
      <w:lvlText w:val="（%1）"/>
      <w:lvlJc w:val="left"/>
    </w:lvl>
  </w:abstractNum>
  <w:abstractNum w:abstractNumId="6">
    <w:nsid w:val="D521DA74"/>
    <w:multiLevelType w:val="singleLevel"/>
    <w:tmpl w:val="D521DA74"/>
    <w:lvl w:ilvl="0" w:tentative="0">
      <w:start w:val="1"/>
      <w:numFmt w:val="decimal"/>
      <w:suff w:val="nothing"/>
      <w:lvlText w:val="表%1　"/>
      <w:lvlJc w:val="left"/>
      <w:pPr>
        <w:ind w:left="0" w:firstLine="403"/>
      </w:pPr>
      <w:rPr>
        <w:rFonts w:hint="default" w:ascii="宋体" w:hAnsi="宋体" w:eastAsia="宋体" w:cs="宋体"/>
        <w:b/>
        <w:bCs/>
      </w:rPr>
    </w:lvl>
  </w:abstractNum>
  <w:abstractNum w:abstractNumId="7">
    <w:nsid w:val="D93C21BF"/>
    <w:multiLevelType w:val="singleLevel"/>
    <w:tmpl w:val="D93C21BF"/>
    <w:lvl w:ilvl="0" w:tentative="0">
      <w:start w:val="9"/>
      <w:numFmt w:val="decimal"/>
      <w:suff w:val="nothing"/>
      <w:lvlText w:val="%1、"/>
      <w:lvlJc w:val="left"/>
    </w:lvl>
  </w:abstractNum>
  <w:abstractNum w:abstractNumId="8">
    <w:nsid w:val="DBFDC1A0"/>
    <w:multiLevelType w:val="multilevel"/>
    <w:tmpl w:val="DBFDC1A0"/>
    <w:lvl w:ilvl="0" w:tentative="0">
      <w:start w:val="1"/>
      <w:numFmt w:val="decimal"/>
      <w:pStyle w:val="57"/>
      <w:suff w:val="space"/>
      <w:lvlText w:val="图%1"/>
      <w:lvlJc w:val="center"/>
      <w:pPr>
        <w:tabs>
          <w:tab w:val="left" w:pos="0"/>
        </w:tabs>
        <w:ind w:left="425" w:hanging="425"/>
      </w:pPr>
      <w:rPr>
        <w:rFonts w:hint="default" w:ascii="Times New Roman" w:hAnsi="Times New Roman" w:eastAsia="宋体" w:cs="Times New Roman"/>
        <w:sz w:val="24"/>
        <w:szCs w:val="24"/>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9">
    <w:nsid w:val="00000002"/>
    <w:multiLevelType w:val="multilevel"/>
    <w:tmpl w:val="00000002"/>
    <w:lvl w:ilvl="0" w:tentative="0">
      <w:start w:val="1"/>
      <w:numFmt w:val="decimal"/>
      <w:lvlText w:val="%1"/>
      <w:lvlJc w:val="left"/>
      <w:pPr>
        <w:tabs>
          <w:tab w:val="left" w:pos="432"/>
        </w:tabs>
        <w:ind w:left="432" w:hanging="432"/>
      </w:pPr>
      <w:rPr>
        <w:rFonts w:hint="eastAsia"/>
      </w:rPr>
    </w:lvl>
    <w:lvl w:ilvl="1" w:tentative="0">
      <w:start w:val="1"/>
      <w:numFmt w:val="decimal"/>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440"/>
        </w:tabs>
        <w:ind w:left="864" w:hanging="864"/>
      </w:pPr>
      <w:rPr>
        <w:rFonts w:hint="eastAsia"/>
      </w:rPr>
    </w:lvl>
    <w:lvl w:ilvl="4" w:tentative="0">
      <w:start w:val="1"/>
      <w:numFmt w:val="decimal"/>
      <w:pStyle w:val="8"/>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0">
    <w:nsid w:val="1B5BECA7"/>
    <w:multiLevelType w:val="singleLevel"/>
    <w:tmpl w:val="1B5BECA7"/>
    <w:lvl w:ilvl="0" w:tentative="0">
      <w:start w:val="17"/>
      <w:numFmt w:val="chineseCounting"/>
      <w:suff w:val="space"/>
      <w:lvlText w:val="第%1条"/>
      <w:lvlJc w:val="left"/>
      <w:rPr>
        <w:rFonts w:hint="eastAsia"/>
      </w:rPr>
    </w:lvl>
  </w:abstractNum>
  <w:abstractNum w:abstractNumId="11">
    <w:nsid w:val="209595B8"/>
    <w:multiLevelType w:val="singleLevel"/>
    <w:tmpl w:val="209595B8"/>
    <w:lvl w:ilvl="0" w:tentative="0">
      <w:start w:val="1"/>
      <w:numFmt w:val="decimal"/>
      <w:suff w:val="nothing"/>
      <w:lvlText w:val="%1、"/>
      <w:lvlJc w:val="left"/>
    </w:lvl>
  </w:abstractNum>
  <w:abstractNum w:abstractNumId="12">
    <w:nsid w:val="53EDF307"/>
    <w:multiLevelType w:val="multilevel"/>
    <w:tmpl w:val="53EDF307"/>
    <w:lvl w:ilvl="0" w:tentative="0">
      <w:start w:val="1"/>
      <w:numFmt w:val="decimal"/>
      <w:suff w:val="space"/>
      <w:lvlText w:val="%1"/>
      <w:lvlJc w:val="left"/>
      <w:pPr>
        <w:tabs>
          <w:tab w:val="left" w:pos="0"/>
        </w:tabs>
        <w:ind w:left="432" w:hanging="432"/>
      </w:pPr>
      <w:rPr>
        <w:rFonts w:hint="default" w:ascii="Times New Roman" w:hAnsi="Times New Roman" w:eastAsia="宋体" w:cs="Times New Roman"/>
        <w:sz w:val="36"/>
        <w:szCs w:val="36"/>
      </w:rPr>
    </w:lvl>
    <w:lvl w:ilvl="1" w:tentative="0">
      <w:start w:val="1"/>
      <w:numFmt w:val="decimal"/>
      <w:suff w:val="space"/>
      <w:lvlText w:val="%1.%2"/>
      <w:lvlJc w:val="left"/>
      <w:pPr>
        <w:tabs>
          <w:tab w:val="left" w:pos="0"/>
        </w:tabs>
        <w:ind w:left="576" w:hanging="576"/>
      </w:pPr>
      <w:rPr>
        <w:rFonts w:hint="default" w:ascii="Times New Roman" w:hAnsi="Times New Roman" w:eastAsia="宋体" w:cs="Times New Roman"/>
        <w:sz w:val="30"/>
        <w:szCs w:val="30"/>
      </w:rPr>
    </w:lvl>
    <w:lvl w:ilvl="2" w:tentative="0">
      <w:start w:val="1"/>
      <w:numFmt w:val="decimal"/>
      <w:suff w:val="space"/>
      <w:lvlText w:val="%1.%2.%3"/>
      <w:lvlJc w:val="left"/>
      <w:pPr>
        <w:tabs>
          <w:tab w:val="left" w:pos="420"/>
        </w:tabs>
        <w:ind w:left="720" w:hanging="720"/>
      </w:pPr>
      <w:rPr>
        <w:rFonts w:hint="default" w:ascii="Times New Roman" w:hAnsi="Times New Roman" w:eastAsia="宋体" w:cs="Times New Roman"/>
        <w:sz w:val="24"/>
        <w:szCs w:val="24"/>
      </w:rPr>
    </w:lvl>
    <w:lvl w:ilvl="3" w:tentative="0">
      <w:start w:val="1"/>
      <w:numFmt w:val="decimal"/>
      <w:suff w:val="space"/>
      <w:lvlText w:val="%1.%2.%3.%4"/>
      <w:lvlJc w:val="left"/>
      <w:pPr>
        <w:tabs>
          <w:tab w:val="left" w:pos="420"/>
        </w:tabs>
        <w:ind w:left="864" w:hanging="864"/>
      </w:pPr>
      <w:rPr>
        <w:rFonts w:hint="default" w:ascii="Times New Roman" w:hAnsi="Times New Roman" w:eastAsia="宋体" w:cs="Times New Roman"/>
        <w:sz w:val="24"/>
        <w:szCs w:val="24"/>
      </w:rPr>
    </w:lvl>
    <w:lvl w:ilvl="4" w:tentative="0">
      <w:start w:val="1"/>
      <w:numFmt w:val="decimal"/>
      <w:lvlRestart w:val="2"/>
      <w:pStyle w:val="85"/>
      <w:suff w:val="space"/>
      <w:lvlText w:val="表%1.%2-%5"/>
      <w:lvlJc w:val="left"/>
      <w:pPr>
        <w:tabs>
          <w:tab w:val="left" w:pos="0"/>
        </w:tabs>
        <w:ind w:left="1008" w:hanging="1008"/>
      </w:pPr>
      <w:rPr>
        <w:rFonts w:hint="default" w:ascii="Times New Roman" w:hAnsi="Times New Roman" w:eastAsia="宋体" w:cs="Times New Roman"/>
        <w:sz w:val="24"/>
        <w:szCs w:val="24"/>
      </w:rPr>
    </w:lvl>
    <w:lvl w:ilvl="5" w:tentative="0">
      <w:start w:val="1"/>
      <w:numFmt w:val="decimal"/>
      <w:lvlRestart w:val="2"/>
      <w:suff w:val="space"/>
      <w:lvlText w:val="图%1.%2-%6"/>
      <w:lvlJc w:val="left"/>
      <w:pPr>
        <w:tabs>
          <w:tab w:val="left" w:pos="420"/>
        </w:tabs>
        <w:ind w:left="1152" w:hanging="1152"/>
      </w:pPr>
      <w:rPr>
        <w:rFonts w:hint="default" w:ascii="Times New Roman" w:hAnsi="Times New Roman" w:eastAsia="宋体" w:cs="Times New Roman"/>
        <w:sz w:val="24"/>
        <w:szCs w:val="24"/>
      </w:r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3">
    <w:nsid w:val="613396C1"/>
    <w:multiLevelType w:val="multilevel"/>
    <w:tmpl w:val="613396C1"/>
    <w:lvl w:ilvl="0" w:tentative="0">
      <w:start w:val="1"/>
      <w:numFmt w:val="decimal"/>
      <w:pStyle w:val="45"/>
      <w:isLgl/>
      <w:suff w:val="space"/>
      <w:lvlText w:val="图%1"/>
      <w:lvlJc w:val="center"/>
      <w:pPr>
        <w:tabs>
          <w:tab w:val="left" w:pos="0"/>
        </w:tabs>
        <w:ind w:left="5520" w:leftChars="0" w:firstLine="0" w:firstLineChars="0"/>
      </w:pPr>
      <w:rPr>
        <w:rFonts w:hint="default" w:ascii="宋体" w:hAnsi="宋体" w:eastAsia="宋体" w:cs="宋体"/>
        <w:sz w:val="24"/>
        <w:szCs w:val="24"/>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4">
    <w:nsid w:val="68754263"/>
    <w:multiLevelType w:val="multilevel"/>
    <w:tmpl w:val="68754263"/>
    <w:lvl w:ilvl="0" w:tentative="0">
      <w:start w:val="1"/>
      <w:numFmt w:val="chineseCounting"/>
      <w:lvlText w:val="%1、"/>
      <w:lvlJc w:val="left"/>
      <w:pPr>
        <w:tabs>
          <w:tab w:val="left" w:pos="420"/>
        </w:tabs>
        <w:ind w:left="425" w:hanging="425"/>
      </w:pPr>
      <w:rPr>
        <w:rFonts w:hint="eastAsia" w:ascii="宋体" w:hAnsi="宋体" w:eastAsia="宋体" w:cs="宋体"/>
        <w:sz w:val="30"/>
        <w:szCs w:val="30"/>
      </w:rPr>
    </w:lvl>
    <w:lvl w:ilvl="1" w:tentative="0">
      <w:start w:val="1"/>
      <w:numFmt w:val="decimal"/>
      <w:pStyle w:val="103"/>
      <w:isLgl/>
      <w:suff w:val="space"/>
      <w:lvlText w:val="表%1-%2"/>
      <w:lvlJc w:val="left"/>
      <w:pPr>
        <w:tabs>
          <w:tab w:val="left" w:pos="0"/>
        </w:tabs>
        <w:ind w:left="3087" w:hanging="3087"/>
      </w:pPr>
      <w:rPr>
        <w:rFonts w:hint="default" w:ascii="Times New Roman" w:hAnsi="Times New Roman" w:eastAsia="宋体" w:cs="Times New Roman"/>
        <w:sz w:val="24"/>
        <w:szCs w:val="24"/>
      </w:rPr>
    </w:lvl>
    <w:lvl w:ilvl="2" w:tentative="0">
      <w:start w:val="1"/>
      <w:numFmt w:val="none"/>
      <w:lvlText w:val="表3-%1 "/>
      <w:lvlJc w:val="left"/>
      <w:pPr>
        <w:ind w:left="709" w:hanging="709"/>
      </w:pPr>
      <w:rPr>
        <w:rFonts w:hint="eastAsia" w:ascii="宋体" w:hAnsi="宋体" w:eastAsia="宋体" w:cs="宋体"/>
      </w:rPr>
    </w:lvl>
    <w:lvl w:ilvl="3" w:tentative="0">
      <w:start w:val="1"/>
      <w:numFmt w:val="none"/>
      <w:lvlText w:val="表4-%1 "/>
      <w:lvlJc w:val="left"/>
      <w:pPr>
        <w:ind w:left="850" w:hanging="850"/>
      </w:pPr>
      <w:rPr>
        <w:rFonts w:hint="eastAsia" w:ascii="宋体" w:hAnsi="宋体" w:eastAsia="宋体" w:cs="宋体"/>
      </w:rPr>
    </w:lvl>
    <w:lvl w:ilvl="4" w:tentative="0">
      <w:start w:val="1"/>
      <w:numFmt w:val="none"/>
      <w:lvlText w:val="表5-%1 "/>
      <w:lvlJc w:val="left"/>
      <w:pPr>
        <w:ind w:left="991" w:hanging="991"/>
      </w:pPr>
      <w:rPr>
        <w:rFonts w:hint="eastAsia" w:ascii="宋体" w:hAnsi="宋体" w:eastAsia="宋体" w:cs="宋体"/>
      </w:rPr>
    </w:lvl>
    <w:lvl w:ilvl="5" w:tentative="0">
      <w:start w:val="1"/>
      <w:numFmt w:val="none"/>
      <w:lvlText w:val="表6-%1 "/>
      <w:lvlJc w:val="left"/>
      <w:pPr>
        <w:ind w:left="1134" w:hanging="1134"/>
      </w:pPr>
      <w:rPr>
        <w:rFonts w:hint="eastAsia" w:ascii="宋体" w:hAnsi="宋体" w:eastAsia="宋体" w:cs="宋体"/>
      </w:rPr>
    </w:lvl>
    <w:lvl w:ilvl="6" w:tentative="0">
      <w:start w:val="1"/>
      <w:numFmt w:val="none"/>
      <w:lvlText w:val="表7-%1 "/>
      <w:lvlJc w:val="left"/>
      <w:pPr>
        <w:ind w:left="1275" w:hanging="1275"/>
      </w:pPr>
      <w:rPr>
        <w:rFonts w:hint="eastAsia" w:ascii="宋体" w:hAnsi="宋体" w:eastAsia="宋体" w:cs="宋体"/>
      </w:rPr>
    </w:lvl>
    <w:lvl w:ilvl="7" w:tentative="0">
      <w:start w:val="1"/>
      <w:numFmt w:val="none"/>
      <w:lvlText w:val="表8-%1 "/>
      <w:lvlJc w:val="left"/>
      <w:pPr>
        <w:ind w:left="1418" w:hanging="1418"/>
      </w:pPr>
      <w:rPr>
        <w:rFonts w:hint="eastAsia" w:ascii="宋体" w:hAnsi="宋体" w:eastAsia="宋体" w:cs="宋体"/>
      </w:rPr>
    </w:lvl>
    <w:lvl w:ilvl="8" w:tentative="0">
      <w:start w:val="1"/>
      <w:numFmt w:val="none"/>
      <w:lvlText w:val="表9-%1 "/>
      <w:lvlJc w:val="left"/>
      <w:pPr>
        <w:ind w:left="1558" w:hanging="1558"/>
      </w:pPr>
      <w:rPr>
        <w:rFonts w:hint="eastAsia" w:ascii="宋体" w:hAnsi="宋体" w:eastAsia="宋体" w:cs="宋体"/>
      </w:rPr>
    </w:lvl>
  </w:abstractNum>
  <w:abstractNum w:abstractNumId="15">
    <w:nsid w:val="6D784DF2"/>
    <w:multiLevelType w:val="singleLevel"/>
    <w:tmpl w:val="6D784DF2"/>
    <w:lvl w:ilvl="0" w:tentative="0">
      <w:start w:val="1"/>
      <w:numFmt w:val="decimal"/>
      <w:pStyle w:val="53"/>
      <w:lvlText w:val="表%1"/>
      <w:lvlJc w:val="left"/>
      <w:pPr>
        <w:tabs>
          <w:tab w:val="left" w:pos="420"/>
        </w:tabs>
        <w:ind w:left="425" w:hanging="425"/>
      </w:pPr>
      <w:rPr>
        <w:rFonts w:hint="default"/>
      </w:rPr>
    </w:lvl>
  </w:abstractNum>
  <w:num w:numId="1">
    <w:abstractNumId w:val="9"/>
  </w:num>
  <w:num w:numId="2">
    <w:abstractNumId w:val="3"/>
  </w:num>
  <w:num w:numId="3">
    <w:abstractNumId w:val="13"/>
  </w:num>
  <w:num w:numId="4">
    <w:abstractNumId w:val="15"/>
  </w:num>
  <w:num w:numId="5">
    <w:abstractNumId w:val="8"/>
  </w:num>
  <w:num w:numId="6">
    <w:abstractNumId w:val="12"/>
  </w:num>
  <w:num w:numId="7">
    <w:abstractNumId w:val="14"/>
  </w:num>
  <w:num w:numId="8">
    <w:abstractNumId w:val="11"/>
  </w:num>
  <w:num w:numId="9">
    <w:abstractNumId w:val="6"/>
  </w:num>
  <w:num w:numId="10">
    <w:abstractNumId w:val="7"/>
  </w:num>
  <w:num w:numId="11">
    <w:abstractNumId w:val="4"/>
  </w:num>
  <w:num w:numId="12">
    <w:abstractNumId w:val="10"/>
  </w:num>
  <w:num w:numId="13">
    <w:abstractNumId w:val="0"/>
  </w:num>
  <w:num w:numId="14">
    <w:abstractNumId w:val="5"/>
  </w:num>
  <w:num w:numId="15">
    <w:abstractNumId w:val="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jMWM1NDFiZDIxNmE2NjNlODI4OTFjMmFlZjA4NDQifQ=="/>
  </w:docVars>
  <w:rsids>
    <w:rsidRoot w:val="00172A27"/>
    <w:rsid w:val="000118A6"/>
    <w:rsid w:val="00013654"/>
    <w:rsid w:val="00046CA0"/>
    <w:rsid w:val="000749E3"/>
    <w:rsid w:val="000969AD"/>
    <w:rsid w:val="000F5D90"/>
    <w:rsid w:val="001113BD"/>
    <w:rsid w:val="001254F2"/>
    <w:rsid w:val="001E3542"/>
    <w:rsid w:val="001F095A"/>
    <w:rsid w:val="00276E96"/>
    <w:rsid w:val="00296707"/>
    <w:rsid w:val="0031380D"/>
    <w:rsid w:val="00364BC3"/>
    <w:rsid w:val="00377076"/>
    <w:rsid w:val="00384B9C"/>
    <w:rsid w:val="00411CA3"/>
    <w:rsid w:val="0046550B"/>
    <w:rsid w:val="00491693"/>
    <w:rsid w:val="004B3D22"/>
    <w:rsid w:val="004C0647"/>
    <w:rsid w:val="004E2611"/>
    <w:rsid w:val="00505003"/>
    <w:rsid w:val="00527A56"/>
    <w:rsid w:val="00551FF9"/>
    <w:rsid w:val="005A240E"/>
    <w:rsid w:val="005E24E7"/>
    <w:rsid w:val="00611F3B"/>
    <w:rsid w:val="00685AA4"/>
    <w:rsid w:val="006911F9"/>
    <w:rsid w:val="0069744B"/>
    <w:rsid w:val="006B6531"/>
    <w:rsid w:val="006D0CE9"/>
    <w:rsid w:val="006D2A98"/>
    <w:rsid w:val="006E4D1C"/>
    <w:rsid w:val="00726300"/>
    <w:rsid w:val="00757B9E"/>
    <w:rsid w:val="007A7DA9"/>
    <w:rsid w:val="007C2CDB"/>
    <w:rsid w:val="007C4780"/>
    <w:rsid w:val="00807757"/>
    <w:rsid w:val="0083050D"/>
    <w:rsid w:val="00865084"/>
    <w:rsid w:val="008B5614"/>
    <w:rsid w:val="008F127C"/>
    <w:rsid w:val="008F5FA1"/>
    <w:rsid w:val="00936276"/>
    <w:rsid w:val="0098388D"/>
    <w:rsid w:val="009C4D62"/>
    <w:rsid w:val="009E62BA"/>
    <w:rsid w:val="00A3295D"/>
    <w:rsid w:val="00A67D58"/>
    <w:rsid w:val="00A76083"/>
    <w:rsid w:val="00A83AD0"/>
    <w:rsid w:val="00A84123"/>
    <w:rsid w:val="00AC0886"/>
    <w:rsid w:val="00AD7338"/>
    <w:rsid w:val="00AE30B0"/>
    <w:rsid w:val="00B46918"/>
    <w:rsid w:val="00B52173"/>
    <w:rsid w:val="00B617EE"/>
    <w:rsid w:val="00B76409"/>
    <w:rsid w:val="00BA3803"/>
    <w:rsid w:val="00BA7CA7"/>
    <w:rsid w:val="00BE0217"/>
    <w:rsid w:val="00BE32F3"/>
    <w:rsid w:val="00CD1788"/>
    <w:rsid w:val="00D64AE1"/>
    <w:rsid w:val="00D67C8D"/>
    <w:rsid w:val="00D94308"/>
    <w:rsid w:val="00DC6142"/>
    <w:rsid w:val="00E03CA3"/>
    <w:rsid w:val="00E13486"/>
    <w:rsid w:val="00E23910"/>
    <w:rsid w:val="00E72792"/>
    <w:rsid w:val="00E90493"/>
    <w:rsid w:val="00ED19D5"/>
    <w:rsid w:val="00EF16FF"/>
    <w:rsid w:val="00F05477"/>
    <w:rsid w:val="00F131C3"/>
    <w:rsid w:val="00F16774"/>
    <w:rsid w:val="00F46D15"/>
    <w:rsid w:val="00FB62F5"/>
    <w:rsid w:val="00FC02BF"/>
    <w:rsid w:val="00FF1A59"/>
    <w:rsid w:val="01001B5E"/>
    <w:rsid w:val="010158D6"/>
    <w:rsid w:val="01017684"/>
    <w:rsid w:val="0104303E"/>
    <w:rsid w:val="01066F7B"/>
    <w:rsid w:val="01096C6D"/>
    <w:rsid w:val="010F0E25"/>
    <w:rsid w:val="0116050E"/>
    <w:rsid w:val="01180B07"/>
    <w:rsid w:val="01203FAE"/>
    <w:rsid w:val="01227446"/>
    <w:rsid w:val="012A19CC"/>
    <w:rsid w:val="012A3B18"/>
    <w:rsid w:val="012C3FDC"/>
    <w:rsid w:val="01372051"/>
    <w:rsid w:val="013B0DE8"/>
    <w:rsid w:val="013D6280"/>
    <w:rsid w:val="01401F5A"/>
    <w:rsid w:val="01435A4B"/>
    <w:rsid w:val="01447C0F"/>
    <w:rsid w:val="0147153B"/>
    <w:rsid w:val="014C4DA3"/>
    <w:rsid w:val="014D4677"/>
    <w:rsid w:val="01510A39"/>
    <w:rsid w:val="01537DDF"/>
    <w:rsid w:val="01541EA9"/>
    <w:rsid w:val="015E4AD6"/>
    <w:rsid w:val="016110B2"/>
    <w:rsid w:val="016A5229"/>
    <w:rsid w:val="016D4D19"/>
    <w:rsid w:val="017442FA"/>
    <w:rsid w:val="017A7F3A"/>
    <w:rsid w:val="017F58CA"/>
    <w:rsid w:val="01804A4C"/>
    <w:rsid w:val="01883A7A"/>
    <w:rsid w:val="018856AF"/>
    <w:rsid w:val="018969A9"/>
    <w:rsid w:val="0196601E"/>
    <w:rsid w:val="019A0A09"/>
    <w:rsid w:val="019C51B2"/>
    <w:rsid w:val="019E4ED3"/>
    <w:rsid w:val="019F1377"/>
    <w:rsid w:val="01A30D49"/>
    <w:rsid w:val="01A52705"/>
    <w:rsid w:val="01A85D51"/>
    <w:rsid w:val="01AA7D1B"/>
    <w:rsid w:val="01B841E6"/>
    <w:rsid w:val="01B91D0C"/>
    <w:rsid w:val="01C0753F"/>
    <w:rsid w:val="01C26E13"/>
    <w:rsid w:val="01C40DDD"/>
    <w:rsid w:val="01CD0EC9"/>
    <w:rsid w:val="01D46B46"/>
    <w:rsid w:val="01D6352B"/>
    <w:rsid w:val="01DE1773"/>
    <w:rsid w:val="01DE2808"/>
    <w:rsid w:val="01DF087E"/>
    <w:rsid w:val="01E21263"/>
    <w:rsid w:val="01E27FB2"/>
    <w:rsid w:val="01E30F27"/>
    <w:rsid w:val="01E66FA5"/>
    <w:rsid w:val="01EA67F4"/>
    <w:rsid w:val="01F246B9"/>
    <w:rsid w:val="01F3521E"/>
    <w:rsid w:val="01FE6242"/>
    <w:rsid w:val="02070CCA"/>
    <w:rsid w:val="020B6834"/>
    <w:rsid w:val="020D0860"/>
    <w:rsid w:val="021138F7"/>
    <w:rsid w:val="02117D9A"/>
    <w:rsid w:val="021331E0"/>
    <w:rsid w:val="02135600"/>
    <w:rsid w:val="021D229B"/>
    <w:rsid w:val="02223D56"/>
    <w:rsid w:val="0225297F"/>
    <w:rsid w:val="022950E4"/>
    <w:rsid w:val="022A2A90"/>
    <w:rsid w:val="022B3727"/>
    <w:rsid w:val="022C27C5"/>
    <w:rsid w:val="022F343C"/>
    <w:rsid w:val="02311B44"/>
    <w:rsid w:val="02313F99"/>
    <w:rsid w:val="02344FA7"/>
    <w:rsid w:val="023575E5"/>
    <w:rsid w:val="02362C2C"/>
    <w:rsid w:val="02380E83"/>
    <w:rsid w:val="02385327"/>
    <w:rsid w:val="023D0B8F"/>
    <w:rsid w:val="023F4547"/>
    <w:rsid w:val="024261A6"/>
    <w:rsid w:val="02447828"/>
    <w:rsid w:val="024535A0"/>
    <w:rsid w:val="024617F2"/>
    <w:rsid w:val="024A2E12"/>
    <w:rsid w:val="025008C3"/>
    <w:rsid w:val="02502671"/>
    <w:rsid w:val="02513D1B"/>
    <w:rsid w:val="025245B6"/>
    <w:rsid w:val="02596A1D"/>
    <w:rsid w:val="025B2440"/>
    <w:rsid w:val="025F28B4"/>
    <w:rsid w:val="02691984"/>
    <w:rsid w:val="027A461A"/>
    <w:rsid w:val="027B04B8"/>
    <w:rsid w:val="027C7ED5"/>
    <w:rsid w:val="02814F7F"/>
    <w:rsid w:val="028440C8"/>
    <w:rsid w:val="0286090C"/>
    <w:rsid w:val="02884260"/>
    <w:rsid w:val="028879D6"/>
    <w:rsid w:val="028E13EB"/>
    <w:rsid w:val="02924A37"/>
    <w:rsid w:val="029539DE"/>
    <w:rsid w:val="02987B74"/>
    <w:rsid w:val="029A1B3E"/>
    <w:rsid w:val="02A36C44"/>
    <w:rsid w:val="02A76009"/>
    <w:rsid w:val="02A94954"/>
    <w:rsid w:val="02AB27CD"/>
    <w:rsid w:val="02AF383B"/>
    <w:rsid w:val="02B32C00"/>
    <w:rsid w:val="02B3536B"/>
    <w:rsid w:val="02B53D64"/>
    <w:rsid w:val="02B726F0"/>
    <w:rsid w:val="02B80984"/>
    <w:rsid w:val="02B80B7A"/>
    <w:rsid w:val="02BA5D3C"/>
    <w:rsid w:val="02BF3353"/>
    <w:rsid w:val="02C62933"/>
    <w:rsid w:val="02CD6DE4"/>
    <w:rsid w:val="02CF7A3A"/>
    <w:rsid w:val="02D05560"/>
    <w:rsid w:val="02D23086"/>
    <w:rsid w:val="02D52B76"/>
    <w:rsid w:val="02D84A47"/>
    <w:rsid w:val="02DB6D23"/>
    <w:rsid w:val="02E01C47"/>
    <w:rsid w:val="02E334E5"/>
    <w:rsid w:val="02EB0A9A"/>
    <w:rsid w:val="02EF1E8A"/>
    <w:rsid w:val="02F23728"/>
    <w:rsid w:val="02F4124E"/>
    <w:rsid w:val="02F87A8D"/>
    <w:rsid w:val="02F96864"/>
    <w:rsid w:val="0305345B"/>
    <w:rsid w:val="0314369E"/>
    <w:rsid w:val="031511C4"/>
    <w:rsid w:val="0317037B"/>
    <w:rsid w:val="032152F8"/>
    <w:rsid w:val="0328613E"/>
    <w:rsid w:val="033124A2"/>
    <w:rsid w:val="033667C1"/>
    <w:rsid w:val="033C14BF"/>
    <w:rsid w:val="033E3E1D"/>
    <w:rsid w:val="03437488"/>
    <w:rsid w:val="03477597"/>
    <w:rsid w:val="034C108A"/>
    <w:rsid w:val="034D4E02"/>
    <w:rsid w:val="0350044F"/>
    <w:rsid w:val="03507B72"/>
    <w:rsid w:val="035B3327"/>
    <w:rsid w:val="035F22B0"/>
    <w:rsid w:val="035F4ABA"/>
    <w:rsid w:val="036337AB"/>
    <w:rsid w:val="036363D4"/>
    <w:rsid w:val="03655CA8"/>
    <w:rsid w:val="036A59B4"/>
    <w:rsid w:val="03766107"/>
    <w:rsid w:val="037B54CB"/>
    <w:rsid w:val="037E4FBC"/>
    <w:rsid w:val="038325D2"/>
    <w:rsid w:val="0386666E"/>
    <w:rsid w:val="038A56C8"/>
    <w:rsid w:val="038C592B"/>
    <w:rsid w:val="039245AE"/>
    <w:rsid w:val="03931D99"/>
    <w:rsid w:val="039667A9"/>
    <w:rsid w:val="039B5B6E"/>
    <w:rsid w:val="03A03184"/>
    <w:rsid w:val="03A52453"/>
    <w:rsid w:val="03A756C1"/>
    <w:rsid w:val="03B35954"/>
    <w:rsid w:val="03B37E3E"/>
    <w:rsid w:val="03B4084F"/>
    <w:rsid w:val="03B4634C"/>
    <w:rsid w:val="03B73F68"/>
    <w:rsid w:val="03B9241B"/>
    <w:rsid w:val="03BD3D36"/>
    <w:rsid w:val="03BD5772"/>
    <w:rsid w:val="03BE360A"/>
    <w:rsid w:val="03BF11E6"/>
    <w:rsid w:val="03C07382"/>
    <w:rsid w:val="03C50E3C"/>
    <w:rsid w:val="03C70711"/>
    <w:rsid w:val="03C85975"/>
    <w:rsid w:val="03C9092D"/>
    <w:rsid w:val="03CB2F8A"/>
    <w:rsid w:val="03D42E2E"/>
    <w:rsid w:val="03DF34F7"/>
    <w:rsid w:val="03E07A24"/>
    <w:rsid w:val="03E47515"/>
    <w:rsid w:val="03EC2684"/>
    <w:rsid w:val="03FE43AE"/>
    <w:rsid w:val="040931BE"/>
    <w:rsid w:val="04110215"/>
    <w:rsid w:val="04114082"/>
    <w:rsid w:val="04117BDE"/>
    <w:rsid w:val="04137DFA"/>
    <w:rsid w:val="041607D0"/>
    <w:rsid w:val="04175268"/>
    <w:rsid w:val="041A14B3"/>
    <w:rsid w:val="04267B2D"/>
    <w:rsid w:val="0429606F"/>
    <w:rsid w:val="042B2438"/>
    <w:rsid w:val="04330137"/>
    <w:rsid w:val="04332051"/>
    <w:rsid w:val="04357D70"/>
    <w:rsid w:val="044004C3"/>
    <w:rsid w:val="04401E95"/>
    <w:rsid w:val="04497527"/>
    <w:rsid w:val="044E0E32"/>
    <w:rsid w:val="044F0706"/>
    <w:rsid w:val="04504404"/>
    <w:rsid w:val="04504BAA"/>
    <w:rsid w:val="04536448"/>
    <w:rsid w:val="04576B09"/>
    <w:rsid w:val="045A3333"/>
    <w:rsid w:val="045F303F"/>
    <w:rsid w:val="04602913"/>
    <w:rsid w:val="0462039F"/>
    <w:rsid w:val="04651CD8"/>
    <w:rsid w:val="0466131E"/>
    <w:rsid w:val="04675A50"/>
    <w:rsid w:val="046917C8"/>
    <w:rsid w:val="046E6DDE"/>
    <w:rsid w:val="04732BD8"/>
    <w:rsid w:val="047343F5"/>
    <w:rsid w:val="0475016D"/>
    <w:rsid w:val="04760F2D"/>
    <w:rsid w:val="0477291D"/>
    <w:rsid w:val="04803170"/>
    <w:rsid w:val="04842AA6"/>
    <w:rsid w:val="048760F2"/>
    <w:rsid w:val="048C55C9"/>
    <w:rsid w:val="048D02BF"/>
    <w:rsid w:val="048E122E"/>
    <w:rsid w:val="04905D97"/>
    <w:rsid w:val="04912ACD"/>
    <w:rsid w:val="04932CE9"/>
    <w:rsid w:val="04A558C5"/>
    <w:rsid w:val="04A96068"/>
    <w:rsid w:val="04AC5B58"/>
    <w:rsid w:val="04AC7ABF"/>
    <w:rsid w:val="04AD3DAA"/>
    <w:rsid w:val="04B05649"/>
    <w:rsid w:val="04B35A84"/>
    <w:rsid w:val="04BD63B9"/>
    <w:rsid w:val="04BF3ADE"/>
    <w:rsid w:val="04C11604"/>
    <w:rsid w:val="04C462FB"/>
    <w:rsid w:val="04C609C8"/>
    <w:rsid w:val="04C9495C"/>
    <w:rsid w:val="04CB5FDF"/>
    <w:rsid w:val="04CE1F73"/>
    <w:rsid w:val="04D01847"/>
    <w:rsid w:val="04D05CEB"/>
    <w:rsid w:val="04D15883"/>
    <w:rsid w:val="04D1736D"/>
    <w:rsid w:val="04D70E27"/>
    <w:rsid w:val="04D74983"/>
    <w:rsid w:val="04D8694E"/>
    <w:rsid w:val="04DB2BDE"/>
    <w:rsid w:val="04DB48E1"/>
    <w:rsid w:val="04DC01EC"/>
    <w:rsid w:val="04DE21B6"/>
    <w:rsid w:val="04E45D24"/>
    <w:rsid w:val="04E62E18"/>
    <w:rsid w:val="04EA092F"/>
    <w:rsid w:val="04EE1356"/>
    <w:rsid w:val="04EE6453"/>
    <w:rsid w:val="04F55751"/>
    <w:rsid w:val="04F76DD4"/>
    <w:rsid w:val="04FF3EDA"/>
    <w:rsid w:val="050634BB"/>
    <w:rsid w:val="050B0AD1"/>
    <w:rsid w:val="050B6D23"/>
    <w:rsid w:val="0511630F"/>
    <w:rsid w:val="05117F2B"/>
    <w:rsid w:val="0519526F"/>
    <w:rsid w:val="051C2CDE"/>
    <w:rsid w:val="052102F4"/>
    <w:rsid w:val="05277C44"/>
    <w:rsid w:val="052C7DAD"/>
    <w:rsid w:val="052E4B66"/>
    <w:rsid w:val="052F5E15"/>
    <w:rsid w:val="05300538"/>
    <w:rsid w:val="053022E6"/>
    <w:rsid w:val="053260B8"/>
    <w:rsid w:val="05377B18"/>
    <w:rsid w:val="053C6EDC"/>
    <w:rsid w:val="053E0EA6"/>
    <w:rsid w:val="054144F3"/>
    <w:rsid w:val="05482EE2"/>
    <w:rsid w:val="05492C0D"/>
    <w:rsid w:val="054E09BE"/>
    <w:rsid w:val="055040F3"/>
    <w:rsid w:val="05504736"/>
    <w:rsid w:val="05524952"/>
    <w:rsid w:val="055724A2"/>
    <w:rsid w:val="05575AC4"/>
    <w:rsid w:val="055C1D03"/>
    <w:rsid w:val="055C30DB"/>
    <w:rsid w:val="055C64B1"/>
    <w:rsid w:val="055D7941"/>
    <w:rsid w:val="05600E1D"/>
    <w:rsid w:val="056106F1"/>
    <w:rsid w:val="056D430E"/>
    <w:rsid w:val="056F2E0E"/>
    <w:rsid w:val="0573412F"/>
    <w:rsid w:val="05777F14"/>
    <w:rsid w:val="057C0063"/>
    <w:rsid w:val="057C6CAA"/>
    <w:rsid w:val="058A7D39"/>
    <w:rsid w:val="05942874"/>
    <w:rsid w:val="0599432F"/>
    <w:rsid w:val="05997E73"/>
    <w:rsid w:val="059C4FD6"/>
    <w:rsid w:val="05A131E3"/>
    <w:rsid w:val="05AD1B88"/>
    <w:rsid w:val="05AE3ABE"/>
    <w:rsid w:val="05B564DB"/>
    <w:rsid w:val="05B9677F"/>
    <w:rsid w:val="05BB24F7"/>
    <w:rsid w:val="05BB6053"/>
    <w:rsid w:val="05C375FE"/>
    <w:rsid w:val="05C47E38"/>
    <w:rsid w:val="05C649F8"/>
    <w:rsid w:val="05C6640F"/>
    <w:rsid w:val="05C80770"/>
    <w:rsid w:val="05C937B1"/>
    <w:rsid w:val="05D11D1B"/>
    <w:rsid w:val="05D307F8"/>
    <w:rsid w:val="05D610DF"/>
    <w:rsid w:val="05D67331"/>
    <w:rsid w:val="05D709B3"/>
    <w:rsid w:val="05D77B36"/>
    <w:rsid w:val="05D93B2D"/>
    <w:rsid w:val="05DA631F"/>
    <w:rsid w:val="05E51322"/>
    <w:rsid w:val="05EB09CA"/>
    <w:rsid w:val="05ED01D7"/>
    <w:rsid w:val="05F41565"/>
    <w:rsid w:val="05FB6D97"/>
    <w:rsid w:val="06007F0A"/>
    <w:rsid w:val="06043E9E"/>
    <w:rsid w:val="06085010"/>
    <w:rsid w:val="060A65C3"/>
    <w:rsid w:val="060B55A1"/>
    <w:rsid w:val="060F394B"/>
    <w:rsid w:val="06191E5D"/>
    <w:rsid w:val="061928BD"/>
    <w:rsid w:val="061F40D3"/>
    <w:rsid w:val="06262E04"/>
    <w:rsid w:val="062A142B"/>
    <w:rsid w:val="06345BBB"/>
    <w:rsid w:val="0636392C"/>
    <w:rsid w:val="06373283"/>
    <w:rsid w:val="063D7B82"/>
    <w:rsid w:val="063F499F"/>
    <w:rsid w:val="06425C22"/>
    <w:rsid w:val="06450013"/>
    <w:rsid w:val="06461519"/>
    <w:rsid w:val="06471FDD"/>
    <w:rsid w:val="064918B1"/>
    <w:rsid w:val="06495287"/>
    <w:rsid w:val="064D0467"/>
    <w:rsid w:val="064E336B"/>
    <w:rsid w:val="064F0AD0"/>
    <w:rsid w:val="06514C09"/>
    <w:rsid w:val="06520EC4"/>
    <w:rsid w:val="066A7A79"/>
    <w:rsid w:val="066B0EE6"/>
    <w:rsid w:val="066C559F"/>
    <w:rsid w:val="06700252"/>
    <w:rsid w:val="06733871"/>
    <w:rsid w:val="06734BA3"/>
    <w:rsid w:val="067508F8"/>
    <w:rsid w:val="06751FE2"/>
    <w:rsid w:val="067F52D3"/>
    <w:rsid w:val="0680729D"/>
    <w:rsid w:val="068103D7"/>
    <w:rsid w:val="068226EA"/>
    <w:rsid w:val="06826B71"/>
    <w:rsid w:val="068428E9"/>
    <w:rsid w:val="068B1EC9"/>
    <w:rsid w:val="06982838"/>
    <w:rsid w:val="06986EFD"/>
    <w:rsid w:val="06A01279"/>
    <w:rsid w:val="06A07511"/>
    <w:rsid w:val="06A25465"/>
    <w:rsid w:val="06A370B7"/>
    <w:rsid w:val="06A64F55"/>
    <w:rsid w:val="06AC1E40"/>
    <w:rsid w:val="06B01930"/>
    <w:rsid w:val="06B5335F"/>
    <w:rsid w:val="06B75327"/>
    <w:rsid w:val="06BA455D"/>
    <w:rsid w:val="06BF6017"/>
    <w:rsid w:val="06C21663"/>
    <w:rsid w:val="06C70113"/>
    <w:rsid w:val="06CC071E"/>
    <w:rsid w:val="06CE625A"/>
    <w:rsid w:val="06D03D80"/>
    <w:rsid w:val="06DA4BFF"/>
    <w:rsid w:val="06DA52EF"/>
    <w:rsid w:val="06E4782C"/>
    <w:rsid w:val="06E61CA5"/>
    <w:rsid w:val="06F15AA5"/>
    <w:rsid w:val="06F537E7"/>
    <w:rsid w:val="06F85085"/>
    <w:rsid w:val="06FA2BAB"/>
    <w:rsid w:val="06FC5430"/>
    <w:rsid w:val="070005F5"/>
    <w:rsid w:val="070129F4"/>
    <w:rsid w:val="070457D8"/>
    <w:rsid w:val="0708351A"/>
    <w:rsid w:val="070C28DE"/>
    <w:rsid w:val="070D06B6"/>
    <w:rsid w:val="07126147"/>
    <w:rsid w:val="07222102"/>
    <w:rsid w:val="072B545A"/>
    <w:rsid w:val="072B67D2"/>
    <w:rsid w:val="072C6C75"/>
    <w:rsid w:val="072E0AA7"/>
    <w:rsid w:val="0730481F"/>
    <w:rsid w:val="073071A3"/>
    <w:rsid w:val="073328D3"/>
    <w:rsid w:val="07356FC2"/>
    <w:rsid w:val="073B7BF8"/>
    <w:rsid w:val="073F40F9"/>
    <w:rsid w:val="074904E8"/>
    <w:rsid w:val="074A1D85"/>
    <w:rsid w:val="074A3B33"/>
    <w:rsid w:val="07505D20"/>
    <w:rsid w:val="07554285"/>
    <w:rsid w:val="075A7AEE"/>
    <w:rsid w:val="07610E7C"/>
    <w:rsid w:val="07612C2A"/>
    <w:rsid w:val="07613354"/>
    <w:rsid w:val="076170CE"/>
    <w:rsid w:val="07646EC6"/>
    <w:rsid w:val="07647F44"/>
    <w:rsid w:val="07666493"/>
    <w:rsid w:val="07697D31"/>
    <w:rsid w:val="076A5F83"/>
    <w:rsid w:val="076B2C9B"/>
    <w:rsid w:val="076D5A73"/>
    <w:rsid w:val="07702E6D"/>
    <w:rsid w:val="07723089"/>
    <w:rsid w:val="077A506D"/>
    <w:rsid w:val="077E1A2E"/>
    <w:rsid w:val="0781151E"/>
    <w:rsid w:val="07812E2C"/>
    <w:rsid w:val="078608E3"/>
    <w:rsid w:val="078801B7"/>
    <w:rsid w:val="078B676E"/>
    <w:rsid w:val="078D7EC3"/>
    <w:rsid w:val="078F59E9"/>
    <w:rsid w:val="078F7797"/>
    <w:rsid w:val="07943000"/>
    <w:rsid w:val="079E2DA6"/>
    <w:rsid w:val="07A07BF6"/>
    <w:rsid w:val="07A22EF8"/>
    <w:rsid w:val="07A56FBB"/>
    <w:rsid w:val="07AA637F"/>
    <w:rsid w:val="07B05960"/>
    <w:rsid w:val="07B54D24"/>
    <w:rsid w:val="07BB4C0F"/>
    <w:rsid w:val="07BC5B5B"/>
    <w:rsid w:val="07BC66C1"/>
    <w:rsid w:val="07C00A58"/>
    <w:rsid w:val="07CB4548"/>
    <w:rsid w:val="07CC1DB5"/>
    <w:rsid w:val="07CD0153"/>
    <w:rsid w:val="07D16002"/>
    <w:rsid w:val="07D2499F"/>
    <w:rsid w:val="07D56A4F"/>
    <w:rsid w:val="07D85598"/>
    <w:rsid w:val="07DB29DD"/>
    <w:rsid w:val="07DC0503"/>
    <w:rsid w:val="07DD6CE8"/>
    <w:rsid w:val="07E46E2F"/>
    <w:rsid w:val="07ED60B7"/>
    <w:rsid w:val="07EF1FDD"/>
    <w:rsid w:val="07F30F1F"/>
    <w:rsid w:val="07F341CA"/>
    <w:rsid w:val="07F95559"/>
    <w:rsid w:val="07FE491D"/>
    <w:rsid w:val="080041F1"/>
    <w:rsid w:val="08053EFD"/>
    <w:rsid w:val="080A32C2"/>
    <w:rsid w:val="080D0A46"/>
    <w:rsid w:val="08193505"/>
    <w:rsid w:val="081B727D"/>
    <w:rsid w:val="081C4DA3"/>
    <w:rsid w:val="08210BBC"/>
    <w:rsid w:val="082215A5"/>
    <w:rsid w:val="08227311"/>
    <w:rsid w:val="082612CD"/>
    <w:rsid w:val="082E1370"/>
    <w:rsid w:val="0832500B"/>
    <w:rsid w:val="08332819"/>
    <w:rsid w:val="0841303F"/>
    <w:rsid w:val="08452C11"/>
    <w:rsid w:val="08470072"/>
    <w:rsid w:val="08485B98"/>
    <w:rsid w:val="08493DEA"/>
    <w:rsid w:val="084F04B9"/>
    <w:rsid w:val="0854278F"/>
    <w:rsid w:val="0858227F"/>
    <w:rsid w:val="08585DDB"/>
    <w:rsid w:val="08591B53"/>
    <w:rsid w:val="085C5BED"/>
    <w:rsid w:val="085C7038"/>
    <w:rsid w:val="085F6B82"/>
    <w:rsid w:val="08617458"/>
    <w:rsid w:val="08634780"/>
    <w:rsid w:val="086A254A"/>
    <w:rsid w:val="086A5B0F"/>
    <w:rsid w:val="086C1887"/>
    <w:rsid w:val="08734A6E"/>
    <w:rsid w:val="087370B9"/>
    <w:rsid w:val="0878396F"/>
    <w:rsid w:val="08820841"/>
    <w:rsid w:val="088210AA"/>
    <w:rsid w:val="08867AB3"/>
    <w:rsid w:val="088E7A4F"/>
    <w:rsid w:val="08915791"/>
    <w:rsid w:val="08940DDD"/>
    <w:rsid w:val="08996E1E"/>
    <w:rsid w:val="089F7EAE"/>
    <w:rsid w:val="08A47272"/>
    <w:rsid w:val="08A70B11"/>
    <w:rsid w:val="08AC4379"/>
    <w:rsid w:val="08AE00F1"/>
    <w:rsid w:val="08B33B34"/>
    <w:rsid w:val="08B51480"/>
    <w:rsid w:val="08BD17C1"/>
    <w:rsid w:val="08BF04C9"/>
    <w:rsid w:val="08C27724"/>
    <w:rsid w:val="08C47BB7"/>
    <w:rsid w:val="08C72F61"/>
    <w:rsid w:val="08CB2A51"/>
    <w:rsid w:val="08CB5B89"/>
    <w:rsid w:val="08CE609D"/>
    <w:rsid w:val="08D538D0"/>
    <w:rsid w:val="08D86F1C"/>
    <w:rsid w:val="08D93C76"/>
    <w:rsid w:val="08DE4D57"/>
    <w:rsid w:val="08DF02AB"/>
    <w:rsid w:val="08E02D07"/>
    <w:rsid w:val="08E12275"/>
    <w:rsid w:val="08E7715F"/>
    <w:rsid w:val="08EE4992"/>
    <w:rsid w:val="08F024B8"/>
    <w:rsid w:val="08F43B6F"/>
    <w:rsid w:val="08F804B5"/>
    <w:rsid w:val="08F86C2F"/>
    <w:rsid w:val="08FA1588"/>
    <w:rsid w:val="09063A89"/>
    <w:rsid w:val="090B5543"/>
    <w:rsid w:val="090E0B90"/>
    <w:rsid w:val="091268D2"/>
    <w:rsid w:val="09137DF4"/>
    <w:rsid w:val="09197F25"/>
    <w:rsid w:val="091A6930"/>
    <w:rsid w:val="0922463B"/>
    <w:rsid w:val="09280F57"/>
    <w:rsid w:val="092B5AC2"/>
    <w:rsid w:val="092C7268"/>
    <w:rsid w:val="09336431"/>
    <w:rsid w:val="093920B1"/>
    <w:rsid w:val="093B172A"/>
    <w:rsid w:val="09422CCD"/>
    <w:rsid w:val="09440A55"/>
    <w:rsid w:val="09442803"/>
    <w:rsid w:val="094724D7"/>
    <w:rsid w:val="094D3CA2"/>
    <w:rsid w:val="094E71DE"/>
    <w:rsid w:val="095011A8"/>
    <w:rsid w:val="095742E5"/>
    <w:rsid w:val="095A3DD5"/>
    <w:rsid w:val="09615163"/>
    <w:rsid w:val="09622C8A"/>
    <w:rsid w:val="0967692B"/>
    <w:rsid w:val="09687CFF"/>
    <w:rsid w:val="0969226A"/>
    <w:rsid w:val="096F2545"/>
    <w:rsid w:val="09722ECD"/>
    <w:rsid w:val="09776735"/>
    <w:rsid w:val="09784B65"/>
    <w:rsid w:val="097E3776"/>
    <w:rsid w:val="098175B4"/>
    <w:rsid w:val="098933C5"/>
    <w:rsid w:val="0990452D"/>
    <w:rsid w:val="0992466E"/>
    <w:rsid w:val="09953DA4"/>
    <w:rsid w:val="09973A38"/>
    <w:rsid w:val="099948FD"/>
    <w:rsid w:val="099F7A3A"/>
    <w:rsid w:val="09A43977"/>
    <w:rsid w:val="09A80FE4"/>
    <w:rsid w:val="09A908B8"/>
    <w:rsid w:val="09AC454F"/>
    <w:rsid w:val="09B63701"/>
    <w:rsid w:val="09B72FD5"/>
    <w:rsid w:val="09B74D83"/>
    <w:rsid w:val="09B95534"/>
    <w:rsid w:val="09BB6AB2"/>
    <w:rsid w:val="09BC5884"/>
    <w:rsid w:val="09BF1E8A"/>
    <w:rsid w:val="09C120A6"/>
    <w:rsid w:val="09C33728"/>
    <w:rsid w:val="09C6146A"/>
    <w:rsid w:val="09CC2DF8"/>
    <w:rsid w:val="09D019BF"/>
    <w:rsid w:val="09D04097"/>
    <w:rsid w:val="09D75426"/>
    <w:rsid w:val="09DE2882"/>
    <w:rsid w:val="09DF606D"/>
    <w:rsid w:val="09E87633"/>
    <w:rsid w:val="09E9548B"/>
    <w:rsid w:val="09EC23D5"/>
    <w:rsid w:val="09EC387C"/>
    <w:rsid w:val="09EC47D5"/>
    <w:rsid w:val="09F2225F"/>
    <w:rsid w:val="09F84901"/>
    <w:rsid w:val="09F9539C"/>
    <w:rsid w:val="09FB7366"/>
    <w:rsid w:val="09FC30DE"/>
    <w:rsid w:val="0A033827"/>
    <w:rsid w:val="0A083831"/>
    <w:rsid w:val="0A092BBD"/>
    <w:rsid w:val="0A1165D8"/>
    <w:rsid w:val="0A1C52DC"/>
    <w:rsid w:val="0A1D5E20"/>
    <w:rsid w:val="0A21725C"/>
    <w:rsid w:val="0A2543E3"/>
    <w:rsid w:val="0A306AE9"/>
    <w:rsid w:val="0A334D52"/>
    <w:rsid w:val="0A397E8E"/>
    <w:rsid w:val="0A3B3C06"/>
    <w:rsid w:val="0A3D797F"/>
    <w:rsid w:val="0A4030AF"/>
    <w:rsid w:val="0A4503EF"/>
    <w:rsid w:val="0A454A85"/>
    <w:rsid w:val="0A481E7F"/>
    <w:rsid w:val="0A4A05DD"/>
    <w:rsid w:val="0A4C5E14"/>
    <w:rsid w:val="0A4F1460"/>
    <w:rsid w:val="0A4F76B2"/>
    <w:rsid w:val="0A516F86"/>
    <w:rsid w:val="0A522CFE"/>
    <w:rsid w:val="0A5C1B3B"/>
    <w:rsid w:val="0A680E2B"/>
    <w:rsid w:val="0A747118"/>
    <w:rsid w:val="0A781DD8"/>
    <w:rsid w:val="0A7E52D2"/>
    <w:rsid w:val="0A802FBD"/>
    <w:rsid w:val="0A805ABD"/>
    <w:rsid w:val="0A821835"/>
    <w:rsid w:val="0A825B11"/>
    <w:rsid w:val="0A8530D4"/>
    <w:rsid w:val="0A876E4C"/>
    <w:rsid w:val="0A911A78"/>
    <w:rsid w:val="0A99092D"/>
    <w:rsid w:val="0A9B46A5"/>
    <w:rsid w:val="0AA23C86"/>
    <w:rsid w:val="0AA572D2"/>
    <w:rsid w:val="0AA6066C"/>
    <w:rsid w:val="0AA7129C"/>
    <w:rsid w:val="0AA95014"/>
    <w:rsid w:val="0AAE6186"/>
    <w:rsid w:val="0AB26E31"/>
    <w:rsid w:val="0AB319EF"/>
    <w:rsid w:val="0AB539B9"/>
    <w:rsid w:val="0AB55CF1"/>
    <w:rsid w:val="0AB61B29"/>
    <w:rsid w:val="0ABA0FCF"/>
    <w:rsid w:val="0ABA2D7D"/>
    <w:rsid w:val="0ABE3AB7"/>
    <w:rsid w:val="0ABF0394"/>
    <w:rsid w:val="0AC01D4C"/>
    <w:rsid w:val="0AC105A6"/>
    <w:rsid w:val="0AC3612D"/>
    <w:rsid w:val="0AC77248"/>
    <w:rsid w:val="0ACB31DC"/>
    <w:rsid w:val="0ACD5079"/>
    <w:rsid w:val="0AD57520"/>
    <w:rsid w:val="0AD57BB7"/>
    <w:rsid w:val="0AE348DE"/>
    <w:rsid w:val="0AE572A2"/>
    <w:rsid w:val="0AEB5587"/>
    <w:rsid w:val="0AEB574B"/>
    <w:rsid w:val="0AEC35D6"/>
    <w:rsid w:val="0AEC6CAF"/>
    <w:rsid w:val="0AEC7471"/>
    <w:rsid w:val="0AF10F9B"/>
    <w:rsid w:val="0AF37EBE"/>
    <w:rsid w:val="0AF43363"/>
    <w:rsid w:val="0AFD1558"/>
    <w:rsid w:val="0AFF69E2"/>
    <w:rsid w:val="0B00275A"/>
    <w:rsid w:val="0B020D26"/>
    <w:rsid w:val="0B022976"/>
    <w:rsid w:val="0B0B6C50"/>
    <w:rsid w:val="0B106E41"/>
    <w:rsid w:val="0B187AA4"/>
    <w:rsid w:val="0B1A1A6E"/>
    <w:rsid w:val="0B1A2B73"/>
    <w:rsid w:val="0B21104E"/>
    <w:rsid w:val="0B212DFC"/>
    <w:rsid w:val="0B244921"/>
    <w:rsid w:val="0B262122"/>
    <w:rsid w:val="0B265A19"/>
    <w:rsid w:val="0B27191B"/>
    <w:rsid w:val="0B2935A3"/>
    <w:rsid w:val="0B293A5F"/>
    <w:rsid w:val="0B2D06FF"/>
    <w:rsid w:val="0B330D82"/>
    <w:rsid w:val="0B3310F4"/>
    <w:rsid w:val="0B3A7C30"/>
    <w:rsid w:val="0B3D1979"/>
    <w:rsid w:val="0B3F7726"/>
    <w:rsid w:val="0B4058EC"/>
    <w:rsid w:val="0B42713C"/>
    <w:rsid w:val="0B42737F"/>
    <w:rsid w:val="0B48482D"/>
    <w:rsid w:val="0B4E6BA8"/>
    <w:rsid w:val="0B500330"/>
    <w:rsid w:val="0B5036E2"/>
    <w:rsid w:val="0B5051F9"/>
    <w:rsid w:val="0B5150A4"/>
    <w:rsid w:val="0B52745A"/>
    <w:rsid w:val="0B5807E8"/>
    <w:rsid w:val="0B586F4F"/>
    <w:rsid w:val="0B5C2086"/>
    <w:rsid w:val="0B5D6CCC"/>
    <w:rsid w:val="0B650E97"/>
    <w:rsid w:val="0B664B34"/>
    <w:rsid w:val="0B6727D9"/>
    <w:rsid w:val="0B7352AC"/>
    <w:rsid w:val="0B753148"/>
    <w:rsid w:val="0B754657"/>
    <w:rsid w:val="0B770C6E"/>
    <w:rsid w:val="0B7E024F"/>
    <w:rsid w:val="0B7F2691"/>
    <w:rsid w:val="0B835865"/>
    <w:rsid w:val="0B884C29"/>
    <w:rsid w:val="0B924569"/>
    <w:rsid w:val="0BA024DC"/>
    <w:rsid w:val="0BA5640E"/>
    <w:rsid w:val="0BA852CC"/>
    <w:rsid w:val="0BAB39CB"/>
    <w:rsid w:val="0BB04180"/>
    <w:rsid w:val="0BB13952"/>
    <w:rsid w:val="0BB21CA6"/>
    <w:rsid w:val="0BB772BD"/>
    <w:rsid w:val="0BC419DA"/>
    <w:rsid w:val="0BC55E7E"/>
    <w:rsid w:val="0BC67500"/>
    <w:rsid w:val="0BC87F6C"/>
    <w:rsid w:val="0BD22464"/>
    <w:rsid w:val="0BD35593"/>
    <w:rsid w:val="0BD47955"/>
    <w:rsid w:val="0BD7170D"/>
    <w:rsid w:val="0BD95485"/>
    <w:rsid w:val="0BDC31C7"/>
    <w:rsid w:val="0BDE2A9B"/>
    <w:rsid w:val="0BE1433A"/>
    <w:rsid w:val="0BE300B2"/>
    <w:rsid w:val="0BE5207C"/>
    <w:rsid w:val="0BE61950"/>
    <w:rsid w:val="0BE81B6C"/>
    <w:rsid w:val="0BEA32BC"/>
    <w:rsid w:val="0BEF12AB"/>
    <w:rsid w:val="0BF52FA0"/>
    <w:rsid w:val="0BFA53FB"/>
    <w:rsid w:val="0BFC311B"/>
    <w:rsid w:val="0BFF2A12"/>
    <w:rsid w:val="0C0A1F07"/>
    <w:rsid w:val="0C0B6611"/>
    <w:rsid w:val="0C0D4C81"/>
    <w:rsid w:val="0C0F534B"/>
    <w:rsid w:val="0C142622"/>
    <w:rsid w:val="0C18109A"/>
    <w:rsid w:val="0C2652BC"/>
    <w:rsid w:val="0C291DAC"/>
    <w:rsid w:val="0C2B52B4"/>
    <w:rsid w:val="0C2D7542"/>
    <w:rsid w:val="0C2F3B6D"/>
    <w:rsid w:val="0C3A03A5"/>
    <w:rsid w:val="0C4548C9"/>
    <w:rsid w:val="0C4F3999"/>
    <w:rsid w:val="0C50326D"/>
    <w:rsid w:val="0C507777"/>
    <w:rsid w:val="0C5745FC"/>
    <w:rsid w:val="0C580AA0"/>
    <w:rsid w:val="0C5B0590"/>
    <w:rsid w:val="0C6011A4"/>
    <w:rsid w:val="0C61547A"/>
    <w:rsid w:val="0C670CE3"/>
    <w:rsid w:val="0C697854"/>
    <w:rsid w:val="0C741652"/>
    <w:rsid w:val="0C8101F8"/>
    <w:rsid w:val="0C8430A8"/>
    <w:rsid w:val="0C860B1A"/>
    <w:rsid w:val="0C9B6BDE"/>
    <w:rsid w:val="0CA23AC9"/>
    <w:rsid w:val="0CA379C6"/>
    <w:rsid w:val="0CA710DF"/>
    <w:rsid w:val="0CA8655A"/>
    <w:rsid w:val="0CAC0566"/>
    <w:rsid w:val="0CAC0DEC"/>
    <w:rsid w:val="0CB11F5E"/>
    <w:rsid w:val="0CB3217A"/>
    <w:rsid w:val="0CB41A4E"/>
    <w:rsid w:val="0CB437FC"/>
    <w:rsid w:val="0CB67574"/>
    <w:rsid w:val="0CBA3508"/>
    <w:rsid w:val="0CBC1DD3"/>
    <w:rsid w:val="0CC06645"/>
    <w:rsid w:val="0CC10DE5"/>
    <w:rsid w:val="0CC47EE3"/>
    <w:rsid w:val="0CC57164"/>
    <w:rsid w:val="0CC6142D"/>
    <w:rsid w:val="0CC64A89"/>
    <w:rsid w:val="0CC954FA"/>
    <w:rsid w:val="0CCB5FCA"/>
    <w:rsid w:val="0CCC323C"/>
    <w:rsid w:val="0CD45C4C"/>
    <w:rsid w:val="0CD8271C"/>
    <w:rsid w:val="0CDA1A87"/>
    <w:rsid w:val="0CDB522D"/>
    <w:rsid w:val="0CDD71F7"/>
    <w:rsid w:val="0CDF2BBA"/>
    <w:rsid w:val="0CE045F1"/>
    <w:rsid w:val="0CE40585"/>
    <w:rsid w:val="0CE45DF6"/>
    <w:rsid w:val="0CE73BD2"/>
    <w:rsid w:val="0CEA36C2"/>
    <w:rsid w:val="0CEA5470"/>
    <w:rsid w:val="0CEA6DC6"/>
    <w:rsid w:val="0CEC277E"/>
    <w:rsid w:val="0CEE4F60"/>
    <w:rsid w:val="0CEF2A86"/>
    <w:rsid w:val="0CF41309"/>
    <w:rsid w:val="0CF9285A"/>
    <w:rsid w:val="0CFB142B"/>
    <w:rsid w:val="0CFC47A4"/>
    <w:rsid w:val="0CFF53BF"/>
    <w:rsid w:val="0D0504FC"/>
    <w:rsid w:val="0D074274"/>
    <w:rsid w:val="0D07573C"/>
    <w:rsid w:val="0D0E73B0"/>
    <w:rsid w:val="0D10137A"/>
    <w:rsid w:val="0D1424ED"/>
    <w:rsid w:val="0D183D8B"/>
    <w:rsid w:val="0D1A5D55"/>
    <w:rsid w:val="0D1F15BD"/>
    <w:rsid w:val="0D205C25"/>
    <w:rsid w:val="0D221069"/>
    <w:rsid w:val="0D224C0A"/>
    <w:rsid w:val="0D2C3CDA"/>
    <w:rsid w:val="0D2C7836"/>
    <w:rsid w:val="0D2D0FA1"/>
    <w:rsid w:val="0D350DE1"/>
    <w:rsid w:val="0D3861DB"/>
    <w:rsid w:val="0D425B31"/>
    <w:rsid w:val="0D4508F7"/>
    <w:rsid w:val="0D4C3218"/>
    <w:rsid w:val="0D4C612B"/>
    <w:rsid w:val="0D4D5959"/>
    <w:rsid w:val="0D4E3C51"/>
    <w:rsid w:val="0D51729D"/>
    <w:rsid w:val="0D545A59"/>
    <w:rsid w:val="0D554FDF"/>
    <w:rsid w:val="0D576BC0"/>
    <w:rsid w:val="0D5B011C"/>
    <w:rsid w:val="0D5C50AC"/>
    <w:rsid w:val="0D70006B"/>
    <w:rsid w:val="0D731909"/>
    <w:rsid w:val="0D7505C0"/>
    <w:rsid w:val="0D7731A8"/>
    <w:rsid w:val="0D8111A6"/>
    <w:rsid w:val="0D837D9E"/>
    <w:rsid w:val="0D86163D"/>
    <w:rsid w:val="0D8D29CB"/>
    <w:rsid w:val="0D8E229F"/>
    <w:rsid w:val="0D906017"/>
    <w:rsid w:val="0D907DC5"/>
    <w:rsid w:val="0D931F5D"/>
    <w:rsid w:val="0D933D59"/>
    <w:rsid w:val="0D9755F8"/>
    <w:rsid w:val="0D9A50E8"/>
    <w:rsid w:val="0D9C2C0E"/>
    <w:rsid w:val="0D9D0734"/>
    <w:rsid w:val="0D9E1BA7"/>
    <w:rsid w:val="0D9E714C"/>
    <w:rsid w:val="0DA10224"/>
    <w:rsid w:val="0DA1474E"/>
    <w:rsid w:val="0DA336F3"/>
    <w:rsid w:val="0DAB4BFF"/>
    <w:rsid w:val="0DAD4E1B"/>
    <w:rsid w:val="0DAE2941"/>
    <w:rsid w:val="0DB17D41"/>
    <w:rsid w:val="0DB60E48"/>
    <w:rsid w:val="0DC56347"/>
    <w:rsid w:val="0DCD4E20"/>
    <w:rsid w:val="0DD04666"/>
    <w:rsid w:val="0DD269FA"/>
    <w:rsid w:val="0DD45914"/>
    <w:rsid w:val="0DDC125D"/>
    <w:rsid w:val="0DDD6A48"/>
    <w:rsid w:val="0DDD6D83"/>
    <w:rsid w:val="0DE174E9"/>
    <w:rsid w:val="0DE243F0"/>
    <w:rsid w:val="0DE443E8"/>
    <w:rsid w:val="0DED4FA7"/>
    <w:rsid w:val="0DF20642"/>
    <w:rsid w:val="0DF742E8"/>
    <w:rsid w:val="0DF74598"/>
    <w:rsid w:val="0DFF4F4B"/>
    <w:rsid w:val="0E0013EF"/>
    <w:rsid w:val="0E012A71"/>
    <w:rsid w:val="0E097B78"/>
    <w:rsid w:val="0E0A401C"/>
    <w:rsid w:val="0E0D58BA"/>
    <w:rsid w:val="0E0F1632"/>
    <w:rsid w:val="0E117E39"/>
    <w:rsid w:val="0E1409F6"/>
    <w:rsid w:val="0E146C48"/>
    <w:rsid w:val="0E14701C"/>
    <w:rsid w:val="0E19600D"/>
    <w:rsid w:val="0E1B1E7D"/>
    <w:rsid w:val="0E1B4581"/>
    <w:rsid w:val="0E1E6CEB"/>
    <w:rsid w:val="0E1E7AC7"/>
    <w:rsid w:val="0E26072A"/>
    <w:rsid w:val="0E2B0BF2"/>
    <w:rsid w:val="0E2D2114"/>
    <w:rsid w:val="0E303356"/>
    <w:rsid w:val="0E364E11"/>
    <w:rsid w:val="0E386ACC"/>
    <w:rsid w:val="0E387EAF"/>
    <w:rsid w:val="0E39220B"/>
    <w:rsid w:val="0E3B2427"/>
    <w:rsid w:val="0E3C35A3"/>
    <w:rsid w:val="0E3E1F17"/>
    <w:rsid w:val="0E4525FD"/>
    <w:rsid w:val="0E455118"/>
    <w:rsid w:val="0E462B7A"/>
    <w:rsid w:val="0E4B1F3E"/>
    <w:rsid w:val="0E5139F9"/>
    <w:rsid w:val="0E5A03D3"/>
    <w:rsid w:val="0E5B4877"/>
    <w:rsid w:val="0E5C05EF"/>
    <w:rsid w:val="0E6179B4"/>
    <w:rsid w:val="0E623542"/>
    <w:rsid w:val="0E664FCA"/>
    <w:rsid w:val="0E67321C"/>
    <w:rsid w:val="0E680D42"/>
    <w:rsid w:val="0E6A2D0C"/>
    <w:rsid w:val="0E6A4ABA"/>
    <w:rsid w:val="0E6B25E0"/>
    <w:rsid w:val="0E6F20D1"/>
    <w:rsid w:val="0E70013B"/>
    <w:rsid w:val="0E727ADE"/>
    <w:rsid w:val="0E7407A5"/>
    <w:rsid w:val="0E7476E7"/>
    <w:rsid w:val="0E76345F"/>
    <w:rsid w:val="0E79244C"/>
    <w:rsid w:val="0E7C47EE"/>
    <w:rsid w:val="0E835B7C"/>
    <w:rsid w:val="0E883192"/>
    <w:rsid w:val="0E8A6F0A"/>
    <w:rsid w:val="0E8B64C8"/>
    <w:rsid w:val="0E8E3F75"/>
    <w:rsid w:val="0E8F4521"/>
    <w:rsid w:val="0E920D6F"/>
    <w:rsid w:val="0E924011"/>
    <w:rsid w:val="0E9E4764"/>
    <w:rsid w:val="0EA77ADB"/>
    <w:rsid w:val="0EB06E60"/>
    <w:rsid w:val="0EB44162"/>
    <w:rsid w:val="0EB75826"/>
    <w:rsid w:val="0EB9334C"/>
    <w:rsid w:val="0EC00B7E"/>
    <w:rsid w:val="0EC20452"/>
    <w:rsid w:val="0EC339A2"/>
    <w:rsid w:val="0EC63E70"/>
    <w:rsid w:val="0ED816A6"/>
    <w:rsid w:val="0EDB69DD"/>
    <w:rsid w:val="0EDC016E"/>
    <w:rsid w:val="0EE44A14"/>
    <w:rsid w:val="0EE7435D"/>
    <w:rsid w:val="0EED0A4E"/>
    <w:rsid w:val="0EFC7DD8"/>
    <w:rsid w:val="0F0117BD"/>
    <w:rsid w:val="0F0200FA"/>
    <w:rsid w:val="0F040A6B"/>
    <w:rsid w:val="0F096081"/>
    <w:rsid w:val="0F0C3DC3"/>
    <w:rsid w:val="0F113188"/>
    <w:rsid w:val="0F1418F9"/>
    <w:rsid w:val="0F1467D4"/>
    <w:rsid w:val="0F19203C"/>
    <w:rsid w:val="0F1D38DB"/>
    <w:rsid w:val="0F223E6F"/>
    <w:rsid w:val="0F256C33"/>
    <w:rsid w:val="0F2E3D3A"/>
    <w:rsid w:val="0F3477A2"/>
    <w:rsid w:val="0F3959EE"/>
    <w:rsid w:val="0F3C1C31"/>
    <w:rsid w:val="0F423341"/>
    <w:rsid w:val="0F4C2412"/>
    <w:rsid w:val="0F4F5A5E"/>
    <w:rsid w:val="0F514AE8"/>
    <w:rsid w:val="0F543075"/>
    <w:rsid w:val="0F5512C6"/>
    <w:rsid w:val="0F56503F"/>
    <w:rsid w:val="0F5660FF"/>
    <w:rsid w:val="0F576D99"/>
    <w:rsid w:val="0F5A4B2F"/>
    <w:rsid w:val="0F5C08A7"/>
    <w:rsid w:val="0F5F5CA1"/>
    <w:rsid w:val="0F670FFA"/>
    <w:rsid w:val="0F6E4136"/>
    <w:rsid w:val="0F704352"/>
    <w:rsid w:val="0F735BF1"/>
    <w:rsid w:val="0F755C0E"/>
    <w:rsid w:val="0F777999"/>
    <w:rsid w:val="0F865924"/>
    <w:rsid w:val="0F916077"/>
    <w:rsid w:val="0F923341"/>
    <w:rsid w:val="0F955B67"/>
    <w:rsid w:val="0F9E175C"/>
    <w:rsid w:val="0FA45DAA"/>
    <w:rsid w:val="0FA57C09"/>
    <w:rsid w:val="0FAB5527"/>
    <w:rsid w:val="0FAC6EFF"/>
    <w:rsid w:val="0FAE2CC6"/>
    <w:rsid w:val="0FB13268"/>
    <w:rsid w:val="0FB6788B"/>
    <w:rsid w:val="0FBD50BE"/>
    <w:rsid w:val="0FC1695C"/>
    <w:rsid w:val="0FC30926"/>
    <w:rsid w:val="0FC41FA8"/>
    <w:rsid w:val="0FD146C5"/>
    <w:rsid w:val="0FD35650"/>
    <w:rsid w:val="0FDD25A4"/>
    <w:rsid w:val="0FE05083"/>
    <w:rsid w:val="0FE10DAC"/>
    <w:rsid w:val="0FE1562C"/>
    <w:rsid w:val="0FE64614"/>
    <w:rsid w:val="0FE74C98"/>
    <w:rsid w:val="0FEB39D9"/>
    <w:rsid w:val="0FED7342"/>
    <w:rsid w:val="0FEE34C9"/>
    <w:rsid w:val="0FF6382B"/>
    <w:rsid w:val="0FF84BE0"/>
    <w:rsid w:val="0FFA00C0"/>
    <w:rsid w:val="0FFD14E3"/>
    <w:rsid w:val="0FFE370C"/>
    <w:rsid w:val="100D7DF3"/>
    <w:rsid w:val="100F5919"/>
    <w:rsid w:val="10101691"/>
    <w:rsid w:val="10113F72"/>
    <w:rsid w:val="10194B5C"/>
    <w:rsid w:val="10207B26"/>
    <w:rsid w:val="102313C5"/>
    <w:rsid w:val="1029043F"/>
    <w:rsid w:val="102F21A4"/>
    <w:rsid w:val="10305890"/>
    <w:rsid w:val="103203AB"/>
    <w:rsid w:val="103709CC"/>
    <w:rsid w:val="103D6A1A"/>
    <w:rsid w:val="103E7FAD"/>
    <w:rsid w:val="103F5AD3"/>
    <w:rsid w:val="104135F9"/>
    <w:rsid w:val="104558EF"/>
    <w:rsid w:val="10463305"/>
    <w:rsid w:val="104D01F0"/>
    <w:rsid w:val="104E4A31"/>
    <w:rsid w:val="10525806"/>
    <w:rsid w:val="10564B8E"/>
    <w:rsid w:val="10583CFA"/>
    <w:rsid w:val="105A46BB"/>
    <w:rsid w:val="105C2769"/>
    <w:rsid w:val="105C6685"/>
    <w:rsid w:val="106A6FF4"/>
    <w:rsid w:val="106B68C8"/>
    <w:rsid w:val="10725EA8"/>
    <w:rsid w:val="1074793B"/>
    <w:rsid w:val="10817E99"/>
    <w:rsid w:val="108300B5"/>
    <w:rsid w:val="10853E2D"/>
    <w:rsid w:val="10882C5B"/>
    <w:rsid w:val="10914580"/>
    <w:rsid w:val="10953945"/>
    <w:rsid w:val="10962E2B"/>
    <w:rsid w:val="10967DE9"/>
    <w:rsid w:val="109A0FBC"/>
    <w:rsid w:val="109D1177"/>
    <w:rsid w:val="10A51DDA"/>
    <w:rsid w:val="10A96BCB"/>
    <w:rsid w:val="10AA73F0"/>
    <w:rsid w:val="10AB1F4F"/>
    <w:rsid w:val="10AE1499"/>
    <w:rsid w:val="10AF0EAA"/>
    <w:rsid w:val="10B03023"/>
    <w:rsid w:val="10B22749"/>
    <w:rsid w:val="10B842E3"/>
    <w:rsid w:val="10BB2786"/>
    <w:rsid w:val="10BC4481"/>
    <w:rsid w:val="10C00F00"/>
    <w:rsid w:val="10C36704"/>
    <w:rsid w:val="10C44237"/>
    <w:rsid w:val="10C514AF"/>
    <w:rsid w:val="10D95FDF"/>
    <w:rsid w:val="10DB7C53"/>
    <w:rsid w:val="10DF7242"/>
    <w:rsid w:val="10E2302E"/>
    <w:rsid w:val="10E420E0"/>
    <w:rsid w:val="10E82567"/>
    <w:rsid w:val="10F35929"/>
    <w:rsid w:val="10FC461B"/>
    <w:rsid w:val="110B168F"/>
    <w:rsid w:val="11131439"/>
    <w:rsid w:val="111F7DDE"/>
    <w:rsid w:val="112371A2"/>
    <w:rsid w:val="112626A0"/>
    <w:rsid w:val="11295CD8"/>
    <w:rsid w:val="112B0360"/>
    <w:rsid w:val="11333889"/>
    <w:rsid w:val="113B0990"/>
    <w:rsid w:val="113F222E"/>
    <w:rsid w:val="11405FA6"/>
    <w:rsid w:val="1141079D"/>
    <w:rsid w:val="114438AD"/>
    <w:rsid w:val="11494E5B"/>
    <w:rsid w:val="114F0F63"/>
    <w:rsid w:val="1150402C"/>
    <w:rsid w:val="11551A52"/>
    <w:rsid w:val="11586E4C"/>
    <w:rsid w:val="11592BC4"/>
    <w:rsid w:val="116F111E"/>
    <w:rsid w:val="11716160"/>
    <w:rsid w:val="117479FE"/>
    <w:rsid w:val="11775364"/>
    <w:rsid w:val="117A3266"/>
    <w:rsid w:val="117F119A"/>
    <w:rsid w:val="117F262B"/>
    <w:rsid w:val="117F6ACF"/>
    <w:rsid w:val="11813EEC"/>
    <w:rsid w:val="11834AA5"/>
    <w:rsid w:val="118714DF"/>
    <w:rsid w:val="118916FB"/>
    <w:rsid w:val="118934A9"/>
    <w:rsid w:val="118B7776"/>
    <w:rsid w:val="1193257A"/>
    <w:rsid w:val="11963E18"/>
    <w:rsid w:val="119F0F1F"/>
    <w:rsid w:val="11A06B88"/>
    <w:rsid w:val="11A2165E"/>
    <w:rsid w:val="11A934F2"/>
    <w:rsid w:val="11AB73D4"/>
    <w:rsid w:val="11AC53EA"/>
    <w:rsid w:val="11B36778"/>
    <w:rsid w:val="11B85B3D"/>
    <w:rsid w:val="11BB46AD"/>
    <w:rsid w:val="11BC387F"/>
    <w:rsid w:val="11BD75F7"/>
    <w:rsid w:val="11BE3EC7"/>
    <w:rsid w:val="11C051AC"/>
    <w:rsid w:val="11C42733"/>
    <w:rsid w:val="11C538CD"/>
    <w:rsid w:val="11CC783A"/>
    <w:rsid w:val="11CE35B2"/>
    <w:rsid w:val="11CE5360"/>
    <w:rsid w:val="11D16BFE"/>
    <w:rsid w:val="11D72467"/>
    <w:rsid w:val="11D7567C"/>
    <w:rsid w:val="11DB182B"/>
    <w:rsid w:val="11DB304C"/>
    <w:rsid w:val="11E06E41"/>
    <w:rsid w:val="11E25736"/>
    <w:rsid w:val="11F34DC7"/>
    <w:rsid w:val="11F86947"/>
    <w:rsid w:val="11F95249"/>
    <w:rsid w:val="11FD5C45"/>
    <w:rsid w:val="11FF2D53"/>
    <w:rsid w:val="12015736"/>
    <w:rsid w:val="1202500A"/>
    <w:rsid w:val="12045226"/>
    <w:rsid w:val="12064AFA"/>
    <w:rsid w:val="12105979"/>
    <w:rsid w:val="12107727"/>
    <w:rsid w:val="121A4DC4"/>
    <w:rsid w:val="121C60CC"/>
    <w:rsid w:val="122356AC"/>
    <w:rsid w:val="12241424"/>
    <w:rsid w:val="12270817"/>
    <w:rsid w:val="12287D7A"/>
    <w:rsid w:val="123258EF"/>
    <w:rsid w:val="1232769D"/>
    <w:rsid w:val="12361768"/>
    <w:rsid w:val="123874D1"/>
    <w:rsid w:val="12394ECF"/>
    <w:rsid w:val="1239627B"/>
    <w:rsid w:val="123D6042"/>
    <w:rsid w:val="12403D16"/>
    <w:rsid w:val="124060E1"/>
    <w:rsid w:val="12435D4E"/>
    <w:rsid w:val="12443874"/>
    <w:rsid w:val="12495049"/>
    <w:rsid w:val="124B69B1"/>
    <w:rsid w:val="12502219"/>
    <w:rsid w:val="12543AB7"/>
    <w:rsid w:val="125B488D"/>
    <w:rsid w:val="125E1541"/>
    <w:rsid w:val="12636919"/>
    <w:rsid w:val="12681311"/>
    <w:rsid w:val="12687563"/>
    <w:rsid w:val="12695089"/>
    <w:rsid w:val="126A32DB"/>
    <w:rsid w:val="126A5AC3"/>
    <w:rsid w:val="126D2DCB"/>
    <w:rsid w:val="126D6927"/>
    <w:rsid w:val="126E2D03"/>
    <w:rsid w:val="12704669"/>
    <w:rsid w:val="12745F08"/>
    <w:rsid w:val="127A7296"/>
    <w:rsid w:val="127F686C"/>
    <w:rsid w:val="1283391C"/>
    <w:rsid w:val="12851EC3"/>
    <w:rsid w:val="128D0D77"/>
    <w:rsid w:val="12931983"/>
    <w:rsid w:val="12960BEC"/>
    <w:rsid w:val="12964DED"/>
    <w:rsid w:val="129F7E81"/>
    <w:rsid w:val="12A3059B"/>
    <w:rsid w:val="12A762DD"/>
    <w:rsid w:val="12AB744F"/>
    <w:rsid w:val="12AC38F3"/>
    <w:rsid w:val="12B02CB8"/>
    <w:rsid w:val="12B502CE"/>
    <w:rsid w:val="12B91B6C"/>
    <w:rsid w:val="12B96010"/>
    <w:rsid w:val="12B97DBE"/>
    <w:rsid w:val="12BA66E6"/>
    <w:rsid w:val="12C217E4"/>
    <w:rsid w:val="12C30C3D"/>
    <w:rsid w:val="12C354E8"/>
    <w:rsid w:val="12C46CC5"/>
    <w:rsid w:val="12C877BE"/>
    <w:rsid w:val="12C96BA5"/>
    <w:rsid w:val="12CC7AF2"/>
    <w:rsid w:val="12D22B3E"/>
    <w:rsid w:val="12D90460"/>
    <w:rsid w:val="12DA1A7B"/>
    <w:rsid w:val="12DA1AE3"/>
    <w:rsid w:val="12DE7825"/>
    <w:rsid w:val="12E00CB5"/>
    <w:rsid w:val="12E27315"/>
    <w:rsid w:val="12E50BB3"/>
    <w:rsid w:val="12E65261"/>
    <w:rsid w:val="12E71167"/>
    <w:rsid w:val="12F32A2B"/>
    <w:rsid w:val="12FB3F33"/>
    <w:rsid w:val="1300779B"/>
    <w:rsid w:val="1303728B"/>
    <w:rsid w:val="13076D7C"/>
    <w:rsid w:val="130D1EB8"/>
    <w:rsid w:val="13127B01"/>
    <w:rsid w:val="13144FF5"/>
    <w:rsid w:val="13174CF3"/>
    <w:rsid w:val="13197383"/>
    <w:rsid w:val="131D659F"/>
    <w:rsid w:val="131E5E73"/>
    <w:rsid w:val="13206A46"/>
    <w:rsid w:val="13217712"/>
    <w:rsid w:val="13235C52"/>
    <w:rsid w:val="13255454"/>
    <w:rsid w:val="133049E6"/>
    <w:rsid w:val="1331204B"/>
    <w:rsid w:val="133571E8"/>
    <w:rsid w:val="133833D9"/>
    <w:rsid w:val="133D317F"/>
    <w:rsid w:val="133D3D06"/>
    <w:rsid w:val="134976C3"/>
    <w:rsid w:val="134C29E0"/>
    <w:rsid w:val="134E5DC5"/>
    <w:rsid w:val="134F0723"/>
    <w:rsid w:val="13533D6F"/>
    <w:rsid w:val="1356385F"/>
    <w:rsid w:val="13596EAB"/>
    <w:rsid w:val="13622204"/>
    <w:rsid w:val="13637D2A"/>
    <w:rsid w:val="13645F7C"/>
    <w:rsid w:val="13661B1F"/>
    <w:rsid w:val="1367628A"/>
    <w:rsid w:val="136A10B9"/>
    <w:rsid w:val="136F5225"/>
    <w:rsid w:val="137361BF"/>
    <w:rsid w:val="13754F58"/>
    <w:rsid w:val="13765CAF"/>
    <w:rsid w:val="138403CC"/>
    <w:rsid w:val="1384217A"/>
    <w:rsid w:val="138E2FF9"/>
    <w:rsid w:val="139879D4"/>
    <w:rsid w:val="139C43BF"/>
    <w:rsid w:val="139D323C"/>
    <w:rsid w:val="139E0D62"/>
    <w:rsid w:val="13A02D2C"/>
    <w:rsid w:val="13A16E84"/>
    <w:rsid w:val="13A934B3"/>
    <w:rsid w:val="13AC1380"/>
    <w:rsid w:val="13B660AC"/>
    <w:rsid w:val="13B80076"/>
    <w:rsid w:val="13BB36C2"/>
    <w:rsid w:val="13C83419"/>
    <w:rsid w:val="13D6674E"/>
    <w:rsid w:val="13D749A0"/>
    <w:rsid w:val="13DF4DFC"/>
    <w:rsid w:val="13DF5603"/>
    <w:rsid w:val="13E07289"/>
    <w:rsid w:val="13E5172B"/>
    <w:rsid w:val="13E61179"/>
    <w:rsid w:val="13F05A62"/>
    <w:rsid w:val="13F60B9E"/>
    <w:rsid w:val="13F6294C"/>
    <w:rsid w:val="13F75F72"/>
    <w:rsid w:val="14016EF3"/>
    <w:rsid w:val="140570A1"/>
    <w:rsid w:val="140879E7"/>
    <w:rsid w:val="140C03A7"/>
    <w:rsid w:val="140C03C2"/>
    <w:rsid w:val="140D6614"/>
    <w:rsid w:val="14105E03"/>
    <w:rsid w:val="14124637"/>
    <w:rsid w:val="14156350"/>
    <w:rsid w:val="14180B15"/>
    <w:rsid w:val="141A2ADF"/>
    <w:rsid w:val="141A5AC4"/>
    <w:rsid w:val="141B23B3"/>
    <w:rsid w:val="142B0848"/>
    <w:rsid w:val="142B4CEC"/>
    <w:rsid w:val="142C10D4"/>
    <w:rsid w:val="142E20E6"/>
    <w:rsid w:val="142E2839"/>
    <w:rsid w:val="142F448D"/>
    <w:rsid w:val="14321BD6"/>
    <w:rsid w:val="1436127B"/>
    <w:rsid w:val="14383444"/>
    <w:rsid w:val="14424DC6"/>
    <w:rsid w:val="144501AE"/>
    <w:rsid w:val="144B0EEA"/>
    <w:rsid w:val="144B2C98"/>
    <w:rsid w:val="145C6C53"/>
    <w:rsid w:val="145F04F1"/>
    <w:rsid w:val="14603C33"/>
    <w:rsid w:val="146401FE"/>
    <w:rsid w:val="14691370"/>
    <w:rsid w:val="146975C2"/>
    <w:rsid w:val="146B1291"/>
    <w:rsid w:val="146B333A"/>
    <w:rsid w:val="146C3666"/>
    <w:rsid w:val="147026FF"/>
    <w:rsid w:val="14733869"/>
    <w:rsid w:val="14740441"/>
    <w:rsid w:val="1476752B"/>
    <w:rsid w:val="147C012B"/>
    <w:rsid w:val="147D74EC"/>
    <w:rsid w:val="147E306D"/>
    <w:rsid w:val="14804972"/>
    <w:rsid w:val="14851632"/>
    <w:rsid w:val="14885C9A"/>
    <w:rsid w:val="148F2A89"/>
    <w:rsid w:val="14902DA1"/>
    <w:rsid w:val="14922675"/>
    <w:rsid w:val="149F2FE4"/>
    <w:rsid w:val="14A32AD4"/>
    <w:rsid w:val="14A423A8"/>
    <w:rsid w:val="14A72723"/>
    <w:rsid w:val="14A800EA"/>
    <w:rsid w:val="14A8633C"/>
    <w:rsid w:val="14AA605E"/>
    <w:rsid w:val="14AB3737"/>
    <w:rsid w:val="14AF76CB"/>
    <w:rsid w:val="14B06F9F"/>
    <w:rsid w:val="14B20F69"/>
    <w:rsid w:val="14BB6070"/>
    <w:rsid w:val="14BC76F2"/>
    <w:rsid w:val="14BE346A"/>
    <w:rsid w:val="14C60571"/>
    <w:rsid w:val="14D31D4A"/>
    <w:rsid w:val="14D41B46"/>
    <w:rsid w:val="14D77DE4"/>
    <w:rsid w:val="14D92328"/>
    <w:rsid w:val="14DC1B42"/>
    <w:rsid w:val="14DE1D5E"/>
    <w:rsid w:val="14EF1875"/>
    <w:rsid w:val="14F26C8A"/>
    <w:rsid w:val="14F90946"/>
    <w:rsid w:val="14FD3553"/>
    <w:rsid w:val="15020C8C"/>
    <w:rsid w:val="150317C5"/>
    <w:rsid w:val="150F3CBC"/>
    <w:rsid w:val="15114352"/>
    <w:rsid w:val="151338AA"/>
    <w:rsid w:val="15135A41"/>
    <w:rsid w:val="151C5F0A"/>
    <w:rsid w:val="15202377"/>
    <w:rsid w:val="152579CF"/>
    <w:rsid w:val="152B36E3"/>
    <w:rsid w:val="152F25BA"/>
    <w:rsid w:val="15302565"/>
    <w:rsid w:val="15327640"/>
    <w:rsid w:val="15360A41"/>
    <w:rsid w:val="153B4ABB"/>
    <w:rsid w:val="153D3FC7"/>
    <w:rsid w:val="153E27FD"/>
    <w:rsid w:val="153E45AB"/>
    <w:rsid w:val="15425706"/>
    <w:rsid w:val="15426441"/>
    <w:rsid w:val="15470831"/>
    <w:rsid w:val="154716B1"/>
    <w:rsid w:val="15485429"/>
    <w:rsid w:val="154C7553"/>
    <w:rsid w:val="154D0C92"/>
    <w:rsid w:val="154D3D0F"/>
    <w:rsid w:val="154F0566"/>
    <w:rsid w:val="15543DCE"/>
    <w:rsid w:val="15590675"/>
    <w:rsid w:val="15597637"/>
    <w:rsid w:val="155C054E"/>
    <w:rsid w:val="155C2286"/>
    <w:rsid w:val="156166A0"/>
    <w:rsid w:val="156264EB"/>
    <w:rsid w:val="15657D89"/>
    <w:rsid w:val="1568787A"/>
    <w:rsid w:val="156A35F2"/>
    <w:rsid w:val="156F6E5A"/>
    <w:rsid w:val="157B4D4F"/>
    <w:rsid w:val="157B75AD"/>
    <w:rsid w:val="158D108E"/>
    <w:rsid w:val="15932B49"/>
    <w:rsid w:val="159863B1"/>
    <w:rsid w:val="15995C85"/>
    <w:rsid w:val="159B37AB"/>
    <w:rsid w:val="159F4480"/>
    <w:rsid w:val="15A5287C"/>
    <w:rsid w:val="15AD5B8E"/>
    <w:rsid w:val="15AF3A68"/>
    <w:rsid w:val="15B32AC0"/>
    <w:rsid w:val="15B42ABF"/>
    <w:rsid w:val="15B64A89"/>
    <w:rsid w:val="15B91E83"/>
    <w:rsid w:val="15BA473B"/>
    <w:rsid w:val="15BB209F"/>
    <w:rsid w:val="15BE4765"/>
    <w:rsid w:val="15C34AB0"/>
    <w:rsid w:val="15CA22E2"/>
    <w:rsid w:val="15CE0CA0"/>
    <w:rsid w:val="15D23643"/>
    <w:rsid w:val="15D46CBD"/>
    <w:rsid w:val="15D53DDC"/>
    <w:rsid w:val="15D87EFC"/>
    <w:rsid w:val="15DD1E4A"/>
    <w:rsid w:val="15E03B4C"/>
    <w:rsid w:val="15E163F4"/>
    <w:rsid w:val="15E44D75"/>
    <w:rsid w:val="15E50ECA"/>
    <w:rsid w:val="15E53B3A"/>
    <w:rsid w:val="15E66956"/>
    <w:rsid w:val="15F0776C"/>
    <w:rsid w:val="15F07F9B"/>
    <w:rsid w:val="15F31839"/>
    <w:rsid w:val="15F464AA"/>
    <w:rsid w:val="15FA4976"/>
    <w:rsid w:val="15FA6724"/>
    <w:rsid w:val="15FD7FC2"/>
    <w:rsid w:val="160457F4"/>
    <w:rsid w:val="16094BB9"/>
    <w:rsid w:val="160B6B83"/>
    <w:rsid w:val="160F7CF5"/>
    <w:rsid w:val="16126F47"/>
    <w:rsid w:val="161377E5"/>
    <w:rsid w:val="161C2B3E"/>
    <w:rsid w:val="161F69DF"/>
    <w:rsid w:val="162B2D81"/>
    <w:rsid w:val="16377978"/>
    <w:rsid w:val="163836F0"/>
    <w:rsid w:val="163B35E8"/>
    <w:rsid w:val="163F4A7E"/>
    <w:rsid w:val="1651030E"/>
    <w:rsid w:val="16526560"/>
    <w:rsid w:val="16640041"/>
    <w:rsid w:val="166C5148"/>
    <w:rsid w:val="166D339A"/>
    <w:rsid w:val="16710118"/>
    <w:rsid w:val="1672416C"/>
    <w:rsid w:val="16781D3E"/>
    <w:rsid w:val="167D7540"/>
    <w:rsid w:val="16804B0A"/>
    <w:rsid w:val="16865B0F"/>
    <w:rsid w:val="16873D30"/>
    <w:rsid w:val="168801D3"/>
    <w:rsid w:val="16884052"/>
    <w:rsid w:val="168A3B77"/>
    <w:rsid w:val="168C4260"/>
    <w:rsid w:val="16900084"/>
    <w:rsid w:val="1691701B"/>
    <w:rsid w:val="169326D4"/>
    <w:rsid w:val="169528F0"/>
    <w:rsid w:val="16957462"/>
    <w:rsid w:val="1696109A"/>
    <w:rsid w:val="169A7F07"/>
    <w:rsid w:val="169C47E2"/>
    <w:rsid w:val="169E79F7"/>
    <w:rsid w:val="169F1079"/>
    <w:rsid w:val="16A50D85"/>
    <w:rsid w:val="16A54EFC"/>
    <w:rsid w:val="16AA0C63"/>
    <w:rsid w:val="16B20DAC"/>
    <w:rsid w:val="16BA4105"/>
    <w:rsid w:val="16C3745D"/>
    <w:rsid w:val="16C72A99"/>
    <w:rsid w:val="16CF18DB"/>
    <w:rsid w:val="16D451C7"/>
    <w:rsid w:val="16D76A65"/>
    <w:rsid w:val="16DB1DC3"/>
    <w:rsid w:val="16E340AB"/>
    <w:rsid w:val="16E64EFA"/>
    <w:rsid w:val="16E650F8"/>
    <w:rsid w:val="16EB2510"/>
    <w:rsid w:val="16F420CC"/>
    <w:rsid w:val="16F6136F"/>
    <w:rsid w:val="16FD297F"/>
    <w:rsid w:val="16FE0496"/>
    <w:rsid w:val="170A0BE8"/>
    <w:rsid w:val="17162FEC"/>
    <w:rsid w:val="1720665E"/>
    <w:rsid w:val="17242CEB"/>
    <w:rsid w:val="1726591C"/>
    <w:rsid w:val="172B095B"/>
    <w:rsid w:val="172D2B29"/>
    <w:rsid w:val="17306175"/>
    <w:rsid w:val="17321EED"/>
    <w:rsid w:val="1733100A"/>
    <w:rsid w:val="1735086C"/>
    <w:rsid w:val="173739A8"/>
    <w:rsid w:val="17381DA6"/>
    <w:rsid w:val="173B5246"/>
    <w:rsid w:val="173C0FBE"/>
    <w:rsid w:val="17487A3D"/>
    <w:rsid w:val="174D4F1E"/>
    <w:rsid w:val="17532E27"/>
    <w:rsid w:val="17543620"/>
    <w:rsid w:val="175C05A5"/>
    <w:rsid w:val="175C3236"/>
    <w:rsid w:val="175E0F34"/>
    <w:rsid w:val="17606A5A"/>
    <w:rsid w:val="176A5B2B"/>
    <w:rsid w:val="176D1177"/>
    <w:rsid w:val="177366C3"/>
    <w:rsid w:val="177C13BA"/>
    <w:rsid w:val="1780534F"/>
    <w:rsid w:val="17884203"/>
    <w:rsid w:val="17887D5F"/>
    <w:rsid w:val="178D5376"/>
    <w:rsid w:val="17947E66"/>
    <w:rsid w:val="179761F4"/>
    <w:rsid w:val="17987D59"/>
    <w:rsid w:val="179B5CE4"/>
    <w:rsid w:val="179C380B"/>
    <w:rsid w:val="179D1D3F"/>
    <w:rsid w:val="179E3A27"/>
    <w:rsid w:val="179E7583"/>
    <w:rsid w:val="17A000FE"/>
    <w:rsid w:val="17A0154D"/>
    <w:rsid w:val="17A264AE"/>
    <w:rsid w:val="17A345FB"/>
    <w:rsid w:val="17AA23CB"/>
    <w:rsid w:val="17AA5F28"/>
    <w:rsid w:val="17B46DA6"/>
    <w:rsid w:val="17B943BD"/>
    <w:rsid w:val="17BD0472"/>
    <w:rsid w:val="17BD20FF"/>
    <w:rsid w:val="17CF3BE0"/>
    <w:rsid w:val="17CF622C"/>
    <w:rsid w:val="17D42FA4"/>
    <w:rsid w:val="17D631C0"/>
    <w:rsid w:val="17D72C9A"/>
    <w:rsid w:val="17DD454F"/>
    <w:rsid w:val="17E22F49"/>
    <w:rsid w:val="17EF7C87"/>
    <w:rsid w:val="17F13B56"/>
    <w:rsid w:val="17F45182"/>
    <w:rsid w:val="17F453F5"/>
    <w:rsid w:val="17F72AE6"/>
    <w:rsid w:val="17F81389"/>
    <w:rsid w:val="17F83137"/>
    <w:rsid w:val="17FA6EAF"/>
    <w:rsid w:val="1800023D"/>
    <w:rsid w:val="18057602"/>
    <w:rsid w:val="18090EA0"/>
    <w:rsid w:val="180C6BE2"/>
    <w:rsid w:val="18104D99"/>
    <w:rsid w:val="1811244B"/>
    <w:rsid w:val="18155A97"/>
    <w:rsid w:val="18167A61"/>
    <w:rsid w:val="181A30AD"/>
    <w:rsid w:val="1824217E"/>
    <w:rsid w:val="18273A1C"/>
    <w:rsid w:val="182B0260"/>
    <w:rsid w:val="182E4DAB"/>
    <w:rsid w:val="182E6B59"/>
    <w:rsid w:val="182E6F6C"/>
    <w:rsid w:val="183022DF"/>
    <w:rsid w:val="18351C95"/>
    <w:rsid w:val="183562EF"/>
    <w:rsid w:val="18365A0D"/>
    <w:rsid w:val="183B6DB6"/>
    <w:rsid w:val="183F0AA8"/>
    <w:rsid w:val="183F2B14"/>
    <w:rsid w:val="184055E0"/>
    <w:rsid w:val="184243B2"/>
    <w:rsid w:val="184B5220"/>
    <w:rsid w:val="184C2F83"/>
    <w:rsid w:val="184D5ADD"/>
    <w:rsid w:val="184E3051"/>
    <w:rsid w:val="18502F73"/>
    <w:rsid w:val="18506ACF"/>
    <w:rsid w:val="18616F2E"/>
    <w:rsid w:val="18620D7A"/>
    <w:rsid w:val="18621F5A"/>
    <w:rsid w:val="18702CCD"/>
    <w:rsid w:val="18725A57"/>
    <w:rsid w:val="18730A0F"/>
    <w:rsid w:val="187529D9"/>
    <w:rsid w:val="18756535"/>
    <w:rsid w:val="187A0DF7"/>
    <w:rsid w:val="187A3B4C"/>
    <w:rsid w:val="188563F7"/>
    <w:rsid w:val="188A384C"/>
    <w:rsid w:val="1890336F"/>
    <w:rsid w:val="189270E7"/>
    <w:rsid w:val="189310B2"/>
    <w:rsid w:val="18932E60"/>
    <w:rsid w:val="18964231"/>
    <w:rsid w:val="189C7F66"/>
    <w:rsid w:val="189D4520"/>
    <w:rsid w:val="18A13509"/>
    <w:rsid w:val="18A706B9"/>
    <w:rsid w:val="18AE37F5"/>
    <w:rsid w:val="18AE7C99"/>
    <w:rsid w:val="18B07A55"/>
    <w:rsid w:val="18B94247"/>
    <w:rsid w:val="18B96759"/>
    <w:rsid w:val="18BC23B6"/>
    <w:rsid w:val="18BC4164"/>
    <w:rsid w:val="18C24158"/>
    <w:rsid w:val="18C272A1"/>
    <w:rsid w:val="18C33745"/>
    <w:rsid w:val="18C41E54"/>
    <w:rsid w:val="18C919F4"/>
    <w:rsid w:val="18DA5871"/>
    <w:rsid w:val="18DA6CE0"/>
    <w:rsid w:val="18DA764F"/>
    <w:rsid w:val="18DD40DB"/>
    <w:rsid w:val="18E00148"/>
    <w:rsid w:val="18E216F1"/>
    <w:rsid w:val="18EB67F8"/>
    <w:rsid w:val="18ED6A14"/>
    <w:rsid w:val="18EF1D81"/>
    <w:rsid w:val="18F66E9C"/>
    <w:rsid w:val="18F733EE"/>
    <w:rsid w:val="18FA7BB9"/>
    <w:rsid w:val="18FC688C"/>
    <w:rsid w:val="1901601B"/>
    <w:rsid w:val="19020A55"/>
    <w:rsid w:val="19082366"/>
    <w:rsid w:val="190A1374"/>
    <w:rsid w:val="190E7118"/>
    <w:rsid w:val="19191807"/>
    <w:rsid w:val="191C4A9A"/>
    <w:rsid w:val="191E4E1F"/>
    <w:rsid w:val="1921046B"/>
    <w:rsid w:val="1922124B"/>
    <w:rsid w:val="192341E3"/>
    <w:rsid w:val="19252EB5"/>
    <w:rsid w:val="192B3098"/>
    <w:rsid w:val="192E347D"/>
    <w:rsid w:val="192E7B16"/>
    <w:rsid w:val="192F4936"/>
    <w:rsid w:val="193463F1"/>
    <w:rsid w:val="193B777F"/>
    <w:rsid w:val="194128BC"/>
    <w:rsid w:val="19445F08"/>
    <w:rsid w:val="19481E9C"/>
    <w:rsid w:val="194A0A34"/>
    <w:rsid w:val="19517987"/>
    <w:rsid w:val="195425EF"/>
    <w:rsid w:val="19570331"/>
    <w:rsid w:val="195769A2"/>
    <w:rsid w:val="195A1FED"/>
    <w:rsid w:val="196B14AE"/>
    <w:rsid w:val="19722A75"/>
    <w:rsid w:val="19743C72"/>
    <w:rsid w:val="19762565"/>
    <w:rsid w:val="197749FF"/>
    <w:rsid w:val="19824B2B"/>
    <w:rsid w:val="198A4D73"/>
    <w:rsid w:val="198D78AF"/>
    <w:rsid w:val="19923117"/>
    <w:rsid w:val="19927560"/>
    <w:rsid w:val="199826D4"/>
    <w:rsid w:val="199926F8"/>
    <w:rsid w:val="199C7AF2"/>
    <w:rsid w:val="199E386A"/>
    <w:rsid w:val="19A05834"/>
    <w:rsid w:val="19A5191C"/>
    <w:rsid w:val="19A84076"/>
    <w:rsid w:val="19B27315"/>
    <w:rsid w:val="19B72B7E"/>
    <w:rsid w:val="19BD0194"/>
    <w:rsid w:val="19BD337C"/>
    <w:rsid w:val="19C808E7"/>
    <w:rsid w:val="19CC487B"/>
    <w:rsid w:val="19CE1487"/>
    <w:rsid w:val="19CF7EC7"/>
    <w:rsid w:val="19D1707E"/>
    <w:rsid w:val="19D62FAF"/>
    <w:rsid w:val="19D665BD"/>
    <w:rsid w:val="19D66968"/>
    <w:rsid w:val="19D719B2"/>
    <w:rsid w:val="19D857E8"/>
    <w:rsid w:val="19DB686C"/>
    <w:rsid w:val="19DE010A"/>
    <w:rsid w:val="19E020D4"/>
    <w:rsid w:val="19E03E83"/>
    <w:rsid w:val="19E17DEB"/>
    <w:rsid w:val="19EA2F53"/>
    <w:rsid w:val="19F01779"/>
    <w:rsid w:val="19F06801"/>
    <w:rsid w:val="19F45B80"/>
    <w:rsid w:val="19F53DD2"/>
    <w:rsid w:val="19FE618D"/>
    <w:rsid w:val="19FF69FF"/>
    <w:rsid w:val="1A037B71"/>
    <w:rsid w:val="1A0757C3"/>
    <w:rsid w:val="1A0F4768"/>
    <w:rsid w:val="1A123794"/>
    <w:rsid w:val="1A183B5C"/>
    <w:rsid w:val="1A1C3150"/>
    <w:rsid w:val="1A293A7B"/>
    <w:rsid w:val="1A295829"/>
    <w:rsid w:val="1A2C356C"/>
    <w:rsid w:val="1A2E2D21"/>
    <w:rsid w:val="1A2F6BB8"/>
    <w:rsid w:val="1A3441CE"/>
    <w:rsid w:val="1A344800"/>
    <w:rsid w:val="1A352420"/>
    <w:rsid w:val="1A361CF4"/>
    <w:rsid w:val="1A3D12D5"/>
    <w:rsid w:val="1A410E6D"/>
    <w:rsid w:val="1A427177"/>
    <w:rsid w:val="1A4C32C6"/>
    <w:rsid w:val="1A4E34E2"/>
    <w:rsid w:val="1A4F434F"/>
    <w:rsid w:val="1A564145"/>
    <w:rsid w:val="1A5B79AD"/>
    <w:rsid w:val="1A626F8D"/>
    <w:rsid w:val="1A642D06"/>
    <w:rsid w:val="1A693E78"/>
    <w:rsid w:val="1A6C5716"/>
    <w:rsid w:val="1A6C5C1F"/>
    <w:rsid w:val="1A6E5CE9"/>
    <w:rsid w:val="1A725422"/>
    <w:rsid w:val="1A7623F9"/>
    <w:rsid w:val="1A7867B1"/>
    <w:rsid w:val="1A7D5B75"/>
    <w:rsid w:val="1A7F369B"/>
    <w:rsid w:val="1A82318C"/>
    <w:rsid w:val="1A830D8A"/>
    <w:rsid w:val="1A864A2A"/>
    <w:rsid w:val="1A8D6F59"/>
    <w:rsid w:val="1A943043"/>
    <w:rsid w:val="1A9C424D"/>
    <w:rsid w:val="1A9D1D74"/>
    <w:rsid w:val="1AA47D03"/>
    <w:rsid w:val="1AA9346B"/>
    <w:rsid w:val="1AA94BBC"/>
    <w:rsid w:val="1AAC08DF"/>
    <w:rsid w:val="1AAD1678"/>
    <w:rsid w:val="1AB64BE3"/>
    <w:rsid w:val="1ABA0B77"/>
    <w:rsid w:val="1ABE0FFF"/>
    <w:rsid w:val="1ABF57BA"/>
    <w:rsid w:val="1AC437A4"/>
    <w:rsid w:val="1AC62989"/>
    <w:rsid w:val="1AC9700C"/>
    <w:rsid w:val="1ACE017F"/>
    <w:rsid w:val="1AD75285"/>
    <w:rsid w:val="1AE006FA"/>
    <w:rsid w:val="1AE267C1"/>
    <w:rsid w:val="1AE34E1B"/>
    <w:rsid w:val="1AE654C9"/>
    <w:rsid w:val="1AE856E5"/>
    <w:rsid w:val="1AEB6F83"/>
    <w:rsid w:val="1AED1ED8"/>
    <w:rsid w:val="1AF23E6D"/>
    <w:rsid w:val="1AF8095D"/>
    <w:rsid w:val="1AF8344E"/>
    <w:rsid w:val="1AFD220A"/>
    <w:rsid w:val="1AFF3DF9"/>
    <w:rsid w:val="1B0167A6"/>
    <w:rsid w:val="1B064B81"/>
    <w:rsid w:val="1B0B13D3"/>
    <w:rsid w:val="1B0D6EF9"/>
    <w:rsid w:val="1B1C0EEA"/>
    <w:rsid w:val="1B2053E6"/>
    <w:rsid w:val="1B216501"/>
    <w:rsid w:val="1B2A7AAB"/>
    <w:rsid w:val="1B2B3AF9"/>
    <w:rsid w:val="1B2F36F2"/>
    <w:rsid w:val="1B3918F5"/>
    <w:rsid w:val="1B3A3153"/>
    <w:rsid w:val="1B3B1CB8"/>
    <w:rsid w:val="1B3C333B"/>
    <w:rsid w:val="1B440441"/>
    <w:rsid w:val="1B4D7F6B"/>
    <w:rsid w:val="1B5271C5"/>
    <w:rsid w:val="1B5543FC"/>
    <w:rsid w:val="1B5C15F5"/>
    <w:rsid w:val="1B5C578B"/>
    <w:rsid w:val="1B5E0712"/>
    <w:rsid w:val="1B617245"/>
    <w:rsid w:val="1B624E40"/>
    <w:rsid w:val="1B636B19"/>
    <w:rsid w:val="1B666609"/>
    <w:rsid w:val="1B6A60FA"/>
    <w:rsid w:val="1B6E63C8"/>
    <w:rsid w:val="1B6F54BE"/>
    <w:rsid w:val="1B740D26"/>
    <w:rsid w:val="1B762CF0"/>
    <w:rsid w:val="1B79079C"/>
    <w:rsid w:val="1B7E5225"/>
    <w:rsid w:val="1B7E7DF7"/>
    <w:rsid w:val="1B827539"/>
    <w:rsid w:val="1B8A679C"/>
    <w:rsid w:val="1B91266E"/>
    <w:rsid w:val="1B94545D"/>
    <w:rsid w:val="1B9F38C9"/>
    <w:rsid w:val="1BA07D6D"/>
    <w:rsid w:val="1BA31302"/>
    <w:rsid w:val="1BAB7696"/>
    <w:rsid w:val="1BB10937"/>
    <w:rsid w:val="1BB47375"/>
    <w:rsid w:val="1BB94243"/>
    <w:rsid w:val="1BBB0703"/>
    <w:rsid w:val="1BBB6955"/>
    <w:rsid w:val="1BBF43CB"/>
    <w:rsid w:val="1BC00296"/>
    <w:rsid w:val="1BC06F9C"/>
    <w:rsid w:val="1BC27593"/>
    <w:rsid w:val="1BCA303C"/>
    <w:rsid w:val="1BCD0437"/>
    <w:rsid w:val="1BD25864"/>
    <w:rsid w:val="1BD80B2A"/>
    <w:rsid w:val="1BD82632"/>
    <w:rsid w:val="1BDA0176"/>
    <w:rsid w:val="1BDE2644"/>
    <w:rsid w:val="1BE85270"/>
    <w:rsid w:val="1BEA548C"/>
    <w:rsid w:val="1BEA7366"/>
    <w:rsid w:val="1BEF2AA3"/>
    <w:rsid w:val="1BF260EF"/>
    <w:rsid w:val="1BF400B9"/>
    <w:rsid w:val="1BF445E1"/>
    <w:rsid w:val="1BFB5054"/>
    <w:rsid w:val="1C006A5E"/>
    <w:rsid w:val="1C0876C1"/>
    <w:rsid w:val="1C093B64"/>
    <w:rsid w:val="1C0F3A8B"/>
    <w:rsid w:val="1C13053F"/>
    <w:rsid w:val="1C16002F"/>
    <w:rsid w:val="1C19367C"/>
    <w:rsid w:val="1C213768"/>
    <w:rsid w:val="1C2269D4"/>
    <w:rsid w:val="1C24274C"/>
    <w:rsid w:val="1C2555F5"/>
    <w:rsid w:val="1C3109C5"/>
    <w:rsid w:val="1C34223F"/>
    <w:rsid w:val="1C387FA6"/>
    <w:rsid w:val="1C3A271C"/>
    <w:rsid w:val="1C3B7A96"/>
    <w:rsid w:val="1C4050AC"/>
    <w:rsid w:val="1C4A7CD9"/>
    <w:rsid w:val="1C4F52EF"/>
    <w:rsid w:val="1C5173E2"/>
    <w:rsid w:val="1C56667E"/>
    <w:rsid w:val="1C5F28FD"/>
    <w:rsid w:val="1C60574F"/>
    <w:rsid w:val="1C625023"/>
    <w:rsid w:val="1C6568C1"/>
    <w:rsid w:val="1C665F76"/>
    <w:rsid w:val="1C6B037B"/>
    <w:rsid w:val="1C6C31DB"/>
    <w:rsid w:val="1C6E7E6B"/>
    <w:rsid w:val="1C7630C8"/>
    <w:rsid w:val="1C7D1E5D"/>
    <w:rsid w:val="1C7E15A1"/>
    <w:rsid w:val="1C821221"/>
    <w:rsid w:val="1C8559F6"/>
    <w:rsid w:val="1C8C02F2"/>
    <w:rsid w:val="1C8D5047"/>
    <w:rsid w:val="1C8F393E"/>
    <w:rsid w:val="1C907DE2"/>
    <w:rsid w:val="1C9525F4"/>
    <w:rsid w:val="1C961170"/>
    <w:rsid w:val="1C99656B"/>
    <w:rsid w:val="1C9B0367"/>
    <w:rsid w:val="1CA550CD"/>
    <w:rsid w:val="1CA67605"/>
    <w:rsid w:val="1CC7132A"/>
    <w:rsid w:val="1CCE4466"/>
    <w:rsid w:val="1CD13F56"/>
    <w:rsid w:val="1CD51C99"/>
    <w:rsid w:val="1CDA60E3"/>
    <w:rsid w:val="1CDC4DD5"/>
    <w:rsid w:val="1CE26164"/>
    <w:rsid w:val="1CE43C8A"/>
    <w:rsid w:val="1CE974F2"/>
    <w:rsid w:val="1CED6FE2"/>
    <w:rsid w:val="1CF33ECD"/>
    <w:rsid w:val="1D0172D3"/>
    <w:rsid w:val="1D021CA4"/>
    <w:rsid w:val="1D022362"/>
    <w:rsid w:val="1D077978"/>
    <w:rsid w:val="1D0B7468"/>
    <w:rsid w:val="1D0E23B4"/>
    <w:rsid w:val="1D102CD1"/>
    <w:rsid w:val="1D167BBB"/>
    <w:rsid w:val="1D1A3B4F"/>
    <w:rsid w:val="1D1B0639"/>
    <w:rsid w:val="1D1C78C7"/>
    <w:rsid w:val="1D1F1166"/>
    <w:rsid w:val="1D216C8C"/>
    <w:rsid w:val="1D235D75"/>
    <w:rsid w:val="1D24052A"/>
    <w:rsid w:val="1D24677C"/>
    <w:rsid w:val="1D254F04"/>
    <w:rsid w:val="1D2624F4"/>
    <w:rsid w:val="1D2D41A8"/>
    <w:rsid w:val="1D2F0DEA"/>
    <w:rsid w:val="1D2F0FD8"/>
    <w:rsid w:val="1D3826FA"/>
    <w:rsid w:val="1D3B29EA"/>
    <w:rsid w:val="1D3F35B6"/>
    <w:rsid w:val="1D4604A0"/>
    <w:rsid w:val="1D4B5AB7"/>
    <w:rsid w:val="1D4C10B3"/>
    <w:rsid w:val="1D5A3F4C"/>
    <w:rsid w:val="1D5F5A06"/>
    <w:rsid w:val="1D632E00"/>
    <w:rsid w:val="1D644DCB"/>
    <w:rsid w:val="1D752B34"/>
    <w:rsid w:val="1D7A639C"/>
    <w:rsid w:val="1D7F1C04"/>
    <w:rsid w:val="1D807E56"/>
    <w:rsid w:val="1D832E8F"/>
    <w:rsid w:val="1D890B16"/>
    <w:rsid w:val="1D8A4831"/>
    <w:rsid w:val="1D8D2EE1"/>
    <w:rsid w:val="1D8D60CF"/>
    <w:rsid w:val="1D9546B0"/>
    <w:rsid w:val="1D965933"/>
    <w:rsid w:val="1D9A259A"/>
    <w:rsid w:val="1D9C772D"/>
    <w:rsid w:val="1D9E7E39"/>
    <w:rsid w:val="1D9F1CC3"/>
    <w:rsid w:val="1DA769B6"/>
    <w:rsid w:val="1DAB47A7"/>
    <w:rsid w:val="1DB01DBE"/>
    <w:rsid w:val="1DB55626"/>
    <w:rsid w:val="1DB7314C"/>
    <w:rsid w:val="1DBB12F9"/>
    <w:rsid w:val="1DBC69B5"/>
    <w:rsid w:val="1DC3220C"/>
    <w:rsid w:val="1DC72909"/>
    <w:rsid w:val="1DCB590E"/>
    <w:rsid w:val="1DCC255B"/>
    <w:rsid w:val="1DCD471E"/>
    <w:rsid w:val="1DCE7B5B"/>
    <w:rsid w:val="1DD33597"/>
    <w:rsid w:val="1DD434EC"/>
    <w:rsid w:val="1DD43CFE"/>
    <w:rsid w:val="1DD45AAC"/>
    <w:rsid w:val="1DD91315"/>
    <w:rsid w:val="1DD97567"/>
    <w:rsid w:val="1DE026A3"/>
    <w:rsid w:val="1DE0647C"/>
    <w:rsid w:val="1DE1641B"/>
    <w:rsid w:val="1DE16B7D"/>
    <w:rsid w:val="1DE2466D"/>
    <w:rsid w:val="1DE33F41"/>
    <w:rsid w:val="1DE877AA"/>
    <w:rsid w:val="1DEA7E9E"/>
    <w:rsid w:val="1DEC729A"/>
    <w:rsid w:val="1DF22DA5"/>
    <w:rsid w:val="1DF8771E"/>
    <w:rsid w:val="1DFC41D8"/>
    <w:rsid w:val="1E012619"/>
    <w:rsid w:val="1E0345E3"/>
    <w:rsid w:val="1E0A7A78"/>
    <w:rsid w:val="1E0F4D36"/>
    <w:rsid w:val="1E106D86"/>
    <w:rsid w:val="1E124827"/>
    <w:rsid w:val="1E163801"/>
    <w:rsid w:val="1E184A1B"/>
    <w:rsid w:val="1E2307E2"/>
    <w:rsid w:val="1E262080"/>
    <w:rsid w:val="1E29229C"/>
    <w:rsid w:val="1E2C3B3A"/>
    <w:rsid w:val="1E2D0C94"/>
    <w:rsid w:val="1E312EFF"/>
    <w:rsid w:val="1E390005"/>
    <w:rsid w:val="1E3F6135"/>
    <w:rsid w:val="1E4852D2"/>
    <w:rsid w:val="1E5130A7"/>
    <w:rsid w:val="1E5170FD"/>
    <w:rsid w:val="1E537319"/>
    <w:rsid w:val="1E551EE9"/>
    <w:rsid w:val="1E5866DD"/>
    <w:rsid w:val="1E592455"/>
    <w:rsid w:val="1E5B61CE"/>
    <w:rsid w:val="1E5C31FB"/>
    <w:rsid w:val="1E672DC4"/>
    <w:rsid w:val="1E69506D"/>
    <w:rsid w:val="1E6F1C79"/>
    <w:rsid w:val="1E74728F"/>
    <w:rsid w:val="1E756378"/>
    <w:rsid w:val="1E7764BE"/>
    <w:rsid w:val="1E78175B"/>
    <w:rsid w:val="1E7E25B9"/>
    <w:rsid w:val="1E7E3C6A"/>
    <w:rsid w:val="1E856845"/>
    <w:rsid w:val="1E867014"/>
    <w:rsid w:val="1E8E65A3"/>
    <w:rsid w:val="1E8F5E77"/>
    <w:rsid w:val="1E935967"/>
    <w:rsid w:val="1E957012"/>
    <w:rsid w:val="1E9A6CF6"/>
    <w:rsid w:val="1E9B2A6E"/>
    <w:rsid w:val="1E9F255E"/>
    <w:rsid w:val="1EA244DA"/>
    <w:rsid w:val="1EA31703"/>
    <w:rsid w:val="1EA3575E"/>
    <w:rsid w:val="1EA41923"/>
    <w:rsid w:val="1EA638ED"/>
    <w:rsid w:val="1EB678A8"/>
    <w:rsid w:val="1EBA66B8"/>
    <w:rsid w:val="1ECA0581"/>
    <w:rsid w:val="1ECA3911"/>
    <w:rsid w:val="1ECB5101"/>
    <w:rsid w:val="1ED02718"/>
    <w:rsid w:val="1ED33FB6"/>
    <w:rsid w:val="1ED44095"/>
    <w:rsid w:val="1ED55F80"/>
    <w:rsid w:val="1EDD3086"/>
    <w:rsid w:val="1EE53CE9"/>
    <w:rsid w:val="1EE8703F"/>
    <w:rsid w:val="1EEB57A3"/>
    <w:rsid w:val="1EEE7042"/>
    <w:rsid w:val="1EF26B32"/>
    <w:rsid w:val="1EF36406"/>
    <w:rsid w:val="1EF53F2C"/>
    <w:rsid w:val="1EF83A1C"/>
    <w:rsid w:val="1EFA7794"/>
    <w:rsid w:val="1EFB2CE8"/>
    <w:rsid w:val="1EFB350D"/>
    <w:rsid w:val="1EFD40D1"/>
    <w:rsid w:val="1EFD7285"/>
    <w:rsid w:val="1F016D75"/>
    <w:rsid w:val="1F022AED"/>
    <w:rsid w:val="1F027BF4"/>
    <w:rsid w:val="1F0C571A"/>
    <w:rsid w:val="1F1801C3"/>
    <w:rsid w:val="1F1A3993"/>
    <w:rsid w:val="1F1E78E5"/>
    <w:rsid w:val="1F212F73"/>
    <w:rsid w:val="1F226CEB"/>
    <w:rsid w:val="1F260691"/>
    <w:rsid w:val="1F2760B0"/>
    <w:rsid w:val="1F2B2044"/>
    <w:rsid w:val="1F2B3A7D"/>
    <w:rsid w:val="1F2D3C79"/>
    <w:rsid w:val="1F3031B6"/>
    <w:rsid w:val="1F30529C"/>
    <w:rsid w:val="1F347A18"/>
    <w:rsid w:val="1F392673"/>
    <w:rsid w:val="1F3A5DE3"/>
    <w:rsid w:val="1F436F19"/>
    <w:rsid w:val="1F4550E0"/>
    <w:rsid w:val="1F486752"/>
    <w:rsid w:val="1F4B4494"/>
    <w:rsid w:val="1F536EA5"/>
    <w:rsid w:val="1F572E39"/>
    <w:rsid w:val="1F5A6485"/>
    <w:rsid w:val="1F5B5A4B"/>
    <w:rsid w:val="1F5E021B"/>
    <w:rsid w:val="1F606E36"/>
    <w:rsid w:val="1F680BA2"/>
    <w:rsid w:val="1F6A7F47"/>
    <w:rsid w:val="1F6E6D87"/>
    <w:rsid w:val="1F733EDE"/>
    <w:rsid w:val="1F7532BF"/>
    <w:rsid w:val="1F75506D"/>
    <w:rsid w:val="1F7727E6"/>
    <w:rsid w:val="1F7D2063"/>
    <w:rsid w:val="1F7E4C1D"/>
    <w:rsid w:val="1F7F6E90"/>
    <w:rsid w:val="1F82454D"/>
    <w:rsid w:val="1F861028"/>
    <w:rsid w:val="1F8B2AE2"/>
    <w:rsid w:val="1F8F25D3"/>
    <w:rsid w:val="1F90380C"/>
    <w:rsid w:val="1F923E71"/>
    <w:rsid w:val="1F925C1F"/>
    <w:rsid w:val="1F971487"/>
    <w:rsid w:val="1F996A3F"/>
    <w:rsid w:val="1F9A0F77"/>
    <w:rsid w:val="1F9A2D26"/>
    <w:rsid w:val="1F9D444D"/>
    <w:rsid w:val="1F9E2816"/>
    <w:rsid w:val="1FA12306"/>
    <w:rsid w:val="1FA51AD3"/>
    <w:rsid w:val="1FA94D17"/>
    <w:rsid w:val="1FAD0CAB"/>
    <w:rsid w:val="1FB37FF3"/>
    <w:rsid w:val="1FB40B92"/>
    <w:rsid w:val="1FB738D7"/>
    <w:rsid w:val="1FBC0EEE"/>
    <w:rsid w:val="1FBC2C9C"/>
    <w:rsid w:val="1FBF3557"/>
    <w:rsid w:val="1FC251FC"/>
    <w:rsid w:val="1FC63B1B"/>
    <w:rsid w:val="1FC73A85"/>
    <w:rsid w:val="1FC81641"/>
    <w:rsid w:val="1FCD30FB"/>
    <w:rsid w:val="1FCF190A"/>
    <w:rsid w:val="1FCF497C"/>
    <w:rsid w:val="1FD12BC3"/>
    <w:rsid w:val="1FD4737A"/>
    <w:rsid w:val="1FD52A57"/>
    <w:rsid w:val="1FD547C7"/>
    <w:rsid w:val="1FD84F3A"/>
    <w:rsid w:val="1FD955FC"/>
    <w:rsid w:val="1FE04BDC"/>
    <w:rsid w:val="1FE228FE"/>
    <w:rsid w:val="1FE30229"/>
    <w:rsid w:val="1FE521F3"/>
    <w:rsid w:val="1FE741BD"/>
    <w:rsid w:val="1FE866C5"/>
    <w:rsid w:val="1FEC17D3"/>
    <w:rsid w:val="1FEE62D2"/>
    <w:rsid w:val="1FEF3783"/>
    <w:rsid w:val="1FEF5962"/>
    <w:rsid w:val="1FF41705"/>
    <w:rsid w:val="1FF7020C"/>
    <w:rsid w:val="2003718D"/>
    <w:rsid w:val="2007660D"/>
    <w:rsid w:val="200A72AF"/>
    <w:rsid w:val="200A7EAB"/>
    <w:rsid w:val="200B6B56"/>
    <w:rsid w:val="200C59D1"/>
    <w:rsid w:val="200F2F92"/>
    <w:rsid w:val="200F562E"/>
    <w:rsid w:val="200F7202"/>
    <w:rsid w:val="200F7274"/>
    <w:rsid w:val="20142AD8"/>
    <w:rsid w:val="201E0A36"/>
    <w:rsid w:val="20210D51"/>
    <w:rsid w:val="202317C3"/>
    <w:rsid w:val="202F51DE"/>
    <w:rsid w:val="20317172"/>
    <w:rsid w:val="20346CD6"/>
    <w:rsid w:val="20353A05"/>
    <w:rsid w:val="20362A4E"/>
    <w:rsid w:val="2039253E"/>
    <w:rsid w:val="203B492A"/>
    <w:rsid w:val="204131A1"/>
    <w:rsid w:val="20511636"/>
    <w:rsid w:val="20517888"/>
    <w:rsid w:val="205302A6"/>
    <w:rsid w:val="20580C17"/>
    <w:rsid w:val="20592BE1"/>
    <w:rsid w:val="2059673D"/>
    <w:rsid w:val="205C7FDB"/>
    <w:rsid w:val="20653CE6"/>
    <w:rsid w:val="20684BD2"/>
    <w:rsid w:val="206F37E4"/>
    <w:rsid w:val="20754650"/>
    <w:rsid w:val="20790B8D"/>
    <w:rsid w:val="207A50EC"/>
    <w:rsid w:val="20801F1B"/>
    <w:rsid w:val="208335B1"/>
    <w:rsid w:val="20855784"/>
    <w:rsid w:val="20991497"/>
    <w:rsid w:val="209A648E"/>
    <w:rsid w:val="20A35FDE"/>
    <w:rsid w:val="20A51982"/>
    <w:rsid w:val="20A53730"/>
    <w:rsid w:val="20A83220"/>
    <w:rsid w:val="20B102F4"/>
    <w:rsid w:val="20B3409F"/>
    <w:rsid w:val="20B87907"/>
    <w:rsid w:val="20BC7AC5"/>
    <w:rsid w:val="20BD3E04"/>
    <w:rsid w:val="20BF2A08"/>
    <w:rsid w:val="20C91B14"/>
    <w:rsid w:val="20CE0ED9"/>
    <w:rsid w:val="20D109C9"/>
    <w:rsid w:val="20DB53A4"/>
    <w:rsid w:val="20DD55C0"/>
    <w:rsid w:val="20DF54C2"/>
    <w:rsid w:val="20E93F65"/>
    <w:rsid w:val="20F91DC3"/>
    <w:rsid w:val="21052421"/>
    <w:rsid w:val="210668C5"/>
    <w:rsid w:val="210B3EDB"/>
    <w:rsid w:val="210E39CB"/>
    <w:rsid w:val="210E5779"/>
    <w:rsid w:val="21162880"/>
    <w:rsid w:val="211803A6"/>
    <w:rsid w:val="211A411E"/>
    <w:rsid w:val="211C21CA"/>
    <w:rsid w:val="211C7E96"/>
    <w:rsid w:val="211F7986"/>
    <w:rsid w:val="212E7BC9"/>
    <w:rsid w:val="212F3245"/>
    <w:rsid w:val="2133762E"/>
    <w:rsid w:val="213831F5"/>
    <w:rsid w:val="213F5933"/>
    <w:rsid w:val="214178FD"/>
    <w:rsid w:val="21423675"/>
    <w:rsid w:val="214271D1"/>
    <w:rsid w:val="21442F49"/>
    <w:rsid w:val="214747E7"/>
    <w:rsid w:val="214C5241"/>
    <w:rsid w:val="214E16B8"/>
    <w:rsid w:val="21507B40"/>
    <w:rsid w:val="21562C7C"/>
    <w:rsid w:val="21577120"/>
    <w:rsid w:val="215869F4"/>
    <w:rsid w:val="215B0293"/>
    <w:rsid w:val="215E1126"/>
    <w:rsid w:val="215E4D33"/>
    <w:rsid w:val="215F4227"/>
    <w:rsid w:val="21673237"/>
    <w:rsid w:val="21692406"/>
    <w:rsid w:val="21710889"/>
    <w:rsid w:val="21754C42"/>
    <w:rsid w:val="217557F8"/>
    <w:rsid w:val="217750CC"/>
    <w:rsid w:val="21780E44"/>
    <w:rsid w:val="217915F9"/>
    <w:rsid w:val="21887344"/>
    <w:rsid w:val="2189634D"/>
    <w:rsid w:val="218C669E"/>
    <w:rsid w:val="218C66E3"/>
    <w:rsid w:val="21930481"/>
    <w:rsid w:val="21935C7E"/>
    <w:rsid w:val="219A700D"/>
    <w:rsid w:val="21A810FD"/>
    <w:rsid w:val="21A90E71"/>
    <w:rsid w:val="21A954A2"/>
    <w:rsid w:val="21AB2FC8"/>
    <w:rsid w:val="21AE554C"/>
    <w:rsid w:val="21B1144E"/>
    <w:rsid w:val="21B75E11"/>
    <w:rsid w:val="21C30312"/>
    <w:rsid w:val="21C83B7A"/>
    <w:rsid w:val="21C85928"/>
    <w:rsid w:val="21CA5B44"/>
    <w:rsid w:val="21D02A2F"/>
    <w:rsid w:val="21D35201"/>
    <w:rsid w:val="21DC5877"/>
    <w:rsid w:val="21E14C3C"/>
    <w:rsid w:val="21E169EA"/>
    <w:rsid w:val="21E450A0"/>
    <w:rsid w:val="21EE4E29"/>
    <w:rsid w:val="21F26E49"/>
    <w:rsid w:val="21F40B49"/>
    <w:rsid w:val="22041767"/>
    <w:rsid w:val="22097CEF"/>
    <w:rsid w:val="220C49F3"/>
    <w:rsid w:val="2210107D"/>
    <w:rsid w:val="221037A4"/>
    <w:rsid w:val="221072CF"/>
    <w:rsid w:val="22121B5E"/>
    <w:rsid w:val="22145921"/>
    <w:rsid w:val="221D6DEE"/>
    <w:rsid w:val="222254AB"/>
    <w:rsid w:val="222B72CC"/>
    <w:rsid w:val="22327245"/>
    <w:rsid w:val="223613C5"/>
    <w:rsid w:val="22396826"/>
    <w:rsid w:val="22405E06"/>
    <w:rsid w:val="22462048"/>
    <w:rsid w:val="22473A2E"/>
    <w:rsid w:val="224845D2"/>
    <w:rsid w:val="224A1457"/>
    <w:rsid w:val="22511D3B"/>
    <w:rsid w:val="2252640A"/>
    <w:rsid w:val="22573150"/>
    <w:rsid w:val="225E628C"/>
    <w:rsid w:val="22665141"/>
    <w:rsid w:val="22723D8B"/>
    <w:rsid w:val="227317B0"/>
    <w:rsid w:val="227801E0"/>
    <w:rsid w:val="227B0BEC"/>
    <w:rsid w:val="228201CD"/>
    <w:rsid w:val="22883309"/>
    <w:rsid w:val="228C3A98"/>
    <w:rsid w:val="228F4698"/>
    <w:rsid w:val="229178D7"/>
    <w:rsid w:val="22925F36"/>
    <w:rsid w:val="22963C78"/>
    <w:rsid w:val="229E0D7F"/>
    <w:rsid w:val="22A5210D"/>
    <w:rsid w:val="22A857CA"/>
    <w:rsid w:val="22AF6AE8"/>
    <w:rsid w:val="22B10AB2"/>
    <w:rsid w:val="22B1222C"/>
    <w:rsid w:val="22B25572"/>
    <w:rsid w:val="22B42350"/>
    <w:rsid w:val="22B45EAC"/>
    <w:rsid w:val="22B65113"/>
    <w:rsid w:val="22B97967"/>
    <w:rsid w:val="22BA41D0"/>
    <w:rsid w:val="22BB36DF"/>
    <w:rsid w:val="22BB425D"/>
    <w:rsid w:val="22BD4D30"/>
    <w:rsid w:val="22C81958"/>
    <w:rsid w:val="22C854F0"/>
    <w:rsid w:val="22C91DE3"/>
    <w:rsid w:val="22D05D90"/>
    <w:rsid w:val="22D327D6"/>
    <w:rsid w:val="22D41DE1"/>
    <w:rsid w:val="22DB5B2F"/>
    <w:rsid w:val="22DD3655"/>
    <w:rsid w:val="22DF561F"/>
    <w:rsid w:val="22DF56C1"/>
    <w:rsid w:val="22EB74B2"/>
    <w:rsid w:val="22F32E79"/>
    <w:rsid w:val="22F866E1"/>
    <w:rsid w:val="22FB1D2D"/>
    <w:rsid w:val="22FD06EC"/>
    <w:rsid w:val="23005595"/>
    <w:rsid w:val="23040BE2"/>
    <w:rsid w:val="230C3F3A"/>
    <w:rsid w:val="230C7A96"/>
    <w:rsid w:val="23111551"/>
    <w:rsid w:val="231134BB"/>
    <w:rsid w:val="23113D53"/>
    <w:rsid w:val="23144B9D"/>
    <w:rsid w:val="231B23CF"/>
    <w:rsid w:val="231E77CA"/>
    <w:rsid w:val="2322550C"/>
    <w:rsid w:val="23232E47"/>
    <w:rsid w:val="23256DAA"/>
    <w:rsid w:val="23290648"/>
    <w:rsid w:val="232E5C5F"/>
    <w:rsid w:val="232F19D7"/>
    <w:rsid w:val="2331054A"/>
    <w:rsid w:val="23387465"/>
    <w:rsid w:val="23402CE3"/>
    <w:rsid w:val="23406B76"/>
    <w:rsid w:val="23417525"/>
    <w:rsid w:val="23451CD1"/>
    <w:rsid w:val="23456A7B"/>
    <w:rsid w:val="234C4337"/>
    <w:rsid w:val="235862E6"/>
    <w:rsid w:val="235908AF"/>
    <w:rsid w:val="235A7FBB"/>
    <w:rsid w:val="235D002B"/>
    <w:rsid w:val="235D02F2"/>
    <w:rsid w:val="235F406A"/>
    <w:rsid w:val="23627FFE"/>
    <w:rsid w:val="237141D1"/>
    <w:rsid w:val="237815D0"/>
    <w:rsid w:val="2378337E"/>
    <w:rsid w:val="237A5348"/>
    <w:rsid w:val="237A70F6"/>
    <w:rsid w:val="237A7F73"/>
    <w:rsid w:val="23834F7D"/>
    <w:rsid w:val="23847F75"/>
    <w:rsid w:val="238910E7"/>
    <w:rsid w:val="23896AFA"/>
    <w:rsid w:val="239038F0"/>
    <w:rsid w:val="23906919"/>
    <w:rsid w:val="2392443F"/>
    <w:rsid w:val="23933738"/>
    <w:rsid w:val="23952182"/>
    <w:rsid w:val="2398757C"/>
    <w:rsid w:val="239A32F4"/>
    <w:rsid w:val="239C0D87"/>
    <w:rsid w:val="23A33C46"/>
    <w:rsid w:val="23A45F21"/>
    <w:rsid w:val="23A647BE"/>
    <w:rsid w:val="23A74A43"/>
    <w:rsid w:val="23A777BF"/>
    <w:rsid w:val="23A979DB"/>
    <w:rsid w:val="23AD1279"/>
    <w:rsid w:val="23AE4D82"/>
    <w:rsid w:val="23AE6894"/>
    <w:rsid w:val="23B51EDC"/>
    <w:rsid w:val="23B95E70"/>
    <w:rsid w:val="23BC6C09"/>
    <w:rsid w:val="23C95C85"/>
    <w:rsid w:val="23CB16FF"/>
    <w:rsid w:val="23CB77BA"/>
    <w:rsid w:val="23CD05AF"/>
    <w:rsid w:val="23D031BA"/>
    <w:rsid w:val="23D43324"/>
    <w:rsid w:val="23DC1B5F"/>
    <w:rsid w:val="23DC390D"/>
    <w:rsid w:val="23DF33FD"/>
    <w:rsid w:val="23F76998"/>
    <w:rsid w:val="23F944BF"/>
    <w:rsid w:val="23FA0237"/>
    <w:rsid w:val="23FB72FC"/>
    <w:rsid w:val="23FE1AD5"/>
    <w:rsid w:val="23FE282D"/>
    <w:rsid w:val="24003A9F"/>
    <w:rsid w:val="24030E99"/>
    <w:rsid w:val="240D1D18"/>
    <w:rsid w:val="240D4052"/>
    <w:rsid w:val="24163F6F"/>
    <w:rsid w:val="24174945"/>
    <w:rsid w:val="241906BD"/>
    <w:rsid w:val="241C63FF"/>
    <w:rsid w:val="241E19E3"/>
    <w:rsid w:val="24222B77"/>
    <w:rsid w:val="242332EA"/>
    <w:rsid w:val="24264B88"/>
    <w:rsid w:val="242756D1"/>
    <w:rsid w:val="24286B52"/>
    <w:rsid w:val="242931C5"/>
    <w:rsid w:val="242B219E"/>
    <w:rsid w:val="243112C3"/>
    <w:rsid w:val="24347044"/>
    <w:rsid w:val="243C084F"/>
    <w:rsid w:val="24443260"/>
    <w:rsid w:val="244A6AC8"/>
    <w:rsid w:val="244B45EE"/>
    <w:rsid w:val="244C65AD"/>
    <w:rsid w:val="244E5C3A"/>
    <w:rsid w:val="245513DF"/>
    <w:rsid w:val="2455546D"/>
    <w:rsid w:val="245A2A83"/>
    <w:rsid w:val="246758CC"/>
    <w:rsid w:val="246833F2"/>
    <w:rsid w:val="246B6A3F"/>
    <w:rsid w:val="246F5327"/>
    <w:rsid w:val="24701527"/>
    <w:rsid w:val="24843928"/>
    <w:rsid w:val="24877D1C"/>
    <w:rsid w:val="24881DF5"/>
    <w:rsid w:val="248A3369"/>
    <w:rsid w:val="248F4E23"/>
    <w:rsid w:val="24913B6E"/>
    <w:rsid w:val="24975A86"/>
    <w:rsid w:val="249B0CBF"/>
    <w:rsid w:val="24BD373E"/>
    <w:rsid w:val="24C33A6F"/>
    <w:rsid w:val="24C41836"/>
    <w:rsid w:val="24C64779"/>
    <w:rsid w:val="24C70119"/>
    <w:rsid w:val="24C90335"/>
    <w:rsid w:val="24CC572F"/>
    <w:rsid w:val="24CD14A7"/>
    <w:rsid w:val="24D053E2"/>
    <w:rsid w:val="24D11A91"/>
    <w:rsid w:val="24D32F62"/>
    <w:rsid w:val="24D43674"/>
    <w:rsid w:val="24D6035C"/>
    <w:rsid w:val="24DB1E16"/>
    <w:rsid w:val="24DD5B8E"/>
    <w:rsid w:val="24DD6103"/>
    <w:rsid w:val="24DD793C"/>
    <w:rsid w:val="24EA2059"/>
    <w:rsid w:val="24F45DA8"/>
    <w:rsid w:val="24F609FE"/>
    <w:rsid w:val="24FB4266"/>
    <w:rsid w:val="24FC3F2A"/>
    <w:rsid w:val="25000527"/>
    <w:rsid w:val="250273A3"/>
    <w:rsid w:val="250C3D86"/>
    <w:rsid w:val="250D37DB"/>
    <w:rsid w:val="250F1AC0"/>
    <w:rsid w:val="250F7D12"/>
    <w:rsid w:val="25140E84"/>
    <w:rsid w:val="25196DF7"/>
    <w:rsid w:val="251B3B67"/>
    <w:rsid w:val="251D2D51"/>
    <w:rsid w:val="251F61A7"/>
    <w:rsid w:val="252217F3"/>
    <w:rsid w:val="252611F9"/>
    <w:rsid w:val="252779D7"/>
    <w:rsid w:val="25325570"/>
    <w:rsid w:val="2538354A"/>
    <w:rsid w:val="253B28B5"/>
    <w:rsid w:val="253F4153"/>
    <w:rsid w:val="25407ECB"/>
    <w:rsid w:val="254479BB"/>
    <w:rsid w:val="254B0444"/>
    <w:rsid w:val="254D1C1D"/>
    <w:rsid w:val="255231DD"/>
    <w:rsid w:val="25583467"/>
    <w:rsid w:val="25585215"/>
    <w:rsid w:val="25587DE6"/>
    <w:rsid w:val="255C003A"/>
    <w:rsid w:val="255C0ABF"/>
    <w:rsid w:val="255E2557"/>
    <w:rsid w:val="25697422"/>
    <w:rsid w:val="256C0CC0"/>
    <w:rsid w:val="256E1A35"/>
    <w:rsid w:val="25732B41"/>
    <w:rsid w:val="25753D66"/>
    <w:rsid w:val="25757B75"/>
    <w:rsid w:val="257638ED"/>
    <w:rsid w:val="25786DC5"/>
    <w:rsid w:val="25787665"/>
    <w:rsid w:val="257A518B"/>
    <w:rsid w:val="258C2AA2"/>
    <w:rsid w:val="258E50DA"/>
    <w:rsid w:val="259024C0"/>
    <w:rsid w:val="25923F34"/>
    <w:rsid w:val="259700AA"/>
    <w:rsid w:val="259A07FA"/>
    <w:rsid w:val="259F3F21"/>
    <w:rsid w:val="259F4BF2"/>
    <w:rsid w:val="25A27BFE"/>
    <w:rsid w:val="25A450EF"/>
    <w:rsid w:val="25AB4F81"/>
    <w:rsid w:val="25AC730F"/>
    <w:rsid w:val="25B06DFF"/>
    <w:rsid w:val="25B12B77"/>
    <w:rsid w:val="25B34B41"/>
    <w:rsid w:val="25B54415"/>
    <w:rsid w:val="25B863BF"/>
    <w:rsid w:val="25C05DCC"/>
    <w:rsid w:val="25C5767A"/>
    <w:rsid w:val="25C64874"/>
    <w:rsid w:val="25CE3729"/>
    <w:rsid w:val="25D67C3F"/>
    <w:rsid w:val="25D86356"/>
    <w:rsid w:val="25DA088A"/>
    <w:rsid w:val="25DA7E4E"/>
    <w:rsid w:val="25DE7E50"/>
    <w:rsid w:val="25E1520A"/>
    <w:rsid w:val="25E82A3D"/>
    <w:rsid w:val="25EF0637"/>
    <w:rsid w:val="25F16701"/>
    <w:rsid w:val="25F3318F"/>
    <w:rsid w:val="25F356B5"/>
    <w:rsid w:val="25F42D5C"/>
    <w:rsid w:val="25F5515A"/>
    <w:rsid w:val="25F74A2E"/>
    <w:rsid w:val="25F767DC"/>
    <w:rsid w:val="25FA2770"/>
    <w:rsid w:val="25FD567F"/>
    <w:rsid w:val="26003339"/>
    <w:rsid w:val="26013AFE"/>
    <w:rsid w:val="2604148F"/>
    <w:rsid w:val="2604539D"/>
    <w:rsid w:val="2604714B"/>
    <w:rsid w:val="26064C71"/>
    <w:rsid w:val="2607705C"/>
    <w:rsid w:val="26086C3B"/>
    <w:rsid w:val="260B672B"/>
    <w:rsid w:val="260D24A3"/>
    <w:rsid w:val="2610789E"/>
    <w:rsid w:val="26163881"/>
    <w:rsid w:val="261E020C"/>
    <w:rsid w:val="2624159B"/>
    <w:rsid w:val="26265313"/>
    <w:rsid w:val="262E41C8"/>
    <w:rsid w:val="26340554"/>
    <w:rsid w:val="2636060C"/>
    <w:rsid w:val="263712CE"/>
    <w:rsid w:val="263E7FDC"/>
    <w:rsid w:val="26415CA9"/>
    <w:rsid w:val="26431A21"/>
    <w:rsid w:val="26435EC5"/>
    <w:rsid w:val="264B2324"/>
    <w:rsid w:val="264E7968"/>
    <w:rsid w:val="26514CEE"/>
    <w:rsid w:val="2655083B"/>
    <w:rsid w:val="26591245"/>
    <w:rsid w:val="265956E8"/>
    <w:rsid w:val="265A4A35"/>
    <w:rsid w:val="26606A77"/>
    <w:rsid w:val="26657D14"/>
    <w:rsid w:val="2666570F"/>
    <w:rsid w:val="2669002C"/>
    <w:rsid w:val="266B541C"/>
    <w:rsid w:val="266C09A6"/>
    <w:rsid w:val="26715CFB"/>
    <w:rsid w:val="26795443"/>
    <w:rsid w:val="267F0879"/>
    <w:rsid w:val="267F67D1"/>
    <w:rsid w:val="26834513"/>
    <w:rsid w:val="26881B2A"/>
    <w:rsid w:val="26883E34"/>
    <w:rsid w:val="268A58A2"/>
    <w:rsid w:val="269009DE"/>
    <w:rsid w:val="269819F3"/>
    <w:rsid w:val="269B185D"/>
    <w:rsid w:val="269D0E09"/>
    <w:rsid w:val="26A30712"/>
    <w:rsid w:val="26A83F7A"/>
    <w:rsid w:val="26AC0F8F"/>
    <w:rsid w:val="26AF2076"/>
    <w:rsid w:val="26AF355A"/>
    <w:rsid w:val="26B612F4"/>
    <w:rsid w:val="26B96187"/>
    <w:rsid w:val="26BB1EFF"/>
    <w:rsid w:val="26BB64BE"/>
    <w:rsid w:val="26CF59AB"/>
    <w:rsid w:val="26D057A2"/>
    <w:rsid w:val="26D1507E"/>
    <w:rsid w:val="26D92385"/>
    <w:rsid w:val="26DB60FD"/>
    <w:rsid w:val="26E054C2"/>
    <w:rsid w:val="26E256DE"/>
    <w:rsid w:val="26E31456"/>
    <w:rsid w:val="26E93473"/>
    <w:rsid w:val="26EC030B"/>
    <w:rsid w:val="26ED3325"/>
    <w:rsid w:val="26F03D62"/>
    <w:rsid w:val="26F40F6D"/>
    <w:rsid w:val="26F70DD8"/>
    <w:rsid w:val="26FD3074"/>
    <w:rsid w:val="26FD374B"/>
    <w:rsid w:val="26FD7B99"/>
    <w:rsid w:val="26FE3B9A"/>
    <w:rsid w:val="27083E74"/>
    <w:rsid w:val="270E6088"/>
    <w:rsid w:val="27111B1F"/>
    <w:rsid w:val="27120687"/>
    <w:rsid w:val="27136111"/>
    <w:rsid w:val="2719163E"/>
    <w:rsid w:val="27206206"/>
    <w:rsid w:val="2723651D"/>
    <w:rsid w:val="272B1CA0"/>
    <w:rsid w:val="272D447F"/>
    <w:rsid w:val="272E0923"/>
    <w:rsid w:val="273121C1"/>
    <w:rsid w:val="27337CE7"/>
    <w:rsid w:val="2734580E"/>
    <w:rsid w:val="273A3A1F"/>
    <w:rsid w:val="27400656"/>
    <w:rsid w:val="27470D4C"/>
    <w:rsid w:val="274B1D19"/>
    <w:rsid w:val="2751016E"/>
    <w:rsid w:val="275163C0"/>
    <w:rsid w:val="27582366"/>
    <w:rsid w:val="2759240E"/>
    <w:rsid w:val="275E2684"/>
    <w:rsid w:val="27625A02"/>
    <w:rsid w:val="27653C19"/>
    <w:rsid w:val="27673DAD"/>
    <w:rsid w:val="276E51C4"/>
    <w:rsid w:val="27764078"/>
    <w:rsid w:val="2778394C"/>
    <w:rsid w:val="277A3B68"/>
    <w:rsid w:val="27870033"/>
    <w:rsid w:val="27893DAB"/>
    <w:rsid w:val="278A57FB"/>
    <w:rsid w:val="278F4AC6"/>
    <w:rsid w:val="27912C60"/>
    <w:rsid w:val="279339BA"/>
    <w:rsid w:val="279A1B15"/>
    <w:rsid w:val="279A7D67"/>
    <w:rsid w:val="279B3ADF"/>
    <w:rsid w:val="279D33B3"/>
    <w:rsid w:val="27A7388B"/>
    <w:rsid w:val="27A74232"/>
    <w:rsid w:val="27A8208F"/>
    <w:rsid w:val="27AC35F6"/>
    <w:rsid w:val="27AE44D5"/>
    <w:rsid w:val="27B018C3"/>
    <w:rsid w:val="27B70919"/>
    <w:rsid w:val="27BF3329"/>
    <w:rsid w:val="27C600B1"/>
    <w:rsid w:val="27CA48FB"/>
    <w:rsid w:val="27CC1EEA"/>
    <w:rsid w:val="27CE7A10"/>
    <w:rsid w:val="27D165A2"/>
    <w:rsid w:val="27D50D9F"/>
    <w:rsid w:val="27DD40F7"/>
    <w:rsid w:val="27DF39CB"/>
    <w:rsid w:val="27E172F9"/>
    <w:rsid w:val="27E62FAC"/>
    <w:rsid w:val="27E7113F"/>
    <w:rsid w:val="27EB2370"/>
    <w:rsid w:val="27EE00B2"/>
    <w:rsid w:val="27FA758B"/>
    <w:rsid w:val="27FC2B3B"/>
    <w:rsid w:val="2802590C"/>
    <w:rsid w:val="280451E0"/>
    <w:rsid w:val="28090A48"/>
    <w:rsid w:val="28140F26"/>
    <w:rsid w:val="2816018E"/>
    <w:rsid w:val="281713B7"/>
    <w:rsid w:val="281C1710"/>
    <w:rsid w:val="281C69CE"/>
    <w:rsid w:val="281F5561"/>
    <w:rsid w:val="28214BB3"/>
    <w:rsid w:val="28243AD4"/>
    <w:rsid w:val="282633A8"/>
    <w:rsid w:val="2828317B"/>
    <w:rsid w:val="282835C4"/>
    <w:rsid w:val="282A2D36"/>
    <w:rsid w:val="282E6701"/>
    <w:rsid w:val="28330D34"/>
    <w:rsid w:val="28333D17"/>
    <w:rsid w:val="283C54D1"/>
    <w:rsid w:val="283C71C1"/>
    <w:rsid w:val="283F1744"/>
    <w:rsid w:val="28412C50"/>
    <w:rsid w:val="28445F24"/>
    <w:rsid w:val="284877C3"/>
    <w:rsid w:val="284D4983"/>
    <w:rsid w:val="285A6AB8"/>
    <w:rsid w:val="285F4B0C"/>
    <w:rsid w:val="28616AD6"/>
    <w:rsid w:val="287676BA"/>
    <w:rsid w:val="288307FB"/>
    <w:rsid w:val="28836A4D"/>
    <w:rsid w:val="28862099"/>
    <w:rsid w:val="28871103"/>
    <w:rsid w:val="288B76AF"/>
    <w:rsid w:val="28946C79"/>
    <w:rsid w:val="289522DC"/>
    <w:rsid w:val="28A349F9"/>
    <w:rsid w:val="28A864B3"/>
    <w:rsid w:val="28AD2B4A"/>
    <w:rsid w:val="28B06C30"/>
    <w:rsid w:val="28B22E8E"/>
    <w:rsid w:val="28B5472C"/>
    <w:rsid w:val="28B704A4"/>
    <w:rsid w:val="28B74948"/>
    <w:rsid w:val="28B9421C"/>
    <w:rsid w:val="28BB6657"/>
    <w:rsid w:val="28BD05D2"/>
    <w:rsid w:val="28BE5CD7"/>
    <w:rsid w:val="28BF0D13"/>
    <w:rsid w:val="28CC03F4"/>
    <w:rsid w:val="28D252DE"/>
    <w:rsid w:val="28D90A55"/>
    <w:rsid w:val="28D948BF"/>
    <w:rsid w:val="28DB0AFE"/>
    <w:rsid w:val="28EA6ACC"/>
    <w:rsid w:val="28ED3C47"/>
    <w:rsid w:val="28F11C08"/>
    <w:rsid w:val="28F20B9A"/>
    <w:rsid w:val="28F23E3E"/>
    <w:rsid w:val="28FB39B3"/>
    <w:rsid w:val="28FE60D3"/>
    <w:rsid w:val="290C48C0"/>
    <w:rsid w:val="29104399"/>
    <w:rsid w:val="291273C3"/>
    <w:rsid w:val="291328FE"/>
    <w:rsid w:val="29142721"/>
    <w:rsid w:val="2916341D"/>
    <w:rsid w:val="291B5BBD"/>
    <w:rsid w:val="291C48B7"/>
    <w:rsid w:val="2920604A"/>
    <w:rsid w:val="292536E3"/>
    <w:rsid w:val="292D0766"/>
    <w:rsid w:val="292D69B8"/>
    <w:rsid w:val="293121D2"/>
    <w:rsid w:val="293146FB"/>
    <w:rsid w:val="29361D11"/>
    <w:rsid w:val="2939535D"/>
    <w:rsid w:val="293B7327"/>
    <w:rsid w:val="2943590A"/>
    <w:rsid w:val="29437F8A"/>
    <w:rsid w:val="294A1318"/>
    <w:rsid w:val="29513ACF"/>
    <w:rsid w:val="29573EF4"/>
    <w:rsid w:val="295D54F0"/>
    <w:rsid w:val="295E6B72"/>
    <w:rsid w:val="29622B06"/>
    <w:rsid w:val="29635957"/>
    <w:rsid w:val="29671ECA"/>
    <w:rsid w:val="29673C78"/>
    <w:rsid w:val="296A3A86"/>
    <w:rsid w:val="29747D6C"/>
    <w:rsid w:val="29763B53"/>
    <w:rsid w:val="29780525"/>
    <w:rsid w:val="2978584B"/>
    <w:rsid w:val="297A3094"/>
    <w:rsid w:val="29820AB2"/>
    <w:rsid w:val="29852351"/>
    <w:rsid w:val="298A3E0B"/>
    <w:rsid w:val="298F1421"/>
    <w:rsid w:val="29914097"/>
    <w:rsid w:val="29915199"/>
    <w:rsid w:val="29965565"/>
    <w:rsid w:val="299912AB"/>
    <w:rsid w:val="299936EA"/>
    <w:rsid w:val="29996130"/>
    <w:rsid w:val="299B7ECB"/>
    <w:rsid w:val="299D3B3E"/>
    <w:rsid w:val="29A46C7B"/>
    <w:rsid w:val="29A529F3"/>
    <w:rsid w:val="29A70519"/>
    <w:rsid w:val="29AF73CD"/>
    <w:rsid w:val="29B64D58"/>
    <w:rsid w:val="29BC0605"/>
    <w:rsid w:val="29BD40F5"/>
    <w:rsid w:val="29C27722"/>
    <w:rsid w:val="29C2785E"/>
    <w:rsid w:val="29C42E79"/>
    <w:rsid w:val="29C65A93"/>
    <w:rsid w:val="29C67941"/>
    <w:rsid w:val="29CE019B"/>
    <w:rsid w:val="29CE3CF8"/>
    <w:rsid w:val="29D137E8"/>
    <w:rsid w:val="29D55086"/>
    <w:rsid w:val="29D65FCB"/>
    <w:rsid w:val="29DD03DE"/>
    <w:rsid w:val="29DF5F05"/>
    <w:rsid w:val="29E452C9"/>
    <w:rsid w:val="29E76B67"/>
    <w:rsid w:val="29E96D83"/>
    <w:rsid w:val="29EB5602"/>
    <w:rsid w:val="29EC23D0"/>
    <w:rsid w:val="29EE439A"/>
    <w:rsid w:val="29EF0FA5"/>
    <w:rsid w:val="29F319B0"/>
    <w:rsid w:val="29F85218"/>
    <w:rsid w:val="29FD14D5"/>
    <w:rsid w:val="29FD638B"/>
    <w:rsid w:val="2A0239A1"/>
    <w:rsid w:val="2A0D0CC4"/>
    <w:rsid w:val="2A0E2346"/>
    <w:rsid w:val="2A1262DA"/>
    <w:rsid w:val="2A1357B8"/>
    <w:rsid w:val="2A1F40EF"/>
    <w:rsid w:val="2A204BFF"/>
    <w:rsid w:val="2A2475DE"/>
    <w:rsid w:val="2A2B114A"/>
    <w:rsid w:val="2A2C0A1E"/>
    <w:rsid w:val="2A315C58"/>
    <w:rsid w:val="2A377AEF"/>
    <w:rsid w:val="2A383867"/>
    <w:rsid w:val="2A395272"/>
    <w:rsid w:val="2A3A5026"/>
    <w:rsid w:val="2A446AAD"/>
    <w:rsid w:val="2A455ED8"/>
    <w:rsid w:val="2A461AE0"/>
    <w:rsid w:val="2A4915D0"/>
    <w:rsid w:val="2A4B17EC"/>
    <w:rsid w:val="2A4B4C9B"/>
    <w:rsid w:val="2A4E308A"/>
    <w:rsid w:val="2A5341FD"/>
    <w:rsid w:val="2A5561C7"/>
    <w:rsid w:val="2A59251D"/>
    <w:rsid w:val="2A5A37DD"/>
    <w:rsid w:val="2A5F01D5"/>
    <w:rsid w:val="2A6401B8"/>
    <w:rsid w:val="2A683D9F"/>
    <w:rsid w:val="2A701253"/>
    <w:rsid w:val="2A704DAF"/>
    <w:rsid w:val="2A745286"/>
    <w:rsid w:val="2A77438F"/>
    <w:rsid w:val="2A7A3593"/>
    <w:rsid w:val="2A7A5C2D"/>
    <w:rsid w:val="2A7A79DB"/>
    <w:rsid w:val="2A7C0B78"/>
    <w:rsid w:val="2A81520E"/>
    <w:rsid w:val="2A8D72E7"/>
    <w:rsid w:val="2A917A18"/>
    <w:rsid w:val="2A930A9D"/>
    <w:rsid w:val="2A9860B3"/>
    <w:rsid w:val="2A991308"/>
    <w:rsid w:val="2AA35184"/>
    <w:rsid w:val="2AA66A22"/>
    <w:rsid w:val="2AAC37A1"/>
    <w:rsid w:val="2AAD7F42"/>
    <w:rsid w:val="2AB16842"/>
    <w:rsid w:val="2AB27175"/>
    <w:rsid w:val="2AB7793B"/>
    <w:rsid w:val="2ABE3D6C"/>
    <w:rsid w:val="2ABF7AE4"/>
    <w:rsid w:val="2AC450FA"/>
    <w:rsid w:val="2ACE1AD5"/>
    <w:rsid w:val="2AD54DA8"/>
    <w:rsid w:val="2ADC2444"/>
    <w:rsid w:val="2ADC66A8"/>
    <w:rsid w:val="2AE65071"/>
    <w:rsid w:val="2AE65F68"/>
    <w:rsid w:val="2AEB08D9"/>
    <w:rsid w:val="2AEF03C9"/>
    <w:rsid w:val="2AF14141"/>
    <w:rsid w:val="2AFC5E0A"/>
    <w:rsid w:val="2AFE685E"/>
    <w:rsid w:val="2AFF1E1F"/>
    <w:rsid w:val="2B010F3D"/>
    <w:rsid w:val="2B073182"/>
    <w:rsid w:val="2B0A5203"/>
    <w:rsid w:val="2B0D4CF3"/>
    <w:rsid w:val="2B0E3C33"/>
    <w:rsid w:val="2B0F45C8"/>
    <w:rsid w:val="2B125E66"/>
    <w:rsid w:val="2B22254D"/>
    <w:rsid w:val="2B225335"/>
    <w:rsid w:val="2B230073"/>
    <w:rsid w:val="2B285264"/>
    <w:rsid w:val="2B2A318B"/>
    <w:rsid w:val="2B2F07C6"/>
    <w:rsid w:val="2B30453E"/>
    <w:rsid w:val="2B345DDC"/>
    <w:rsid w:val="2B367DA6"/>
    <w:rsid w:val="2B40510E"/>
    <w:rsid w:val="2B406E77"/>
    <w:rsid w:val="2B430715"/>
    <w:rsid w:val="2B45448D"/>
    <w:rsid w:val="2B4A055A"/>
    <w:rsid w:val="2B4A1AA4"/>
    <w:rsid w:val="2B502557"/>
    <w:rsid w:val="2B512E32"/>
    <w:rsid w:val="2B577E97"/>
    <w:rsid w:val="2B5E72FD"/>
    <w:rsid w:val="2B612AE9"/>
    <w:rsid w:val="2B632B65"/>
    <w:rsid w:val="2B6834CF"/>
    <w:rsid w:val="2B6F150A"/>
    <w:rsid w:val="2B720BD8"/>
    <w:rsid w:val="2B764647"/>
    <w:rsid w:val="2B7D7783"/>
    <w:rsid w:val="2B7E2BE1"/>
    <w:rsid w:val="2B801021"/>
    <w:rsid w:val="2B822FEC"/>
    <w:rsid w:val="2B836D64"/>
    <w:rsid w:val="2B886128"/>
    <w:rsid w:val="2B8A1EA0"/>
    <w:rsid w:val="2B906E53"/>
    <w:rsid w:val="2B9D1BD3"/>
    <w:rsid w:val="2BA2368E"/>
    <w:rsid w:val="2BA32F62"/>
    <w:rsid w:val="2BA80578"/>
    <w:rsid w:val="2BAA0C9F"/>
    <w:rsid w:val="2BAA2542"/>
    <w:rsid w:val="2BAD0DF3"/>
    <w:rsid w:val="2BBF5FEE"/>
    <w:rsid w:val="2BC2601E"/>
    <w:rsid w:val="2BC37160"/>
    <w:rsid w:val="2BC92C30"/>
    <w:rsid w:val="2BCE7FDF"/>
    <w:rsid w:val="2BD005AD"/>
    <w:rsid w:val="2BD17539"/>
    <w:rsid w:val="2BD31A99"/>
    <w:rsid w:val="2BD4136D"/>
    <w:rsid w:val="2BD80E5D"/>
    <w:rsid w:val="2BDC7F44"/>
    <w:rsid w:val="2BDD6C7B"/>
    <w:rsid w:val="2BE02A7F"/>
    <w:rsid w:val="2BE27F2E"/>
    <w:rsid w:val="2BE55328"/>
    <w:rsid w:val="2BEB6DE3"/>
    <w:rsid w:val="2BEC4A3D"/>
    <w:rsid w:val="2BEE486F"/>
    <w:rsid w:val="2BF51A0F"/>
    <w:rsid w:val="2BF95512"/>
    <w:rsid w:val="2BFD6B16"/>
    <w:rsid w:val="2C02339F"/>
    <w:rsid w:val="2C044EE6"/>
    <w:rsid w:val="2C060962"/>
    <w:rsid w:val="2C061117"/>
    <w:rsid w:val="2C091017"/>
    <w:rsid w:val="2C0E0D23"/>
    <w:rsid w:val="2C0E2AD1"/>
    <w:rsid w:val="2C0E487F"/>
    <w:rsid w:val="2C1003DB"/>
    <w:rsid w:val="2C1125C1"/>
    <w:rsid w:val="2C1974A8"/>
    <w:rsid w:val="2C1A1476"/>
    <w:rsid w:val="2C1C1895"/>
    <w:rsid w:val="2C1C51EE"/>
    <w:rsid w:val="2C201250"/>
    <w:rsid w:val="2C245E51"/>
    <w:rsid w:val="2C286E71"/>
    <w:rsid w:val="2C3167C0"/>
    <w:rsid w:val="2C412EA7"/>
    <w:rsid w:val="2C42277B"/>
    <w:rsid w:val="2C4C53A8"/>
    <w:rsid w:val="2C4D184B"/>
    <w:rsid w:val="2C4F6F88"/>
    <w:rsid w:val="2C5030EA"/>
    <w:rsid w:val="2C5209F6"/>
    <w:rsid w:val="2C526E62"/>
    <w:rsid w:val="2C566916"/>
    <w:rsid w:val="2C586430"/>
    <w:rsid w:val="2C5B55EB"/>
    <w:rsid w:val="2C5F157F"/>
    <w:rsid w:val="2C624BCB"/>
    <w:rsid w:val="2C626979"/>
    <w:rsid w:val="2C6426F1"/>
    <w:rsid w:val="2C646B95"/>
    <w:rsid w:val="2C687FA0"/>
    <w:rsid w:val="2C6B7F24"/>
    <w:rsid w:val="2C6D3C9C"/>
    <w:rsid w:val="2C6F0A0B"/>
    <w:rsid w:val="2C7548FE"/>
    <w:rsid w:val="2C7D1A05"/>
    <w:rsid w:val="2C806591"/>
    <w:rsid w:val="2C862667"/>
    <w:rsid w:val="2C8E776E"/>
    <w:rsid w:val="2C972AC7"/>
    <w:rsid w:val="2C98683F"/>
    <w:rsid w:val="2C9876B9"/>
    <w:rsid w:val="2C991D16"/>
    <w:rsid w:val="2C994A91"/>
    <w:rsid w:val="2C9D121A"/>
    <w:rsid w:val="2C9E3E55"/>
    <w:rsid w:val="2CA43385"/>
    <w:rsid w:val="2CA64AB8"/>
    <w:rsid w:val="2CAD5E46"/>
    <w:rsid w:val="2CB05936"/>
    <w:rsid w:val="2CBA4A07"/>
    <w:rsid w:val="2CBF5B79"/>
    <w:rsid w:val="2CC118F2"/>
    <w:rsid w:val="2CC15D95"/>
    <w:rsid w:val="2CCA2E9C"/>
    <w:rsid w:val="2CCD6B2B"/>
    <w:rsid w:val="2CCE2260"/>
    <w:rsid w:val="2CD03B9E"/>
    <w:rsid w:val="2CD71115"/>
    <w:rsid w:val="2CDC672B"/>
    <w:rsid w:val="2CDF7FCA"/>
    <w:rsid w:val="2CE169FC"/>
    <w:rsid w:val="2CE23E3F"/>
    <w:rsid w:val="2CE43832"/>
    <w:rsid w:val="2CE4621E"/>
    <w:rsid w:val="2CE675AA"/>
    <w:rsid w:val="2CE850D0"/>
    <w:rsid w:val="2CE90E48"/>
    <w:rsid w:val="2CF00429"/>
    <w:rsid w:val="2CF77A09"/>
    <w:rsid w:val="2CFD27F1"/>
    <w:rsid w:val="2CFF241A"/>
    <w:rsid w:val="2D0068BE"/>
    <w:rsid w:val="2D0277D4"/>
    <w:rsid w:val="2D03015C"/>
    <w:rsid w:val="2D0B2FC0"/>
    <w:rsid w:val="2D0B4249"/>
    <w:rsid w:val="2D164455"/>
    <w:rsid w:val="2D165B7B"/>
    <w:rsid w:val="2D1C121E"/>
    <w:rsid w:val="2D2105E2"/>
    <w:rsid w:val="2D21310A"/>
    <w:rsid w:val="2D256324"/>
    <w:rsid w:val="2D285E15"/>
    <w:rsid w:val="2D2A43DC"/>
    <w:rsid w:val="2D2D7E99"/>
    <w:rsid w:val="2D304962"/>
    <w:rsid w:val="2D360531"/>
    <w:rsid w:val="2D362920"/>
    <w:rsid w:val="2D377E06"/>
    <w:rsid w:val="2D393B7E"/>
    <w:rsid w:val="2D426ED6"/>
    <w:rsid w:val="2D4A109A"/>
    <w:rsid w:val="2D4F15F3"/>
    <w:rsid w:val="2D4F33A1"/>
    <w:rsid w:val="2D517119"/>
    <w:rsid w:val="2D5C161A"/>
    <w:rsid w:val="2D5E5392"/>
    <w:rsid w:val="2D662499"/>
    <w:rsid w:val="2D6A1F89"/>
    <w:rsid w:val="2D6A3D37"/>
    <w:rsid w:val="2D6C5D01"/>
    <w:rsid w:val="2D6D2812"/>
    <w:rsid w:val="2D6E649F"/>
    <w:rsid w:val="2D71156A"/>
    <w:rsid w:val="2D7339BD"/>
    <w:rsid w:val="2D764C51"/>
    <w:rsid w:val="2D766B80"/>
    <w:rsid w:val="2D7C1CBC"/>
    <w:rsid w:val="2D80355B"/>
    <w:rsid w:val="2D8C0151"/>
    <w:rsid w:val="2D8E211C"/>
    <w:rsid w:val="2D915768"/>
    <w:rsid w:val="2D946DE9"/>
    <w:rsid w:val="2D990784"/>
    <w:rsid w:val="2D99286E"/>
    <w:rsid w:val="2D99461C"/>
    <w:rsid w:val="2D9C5080"/>
    <w:rsid w:val="2D9D6608"/>
    <w:rsid w:val="2DA8403A"/>
    <w:rsid w:val="2DAA4A7C"/>
    <w:rsid w:val="2DAE6AB5"/>
    <w:rsid w:val="2DB41456"/>
    <w:rsid w:val="2DB901C1"/>
    <w:rsid w:val="2DB9081B"/>
    <w:rsid w:val="2DBB0EDB"/>
    <w:rsid w:val="2DBE22D5"/>
    <w:rsid w:val="2DC45B3D"/>
    <w:rsid w:val="2DC72F38"/>
    <w:rsid w:val="2DCD42C6"/>
    <w:rsid w:val="2DD90EBD"/>
    <w:rsid w:val="2DDD6BFF"/>
    <w:rsid w:val="2DDF26E4"/>
    <w:rsid w:val="2DE24215"/>
    <w:rsid w:val="2DE41D3C"/>
    <w:rsid w:val="2DE6129A"/>
    <w:rsid w:val="2DE81100"/>
    <w:rsid w:val="2DEC125E"/>
    <w:rsid w:val="2DED6716"/>
    <w:rsid w:val="2DEE2BBA"/>
    <w:rsid w:val="2DF45CF7"/>
    <w:rsid w:val="2DF56335"/>
    <w:rsid w:val="2DF67CC1"/>
    <w:rsid w:val="2DF77058"/>
    <w:rsid w:val="2DF87595"/>
    <w:rsid w:val="2DF950BB"/>
    <w:rsid w:val="2DFB7085"/>
    <w:rsid w:val="2E0E6DB8"/>
    <w:rsid w:val="2E1168A9"/>
    <w:rsid w:val="2E15545F"/>
    <w:rsid w:val="2E165C6D"/>
    <w:rsid w:val="2E1B46D1"/>
    <w:rsid w:val="2E1D466B"/>
    <w:rsid w:val="2E1E6491"/>
    <w:rsid w:val="2E1F2D74"/>
    <w:rsid w:val="2E200CD9"/>
    <w:rsid w:val="2E222864"/>
    <w:rsid w:val="2E232138"/>
    <w:rsid w:val="2E2760CC"/>
    <w:rsid w:val="2E2959A0"/>
    <w:rsid w:val="2E2A7C6F"/>
    <w:rsid w:val="2E3507E9"/>
    <w:rsid w:val="2E3D31FA"/>
    <w:rsid w:val="2E44516B"/>
    <w:rsid w:val="2E4B3B69"/>
    <w:rsid w:val="2E4E5407"/>
    <w:rsid w:val="2E56075F"/>
    <w:rsid w:val="2E61338C"/>
    <w:rsid w:val="2E6609A2"/>
    <w:rsid w:val="2E666BF4"/>
    <w:rsid w:val="2E673CED"/>
    <w:rsid w:val="2E725565"/>
    <w:rsid w:val="2E7330BF"/>
    <w:rsid w:val="2E7953E4"/>
    <w:rsid w:val="2E8157DC"/>
    <w:rsid w:val="2E853DE4"/>
    <w:rsid w:val="2E876B6B"/>
    <w:rsid w:val="2E8B665B"/>
    <w:rsid w:val="2E951079"/>
    <w:rsid w:val="2E953036"/>
    <w:rsid w:val="2E97041E"/>
    <w:rsid w:val="2E980D78"/>
    <w:rsid w:val="2E9C7D6B"/>
    <w:rsid w:val="2E9F05F7"/>
    <w:rsid w:val="2EA65243"/>
    <w:rsid w:val="2EAB2859"/>
    <w:rsid w:val="2EAC037F"/>
    <w:rsid w:val="2EB608F4"/>
    <w:rsid w:val="2EB743C1"/>
    <w:rsid w:val="2EBA0CEE"/>
    <w:rsid w:val="2EBD258D"/>
    <w:rsid w:val="2EC90F31"/>
    <w:rsid w:val="2ECD0A22"/>
    <w:rsid w:val="2ECD27D0"/>
    <w:rsid w:val="2ED0406E"/>
    <w:rsid w:val="2EDB6672"/>
    <w:rsid w:val="2EDC0C65"/>
    <w:rsid w:val="2EE23DA1"/>
    <w:rsid w:val="2EE44AA2"/>
    <w:rsid w:val="2EE713B8"/>
    <w:rsid w:val="2EF66279"/>
    <w:rsid w:val="2EF722BB"/>
    <w:rsid w:val="2EFD3CFB"/>
    <w:rsid w:val="2F0106CB"/>
    <w:rsid w:val="2F01691D"/>
    <w:rsid w:val="2F0D52C2"/>
    <w:rsid w:val="2F0E4B96"/>
    <w:rsid w:val="2F0F2DE8"/>
    <w:rsid w:val="2F124686"/>
    <w:rsid w:val="2F195A15"/>
    <w:rsid w:val="2F226F15"/>
    <w:rsid w:val="2F25260C"/>
    <w:rsid w:val="2F260132"/>
    <w:rsid w:val="2F2D14C0"/>
    <w:rsid w:val="2F302D5E"/>
    <w:rsid w:val="2F34284F"/>
    <w:rsid w:val="2F476681"/>
    <w:rsid w:val="2F4F58DB"/>
    <w:rsid w:val="2F4F7689"/>
    <w:rsid w:val="2F503401"/>
    <w:rsid w:val="2F546C51"/>
    <w:rsid w:val="2F560A17"/>
    <w:rsid w:val="2F5B1004"/>
    <w:rsid w:val="2F5C7FF7"/>
    <w:rsid w:val="2F6125CE"/>
    <w:rsid w:val="2F61560E"/>
    <w:rsid w:val="2F631386"/>
    <w:rsid w:val="2F634EE2"/>
    <w:rsid w:val="2F6B1FE9"/>
    <w:rsid w:val="2F6C2ED0"/>
    <w:rsid w:val="2F6D5D61"/>
    <w:rsid w:val="2F713AA3"/>
    <w:rsid w:val="2F735D1B"/>
    <w:rsid w:val="2F762FFF"/>
    <w:rsid w:val="2F7B047E"/>
    <w:rsid w:val="2F7C41F6"/>
    <w:rsid w:val="2F7C651B"/>
    <w:rsid w:val="2F8112ED"/>
    <w:rsid w:val="2F835584"/>
    <w:rsid w:val="2F8A7F80"/>
    <w:rsid w:val="2F8B61E7"/>
    <w:rsid w:val="2F8E1F35"/>
    <w:rsid w:val="2F8F217B"/>
    <w:rsid w:val="2F923A19"/>
    <w:rsid w:val="2F9B0B20"/>
    <w:rsid w:val="2F9B28CE"/>
    <w:rsid w:val="2F9C21A2"/>
    <w:rsid w:val="2FA03AA3"/>
    <w:rsid w:val="2FA95737"/>
    <w:rsid w:val="2FAA2B11"/>
    <w:rsid w:val="2FAF45CB"/>
    <w:rsid w:val="2FB0507F"/>
    <w:rsid w:val="2FB83480"/>
    <w:rsid w:val="2FBA7171"/>
    <w:rsid w:val="2FBB6ACC"/>
    <w:rsid w:val="2FC11C09"/>
    <w:rsid w:val="2FC82F97"/>
    <w:rsid w:val="2FC949E6"/>
    <w:rsid w:val="2FCA1D7D"/>
    <w:rsid w:val="2FD92821"/>
    <w:rsid w:val="2FD951A4"/>
    <w:rsid w:val="2FD96A3A"/>
    <w:rsid w:val="2FDA56AD"/>
    <w:rsid w:val="2FE12753"/>
    <w:rsid w:val="2FE222AB"/>
    <w:rsid w:val="2FE26E60"/>
    <w:rsid w:val="2FE34275"/>
    <w:rsid w:val="2FE37DD1"/>
    <w:rsid w:val="2FF35CF7"/>
    <w:rsid w:val="2FF975F4"/>
    <w:rsid w:val="2FFE2E5D"/>
    <w:rsid w:val="3001665C"/>
    <w:rsid w:val="30030473"/>
    <w:rsid w:val="300961FB"/>
    <w:rsid w:val="300E7AC8"/>
    <w:rsid w:val="301E4E37"/>
    <w:rsid w:val="301E705B"/>
    <w:rsid w:val="3025663B"/>
    <w:rsid w:val="30261F05"/>
    <w:rsid w:val="302723B3"/>
    <w:rsid w:val="30274161"/>
    <w:rsid w:val="30275F10"/>
    <w:rsid w:val="30295C45"/>
    <w:rsid w:val="30305420"/>
    <w:rsid w:val="30316D8E"/>
    <w:rsid w:val="303456F4"/>
    <w:rsid w:val="30371B9B"/>
    <w:rsid w:val="30395C43"/>
    <w:rsid w:val="303D3985"/>
    <w:rsid w:val="30406FD1"/>
    <w:rsid w:val="30441214"/>
    <w:rsid w:val="304545E8"/>
    <w:rsid w:val="30474804"/>
    <w:rsid w:val="304A60A2"/>
    <w:rsid w:val="304C5976"/>
    <w:rsid w:val="304E5B92"/>
    <w:rsid w:val="304F6A7A"/>
    <w:rsid w:val="305111DE"/>
    <w:rsid w:val="30562C99"/>
    <w:rsid w:val="305D1037"/>
    <w:rsid w:val="305E4463"/>
    <w:rsid w:val="305E4818"/>
    <w:rsid w:val="306B04F2"/>
    <w:rsid w:val="306C426A"/>
    <w:rsid w:val="306C6018"/>
    <w:rsid w:val="306F43AD"/>
    <w:rsid w:val="30714FCB"/>
    <w:rsid w:val="30760C45"/>
    <w:rsid w:val="307750E9"/>
    <w:rsid w:val="307A6987"/>
    <w:rsid w:val="308717B0"/>
    <w:rsid w:val="308778F9"/>
    <w:rsid w:val="308B5380"/>
    <w:rsid w:val="309061AB"/>
    <w:rsid w:val="309A4E14"/>
    <w:rsid w:val="309D2676"/>
    <w:rsid w:val="309D40A4"/>
    <w:rsid w:val="30A13F14"/>
    <w:rsid w:val="30A7106D"/>
    <w:rsid w:val="30AC28B9"/>
    <w:rsid w:val="30AD0B0B"/>
    <w:rsid w:val="30B04157"/>
    <w:rsid w:val="30C23E8A"/>
    <w:rsid w:val="30C47C02"/>
    <w:rsid w:val="30CE282F"/>
    <w:rsid w:val="30D16C82"/>
    <w:rsid w:val="30D37E45"/>
    <w:rsid w:val="30D605CE"/>
    <w:rsid w:val="30DF4A3C"/>
    <w:rsid w:val="30E16D03"/>
    <w:rsid w:val="30F027A5"/>
    <w:rsid w:val="30F2476F"/>
    <w:rsid w:val="30F524B2"/>
    <w:rsid w:val="30F966B7"/>
    <w:rsid w:val="30FF7C59"/>
    <w:rsid w:val="310B502C"/>
    <w:rsid w:val="310D1CDC"/>
    <w:rsid w:val="31132938"/>
    <w:rsid w:val="31172428"/>
    <w:rsid w:val="311961A0"/>
    <w:rsid w:val="311A2EC8"/>
    <w:rsid w:val="311A7E62"/>
    <w:rsid w:val="311C7A3E"/>
    <w:rsid w:val="312611C0"/>
    <w:rsid w:val="313237D7"/>
    <w:rsid w:val="3138414C"/>
    <w:rsid w:val="313F54DB"/>
    <w:rsid w:val="31456F95"/>
    <w:rsid w:val="314B0324"/>
    <w:rsid w:val="314E0D97"/>
    <w:rsid w:val="314E66EE"/>
    <w:rsid w:val="314F1BC2"/>
    <w:rsid w:val="315076E8"/>
    <w:rsid w:val="31511FB4"/>
    <w:rsid w:val="31534978"/>
    <w:rsid w:val="31535609"/>
    <w:rsid w:val="31546A99"/>
    <w:rsid w:val="315C0F5C"/>
    <w:rsid w:val="315C7E3B"/>
    <w:rsid w:val="316513E5"/>
    <w:rsid w:val="31662A68"/>
    <w:rsid w:val="316A69FC"/>
    <w:rsid w:val="31713AE0"/>
    <w:rsid w:val="31720214"/>
    <w:rsid w:val="31723B02"/>
    <w:rsid w:val="31725BAE"/>
    <w:rsid w:val="31771119"/>
    <w:rsid w:val="31783564"/>
    <w:rsid w:val="31794E91"/>
    <w:rsid w:val="317B0BE0"/>
    <w:rsid w:val="317C228B"/>
    <w:rsid w:val="317F0A1B"/>
    <w:rsid w:val="317F1D7B"/>
    <w:rsid w:val="31810686"/>
    <w:rsid w:val="31813D90"/>
    <w:rsid w:val="318178A1"/>
    <w:rsid w:val="318A0E4C"/>
    <w:rsid w:val="31973569"/>
    <w:rsid w:val="319770C5"/>
    <w:rsid w:val="3199108F"/>
    <w:rsid w:val="319E0453"/>
    <w:rsid w:val="319F42CD"/>
    <w:rsid w:val="31A124C4"/>
    <w:rsid w:val="31A21519"/>
    <w:rsid w:val="31A2620F"/>
    <w:rsid w:val="31A737AC"/>
    <w:rsid w:val="31A81060"/>
    <w:rsid w:val="31A8366A"/>
    <w:rsid w:val="31AD0696"/>
    <w:rsid w:val="31B449A5"/>
    <w:rsid w:val="31B5579D"/>
    <w:rsid w:val="31B732C3"/>
    <w:rsid w:val="31B9703B"/>
    <w:rsid w:val="31C205E6"/>
    <w:rsid w:val="31D200FD"/>
    <w:rsid w:val="31D73965"/>
    <w:rsid w:val="31DD71CE"/>
    <w:rsid w:val="31E06CBE"/>
    <w:rsid w:val="31E708A5"/>
    <w:rsid w:val="31E866CA"/>
    <w:rsid w:val="31EB11BF"/>
    <w:rsid w:val="31ED4F37"/>
    <w:rsid w:val="31F81FF4"/>
    <w:rsid w:val="31F84007"/>
    <w:rsid w:val="31FB7654"/>
    <w:rsid w:val="31FD1BA8"/>
    <w:rsid w:val="320712DC"/>
    <w:rsid w:val="320F1351"/>
    <w:rsid w:val="321271B3"/>
    <w:rsid w:val="32174C61"/>
    <w:rsid w:val="321B5F48"/>
    <w:rsid w:val="321D3A6E"/>
    <w:rsid w:val="3220355E"/>
    <w:rsid w:val="32236BAB"/>
    <w:rsid w:val="32250B75"/>
    <w:rsid w:val="322748ED"/>
    <w:rsid w:val="322841C1"/>
    <w:rsid w:val="322D61E8"/>
    <w:rsid w:val="322F37A1"/>
    <w:rsid w:val="323D5EBE"/>
    <w:rsid w:val="3240150B"/>
    <w:rsid w:val="324B59FF"/>
    <w:rsid w:val="324C7EAF"/>
    <w:rsid w:val="3255667A"/>
    <w:rsid w:val="32586854"/>
    <w:rsid w:val="3259713D"/>
    <w:rsid w:val="325D3E6B"/>
    <w:rsid w:val="325F76B1"/>
    <w:rsid w:val="32602287"/>
    <w:rsid w:val="3264169D"/>
    <w:rsid w:val="32655415"/>
    <w:rsid w:val="326A2A2B"/>
    <w:rsid w:val="326B0462"/>
    <w:rsid w:val="326B77B8"/>
    <w:rsid w:val="326F1DF0"/>
    <w:rsid w:val="327411B4"/>
    <w:rsid w:val="327826D2"/>
    <w:rsid w:val="327A5910"/>
    <w:rsid w:val="327F2033"/>
    <w:rsid w:val="32827D75"/>
    <w:rsid w:val="32872E89"/>
    <w:rsid w:val="32911D66"/>
    <w:rsid w:val="3293788C"/>
    <w:rsid w:val="329B2BE5"/>
    <w:rsid w:val="329D394F"/>
    <w:rsid w:val="32A23F73"/>
    <w:rsid w:val="32A25347"/>
    <w:rsid w:val="32A34FBE"/>
    <w:rsid w:val="32A53F7C"/>
    <w:rsid w:val="32A635EA"/>
    <w:rsid w:val="32A80FD5"/>
    <w:rsid w:val="32A970B0"/>
    <w:rsid w:val="32AE0B6A"/>
    <w:rsid w:val="32B36180"/>
    <w:rsid w:val="32B617CD"/>
    <w:rsid w:val="32BD060B"/>
    <w:rsid w:val="32BF3601"/>
    <w:rsid w:val="32C03140"/>
    <w:rsid w:val="32C739DA"/>
    <w:rsid w:val="32C973BB"/>
    <w:rsid w:val="32CB5278"/>
    <w:rsid w:val="32D3784A"/>
    <w:rsid w:val="32D560F7"/>
    <w:rsid w:val="32D61E6F"/>
    <w:rsid w:val="32D63C1D"/>
    <w:rsid w:val="32DA54BB"/>
    <w:rsid w:val="32DF526C"/>
    <w:rsid w:val="32E0069C"/>
    <w:rsid w:val="32E12CEE"/>
    <w:rsid w:val="32E14A9C"/>
    <w:rsid w:val="32E225C2"/>
    <w:rsid w:val="32E26A66"/>
    <w:rsid w:val="32E427DE"/>
    <w:rsid w:val="32E52350"/>
    <w:rsid w:val="32E75E2A"/>
    <w:rsid w:val="32EB3B6C"/>
    <w:rsid w:val="32EE540A"/>
    <w:rsid w:val="32F12805"/>
    <w:rsid w:val="32F83B93"/>
    <w:rsid w:val="32FB3683"/>
    <w:rsid w:val="3303061B"/>
    <w:rsid w:val="330662B0"/>
    <w:rsid w:val="330773F6"/>
    <w:rsid w:val="33077D57"/>
    <w:rsid w:val="330C6C5E"/>
    <w:rsid w:val="331309CD"/>
    <w:rsid w:val="33134E71"/>
    <w:rsid w:val="33136C1F"/>
    <w:rsid w:val="331704BD"/>
    <w:rsid w:val="331A61FF"/>
    <w:rsid w:val="331B7C07"/>
    <w:rsid w:val="331D1F7D"/>
    <w:rsid w:val="331D76E7"/>
    <w:rsid w:val="33213920"/>
    <w:rsid w:val="33244988"/>
    <w:rsid w:val="332B3F69"/>
    <w:rsid w:val="332C49F3"/>
    <w:rsid w:val="332D5204"/>
    <w:rsid w:val="33321433"/>
    <w:rsid w:val="33356B95"/>
    <w:rsid w:val="33372CE7"/>
    <w:rsid w:val="333B2D54"/>
    <w:rsid w:val="333D4138"/>
    <w:rsid w:val="333E1EEE"/>
    <w:rsid w:val="33435332"/>
    <w:rsid w:val="334B36BA"/>
    <w:rsid w:val="334B6B48"/>
    <w:rsid w:val="33596D28"/>
    <w:rsid w:val="335C6818"/>
    <w:rsid w:val="33615BDC"/>
    <w:rsid w:val="33635E53"/>
    <w:rsid w:val="33641229"/>
    <w:rsid w:val="336C0228"/>
    <w:rsid w:val="336C0306"/>
    <w:rsid w:val="336D632F"/>
    <w:rsid w:val="336E3E55"/>
    <w:rsid w:val="33723946"/>
    <w:rsid w:val="33746DD8"/>
    <w:rsid w:val="337F6063"/>
    <w:rsid w:val="3381002D"/>
    <w:rsid w:val="3381627F"/>
    <w:rsid w:val="33835B53"/>
    <w:rsid w:val="338673F1"/>
    <w:rsid w:val="33894B67"/>
    <w:rsid w:val="33896EE1"/>
    <w:rsid w:val="338E10C5"/>
    <w:rsid w:val="339E0BDF"/>
    <w:rsid w:val="339F04B3"/>
    <w:rsid w:val="33A02AB1"/>
    <w:rsid w:val="33A157EB"/>
    <w:rsid w:val="33A20FAF"/>
    <w:rsid w:val="33A21AE7"/>
    <w:rsid w:val="33A37FA3"/>
    <w:rsid w:val="33B026C0"/>
    <w:rsid w:val="33B2468A"/>
    <w:rsid w:val="33B45D0C"/>
    <w:rsid w:val="33BA709B"/>
    <w:rsid w:val="33BB353F"/>
    <w:rsid w:val="33BC1065"/>
    <w:rsid w:val="33BF1997"/>
    <w:rsid w:val="33C1667B"/>
    <w:rsid w:val="33CC574C"/>
    <w:rsid w:val="33D360B3"/>
    <w:rsid w:val="33D837CD"/>
    <w:rsid w:val="33D97E69"/>
    <w:rsid w:val="33DC3A13"/>
    <w:rsid w:val="33E33099"/>
    <w:rsid w:val="33E538D7"/>
    <w:rsid w:val="33E64529"/>
    <w:rsid w:val="33E800AC"/>
    <w:rsid w:val="33EA5730"/>
    <w:rsid w:val="33EF4F96"/>
    <w:rsid w:val="33F21776"/>
    <w:rsid w:val="33FE415F"/>
    <w:rsid w:val="34035192"/>
    <w:rsid w:val="340842AA"/>
    <w:rsid w:val="340A4CC4"/>
    <w:rsid w:val="3410342A"/>
    <w:rsid w:val="3411315F"/>
    <w:rsid w:val="34126ED7"/>
    <w:rsid w:val="341449FD"/>
    <w:rsid w:val="3414536B"/>
    <w:rsid w:val="3416284F"/>
    <w:rsid w:val="341A2E85"/>
    <w:rsid w:val="341B222F"/>
    <w:rsid w:val="341E263A"/>
    <w:rsid w:val="342310E4"/>
    <w:rsid w:val="342A7BA0"/>
    <w:rsid w:val="342B1F7F"/>
    <w:rsid w:val="34313801"/>
    <w:rsid w:val="34362BC5"/>
    <w:rsid w:val="343706EB"/>
    <w:rsid w:val="3437693D"/>
    <w:rsid w:val="343A7E80"/>
    <w:rsid w:val="34425A0E"/>
    <w:rsid w:val="344415E9"/>
    <w:rsid w:val="34452E08"/>
    <w:rsid w:val="344A2B14"/>
    <w:rsid w:val="34525525"/>
    <w:rsid w:val="345D45F6"/>
    <w:rsid w:val="346314E0"/>
    <w:rsid w:val="347831DE"/>
    <w:rsid w:val="34784F8C"/>
    <w:rsid w:val="34806536"/>
    <w:rsid w:val="34863584"/>
    <w:rsid w:val="34880F47"/>
    <w:rsid w:val="349339E0"/>
    <w:rsid w:val="34963664"/>
    <w:rsid w:val="349A2E4B"/>
    <w:rsid w:val="349B4995"/>
    <w:rsid w:val="349E572A"/>
    <w:rsid w:val="34A06275"/>
    <w:rsid w:val="34A113E3"/>
    <w:rsid w:val="34A261ED"/>
    <w:rsid w:val="34A3524A"/>
    <w:rsid w:val="34A9783B"/>
    <w:rsid w:val="34AB35B3"/>
    <w:rsid w:val="34AC2E87"/>
    <w:rsid w:val="34AF6AD4"/>
    <w:rsid w:val="34B00BC9"/>
    <w:rsid w:val="34B47F8E"/>
    <w:rsid w:val="34B561E0"/>
    <w:rsid w:val="34B6432C"/>
    <w:rsid w:val="34BA33E3"/>
    <w:rsid w:val="34BB131C"/>
    <w:rsid w:val="34BD542E"/>
    <w:rsid w:val="34C53F49"/>
    <w:rsid w:val="34C93A39"/>
    <w:rsid w:val="34CB38D8"/>
    <w:rsid w:val="34CC177B"/>
    <w:rsid w:val="34CC4E8D"/>
    <w:rsid w:val="34D23A05"/>
    <w:rsid w:val="34D50630"/>
    <w:rsid w:val="34DA5C46"/>
    <w:rsid w:val="34DD521D"/>
    <w:rsid w:val="34E6283D"/>
    <w:rsid w:val="34F07218"/>
    <w:rsid w:val="34F14D3E"/>
    <w:rsid w:val="34F4594F"/>
    <w:rsid w:val="34F860CC"/>
    <w:rsid w:val="34FD6E59"/>
    <w:rsid w:val="35013F9B"/>
    <w:rsid w:val="35020CF9"/>
    <w:rsid w:val="35086AD0"/>
    <w:rsid w:val="35096AEF"/>
    <w:rsid w:val="350E769E"/>
    <w:rsid w:val="35150757"/>
    <w:rsid w:val="351A6043"/>
    <w:rsid w:val="351F1307"/>
    <w:rsid w:val="351F3659"/>
    <w:rsid w:val="352275ED"/>
    <w:rsid w:val="352407BE"/>
    <w:rsid w:val="35284C04"/>
    <w:rsid w:val="352C5D76"/>
    <w:rsid w:val="352E5F92"/>
    <w:rsid w:val="35305866"/>
    <w:rsid w:val="35327830"/>
    <w:rsid w:val="35394A23"/>
    <w:rsid w:val="353C2EE2"/>
    <w:rsid w:val="353E1AAF"/>
    <w:rsid w:val="35411821"/>
    <w:rsid w:val="3544640B"/>
    <w:rsid w:val="35472BB0"/>
    <w:rsid w:val="35490860"/>
    <w:rsid w:val="35492DCC"/>
    <w:rsid w:val="354966BB"/>
    <w:rsid w:val="354A3F1B"/>
    <w:rsid w:val="354B444E"/>
    <w:rsid w:val="354E1590"/>
    <w:rsid w:val="354E2190"/>
    <w:rsid w:val="3555201A"/>
    <w:rsid w:val="355F614C"/>
    <w:rsid w:val="356056BC"/>
    <w:rsid w:val="35634B00"/>
    <w:rsid w:val="35635C3C"/>
    <w:rsid w:val="35661D71"/>
    <w:rsid w:val="3569521C"/>
    <w:rsid w:val="356C2617"/>
    <w:rsid w:val="356D0868"/>
    <w:rsid w:val="35734BA7"/>
    <w:rsid w:val="3576787D"/>
    <w:rsid w:val="3579534B"/>
    <w:rsid w:val="357D60C9"/>
    <w:rsid w:val="357E2A76"/>
    <w:rsid w:val="357F059C"/>
    <w:rsid w:val="35887450"/>
    <w:rsid w:val="358A5522"/>
    <w:rsid w:val="358B6F41"/>
    <w:rsid w:val="35926521"/>
    <w:rsid w:val="35951B6D"/>
    <w:rsid w:val="35963FC2"/>
    <w:rsid w:val="35973B37"/>
    <w:rsid w:val="3598340C"/>
    <w:rsid w:val="359C2EFC"/>
    <w:rsid w:val="35A64708"/>
    <w:rsid w:val="35A71D1B"/>
    <w:rsid w:val="35A77CE3"/>
    <w:rsid w:val="35A95619"/>
    <w:rsid w:val="35AE50EE"/>
    <w:rsid w:val="35AF70D3"/>
    <w:rsid w:val="35B2271F"/>
    <w:rsid w:val="35B378A6"/>
    <w:rsid w:val="35B77D36"/>
    <w:rsid w:val="35BB5A78"/>
    <w:rsid w:val="35BC359E"/>
    <w:rsid w:val="35BC6030"/>
    <w:rsid w:val="35C67F79"/>
    <w:rsid w:val="35C8594A"/>
    <w:rsid w:val="35C91817"/>
    <w:rsid w:val="35CD1307"/>
    <w:rsid w:val="35CD24E6"/>
    <w:rsid w:val="35DA3A24"/>
    <w:rsid w:val="35DC5F62"/>
    <w:rsid w:val="35E11256"/>
    <w:rsid w:val="35E11274"/>
    <w:rsid w:val="35E328D9"/>
    <w:rsid w:val="35E80157"/>
    <w:rsid w:val="35EA010B"/>
    <w:rsid w:val="35EF29CF"/>
    <w:rsid w:val="35F165B8"/>
    <w:rsid w:val="35F20D6E"/>
    <w:rsid w:val="35F44AE6"/>
    <w:rsid w:val="35F5085E"/>
    <w:rsid w:val="35FA390E"/>
    <w:rsid w:val="35FE146C"/>
    <w:rsid w:val="3600792F"/>
    <w:rsid w:val="36010B9D"/>
    <w:rsid w:val="360A4E38"/>
    <w:rsid w:val="360E0557"/>
    <w:rsid w:val="360E3BF4"/>
    <w:rsid w:val="36144752"/>
    <w:rsid w:val="36176A26"/>
    <w:rsid w:val="361B426C"/>
    <w:rsid w:val="361E16DA"/>
    <w:rsid w:val="362300CC"/>
    <w:rsid w:val="36237179"/>
    <w:rsid w:val="36257395"/>
    <w:rsid w:val="36280C33"/>
    <w:rsid w:val="36287EA7"/>
    <w:rsid w:val="36296473"/>
    <w:rsid w:val="362A3A8B"/>
    <w:rsid w:val="362A49AB"/>
    <w:rsid w:val="363268B0"/>
    <w:rsid w:val="36341386"/>
    <w:rsid w:val="363870C8"/>
    <w:rsid w:val="363976F7"/>
    <w:rsid w:val="3643781B"/>
    <w:rsid w:val="364517E5"/>
    <w:rsid w:val="3652180C"/>
    <w:rsid w:val="365377F4"/>
    <w:rsid w:val="3654172E"/>
    <w:rsid w:val="36552BBE"/>
    <w:rsid w:val="365B6913"/>
    <w:rsid w:val="365D08DD"/>
    <w:rsid w:val="365E28A7"/>
    <w:rsid w:val="365F08A3"/>
    <w:rsid w:val="36625EF3"/>
    <w:rsid w:val="366D3A16"/>
    <w:rsid w:val="366E1C99"/>
    <w:rsid w:val="366E2708"/>
    <w:rsid w:val="36767BF1"/>
    <w:rsid w:val="367D7A8F"/>
    <w:rsid w:val="367D7B75"/>
    <w:rsid w:val="3684230E"/>
    <w:rsid w:val="36851BE2"/>
    <w:rsid w:val="36853990"/>
    <w:rsid w:val="368C19C0"/>
    <w:rsid w:val="36901C4B"/>
    <w:rsid w:val="36965B4C"/>
    <w:rsid w:val="36965B9D"/>
    <w:rsid w:val="3699743B"/>
    <w:rsid w:val="369B7657"/>
    <w:rsid w:val="36A209E6"/>
    <w:rsid w:val="36A4475E"/>
    <w:rsid w:val="36A91D74"/>
    <w:rsid w:val="36AA789A"/>
    <w:rsid w:val="36AC41C0"/>
    <w:rsid w:val="36AF6C5F"/>
    <w:rsid w:val="36B10C29"/>
    <w:rsid w:val="36B83D65"/>
    <w:rsid w:val="36BA6F2A"/>
    <w:rsid w:val="36BC5048"/>
    <w:rsid w:val="36C50230"/>
    <w:rsid w:val="36C56482"/>
    <w:rsid w:val="36C97D20"/>
    <w:rsid w:val="36D22260"/>
    <w:rsid w:val="36D36DF1"/>
    <w:rsid w:val="36D554E4"/>
    <w:rsid w:val="36D61F49"/>
    <w:rsid w:val="36D8249B"/>
    <w:rsid w:val="36D84407"/>
    <w:rsid w:val="36DA0180"/>
    <w:rsid w:val="36DD37CC"/>
    <w:rsid w:val="36E763F9"/>
    <w:rsid w:val="36E83F1F"/>
    <w:rsid w:val="36E96615"/>
    <w:rsid w:val="36EE25F7"/>
    <w:rsid w:val="36EE3C2B"/>
    <w:rsid w:val="36EE59D9"/>
    <w:rsid w:val="36EE68F2"/>
    <w:rsid w:val="36EF64F8"/>
    <w:rsid w:val="36F25F0A"/>
    <w:rsid w:val="36F6488E"/>
    <w:rsid w:val="36F761D4"/>
    <w:rsid w:val="36F823B4"/>
    <w:rsid w:val="36FA25D0"/>
    <w:rsid w:val="36FF3742"/>
    <w:rsid w:val="37052D23"/>
    <w:rsid w:val="370E607B"/>
    <w:rsid w:val="37206516"/>
    <w:rsid w:val="3724764D"/>
    <w:rsid w:val="37250C2A"/>
    <w:rsid w:val="372A42BA"/>
    <w:rsid w:val="37405B09"/>
    <w:rsid w:val="37425D25"/>
    <w:rsid w:val="37497117"/>
    <w:rsid w:val="374B2E2B"/>
    <w:rsid w:val="375515B4"/>
    <w:rsid w:val="37557806"/>
    <w:rsid w:val="375872F6"/>
    <w:rsid w:val="37623CD1"/>
    <w:rsid w:val="37645303"/>
    <w:rsid w:val="376A0136"/>
    <w:rsid w:val="376C483A"/>
    <w:rsid w:val="37700019"/>
    <w:rsid w:val="377040EF"/>
    <w:rsid w:val="37781747"/>
    <w:rsid w:val="377B5CA9"/>
    <w:rsid w:val="37864ACB"/>
    <w:rsid w:val="378B76CC"/>
    <w:rsid w:val="379876F3"/>
    <w:rsid w:val="37991DE9"/>
    <w:rsid w:val="379C71E3"/>
    <w:rsid w:val="37A60062"/>
    <w:rsid w:val="37A733C3"/>
    <w:rsid w:val="37A75B88"/>
    <w:rsid w:val="37AB3C68"/>
    <w:rsid w:val="37AE5A9A"/>
    <w:rsid w:val="37AE5E43"/>
    <w:rsid w:val="37C329C2"/>
    <w:rsid w:val="37C404E8"/>
    <w:rsid w:val="37CB5D1A"/>
    <w:rsid w:val="37CF580A"/>
    <w:rsid w:val="37DC7F27"/>
    <w:rsid w:val="37E24D57"/>
    <w:rsid w:val="37E50AE3"/>
    <w:rsid w:val="37EB265B"/>
    <w:rsid w:val="37EC6D92"/>
    <w:rsid w:val="37EE37B7"/>
    <w:rsid w:val="37EF7C5B"/>
    <w:rsid w:val="37F4701F"/>
    <w:rsid w:val="37F64DA1"/>
    <w:rsid w:val="37F708BD"/>
    <w:rsid w:val="37F914CC"/>
    <w:rsid w:val="37F963E3"/>
    <w:rsid w:val="37FC2378"/>
    <w:rsid w:val="38033706"/>
    <w:rsid w:val="380B4369"/>
    <w:rsid w:val="380B6117"/>
    <w:rsid w:val="381274A5"/>
    <w:rsid w:val="381476C1"/>
    <w:rsid w:val="381551E7"/>
    <w:rsid w:val="38196874"/>
    <w:rsid w:val="381C196C"/>
    <w:rsid w:val="381D460F"/>
    <w:rsid w:val="3821761E"/>
    <w:rsid w:val="382275F5"/>
    <w:rsid w:val="382471D8"/>
    <w:rsid w:val="382611A3"/>
    <w:rsid w:val="382673F4"/>
    <w:rsid w:val="38305B7D"/>
    <w:rsid w:val="38341A0A"/>
    <w:rsid w:val="38376F0C"/>
    <w:rsid w:val="383B2EA0"/>
    <w:rsid w:val="38412A0D"/>
    <w:rsid w:val="3846678E"/>
    <w:rsid w:val="38470D39"/>
    <w:rsid w:val="384F054C"/>
    <w:rsid w:val="385201EA"/>
    <w:rsid w:val="385B0E4C"/>
    <w:rsid w:val="38613F89"/>
    <w:rsid w:val="38683569"/>
    <w:rsid w:val="386A108F"/>
    <w:rsid w:val="386D5023"/>
    <w:rsid w:val="3873136E"/>
    <w:rsid w:val="38741F0E"/>
    <w:rsid w:val="387939C8"/>
    <w:rsid w:val="38797524"/>
    <w:rsid w:val="387B329C"/>
    <w:rsid w:val="387C422D"/>
    <w:rsid w:val="387F260F"/>
    <w:rsid w:val="38853712"/>
    <w:rsid w:val="388F6D48"/>
    <w:rsid w:val="38910D12"/>
    <w:rsid w:val="38925A62"/>
    <w:rsid w:val="3893537C"/>
    <w:rsid w:val="389B56ED"/>
    <w:rsid w:val="389E2F30"/>
    <w:rsid w:val="38A345A1"/>
    <w:rsid w:val="38A45557"/>
    <w:rsid w:val="38AF1304"/>
    <w:rsid w:val="38B30C88"/>
    <w:rsid w:val="38B60DFD"/>
    <w:rsid w:val="38B642D4"/>
    <w:rsid w:val="38B90269"/>
    <w:rsid w:val="38C033A5"/>
    <w:rsid w:val="38C064F5"/>
    <w:rsid w:val="38C23065"/>
    <w:rsid w:val="38C23DE9"/>
    <w:rsid w:val="38D155B2"/>
    <w:rsid w:val="38D5008E"/>
    <w:rsid w:val="38D62BC9"/>
    <w:rsid w:val="38DF7CCF"/>
    <w:rsid w:val="38E45B52"/>
    <w:rsid w:val="38EA6674"/>
    <w:rsid w:val="38EA70EE"/>
    <w:rsid w:val="38EC5F48"/>
    <w:rsid w:val="38ED0809"/>
    <w:rsid w:val="38EE0F44"/>
    <w:rsid w:val="38EE2E57"/>
    <w:rsid w:val="38F02E41"/>
    <w:rsid w:val="38F26BA3"/>
    <w:rsid w:val="38F60B75"/>
    <w:rsid w:val="38FE7A29"/>
    <w:rsid w:val="3900585D"/>
    <w:rsid w:val="39026490"/>
    <w:rsid w:val="39047736"/>
    <w:rsid w:val="3905525C"/>
    <w:rsid w:val="391B4A8D"/>
    <w:rsid w:val="392505F0"/>
    <w:rsid w:val="3925145A"/>
    <w:rsid w:val="392A5822"/>
    <w:rsid w:val="392C27E9"/>
    <w:rsid w:val="392C624A"/>
    <w:rsid w:val="393349EB"/>
    <w:rsid w:val="393459D4"/>
    <w:rsid w:val="39396CB4"/>
    <w:rsid w:val="393D0552"/>
    <w:rsid w:val="393E3FC7"/>
    <w:rsid w:val="394144E6"/>
    <w:rsid w:val="39445D84"/>
    <w:rsid w:val="39447B32"/>
    <w:rsid w:val="39461AFC"/>
    <w:rsid w:val="394C4C39"/>
    <w:rsid w:val="394E275F"/>
    <w:rsid w:val="39554B96"/>
    <w:rsid w:val="39581830"/>
    <w:rsid w:val="395C28CE"/>
    <w:rsid w:val="396226AE"/>
    <w:rsid w:val="39797740"/>
    <w:rsid w:val="397C3770"/>
    <w:rsid w:val="397C551E"/>
    <w:rsid w:val="398443D3"/>
    <w:rsid w:val="3986014B"/>
    <w:rsid w:val="39882115"/>
    <w:rsid w:val="398F0CF0"/>
    <w:rsid w:val="399061A6"/>
    <w:rsid w:val="39932868"/>
    <w:rsid w:val="39954C6A"/>
    <w:rsid w:val="399A1E48"/>
    <w:rsid w:val="399D36E6"/>
    <w:rsid w:val="39A14F85"/>
    <w:rsid w:val="39AC65F0"/>
    <w:rsid w:val="39AE22E3"/>
    <w:rsid w:val="39AE31FE"/>
    <w:rsid w:val="39B20F40"/>
    <w:rsid w:val="39BB687D"/>
    <w:rsid w:val="39C26CA9"/>
    <w:rsid w:val="39C42A21"/>
    <w:rsid w:val="39CE1AF2"/>
    <w:rsid w:val="39CE38A0"/>
    <w:rsid w:val="39CE564E"/>
    <w:rsid w:val="39DF785B"/>
    <w:rsid w:val="39E135D3"/>
    <w:rsid w:val="39E16F9D"/>
    <w:rsid w:val="39E37CBB"/>
    <w:rsid w:val="39E7154B"/>
    <w:rsid w:val="39E91FA4"/>
    <w:rsid w:val="39EB371B"/>
    <w:rsid w:val="39ED4E59"/>
    <w:rsid w:val="39F01A68"/>
    <w:rsid w:val="39F23A32"/>
    <w:rsid w:val="39F41558"/>
    <w:rsid w:val="39F813A9"/>
    <w:rsid w:val="3A00614F"/>
    <w:rsid w:val="3A083907"/>
    <w:rsid w:val="3A0A0C34"/>
    <w:rsid w:val="3A0B4AF4"/>
    <w:rsid w:val="3A0C6165"/>
    <w:rsid w:val="3A0D75B5"/>
    <w:rsid w:val="3A116850"/>
    <w:rsid w:val="3A121F97"/>
    <w:rsid w:val="3A12378C"/>
    <w:rsid w:val="3A125D09"/>
    <w:rsid w:val="3A1A6AE5"/>
    <w:rsid w:val="3A2046B4"/>
    <w:rsid w:val="3A2E5B86"/>
    <w:rsid w:val="3A304090"/>
    <w:rsid w:val="3A313827"/>
    <w:rsid w:val="3A31501D"/>
    <w:rsid w:val="3A36595B"/>
    <w:rsid w:val="3A40479E"/>
    <w:rsid w:val="3A451DB4"/>
    <w:rsid w:val="3A4A6127"/>
    <w:rsid w:val="3A4C5391"/>
    <w:rsid w:val="3A4D0C68"/>
    <w:rsid w:val="3A5244D1"/>
    <w:rsid w:val="3A541BA5"/>
    <w:rsid w:val="3A555D6F"/>
    <w:rsid w:val="3A5A5133"/>
    <w:rsid w:val="3A5A6CF0"/>
    <w:rsid w:val="3A5B4645"/>
    <w:rsid w:val="3A5F274A"/>
    <w:rsid w:val="3A6164C2"/>
    <w:rsid w:val="3A622985"/>
    <w:rsid w:val="3A6A6623"/>
    <w:rsid w:val="3A746053"/>
    <w:rsid w:val="3A777CB4"/>
    <w:rsid w:val="3A7E7074"/>
    <w:rsid w:val="3A840299"/>
    <w:rsid w:val="3A851BA7"/>
    <w:rsid w:val="3A8829E6"/>
    <w:rsid w:val="3A886145"/>
    <w:rsid w:val="3A8D375B"/>
    <w:rsid w:val="3A8D5509"/>
    <w:rsid w:val="3A9177EB"/>
    <w:rsid w:val="3A9248CD"/>
    <w:rsid w:val="3A95616C"/>
    <w:rsid w:val="3A9E14C4"/>
    <w:rsid w:val="3AA06FEA"/>
    <w:rsid w:val="3AA27206"/>
    <w:rsid w:val="3AA34D2C"/>
    <w:rsid w:val="3AA60379"/>
    <w:rsid w:val="3AAA1667"/>
    <w:rsid w:val="3AAA7E69"/>
    <w:rsid w:val="3AAD5BAB"/>
    <w:rsid w:val="3AAE1DC9"/>
    <w:rsid w:val="3AB111F7"/>
    <w:rsid w:val="3AB74BE6"/>
    <w:rsid w:val="3ABC180E"/>
    <w:rsid w:val="3ABE3914"/>
    <w:rsid w:val="3ABF38D9"/>
    <w:rsid w:val="3ABF5D0E"/>
    <w:rsid w:val="3AC058DE"/>
    <w:rsid w:val="3AC32CD9"/>
    <w:rsid w:val="3AC70A1B"/>
    <w:rsid w:val="3AD1189A"/>
    <w:rsid w:val="3AD5233C"/>
    <w:rsid w:val="3AD7704B"/>
    <w:rsid w:val="3AE129F5"/>
    <w:rsid w:val="3AE25855"/>
    <w:rsid w:val="3AE2668F"/>
    <w:rsid w:val="3AE46947"/>
    <w:rsid w:val="3AE76232"/>
    <w:rsid w:val="3AE815F1"/>
    <w:rsid w:val="3AEC5559"/>
    <w:rsid w:val="3AED7D56"/>
    <w:rsid w:val="3AEF3EFE"/>
    <w:rsid w:val="3AFE1F63"/>
    <w:rsid w:val="3B031466"/>
    <w:rsid w:val="3B052ACD"/>
    <w:rsid w:val="3B0532F1"/>
    <w:rsid w:val="3B084E04"/>
    <w:rsid w:val="3B0A7DDE"/>
    <w:rsid w:val="3B143534"/>
    <w:rsid w:val="3B1532F5"/>
    <w:rsid w:val="3B193AD7"/>
    <w:rsid w:val="3B1E43B3"/>
    <w:rsid w:val="3B283760"/>
    <w:rsid w:val="3B293484"/>
    <w:rsid w:val="3B2C087E"/>
    <w:rsid w:val="3B304812"/>
    <w:rsid w:val="3B334302"/>
    <w:rsid w:val="3B377CBC"/>
    <w:rsid w:val="3B3815CE"/>
    <w:rsid w:val="3B385475"/>
    <w:rsid w:val="3B3C2DB9"/>
    <w:rsid w:val="3B3E7727"/>
    <w:rsid w:val="3B462B12"/>
    <w:rsid w:val="3B4915A1"/>
    <w:rsid w:val="3B4921F4"/>
    <w:rsid w:val="3B4A6B62"/>
    <w:rsid w:val="3B4A7D63"/>
    <w:rsid w:val="3B4C2CCE"/>
    <w:rsid w:val="3B4E2EEA"/>
    <w:rsid w:val="3B507A1F"/>
    <w:rsid w:val="3B547DD5"/>
    <w:rsid w:val="3B5B73B5"/>
    <w:rsid w:val="3B5E2A01"/>
    <w:rsid w:val="3B5F0B13"/>
    <w:rsid w:val="3B6049CB"/>
    <w:rsid w:val="3B621188"/>
    <w:rsid w:val="3B6466A4"/>
    <w:rsid w:val="3B651FE2"/>
    <w:rsid w:val="3B742225"/>
    <w:rsid w:val="3B750477"/>
    <w:rsid w:val="3B7566C9"/>
    <w:rsid w:val="3B762441"/>
    <w:rsid w:val="3B785001"/>
    <w:rsid w:val="3B7D732B"/>
    <w:rsid w:val="3B855FEA"/>
    <w:rsid w:val="3B8763FC"/>
    <w:rsid w:val="3B8F0F40"/>
    <w:rsid w:val="3B9005FC"/>
    <w:rsid w:val="3B902ED6"/>
    <w:rsid w:val="3B934DA1"/>
    <w:rsid w:val="3B950B19"/>
    <w:rsid w:val="3BA13299"/>
    <w:rsid w:val="3BA66882"/>
    <w:rsid w:val="3BA743A8"/>
    <w:rsid w:val="3BAF3513"/>
    <w:rsid w:val="3BB0325D"/>
    <w:rsid w:val="3BB24A56"/>
    <w:rsid w:val="3BB708EE"/>
    <w:rsid w:val="3BB80364"/>
    <w:rsid w:val="3BBC7873"/>
    <w:rsid w:val="3BBD73DD"/>
    <w:rsid w:val="3BBF7944"/>
    <w:rsid w:val="3BC66F24"/>
    <w:rsid w:val="3BC82C9D"/>
    <w:rsid w:val="3BC90EB9"/>
    <w:rsid w:val="3BC9431F"/>
    <w:rsid w:val="3BCB453B"/>
    <w:rsid w:val="3BCC150F"/>
    <w:rsid w:val="3BD03EE9"/>
    <w:rsid w:val="3BD72EE0"/>
    <w:rsid w:val="3BDC04F6"/>
    <w:rsid w:val="3BDD03AD"/>
    <w:rsid w:val="3BDF7FE6"/>
    <w:rsid w:val="3BE93D62"/>
    <w:rsid w:val="3BEB2DB1"/>
    <w:rsid w:val="3BEB698B"/>
    <w:rsid w:val="3BEE1FD7"/>
    <w:rsid w:val="3BF35840"/>
    <w:rsid w:val="3BF400B5"/>
    <w:rsid w:val="3BF515B8"/>
    <w:rsid w:val="3BF70E8C"/>
    <w:rsid w:val="3BF82E56"/>
    <w:rsid w:val="3BFE0B8D"/>
    <w:rsid w:val="3C03136A"/>
    <w:rsid w:val="3C067321"/>
    <w:rsid w:val="3C081B11"/>
    <w:rsid w:val="3C0D4B53"/>
    <w:rsid w:val="3C1001A0"/>
    <w:rsid w:val="3C10408D"/>
    <w:rsid w:val="3C1063F2"/>
    <w:rsid w:val="3C12185C"/>
    <w:rsid w:val="3C213B76"/>
    <w:rsid w:val="3C2546BE"/>
    <w:rsid w:val="3C265C15"/>
    <w:rsid w:val="3C2725F2"/>
    <w:rsid w:val="3C387F9D"/>
    <w:rsid w:val="3C3A6FCB"/>
    <w:rsid w:val="3C430575"/>
    <w:rsid w:val="3C44609B"/>
    <w:rsid w:val="3C45635F"/>
    <w:rsid w:val="3C474D16"/>
    <w:rsid w:val="3C49299E"/>
    <w:rsid w:val="3C495460"/>
    <w:rsid w:val="3C4B24C9"/>
    <w:rsid w:val="3C4C37DF"/>
    <w:rsid w:val="3C4D6CFE"/>
    <w:rsid w:val="3C4E0CC8"/>
    <w:rsid w:val="3C5067EE"/>
    <w:rsid w:val="3C574020"/>
    <w:rsid w:val="3C5A5481"/>
    <w:rsid w:val="3C5E3E3A"/>
    <w:rsid w:val="3C5F6A31"/>
    <w:rsid w:val="3C623D29"/>
    <w:rsid w:val="3C65673D"/>
    <w:rsid w:val="3C6A1BC9"/>
    <w:rsid w:val="3C6B187A"/>
    <w:rsid w:val="3C6D2465"/>
    <w:rsid w:val="3C6E13B6"/>
    <w:rsid w:val="3C6F136A"/>
    <w:rsid w:val="3C7050E2"/>
    <w:rsid w:val="3C7A1A6C"/>
    <w:rsid w:val="3C7C5835"/>
    <w:rsid w:val="3C7F5AE1"/>
    <w:rsid w:val="3C832FCA"/>
    <w:rsid w:val="3C8478FF"/>
    <w:rsid w:val="3C85293C"/>
    <w:rsid w:val="3C8570F8"/>
    <w:rsid w:val="3C89198F"/>
    <w:rsid w:val="3C8A7F52"/>
    <w:rsid w:val="3C8B5A78"/>
    <w:rsid w:val="3C90308E"/>
    <w:rsid w:val="3C9568F7"/>
    <w:rsid w:val="3C9708C1"/>
    <w:rsid w:val="3C9A5E59"/>
    <w:rsid w:val="3C9C593A"/>
    <w:rsid w:val="3C9D1312"/>
    <w:rsid w:val="3CA60B04"/>
    <w:rsid w:val="3CAA05F4"/>
    <w:rsid w:val="3CAD1E92"/>
    <w:rsid w:val="3CAE2A0D"/>
    <w:rsid w:val="3CAF36AA"/>
    <w:rsid w:val="3CB06D8D"/>
    <w:rsid w:val="3CB7397C"/>
    <w:rsid w:val="3CB76BD4"/>
    <w:rsid w:val="3CB90837"/>
    <w:rsid w:val="3CBD6593"/>
    <w:rsid w:val="3CC35212"/>
    <w:rsid w:val="3CC80A7A"/>
    <w:rsid w:val="3CCA034E"/>
    <w:rsid w:val="3CCA52AC"/>
    <w:rsid w:val="3CCA65A0"/>
    <w:rsid w:val="3CD1792F"/>
    <w:rsid w:val="3CD45671"/>
    <w:rsid w:val="3CDE204C"/>
    <w:rsid w:val="3CDF0448"/>
    <w:rsid w:val="3CE02894"/>
    <w:rsid w:val="3CE50B18"/>
    <w:rsid w:val="3CE533DA"/>
    <w:rsid w:val="3CEE2AEC"/>
    <w:rsid w:val="3CF36D97"/>
    <w:rsid w:val="3CF4361D"/>
    <w:rsid w:val="3CF735D4"/>
    <w:rsid w:val="3CF8238F"/>
    <w:rsid w:val="3CF90C34"/>
    <w:rsid w:val="3CFD6976"/>
    <w:rsid w:val="3CFE624A"/>
    <w:rsid w:val="3D023F8C"/>
    <w:rsid w:val="3D0D2931"/>
    <w:rsid w:val="3D1617E6"/>
    <w:rsid w:val="3D1B2745"/>
    <w:rsid w:val="3D203944"/>
    <w:rsid w:val="3D204412"/>
    <w:rsid w:val="3D22462E"/>
    <w:rsid w:val="3D24777C"/>
    <w:rsid w:val="3D2757A1"/>
    <w:rsid w:val="3D2D6A37"/>
    <w:rsid w:val="3D2E4D81"/>
    <w:rsid w:val="3D3463AE"/>
    <w:rsid w:val="3D347629"/>
    <w:rsid w:val="3D3D3216"/>
    <w:rsid w:val="3D3D4FC4"/>
    <w:rsid w:val="3D3F6F8E"/>
    <w:rsid w:val="3D425FA0"/>
    <w:rsid w:val="3D4C3459"/>
    <w:rsid w:val="3D4F2F4A"/>
    <w:rsid w:val="3D556D86"/>
    <w:rsid w:val="3D566086"/>
    <w:rsid w:val="3D580050"/>
    <w:rsid w:val="3D584EA1"/>
    <w:rsid w:val="3D5F318D"/>
    <w:rsid w:val="3D5F57B1"/>
    <w:rsid w:val="3D6407A3"/>
    <w:rsid w:val="3D6562C9"/>
    <w:rsid w:val="3D6A1B31"/>
    <w:rsid w:val="3D70539A"/>
    <w:rsid w:val="3D714C6E"/>
    <w:rsid w:val="3D7E017B"/>
    <w:rsid w:val="3D845004"/>
    <w:rsid w:val="3D856F7C"/>
    <w:rsid w:val="3D8632D9"/>
    <w:rsid w:val="3D87623F"/>
    <w:rsid w:val="3D956BAE"/>
    <w:rsid w:val="3D9B7F3D"/>
    <w:rsid w:val="3D9F17DB"/>
    <w:rsid w:val="3DA27428"/>
    <w:rsid w:val="3DAE1445"/>
    <w:rsid w:val="3DB01C3A"/>
    <w:rsid w:val="3DB64D77"/>
    <w:rsid w:val="3DB66B25"/>
    <w:rsid w:val="3DB83E0F"/>
    <w:rsid w:val="3DBB16EB"/>
    <w:rsid w:val="3DBB238D"/>
    <w:rsid w:val="3DC546AF"/>
    <w:rsid w:val="3DC92CFC"/>
    <w:rsid w:val="3DCB10B9"/>
    <w:rsid w:val="3DCC00F6"/>
    <w:rsid w:val="3DD84001"/>
    <w:rsid w:val="3DDC17F2"/>
    <w:rsid w:val="3DE11DF4"/>
    <w:rsid w:val="3DE43692"/>
    <w:rsid w:val="3DEB4A20"/>
    <w:rsid w:val="3DEE62BF"/>
    <w:rsid w:val="3DEF111E"/>
    <w:rsid w:val="3DF24001"/>
    <w:rsid w:val="3DF5589F"/>
    <w:rsid w:val="3DF633C5"/>
    <w:rsid w:val="3DFE7853"/>
    <w:rsid w:val="3E026BF0"/>
    <w:rsid w:val="3E127363"/>
    <w:rsid w:val="3E177744"/>
    <w:rsid w:val="3E1877DF"/>
    <w:rsid w:val="3E27527B"/>
    <w:rsid w:val="3E29730F"/>
    <w:rsid w:val="3E2A007D"/>
    <w:rsid w:val="3E2B2017"/>
    <w:rsid w:val="3E2C6DE7"/>
    <w:rsid w:val="3E2D1566"/>
    <w:rsid w:val="3E2D328B"/>
    <w:rsid w:val="3E2E0BF1"/>
    <w:rsid w:val="3E302DB7"/>
    <w:rsid w:val="3E323356"/>
    <w:rsid w:val="3E342BCE"/>
    <w:rsid w:val="3E351847"/>
    <w:rsid w:val="3E364DC3"/>
    <w:rsid w:val="3E3A7756"/>
    <w:rsid w:val="3E3F6B1A"/>
    <w:rsid w:val="3E410AE4"/>
    <w:rsid w:val="3E412892"/>
    <w:rsid w:val="3E442382"/>
    <w:rsid w:val="3E46434D"/>
    <w:rsid w:val="3E5D51F2"/>
    <w:rsid w:val="3E6812C5"/>
    <w:rsid w:val="3E6C7A46"/>
    <w:rsid w:val="3E72386C"/>
    <w:rsid w:val="3E733501"/>
    <w:rsid w:val="3E7C1B1C"/>
    <w:rsid w:val="3E8A248B"/>
    <w:rsid w:val="3E8D1F7B"/>
    <w:rsid w:val="3E8F1850"/>
    <w:rsid w:val="3E9230EE"/>
    <w:rsid w:val="3E9275F9"/>
    <w:rsid w:val="3E94330A"/>
    <w:rsid w:val="3E9450B8"/>
    <w:rsid w:val="3E9572FA"/>
    <w:rsid w:val="3E993FAD"/>
    <w:rsid w:val="3E9A1ED7"/>
    <w:rsid w:val="3EA13331"/>
    <w:rsid w:val="3EA23AC2"/>
    <w:rsid w:val="3EA3328C"/>
    <w:rsid w:val="3EA80B63"/>
    <w:rsid w:val="3EAB0654"/>
    <w:rsid w:val="3EAC15CA"/>
    <w:rsid w:val="3EAD5DA8"/>
    <w:rsid w:val="3EB150A5"/>
    <w:rsid w:val="3EB219E2"/>
    <w:rsid w:val="3EB968CD"/>
    <w:rsid w:val="3EC15D4E"/>
    <w:rsid w:val="3EC86B10"/>
    <w:rsid w:val="3ECA6D2C"/>
    <w:rsid w:val="3ECF60F0"/>
    <w:rsid w:val="3EDA654A"/>
    <w:rsid w:val="3EDE747D"/>
    <w:rsid w:val="3EE576C2"/>
    <w:rsid w:val="3EE9488B"/>
    <w:rsid w:val="3EEA4CD8"/>
    <w:rsid w:val="3EF43DA9"/>
    <w:rsid w:val="3EF5712F"/>
    <w:rsid w:val="3EFA44B1"/>
    <w:rsid w:val="3F0044FB"/>
    <w:rsid w:val="3F073ADC"/>
    <w:rsid w:val="3F0A35CC"/>
    <w:rsid w:val="3F0C10F2"/>
    <w:rsid w:val="3F0D1621"/>
    <w:rsid w:val="3F0F2990"/>
    <w:rsid w:val="3F141D55"/>
    <w:rsid w:val="3F145B5D"/>
    <w:rsid w:val="3F177A97"/>
    <w:rsid w:val="3F1B4619"/>
    <w:rsid w:val="3F245D0B"/>
    <w:rsid w:val="3F2521B4"/>
    <w:rsid w:val="3F2A77CA"/>
    <w:rsid w:val="3F3146B5"/>
    <w:rsid w:val="3F3643C1"/>
    <w:rsid w:val="3F366666"/>
    <w:rsid w:val="3F452308"/>
    <w:rsid w:val="3F4563B2"/>
    <w:rsid w:val="3F4B503E"/>
    <w:rsid w:val="3F4D34B9"/>
    <w:rsid w:val="3F52287D"/>
    <w:rsid w:val="3F542A99"/>
    <w:rsid w:val="3F56236D"/>
    <w:rsid w:val="3F5F2807"/>
    <w:rsid w:val="3F602422"/>
    <w:rsid w:val="3F632CDC"/>
    <w:rsid w:val="3F632E87"/>
    <w:rsid w:val="3F636838"/>
    <w:rsid w:val="3F663E5C"/>
    <w:rsid w:val="3F6902F3"/>
    <w:rsid w:val="3F7668E9"/>
    <w:rsid w:val="3F7950FC"/>
    <w:rsid w:val="3F7A387C"/>
    <w:rsid w:val="3F850EA5"/>
    <w:rsid w:val="3F8A64BB"/>
    <w:rsid w:val="3F941E72"/>
    <w:rsid w:val="3F950FCD"/>
    <w:rsid w:val="3F964E60"/>
    <w:rsid w:val="3F9B2476"/>
    <w:rsid w:val="3F9D1D4A"/>
    <w:rsid w:val="3FA07A8C"/>
    <w:rsid w:val="3FA53964"/>
    <w:rsid w:val="3FA56E51"/>
    <w:rsid w:val="3FAA4D9C"/>
    <w:rsid w:val="3FAF1C5C"/>
    <w:rsid w:val="3FB928FC"/>
    <w:rsid w:val="3FBE7100"/>
    <w:rsid w:val="3FC76DC7"/>
    <w:rsid w:val="3FCC262F"/>
    <w:rsid w:val="3FE67B95"/>
    <w:rsid w:val="3FE72BA4"/>
    <w:rsid w:val="3FE86DCF"/>
    <w:rsid w:val="3FF1653A"/>
    <w:rsid w:val="3FF35E0E"/>
    <w:rsid w:val="3FF468EF"/>
    <w:rsid w:val="3FFB4CC3"/>
    <w:rsid w:val="3FFD4545"/>
    <w:rsid w:val="3FFE2572"/>
    <w:rsid w:val="4001677D"/>
    <w:rsid w:val="4004626D"/>
    <w:rsid w:val="40047B03"/>
    <w:rsid w:val="400845AA"/>
    <w:rsid w:val="400A3C0B"/>
    <w:rsid w:val="400B26AD"/>
    <w:rsid w:val="400C04C9"/>
    <w:rsid w:val="400E49F6"/>
    <w:rsid w:val="4010564F"/>
    <w:rsid w:val="40111873"/>
    <w:rsid w:val="40153FD6"/>
    <w:rsid w:val="401C5365"/>
    <w:rsid w:val="401D5FC7"/>
    <w:rsid w:val="401E74F7"/>
    <w:rsid w:val="401F09B1"/>
    <w:rsid w:val="401F6C03"/>
    <w:rsid w:val="402204A1"/>
    <w:rsid w:val="402E32EA"/>
    <w:rsid w:val="40330D48"/>
    <w:rsid w:val="4033445D"/>
    <w:rsid w:val="40354679"/>
    <w:rsid w:val="403A1C8F"/>
    <w:rsid w:val="403D7546"/>
    <w:rsid w:val="403F2E01"/>
    <w:rsid w:val="403F72A5"/>
    <w:rsid w:val="40443FD0"/>
    <w:rsid w:val="404843AC"/>
    <w:rsid w:val="404B17A6"/>
    <w:rsid w:val="404B3E9C"/>
    <w:rsid w:val="404B47FE"/>
    <w:rsid w:val="404D19C2"/>
    <w:rsid w:val="404E573A"/>
    <w:rsid w:val="40556AC9"/>
    <w:rsid w:val="405C6D2C"/>
    <w:rsid w:val="40610FCA"/>
    <w:rsid w:val="406665E0"/>
    <w:rsid w:val="406960D0"/>
    <w:rsid w:val="40705AA7"/>
    <w:rsid w:val="407231D7"/>
    <w:rsid w:val="40732D89"/>
    <w:rsid w:val="40784565"/>
    <w:rsid w:val="408353E4"/>
    <w:rsid w:val="408847A8"/>
    <w:rsid w:val="408A1793"/>
    <w:rsid w:val="408D1DBF"/>
    <w:rsid w:val="408E1CA8"/>
    <w:rsid w:val="408F1FDB"/>
    <w:rsid w:val="40936A4E"/>
    <w:rsid w:val="40953369"/>
    <w:rsid w:val="40956EC5"/>
    <w:rsid w:val="409A3C2B"/>
    <w:rsid w:val="40A435AC"/>
    <w:rsid w:val="40A86BF9"/>
    <w:rsid w:val="40AF442B"/>
    <w:rsid w:val="40B41A41"/>
    <w:rsid w:val="40BA192C"/>
    <w:rsid w:val="40BA6BEE"/>
    <w:rsid w:val="40CE6837"/>
    <w:rsid w:val="40D43E92"/>
    <w:rsid w:val="40D55514"/>
    <w:rsid w:val="40D573F0"/>
    <w:rsid w:val="40DB74F8"/>
    <w:rsid w:val="40E1210B"/>
    <w:rsid w:val="40E165AE"/>
    <w:rsid w:val="40EA4C18"/>
    <w:rsid w:val="40EB3BDA"/>
    <w:rsid w:val="40FD6565"/>
    <w:rsid w:val="40FF07E3"/>
    <w:rsid w:val="41001A84"/>
    <w:rsid w:val="41004C87"/>
    <w:rsid w:val="41012C6F"/>
    <w:rsid w:val="4105229D"/>
    <w:rsid w:val="4105404B"/>
    <w:rsid w:val="410C362B"/>
    <w:rsid w:val="41124074"/>
    <w:rsid w:val="4115599F"/>
    <w:rsid w:val="41205624"/>
    <w:rsid w:val="412F2E76"/>
    <w:rsid w:val="4134048C"/>
    <w:rsid w:val="41364A0D"/>
    <w:rsid w:val="413D4DB1"/>
    <w:rsid w:val="413E2100"/>
    <w:rsid w:val="41452208"/>
    <w:rsid w:val="41452699"/>
    <w:rsid w:val="414C3A28"/>
    <w:rsid w:val="414F52C6"/>
    <w:rsid w:val="41532E15"/>
    <w:rsid w:val="41597559"/>
    <w:rsid w:val="415B010F"/>
    <w:rsid w:val="415C79E3"/>
    <w:rsid w:val="415D5C35"/>
    <w:rsid w:val="415F1EBC"/>
    <w:rsid w:val="416045C6"/>
    <w:rsid w:val="4162149D"/>
    <w:rsid w:val="416219AA"/>
    <w:rsid w:val="4170331F"/>
    <w:rsid w:val="41732A9B"/>
    <w:rsid w:val="417608CD"/>
    <w:rsid w:val="41760AA5"/>
    <w:rsid w:val="417E3DFD"/>
    <w:rsid w:val="41853590"/>
    <w:rsid w:val="41874618"/>
    <w:rsid w:val="41894C7C"/>
    <w:rsid w:val="41931657"/>
    <w:rsid w:val="419A4180"/>
    <w:rsid w:val="419D27EA"/>
    <w:rsid w:val="419E624E"/>
    <w:rsid w:val="41A52AC7"/>
    <w:rsid w:val="41A73354"/>
    <w:rsid w:val="41AA69A0"/>
    <w:rsid w:val="41B35D08"/>
    <w:rsid w:val="41B9720D"/>
    <w:rsid w:val="41BB6E00"/>
    <w:rsid w:val="41C32EC2"/>
    <w:rsid w:val="41C55588"/>
    <w:rsid w:val="41C757A4"/>
    <w:rsid w:val="41CD18C8"/>
    <w:rsid w:val="41D54C83"/>
    <w:rsid w:val="41D57EC1"/>
    <w:rsid w:val="41DA5F10"/>
    <w:rsid w:val="41DB4DAC"/>
    <w:rsid w:val="41DD0320"/>
    <w:rsid w:val="41E06866"/>
    <w:rsid w:val="41E63CA0"/>
    <w:rsid w:val="41EC520B"/>
    <w:rsid w:val="41F63994"/>
    <w:rsid w:val="420036A0"/>
    <w:rsid w:val="420C7BAA"/>
    <w:rsid w:val="420D017C"/>
    <w:rsid w:val="420D3906"/>
    <w:rsid w:val="420E5181"/>
    <w:rsid w:val="420F4A55"/>
    <w:rsid w:val="420F6057"/>
    <w:rsid w:val="42114C71"/>
    <w:rsid w:val="421337CD"/>
    <w:rsid w:val="421A1D78"/>
    <w:rsid w:val="42245402"/>
    <w:rsid w:val="42246753"/>
    <w:rsid w:val="42251146"/>
    <w:rsid w:val="42277FF1"/>
    <w:rsid w:val="422C1AAB"/>
    <w:rsid w:val="422E5D60"/>
    <w:rsid w:val="423038C6"/>
    <w:rsid w:val="423544BC"/>
    <w:rsid w:val="42380FD0"/>
    <w:rsid w:val="42415557"/>
    <w:rsid w:val="42417305"/>
    <w:rsid w:val="4245327A"/>
    <w:rsid w:val="42464DBD"/>
    <w:rsid w:val="42472441"/>
    <w:rsid w:val="425012F6"/>
    <w:rsid w:val="4251506E"/>
    <w:rsid w:val="42521512"/>
    <w:rsid w:val="42530184"/>
    <w:rsid w:val="42554B5E"/>
    <w:rsid w:val="42557FE6"/>
    <w:rsid w:val="42562684"/>
    <w:rsid w:val="4258404F"/>
    <w:rsid w:val="425D3A13"/>
    <w:rsid w:val="425F59DD"/>
    <w:rsid w:val="426577F0"/>
    <w:rsid w:val="42666D6B"/>
    <w:rsid w:val="426D1B9F"/>
    <w:rsid w:val="4280707D"/>
    <w:rsid w:val="4283791D"/>
    <w:rsid w:val="42840F0D"/>
    <w:rsid w:val="42844669"/>
    <w:rsid w:val="42846E8E"/>
    <w:rsid w:val="42892A5A"/>
    <w:rsid w:val="42894808"/>
    <w:rsid w:val="42932922"/>
    <w:rsid w:val="42937435"/>
    <w:rsid w:val="429F227D"/>
    <w:rsid w:val="42A80B69"/>
    <w:rsid w:val="42A87384"/>
    <w:rsid w:val="42B235DE"/>
    <w:rsid w:val="42B75819"/>
    <w:rsid w:val="42BE0955"/>
    <w:rsid w:val="42C73F08"/>
    <w:rsid w:val="42CB3316"/>
    <w:rsid w:val="42CB6BCE"/>
    <w:rsid w:val="42CE66BF"/>
    <w:rsid w:val="42D91F1E"/>
    <w:rsid w:val="42DB7B18"/>
    <w:rsid w:val="42DD0401"/>
    <w:rsid w:val="42E3660E"/>
    <w:rsid w:val="42E45295"/>
    <w:rsid w:val="42E6653D"/>
    <w:rsid w:val="42E72443"/>
    <w:rsid w:val="42EB54C2"/>
    <w:rsid w:val="42EC00C3"/>
    <w:rsid w:val="42EE327C"/>
    <w:rsid w:val="42F44DB5"/>
    <w:rsid w:val="42F51E9D"/>
    <w:rsid w:val="42FB3958"/>
    <w:rsid w:val="42FB6FC1"/>
    <w:rsid w:val="42FB75B2"/>
    <w:rsid w:val="42FE0D10"/>
    <w:rsid w:val="42FE51F6"/>
    <w:rsid w:val="43000F6E"/>
    <w:rsid w:val="4303280C"/>
    <w:rsid w:val="43036368"/>
    <w:rsid w:val="431419BD"/>
    <w:rsid w:val="431515CC"/>
    <w:rsid w:val="431762B8"/>
    <w:rsid w:val="43195E8D"/>
    <w:rsid w:val="431A7B56"/>
    <w:rsid w:val="432033BE"/>
    <w:rsid w:val="43212C92"/>
    <w:rsid w:val="432602A9"/>
    <w:rsid w:val="432F1EEE"/>
    <w:rsid w:val="432F3601"/>
    <w:rsid w:val="432F53AF"/>
    <w:rsid w:val="43362122"/>
    <w:rsid w:val="4337061D"/>
    <w:rsid w:val="43374264"/>
    <w:rsid w:val="43391907"/>
    <w:rsid w:val="433B7B5B"/>
    <w:rsid w:val="433E55F2"/>
    <w:rsid w:val="43405568"/>
    <w:rsid w:val="43443B75"/>
    <w:rsid w:val="434626F9"/>
    <w:rsid w:val="434703D0"/>
    <w:rsid w:val="43495384"/>
    <w:rsid w:val="434B7D0F"/>
    <w:rsid w:val="434C6119"/>
    <w:rsid w:val="434F54F4"/>
    <w:rsid w:val="435749D6"/>
    <w:rsid w:val="435E3EE6"/>
    <w:rsid w:val="436332AB"/>
    <w:rsid w:val="43672D9B"/>
    <w:rsid w:val="436D237B"/>
    <w:rsid w:val="436F39FE"/>
    <w:rsid w:val="43754D8C"/>
    <w:rsid w:val="43770394"/>
    <w:rsid w:val="43772EC8"/>
    <w:rsid w:val="437C5721"/>
    <w:rsid w:val="437F4515"/>
    <w:rsid w:val="438751EB"/>
    <w:rsid w:val="43923040"/>
    <w:rsid w:val="43A276DC"/>
    <w:rsid w:val="43A318F9"/>
    <w:rsid w:val="43A35D9D"/>
    <w:rsid w:val="43A85162"/>
    <w:rsid w:val="43AA0802"/>
    <w:rsid w:val="43AE4585"/>
    <w:rsid w:val="43B14016"/>
    <w:rsid w:val="43B34631"/>
    <w:rsid w:val="43B81849"/>
    <w:rsid w:val="43BF2E79"/>
    <w:rsid w:val="43C24475"/>
    <w:rsid w:val="43C27FD1"/>
    <w:rsid w:val="43CD6976"/>
    <w:rsid w:val="43CF6B92"/>
    <w:rsid w:val="43DD12AF"/>
    <w:rsid w:val="43E20674"/>
    <w:rsid w:val="43EA338A"/>
    <w:rsid w:val="43EF4B3E"/>
    <w:rsid w:val="43F32881"/>
    <w:rsid w:val="43F52422"/>
    <w:rsid w:val="43F839F3"/>
    <w:rsid w:val="44055BE3"/>
    <w:rsid w:val="4407668B"/>
    <w:rsid w:val="440E3217"/>
    <w:rsid w:val="440F6F8F"/>
    <w:rsid w:val="441167B0"/>
    <w:rsid w:val="4414531D"/>
    <w:rsid w:val="44173BEE"/>
    <w:rsid w:val="44236B3B"/>
    <w:rsid w:val="44246EDE"/>
    <w:rsid w:val="44316F05"/>
    <w:rsid w:val="443A04B0"/>
    <w:rsid w:val="443A3EFD"/>
    <w:rsid w:val="443C4228"/>
    <w:rsid w:val="443F1622"/>
    <w:rsid w:val="443F7480"/>
    <w:rsid w:val="4441183E"/>
    <w:rsid w:val="44444E8A"/>
    <w:rsid w:val="444B0A02"/>
    <w:rsid w:val="444B4E82"/>
    <w:rsid w:val="44507CD3"/>
    <w:rsid w:val="445175A7"/>
    <w:rsid w:val="44524D55"/>
    <w:rsid w:val="445F644C"/>
    <w:rsid w:val="44621C79"/>
    <w:rsid w:val="44640DFA"/>
    <w:rsid w:val="446E489D"/>
    <w:rsid w:val="447C0AC8"/>
    <w:rsid w:val="44801C3A"/>
    <w:rsid w:val="44827761"/>
    <w:rsid w:val="4484172B"/>
    <w:rsid w:val="4484797D"/>
    <w:rsid w:val="44856E85"/>
    <w:rsid w:val="44911354"/>
    <w:rsid w:val="4492209A"/>
    <w:rsid w:val="44930AA7"/>
    <w:rsid w:val="449556E6"/>
    <w:rsid w:val="449E3E03"/>
    <w:rsid w:val="449F0313"/>
    <w:rsid w:val="44A616A1"/>
    <w:rsid w:val="44A771C7"/>
    <w:rsid w:val="44B10046"/>
    <w:rsid w:val="44B45AC8"/>
    <w:rsid w:val="44B55D88"/>
    <w:rsid w:val="44B71B00"/>
    <w:rsid w:val="44C47537"/>
    <w:rsid w:val="44C63AF1"/>
    <w:rsid w:val="44C7428D"/>
    <w:rsid w:val="44CE6E4A"/>
    <w:rsid w:val="44D2693A"/>
    <w:rsid w:val="44D34460"/>
    <w:rsid w:val="44D53D34"/>
    <w:rsid w:val="44D97CC8"/>
    <w:rsid w:val="44DC1567"/>
    <w:rsid w:val="44DE708D"/>
    <w:rsid w:val="44DF02C8"/>
    <w:rsid w:val="44DF2E05"/>
    <w:rsid w:val="44E22A77"/>
    <w:rsid w:val="44E439DB"/>
    <w:rsid w:val="44E4666D"/>
    <w:rsid w:val="44E923D0"/>
    <w:rsid w:val="44EB79FC"/>
    <w:rsid w:val="44F03D28"/>
    <w:rsid w:val="44F3240C"/>
    <w:rsid w:val="44F543D6"/>
    <w:rsid w:val="44F77B81"/>
    <w:rsid w:val="44FF0DB1"/>
    <w:rsid w:val="45074150"/>
    <w:rsid w:val="4508235C"/>
    <w:rsid w:val="450B40D6"/>
    <w:rsid w:val="450E7246"/>
    <w:rsid w:val="45167820"/>
    <w:rsid w:val="45181E73"/>
    <w:rsid w:val="451B715E"/>
    <w:rsid w:val="451F76A5"/>
    <w:rsid w:val="45217ADF"/>
    <w:rsid w:val="452658CE"/>
    <w:rsid w:val="452668B1"/>
    <w:rsid w:val="452721DD"/>
    <w:rsid w:val="452847AC"/>
    <w:rsid w:val="452B1BA6"/>
    <w:rsid w:val="453635DD"/>
    <w:rsid w:val="453957A2"/>
    <w:rsid w:val="453B44DF"/>
    <w:rsid w:val="453C24C7"/>
    <w:rsid w:val="453C3DB3"/>
    <w:rsid w:val="453E793F"/>
    <w:rsid w:val="454113CA"/>
    <w:rsid w:val="454378FD"/>
    <w:rsid w:val="454B3FF6"/>
    <w:rsid w:val="454C62B0"/>
    <w:rsid w:val="454C711D"/>
    <w:rsid w:val="45564F7E"/>
    <w:rsid w:val="455C26A8"/>
    <w:rsid w:val="455C6204"/>
    <w:rsid w:val="45605CF4"/>
    <w:rsid w:val="45633A36"/>
    <w:rsid w:val="45660E30"/>
    <w:rsid w:val="4568104C"/>
    <w:rsid w:val="456D21BF"/>
    <w:rsid w:val="45717F01"/>
    <w:rsid w:val="457A6819"/>
    <w:rsid w:val="457F1EF2"/>
    <w:rsid w:val="45842AB5"/>
    <w:rsid w:val="45865C90"/>
    <w:rsid w:val="458B273A"/>
    <w:rsid w:val="4590717F"/>
    <w:rsid w:val="459723DF"/>
    <w:rsid w:val="45997458"/>
    <w:rsid w:val="459E3044"/>
    <w:rsid w:val="45A007E6"/>
    <w:rsid w:val="45A43F88"/>
    <w:rsid w:val="45A55DFD"/>
    <w:rsid w:val="45A64ACA"/>
    <w:rsid w:val="45A858ED"/>
    <w:rsid w:val="45B222C8"/>
    <w:rsid w:val="45B80B62"/>
    <w:rsid w:val="45B82804"/>
    <w:rsid w:val="45B8657D"/>
    <w:rsid w:val="45BC4EF4"/>
    <w:rsid w:val="45BE0C6C"/>
    <w:rsid w:val="45C30031"/>
    <w:rsid w:val="45C40B15"/>
    <w:rsid w:val="45C43A17"/>
    <w:rsid w:val="45C67B21"/>
    <w:rsid w:val="45C81AEB"/>
    <w:rsid w:val="45CA13BF"/>
    <w:rsid w:val="45D109A0"/>
    <w:rsid w:val="45D264C6"/>
    <w:rsid w:val="45D43FEC"/>
    <w:rsid w:val="45D57E8E"/>
    <w:rsid w:val="45E048A4"/>
    <w:rsid w:val="45E87A97"/>
    <w:rsid w:val="45F04FBB"/>
    <w:rsid w:val="45F11042"/>
    <w:rsid w:val="45F440B0"/>
    <w:rsid w:val="45F53740"/>
    <w:rsid w:val="45F66658"/>
    <w:rsid w:val="45F9548D"/>
    <w:rsid w:val="45FB2391"/>
    <w:rsid w:val="45FD1795"/>
    <w:rsid w:val="45FF20EC"/>
    <w:rsid w:val="46004DE1"/>
    <w:rsid w:val="46020B59"/>
    <w:rsid w:val="4609638B"/>
    <w:rsid w:val="460D10DC"/>
    <w:rsid w:val="46113104"/>
    <w:rsid w:val="46162856"/>
    <w:rsid w:val="46164604"/>
    <w:rsid w:val="46182CA2"/>
    <w:rsid w:val="46182FF9"/>
    <w:rsid w:val="461D5993"/>
    <w:rsid w:val="461E170B"/>
    <w:rsid w:val="462036D5"/>
    <w:rsid w:val="46222FA9"/>
    <w:rsid w:val="4622484A"/>
    <w:rsid w:val="46236D21"/>
    <w:rsid w:val="4624673F"/>
    <w:rsid w:val="46250CEB"/>
    <w:rsid w:val="462D0E63"/>
    <w:rsid w:val="462E7BA0"/>
    <w:rsid w:val="462F56C6"/>
    <w:rsid w:val="46340F2E"/>
    <w:rsid w:val="463D4287"/>
    <w:rsid w:val="464253F9"/>
    <w:rsid w:val="46472A10"/>
    <w:rsid w:val="46477507"/>
    <w:rsid w:val="46497422"/>
    <w:rsid w:val="464F1A25"/>
    <w:rsid w:val="46535859"/>
    <w:rsid w:val="46537607"/>
    <w:rsid w:val="46565349"/>
    <w:rsid w:val="46590ACE"/>
    <w:rsid w:val="465B470D"/>
    <w:rsid w:val="465D2233"/>
    <w:rsid w:val="466358B8"/>
    <w:rsid w:val="4665558C"/>
    <w:rsid w:val="4665733A"/>
    <w:rsid w:val="4669507C"/>
    <w:rsid w:val="466C2476"/>
    <w:rsid w:val="467C6146"/>
    <w:rsid w:val="467F21AA"/>
    <w:rsid w:val="46841EB6"/>
    <w:rsid w:val="46911EDD"/>
    <w:rsid w:val="46913844"/>
    <w:rsid w:val="469814BD"/>
    <w:rsid w:val="469A5235"/>
    <w:rsid w:val="469D2F78"/>
    <w:rsid w:val="469F284C"/>
    <w:rsid w:val="46A2058E"/>
    <w:rsid w:val="46A41C10"/>
    <w:rsid w:val="46AC20E2"/>
    <w:rsid w:val="46B60540"/>
    <w:rsid w:val="46C135E3"/>
    <w:rsid w:val="46C87FF5"/>
    <w:rsid w:val="46CB3641"/>
    <w:rsid w:val="46CD058C"/>
    <w:rsid w:val="46CE09C1"/>
    <w:rsid w:val="46D701E0"/>
    <w:rsid w:val="46DA76D2"/>
    <w:rsid w:val="46DC75FC"/>
    <w:rsid w:val="46DF6973"/>
    <w:rsid w:val="46E04F92"/>
    <w:rsid w:val="46E37F7B"/>
    <w:rsid w:val="46E45894"/>
    <w:rsid w:val="46E62229"/>
    <w:rsid w:val="46F04E55"/>
    <w:rsid w:val="46F31C44"/>
    <w:rsid w:val="46F34946"/>
    <w:rsid w:val="46FA2178"/>
    <w:rsid w:val="46FF216D"/>
    <w:rsid w:val="4702579C"/>
    <w:rsid w:val="4703102D"/>
    <w:rsid w:val="47064679"/>
    <w:rsid w:val="47094169"/>
    <w:rsid w:val="470B7EE1"/>
    <w:rsid w:val="470E1780"/>
    <w:rsid w:val="470E79D1"/>
    <w:rsid w:val="47125D93"/>
    <w:rsid w:val="4714323A"/>
    <w:rsid w:val="47170634"/>
    <w:rsid w:val="471A45C8"/>
    <w:rsid w:val="471F1BDF"/>
    <w:rsid w:val="471F573B"/>
    <w:rsid w:val="47237C0D"/>
    <w:rsid w:val="47362A58"/>
    <w:rsid w:val="47392CA0"/>
    <w:rsid w:val="47407557"/>
    <w:rsid w:val="47501D98"/>
    <w:rsid w:val="47543636"/>
    <w:rsid w:val="47571378"/>
    <w:rsid w:val="47577F36"/>
    <w:rsid w:val="475B6989"/>
    <w:rsid w:val="475F3D89"/>
    <w:rsid w:val="47621D4A"/>
    <w:rsid w:val="47633879"/>
    <w:rsid w:val="47634395"/>
    <w:rsid w:val="47685334"/>
    <w:rsid w:val="476870E2"/>
    <w:rsid w:val="476A399D"/>
    <w:rsid w:val="476A63AC"/>
    <w:rsid w:val="476E00E4"/>
    <w:rsid w:val="476F42E3"/>
    <w:rsid w:val="47702A0F"/>
    <w:rsid w:val="47721D0E"/>
    <w:rsid w:val="47754AD3"/>
    <w:rsid w:val="47775577"/>
    <w:rsid w:val="477E06B3"/>
    <w:rsid w:val="477E5902"/>
    <w:rsid w:val="477F60A4"/>
    <w:rsid w:val="47833F1C"/>
    <w:rsid w:val="47867568"/>
    <w:rsid w:val="478B1022"/>
    <w:rsid w:val="478C491C"/>
    <w:rsid w:val="478D08F6"/>
    <w:rsid w:val="478F0B12"/>
    <w:rsid w:val="4790103A"/>
    <w:rsid w:val="479223B1"/>
    <w:rsid w:val="47971775"/>
    <w:rsid w:val="4799729B"/>
    <w:rsid w:val="479C79DF"/>
    <w:rsid w:val="47A001D4"/>
    <w:rsid w:val="47A04ACD"/>
    <w:rsid w:val="47A23BEF"/>
    <w:rsid w:val="47A74DF3"/>
    <w:rsid w:val="47AA3B48"/>
    <w:rsid w:val="47AD0D2F"/>
    <w:rsid w:val="47AD2D46"/>
    <w:rsid w:val="47AF5F2C"/>
    <w:rsid w:val="47B42227"/>
    <w:rsid w:val="47BC4A61"/>
    <w:rsid w:val="47C36A0E"/>
    <w:rsid w:val="47C40E5D"/>
    <w:rsid w:val="47C774BF"/>
    <w:rsid w:val="47C84B88"/>
    <w:rsid w:val="47D7542C"/>
    <w:rsid w:val="47DB5B06"/>
    <w:rsid w:val="47DC529C"/>
    <w:rsid w:val="47E0311C"/>
    <w:rsid w:val="47E11690"/>
    <w:rsid w:val="47E250E6"/>
    <w:rsid w:val="47E530F7"/>
    <w:rsid w:val="47E648A4"/>
    <w:rsid w:val="47E726FC"/>
    <w:rsid w:val="47E82B23"/>
    <w:rsid w:val="47ED75E7"/>
    <w:rsid w:val="47F40975"/>
    <w:rsid w:val="47F646ED"/>
    <w:rsid w:val="47F95F8C"/>
    <w:rsid w:val="480402AD"/>
    <w:rsid w:val="480768FB"/>
    <w:rsid w:val="48084421"/>
    <w:rsid w:val="480F2CDB"/>
    <w:rsid w:val="48117779"/>
    <w:rsid w:val="4812704D"/>
    <w:rsid w:val="48164D90"/>
    <w:rsid w:val="481829E1"/>
    <w:rsid w:val="481903DC"/>
    <w:rsid w:val="48194880"/>
    <w:rsid w:val="481B05F8"/>
    <w:rsid w:val="481C529E"/>
    <w:rsid w:val="482079BC"/>
    <w:rsid w:val="48277F71"/>
    <w:rsid w:val="482A083B"/>
    <w:rsid w:val="4835453B"/>
    <w:rsid w:val="48367E54"/>
    <w:rsid w:val="48382C99"/>
    <w:rsid w:val="48382F58"/>
    <w:rsid w:val="48396CD0"/>
    <w:rsid w:val="483B2A48"/>
    <w:rsid w:val="483D18E3"/>
    <w:rsid w:val="483D6CA0"/>
    <w:rsid w:val="48401E0D"/>
    <w:rsid w:val="48424A64"/>
    <w:rsid w:val="484511D1"/>
    <w:rsid w:val="484566F6"/>
    <w:rsid w:val="48462287"/>
    <w:rsid w:val="4846683E"/>
    <w:rsid w:val="48480CC1"/>
    <w:rsid w:val="484F02A2"/>
    <w:rsid w:val="48515DC8"/>
    <w:rsid w:val="485A1120"/>
    <w:rsid w:val="48663944"/>
    <w:rsid w:val="48693111"/>
    <w:rsid w:val="486A3837"/>
    <w:rsid w:val="486A50DB"/>
    <w:rsid w:val="486E0728"/>
    <w:rsid w:val="48735D3E"/>
    <w:rsid w:val="48821C05"/>
    <w:rsid w:val="48861F15"/>
    <w:rsid w:val="48A64365"/>
    <w:rsid w:val="48A735C1"/>
    <w:rsid w:val="48B07EC5"/>
    <w:rsid w:val="48B12D0A"/>
    <w:rsid w:val="48B3438D"/>
    <w:rsid w:val="48C82209"/>
    <w:rsid w:val="48CA7928"/>
    <w:rsid w:val="48CB3DCC"/>
    <w:rsid w:val="48CE4EF9"/>
    <w:rsid w:val="48D30CCC"/>
    <w:rsid w:val="48D35608"/>
    <w:rsid w:val="48D55147"/>
    <w:rsid w:val="48D569F9"/>
    <w:rsid w:val="48D93292"/>
    <w:rsid w:val="48DE2CEC"/>
    <w:rsid w:val="48E1539E"/>
    <w:rsid w:val="48E24C72"/>
    <w:rsid w:val="48E7655B"/>
    <w:rsid w:val="48EB73AD"/>
    <w:rsid w:val="48F62E90"/>
    <w:rsid w:val="48FC3F85"/>
    <w:rsid w:val="48FD2A6B"/>
    <w:rsid w:val="49033566"/>
    <w:rsid w:val="490C24B2"/>
    <w:rsid w:val="490C758F"/>
    <w:rsid w:val="490E1F0B"/>
    <w:rsid w:val="4910053F"/>
    <w:rsid w:val="49156DF5"/>
    <w:rsid w:val="49172B6D"/>
    <w:rsid w:val="491868E5"/>
    <w:rsid w:val="491D1F0B"/>
    <w:rsid w:val="491F1A22"/>
    <w:rsid w:val="49284D7B"/>
    <w:rsid w:val="492D05E3"/>
    <w:rsid w:val="492E6109"/>
    <w:rsid w:val="492F1BC7"/>
    <w:rsid w:val="49311755"/>
    <w:rsid w:val="493443AD"/>
    <w:rsid w:val="49382AE4"/>
    <w:rsid w:val="493E459E"/>
    <w:rsid w:val="49404145"/>
    <w:rsid w:val="49407797"/>
    <w:rsid w:val="49423962"/>
    <w:rsid w:val="494B6CBB"/>
    <w:rsid w:val="494F67AB"/>
    <w:rsid w:val="495F52B3"/>
    <w:rsid w:val="495F62C2"/>
    <w:rsid w:val="496263A2"/>
    <w:rsid w:val="49641B2B"/>
    <w:rsid w:val="496E0CF2"/>
    <w:rsid w:val="496F0BFB"/>
    <w:rsid w:val="49724248"/>
    <w:rsid w:val="497403A7"/>
    <w:rsid w:val="49746212"/>
    <w:rsid w:val="49787384"/>
    <w:rsid w:val="49822868"/>
    <w:rsid w:val="498339EA"/>
    <w:rsid w:val="49865F45"/>
    <w:rsid w:val="498865B0"/>
    <w:rsid w:val="498D0502"/>
    <w:rsid w:val="499F0DB5"/>
    <w:rsid w:val="49A168DB"/>
    <w:rsid w:val="49A2403D"/>
    <w:rsid w:val="49A750D8"/>
    <w:rsid w:val="49A95790"/>
    <w:rsid w:val="49B13E38"/>
    <w:rsid w:val="49B44860"/>
    <w:rsid w:val="49BC3715"/>
    <w:rsid w:val="49C36851"/>
    <w:rsid w:val="49C64593"/>
    <w:rsid w:val="49C77850"/>
    <w:rsid w:val="49C820BA"/>
    <w:rsid w:val="49CA7BE0"/>
    <w:rsid w:val="49CB3958"/>
    <w:rsid w:val="49CF51F6"/>
    <w:rsid w:val="49D00F6E"/>
    <w:rsid w:val="49D039EE"/>
    <w:rsid w:val="49D56585"/>
    <w:rsid w:val="49D65D98"/>
    <w:rsid w:val="49DE7B2F"/>
    <w:rsid w:val="49E11377"/>
    <w:rsid w:val="49E3340D"/>
    <w:rsid w:val="49E859DE"/>
    <w:rsid w:val="49EC3DB2"/>
    <w:rsid w:val="49F44C5D"/>
    <w:rsid w:val="49F64E79"/>
    <w:rsid w:val="49F904C5"/>
    <w:rsid w:val="4A064EEE"/>
    <w:rsid w:val="4A073626"/>
    <w:rsid w:val="4A0F1148"/>
    <w:rsid w:val="4A0F1A96"/>
    <w:rsid w:val="4A11120B"/>
    <w:rsid w:val="4A1B043B"/>
    <w:rsid w:val="4A2319E6"/>
    <w:rsid w:val="4A273284"/>
    <w:rsid w:val="4A282B58"/>
    <w:rsid w:val="4A286FFC"/>
    <w:rsid w:val="4A290272"/>
    <w:rsid w:val="4A2A41D1"/>
    <w:rsid w:val="4A2C2648"/>
    <w:rsid w:val="4A34774F"/>
    <w:rsid w:val="4A3818BA"/>
    <w:rsid w:val="4A3E412A"/>
    <w:rsid w:val="4A423CB1"/>
    <w:rsid w:val="4A443E36"/>
    <w:rsid w:val="4A4B639C"/>
    <w:rsid w:val="4A4F27DB"/>
    <w:rsid w:val="4A4F4589"/>
    <w:rsid w:val="4A525E27"/>
    <w:rsid w:val="4A5514F1"/>
    <w:rsid w:val="4A584308"/>
    <w:rsid w:val="4A593999"/>
    <w:rsid w:val="4A5C2802"/>
    <w:rsid w:val="4A603121"/>
    <w:rsid w:val="4A651C06"/>
    <w:rsid w:val="4A6873F9"/>
    <w:rsid w:val="4A6A3688"/>
    <w:rsid w:val="4A6A4F1F"/>
    <w:rsid w:val="4A7646BA"/>
    <w:rsid w:val="4A7D5330"/>
    <w:rsid w:val="4A7E09CA"/>
    <w:rsid w:val="4A7F051D"/>
    <w:rsid w:val="4A802994"/>
    <w:rsid w:val="4A8561FD"/>
    <w:rsid w:val="4A8602B5"/>
    <w:rsid w:val="4A871F75"/>
    <w:rsid w:val="4A8A7D2D"/>
    <w:rsid w:val="4A8D1AC5"/>
    <w:rsid w:val="4A8E3303"/>
    <w:rsid w:val="4A8E6E5F"/>
    <w:rsid w:val="4A932779"/>
    <w:rsid w:val="4A9401EE"/>
    <w:rsid w:val="4A954692"/>
    <w:rsid w:val="4A9E1EBD"/>
    <w:rsid w:val="4A9F106C"/>
    <w:rsid w:val="4AA04DE4"/>
    <w:rsid w:val="4AA541A9"/>
    <w:rsid w:val="4AAD266D"/>
    <w:rsid w:val="4AB83EDC"/>
    <w:rsid w:val="4ABC522A"/>
    <w:rsid w:val="4ABD14F2"/>
    <w:rsid w:val="4AC24D5B"/>
    <w:rsid w:val="4AC7411F"/>
    <w:rsid w:val="4AC960E9"/>
    <w:rsid w:val="4ACB00B3"/>
    <w:rsid w:val="4ACC5BD9"/>
    <w:rsid w:val="4AD056CA"/>
    <w:rsid w:val="4AD11442"/>
    <w:rsid w:val="4AD77890"/>
    <w:rsid w:val="4AD976E0"/>
    <w:rsid w:val="4ADC5128"/>
    <w:rsid w:val="4ADD1B95"/>
    <w:rsid w:val="4AE0041E"/>
    <w:rsid w:val="4AE271AB"/>
    <w:rsid w:val="4AEC002A"/>
    <w:rsid w:val="4AEE3DA2"/>
    <w:rsid w:val="4AEF3676"/>
    <w:rsid w:val="4AFC65A0"/>
    <w:rsid w:val="4AFF7D5D"/>
    <w:rsid w:val="4B0435C5"/>
    <w:rsid w:val="4B074E64"/>
    <w:rsid w:val="4B09762A"/>
    <w:rsid w:val="4B0E5499"/>
    <w:rsid w:val="4B117A90"/>
    <w:rsid w:val="4B1732F9"/>
    <w:rsid w:val="4B187071"/>
    <w:rsid w:val="4B1A73B2"/>
    <w:rsid w:val="4B1C15A9"/>
    <w:rsid w:val="4B223A4B"/>
    <w:rsid w:val="4B22716D"/>
    <w:rsid w:val="4B22761A"/>
    <w:rsid w:val="4B2652EA"/>
    <w:rsid w:val="4B271062"/>
    <w:rsid w:val="4B276648"/>
    <w:rsid w:val="4B2962CB"/>
    <w:rsid w:val="4B2C0426"/>
    <w:rsid w:val="4B3F0159"/>
    <w:rsid w:val="4B3F45FD"/>
    <w:rsid w:val="4B450CC8"/>
    <w:rsid w:val="4B4B11F4"/>
    <w:rsid w:val="4B5160DF"/>
    <w:rsid w:val="4B562658"/>
    <w:rsid w:val="4B5644F0"/>
    <w:rsid w:val="4B583122"/>
    <w:rsid w:val="4B58746D"/>
    <w:rsid w:val="4B5A1437"/>
    <w:rsid w:val="4B5C6F5D"/>
    <w:rsid w:val="4B5F07FC"/>
    <w:rsid w:val="4B61488F"/>
    <w:rsid w:val="4B6148D3"/>
    <w:rsid w:val="4B644064"/>
    <w:rsid w:val="4B6E4EE3"/>
    <w:rsid w:val="4B6E6C91"/>
    <w:rsid w:val="4B751DCD"/>
    <w:rsid w:val="4B757A0F"/>
    <w:rsid w:val="4B773D97"/>
    <w:rsid w:val="4B78366B"/>
    <w:rsid w:val="4B7C315C"/>
    <w:rsid w:val="4B7C7600"/>
    <w:rsid w:val="4B8464B4"/>
    <w:rsid w:val="4B871B00"/>
    <w:rsid w:val="4B893ACB"/>
    <w:rsid w:val="4B8E4932"/>
    <w:rsid w:val="4B9009B5"/>
    <w:rsid w:val="4B920BD1"/>
    <w:rsid w:val="4B92495D"/>
    <w:rsid w:val="4B9E7576"/>
    <w:rsid w:val="4BA5239F"/>
    <w:rsid w:val="4BAC3727"/>
    <w:rsid w:val="4BAD1567"/>
    <w:rsid w:val="4BAF3531"/>
    <w:rsid w:val="4BAF63DD"/>
    <w:rsid w:val="4BB46D99"/>
    <w:rsid w:val="4BB72EFE"/>
    <w:rsid w:val="4BBA0128"/>
    <w:rsid w:val="4BBB5305"/>
    <w:rsid w:val="4BBC5C4E"/>
    <w:rsid w:val="4BBD5522"/>
    <w:rsid w:val="4BBE1169"/>
    <w:rsid w:val="4BBE6D9B"/>
    <w:rsid w:val="4BC44B03"/>
    <w:rsid w:val="4BCC13B2"/>
    <w:rsid w:val="4BCE14DD"/>
    <w:rsid w:val="4BD411EA"/>
    <w:rsid w:val="4BD5286C"/>
    <w:rsid w:val="4BD905AE"/>
    <w:rsid w:val="4BDA3300"/>
    <w:rsid w:val="4BDB01D0"/>
    <w:rsid w:val="4BDE5BC4"/>
    <w:rsid w:val="4BE0566A"/>
    <w:rsid w:val="4BE33DD6"/>
    <w:rsid w:val="4BE37E92"/>
    <w:rsid w:val="4BE50D4C"/>
    <w:rsid w:val="4BEB6533"/>
    <w:rsid w:val="4BF073F9"/>
    <w:rsid w:val="4BF278C2"/>
    <w:rsid w:val="4BF47196"/>
    <w:rsid w:val="4BF94D80"/>
    <w:rsid w:val="4BFB49C8"/>
    <w:rsid w:val="4BFD2D7B"/>
    <w:rsid w:val="4C0B2731"/>
    <w:rsid w:val="4C0C0983"/>
    <w:rsid w:val="4C0C38C2"/>
    <w:rsid w:val="4C0E78E6"/>
    <w:rsid w:val="4C0F3FD0"/>
    <w:rsid w:val="4C1B5935"/>
    <w:rsid w:val="4C1C049B"/>
    <w:rsid w:val="4C1C2FF6"/>
    <w:rsid w:val="4C1F6388"/>
    <w:rsid w:val="4C25046E"/>
    <w:rsid w:val="4C2757BD"/>
    <w:rsid w:val="4C290E43"/>
    <w:rsid w:val="4C3103EA"/>
    <w:rsid w:val="4C373527"/>
    <w:rsid w:val="4C3752D5"/>
    <w:rsid w:val="4C3F30EF"/>
    <w:rsid w:val="4C4246AA"/>
    <w:rsid w:val="4C4579F1"/>
    <w:rsid w:val="4C47762A"/>
    <w:rsid w:val="4C507FF5"/>
    <w:rsid w:val="4C523EBC"/>
    <w:rsid w:val="4C575977"/>
    <w:rsid w:val="4C5C2F8D"/>
    <w:rsid w:val="4C5D11DF"/>
    <w:rsid w:val="4C5F2177"/>
    <w:rsid w:val="4C651E42"/>
    <w:rsid w:val="4C661AD1"/>
    <w:rsid w:val="4C6836E0"/>
    <w:rsid w:val="4C693695"/>
    <w:rsid w:val="4C6A0222"/>
    <w:rsid w:val="4C6D0CF6"/>
    <w:rsid w:val="4C6F23D7"/>
    <w:rsid w:val="4C72630D"/>
    <w:rsid w:val="4C730499"/>
    <w:rsid w:val="4C746529"/>
    <w:rsid w:val="4C786019"/>
    <w:rsid w:val="4C7C718B"/>
    <w:rsid w:val="4C9444D5"/>
    <w:rsid w:val="4C952CDF"/>
    <w:rsid w:val="4C96639C"/>
    <w:rsid w:val="4C975D73"/>
    <w:rsid w:val="4CA13AEC"/>
    <w:rsid w:val="4CA23096"/>
    <w:rsid w:val="4CA3103B"/>
    <w:rsid w:val="4CA42F63"/>
    <w:rsid w:val="4CAA4C60"/>
    <w:rsid w:val="4CAC5CC3"/>
    <w:rsid w:val="4CB34C20"/>
    <w:rsid w:val="4CB55588"/>
    <w:rsid w:val="4CB867D2"/>
    <w:rsid w:val="4CB9218D"/>
    <w:rsid w:val="4CBB5FEB"/>
    <w:rsid w:val="4CBB7CB4"/>
    <w:rsid w:val="4CBE77A4"/>
    <w:rsid w:val="4CC0351C"/>
    <w:rsid w:val="4CC133B8"/>
    <w:rsid w:val="4CC21042"/>
    <w:rsid w:val="4CC44379"/>
    <w:rsid w:val="4CCC7780"/>
    <w:rsid w:val="4CCD7D96"/>
    <w:rsid w:val="4CCE0B6D"/>
    <w:rsid w:val="4CD15729"/>
    <w:rsid w:val="4CD34FFD"/>
    <w:rsid w:val="4CD46FC7"/>
    <w:rsid w:val="4CD62D3F"/>
    <w:rsid w:val="4CD82614"/>
    <w:rsid w:val="4CD945DE"/>
    <w:rsid w:val="4CDB0356"/>
    <w:rsid w:val="4CE03BBE"/>
    <w:rsid w:val="4CE23492"/>
    <w:rsid w:val="4CE37539"/>
    <w:rsid w:val="4CE94821"/>
    <w:rsid w:val="4CEA0599"/>
    <w:rsid w:val="4CEC3C20"/>
    <w:rsid w:val="4CED49FB"/>
    <w:rsid w:val="4CED534E"/>
    <w:rsid w:val="4CEE4C3B"/>
    <w:rsid w:val="4CF11D13"/>
    <w:rsid w:val="4CFB4554"/>
    <w:rsid w:val="4D04165B"/>
    <w:rsid w:val="4D05599E"/>
    <w:rsid w:val="4D072EF9"/>
    <w:rsid w:val="4D0734F8"/>
    <w:rsid w:val="4D090A1F"/>
    <w:rsid w:val="4D0A4797"/>
    <w:rsid w:val="4D0F1DAD"/>
    <w:rsid w:val="4D171F89"/>
    <w:rsid w:val="4D206C65"/>
    <w:rsid w:val="4D2254A5"/>
    <w:rsid w:val="4D260FE9"/>
    <w:rsid w:val="4D2754A2"/>
    <w:rsid w:val="4D2B3D75"/>
    <w:rsid w:val="4D2E2B7B"/>
    <w:rsid w:val="4D44414D"/>
    <w:rsid w:val="4D481227"/>
    <w:rsid w:val="4D486396"/>
    <w:rsid w:val="4D4F2B56"/>
    <w:rsid w:val="4D635182"/>
    <w:rsid w:val="4D700A9E"/>
    <w:rsid w:val="4D723C69"/>
    <w:rsid w:val="4D73058E"/>
    <w:rsid w:val="4D761E2D"/>
    <w:rsid w:val="4D853448"/>
    <w:rsid w:val="4D8E1031"/>
    <w:rsid w:val="4D8E7176"/>
    <w:rsid w:val="4D907392"/>
    <w:rsid w:val="4D923C20"/>
    <w:rsid w:val="4D9A1FBF"/>
    <w:rsid w:val="4D9E016A"/>
    <w:rsid w:val="4DA45F3B"/>
    <w:rsid w:val="4DAA766D"/>
    <w:rsid w:val="4DAB41CC"/>
    <w:rsid w:val="4DAC584E"/>
    <w:rsid w:val="4DAE15C6"/>
    <w:rsid w:val="4DB0533F"/>
    <w:rsid w:val="4DB20295"/>
    <w:rsid w:val="4DB46F0F"/>
    <w:rsid w:val="4DB7491F"/>
    <w:rsid w:val="4DBF5582"/>
    <w:rsid w:val="4DC21A1F"/>
    <w:rsid w:val="4DC24D69"/>
    <w:rsid w:val="4DC617B7"/>
    <w:rsid w:val="4DCA1188"/>
    <w:rsid w:val="4DCD4142"/>
    <w:rsid w:val="4DCE3A17"/>
    <w:rsid w:val="4DD23507"/>
    <w:rsid w:val="4DD3102D"/>
    <w:rsid w:val="4DD83BCC"/>
    <w:rsid w:val="4DDF5C24"/>
    <w:rsid w:val="4DE1199C"/>
    <w:rsid w:val="4DE23ECB"/>
    <w:rsid w:val="4DE358D8"/>
    <w:rsid w:val="4DE36B78"/>
    <w:rsid w:val="4DE80F7C"/>
    <w:rsid w:val="4DE84AD8"/>
    <w:rsid w:val="4DED0341"/>
    <w:rsid w:val="4DF25957"/>
    <w:rsid w:val="4DF41442"/>
    <w:rsid w:val="4DF46BED"/>
    <w:rsid w:val="4DF94F37"/>
    <w:rsid w:val="4E042EA5"/>
    <w:rsid w:val="4E094A4F"/>
    <w:rsid w:val="4E0D2384"/>
    <w:rsid w:val="4E0D3D1B"/>
    <w:rsid w:val="4E0F02B7"/>
    <w:rsid w:val="4E0F686C"/>
    <w:rsid w:val="4E125FF9"/>
    <w:rsid w:val="4E127DA7"/>
    <w:rsid w:val="4E1A4EAE"/>
    <w:rsid w:val="4E1F24C4"/>
    <w:rsid w:val="4E345F70"/>
    <w:rsid w:val="4E355844"/>
    <w:rsid w:val="4E3C4E24"/>
    <w:rsid w:val="4E416F4D"/>
    <w:rsid w:val="4E4640DD"/>
    <w:rsid w:val="4E484388"/>
    <w:rsid w:val="4E4A5793"/>
    <w:rsid w:val="4E4B32B9"/>
    <w:rsid w:val="4E4C150B"/>
    <w:rsid w:val="4E5008D0"/>
    <w:rsid w:val="4E5263F6"/>
    <w:rsid w:val="4E54216E"/>
    <w:rsid w:val="4E546612"/>
    <w:rsid w:val="4E6C395B"/>
    <w:rsid w:val="4E6C5709"/>
    <w:rsid w:val="4E720C8D"/>
    <w:rsid w:val="4E722C3D"/>
    <w:rsid w:val="4E76360F"/>
    <w:rsid w:val="4E7C3473"/>
    <w:rsid w:val="4E807407"/>
    <w:rsid w:val="4E8862BB"/>
    <w:rsid w:val="4E8C75B3"/>
    <w:rsid w:val="4E8F31A6"/>
    <w:rsid w:val="4E920EE8"/>
    <w:rsid w:val="4E93713A"/>
    <w:rsid w:val="4E9E5ADF"/>
    <w:rsid w:val="4EA07161"/>
    <w:rsid w:val="4EA330F5"/>
    <w:rsid w:val="4EA604F0"/>
    <w:rsid w:val="4EA6124F"/>
    <w:rsid w:val="4EA647B1"/>
    <w:rsid w:val="4EA8070C"/>
    <w:rsid w:val="4EAF1A9A"/>
    <w:rsid w:val="4EB3158A"/>
    <w:rsid w:val="4EB715F5"/>
    <w:rsid w:val="4EBB043F"/>
    <w:rsid w:val="4EBD41B7"/>
    <w:rsid w:val="4EC217CD"/>
    <w:rsid w:val="4EC72940"/>
    <w:rsid w:val="4EC76DE4"/>
    <w:rsid w:val="4EC9446C"/>
    <w:rsid w:val="4ECC7F56"/>
    <w:rsid w:val="4ECE0495"/>
    <w:rsid w:val="4ED60DD5"/>
    <w:rsid w:val="4ED908C5"/>
    <w:rsid w:val="4EE23C1E"/>
    <w:rsid w:val="4EE51018"/>
    <w:rsid w:val="4EE6156C"/>
    <w:rsid w:val="4EE71234"/>
    <w:rsid w:val="4EEE6D71"/>
    <w:rsid w:val="4EF35A1F"/>
    <w:rsid w:val="4EF86F9D"/>
    <w:rsid w:val="4EFE20DA"/>
    <w:rsid w:val="4F014A92"/>
    <w:rsid w:val="4F054FD8"/>
    <w:rsid w:val="4F0973FC"/>
    <w:rsid w:val="4F0A6CD0"/>
    <w:rsid w:val="4F0B3174"/>
    <w:rsid w:val="4F0C0C9A"/>
    <w:rsid w:val="4F150978"/>
    <w:rsid w:val="4F167659"/>
    <w:rsid w:val="4F1801C5"/>
    <w:rsid w:val="4F185A19"/>
    <w:rsid w:val="4F231B40"/>
    <w:rsid w:val="4F2546A9"/>
    <w:rsid w:val="4F287AAC"/>
    <w:rsid w:val="4F29479B"/>
    <w:rsid w:val="4F342C01"/>
    <w:rsid w:val="4F3A01B4"/>
    <w:rsid w:val="4F3B1580"/>
    <w:rsid w:val="4F3F7CEB"/>
    <w:rsid w:val="4F42646A"/>
    <w:rsid w:val="4F4915A7"/>
    <w:rsid w:val="4F4C553B"/>
    <w:rsid w:val="4F4F3584"/>
    <w:rsid w:val="4F512B51"/>
    <w:rsid w:val="4F5166AD"/>
    <w:rsid w:val="4F532425"/>
    <w:rsid w:val="4F543987"/>
    <w:rsid w:val="4F5904BD"/>
    <w:rsid w:val="4F642884"/>
    <w:rsid w:val="4F730D1A"/>
    <w:rsid w:val="4F7420D6"/>
    <w:rsid w:val="4F7A2731"/>
    <w:rsid w:val="4F7A3E56"/>
    <w:rsid w:val="4F7B0BA3"/>
    <w:rsid w:val="4F7D56F4"/>
    <w:rsid w:val="4F7F76BE"/>
    <w:rsid w:val="4F8151E4"/>
    <w:rsid w:val="4F822D0B"/>
    <w:rsid w:val="4F895E47"/>
    <w:rsid w:val="4F896A38"/>
    <w:rsid w:val="4F8E345D"/>
    <w:rsid w:val="4F905428"/>
    <w:rsid w:val="4F9579D0"/>
    <w:rsid w:val="4F9C3DCC"/>
    <w:rsid w:val="4FA113E3"/>
    <w:rsid w:val="4FA25BD4"/>
    <w:rsid w:val="4FB05ACA"/>
    <w:rsid w:val="4FB355BA"/>
    <w:rsid w:val="4FB37368"/>
    <w:rsid w:val="4FBA0B14"/>
    <w:rsid w:val="4FBF2269"/>
    <w:rsid w:val="4FBF3F5F"/>
    <w:rsid w:val="4FC30FBB"/>
    <w:rsid w:val="4FC41575"/>
    <w:rsid w:val="4FC652ED"/>
    <w:rsid w:val="4FC7433D"/>
    <w:rsid w:val="4FC96B8B"/>
    <w:rsid w:val="4FCC644D"/>
    <w:rsid w:val="4FCD21B3"/>
    <w:rsid w:val="4FCD57BB"/>
    <w:rsid w:val="4FCE41A2"/>
    <w:rsid w:val="4FD743CF"/>
    <w:rsid w:val="4FDC68BF"/>
    <w:rsid w:val="4FEE03A0"/>
    <w:rsid w:val="4FEE65F2"/>
    <w:rsid w:val="4FF20A93"/>
    <w:rsid w:val="4FF260E2"/>
    <w:rsid w:val="4FF27E90"/>
    <w:rsid w:val="4FF43C08"/>
    <w:rsid w:val="4FF9682B"/>
    <w:rsid w:val="4FFA0FDF"/>
    <w:rsid w:val="4FFC0D0F"/>
    <w:rsid w:val="50023926"/>
    <w:rsid w:val="50025BF9"/>
    <w:rsid w:val="50033E4B"/>
    <w:rsid w:val="50067698"/>
    <w:rsid w:val="50083210"/>
    <w:rsid w:val="500A342C"/>
    <w:rsid w:val="500F69BB"/>
    <w:rsid w:val="50100316"/>
    <w:rsid w:val="50131BB5"/>
    <w:rsid w:val="50195AE4"/>
    <w:rsid w:val="501C4F0D"/>
    <w:rsid w:val="501C6CBB"/>
    <w:rsid w:val="50227B47"/>
    <w:rsid w:val="50233F34"/>
    <w:rsid w:val="502344EE"/>
    <w:rsid w:val="50242014"/>
    <w:rsid w:val="50265D8C"/>
    <w:rsid w:val="50274AAC"/>
    <w:rsid w:val="50306FB5"/>
    <w:rsid w:val="50352BF0"/>
    <w:rsid w:val="50354221"/>
    <w:rsid w:val="503B5C81"/>
    <w:rsid w:val="503C735D"/>
    <w:rsid w:val="50414974"/>
    <w:rsid w:val="50416722"/>
    <w:rsid w:val="504604FF"/>
    <w:rsid w:val="504A4B3C"/>
    <w:rsid w:val="504B57F2"/>
    <w:rsid w:val="504B75A0"/>
    <w:rsid w:val="50502E09"/>
    <w:rsid w:val="50547CBA"/>
    <w:rsid w:val="505A5A36"/>
    <w:rsid w:val="50620338"/>
    <w:rsid w:val="50620A61"/>
    <w:rsid w:val="50630D8E"/>
    <w:rsid w:val="50650662"/>
    <w:rsid w:val="50652DAE"/>
    <w:rsid w:val="506B7C43"/>
    <w:rsid w:val="506C644E"/>
    <w:rsid w:val="506D50D8"/>
    <w:rsid w:val="506F403E"/>
    <w:rsid w:val="50722D7F"/>
    <w:rsid w:val="50724B2D"/>
    <w:rsid w:val="507C1E50"/>
    <w:rsid w:val="508312EF"/>
    <w:rsid w:val="508906D9"/>
    <w:rsid w:val="508B5BEF"/>
    <w:rsid w:val="508C1F80"/>
    <w:rsid w:val="508E41A9"/>
    <w:rsid w:val="50920245"/>
    <w:rsid w:val="50926F7D"/>
    <w:rsid w:val="50966A6E"/>
    <w:rsid w:val="50984C85"/>
    <w:rsid w:val="5099655E"/>
    <w:rsid w:val="509B0528"/>
    <w:rsid w:val="509E3B74"/>
    <w:rsid w:val="50A53155"/>
    <w:rsid w:val="50AE0C53"/>
    <w:rsid w:val="50B43398"/>
    <w:rsid w:val="50B47E97"/>
    <w:rsid w:val="50B6307F"/>
    <w:rsid w:val="50BC224C"/>
    <w:rsid w:val="50C17863"/>
    <w:rsid w:val="50C23D07"/>
    <w:rsid w:val="50CC15C2"/>
    <w:rsid w:val="50CD4459"/>
    <w:rsid w:val="50D43A3A"/>
    <w:rsid w:val="50D92DFE"/>
    <w:rsid w:val="50D948B8"/>
    <w:rsid w:val="50DB0924"/>
    <w:rsid w:val="50DE0415"/>
    <w:rsid w:val="50E13A61"/>
    <w:rsid w:val="50E61077"/>
    <w:rsid w:val="50E66E8D"/>
    <w:rsid w:val="50E67DC1"/>
    <w:rsid w:val="50E7551B"/>
    <w:rsid w:val="50EC48E0"/>
    <w:rsid w:val="50F74AAC"/>
    <w:rsid w:val="50F814D6"/>
    <w:rsid w:val="50FB4F07"/>
    <w:rsid w:val="50FE4613"/>
    <w:rsid w:val="50FF1FB9"/>
    <w:rsid w:val="510850A0"/>
    <w:rsid w:val="510D2AA8"/>
    <w:rsid w:val="510F4A72"/>
    <w:rsid w:val="510F6820"/>
    <w:rsid w:val="510F74FB"/>
    <w:rsid w:val="51110678"/>
    <w:rsid w:val="51127945"/>
    <w:rsid w:val="5113734F"/>
    <w:rsid w:val="511B144B"/>
    <w:rsid w:val="512027DB"/>
    <w:rsid w:val="51221DF1"/>
    <w:rsid w:val="512247A5"/>
    <w:rsid w:val="512946AD"/>
    <w:rsid w:val="512F2A1E"/>
    <w:rsid w:val="5139389D"/>
    <w:rsid w:val="513C10BA"/>
    <w:rsid w:val="51491D32"/>
    <w:rsid w:val="514C537E"/>
    <w:rsid w:val="514F30C0"/>
    <w:rsid w:val="5151508A"/>
    <w:rsid w:val="515C7681"/>
    <w:rsid w:val="515D57DD"/>
    <w:rsid w:val="51623F0F"/>
    <w:rsid w:val="51644DBE"/>
    <w:rsid w:val="51662C85"/>
    <w:rsid w:val="5167665C"/>
    <w:rsid w:val="516C3C72"/>
    <w:rsid w:val="51705EAF"/>
    <w:rsid w:val="51710FD0"/>
    <w:rsid w:val="51713037"/>
    <w:rsid w:val="51736DAF"/>
    <w:rsid w:val="51782617"/>
    <w:rsid w:val="5180327A"/>
    <w:rsid w:val="5188108E"/>
    <w:rsid w:val="518C687F"/>
    <w:rsid w:val="518D3625"/>
    <w:rsid w:val="519136D9"/>
    <w:rsid w:val="51A21442"/>
    <w:rsid w:val="51A258E6"/>
    <w:rsid w:val="51A46F68"/>
    <w:rsid w:val="51A71F6E"/>
    <w:rsid w:val="51AD233A"/>
    <w:rsid w:val="51B3364F"/>
    <w:rsid w:val="51B5656C"/>
    <w:rsid w:val="51B86AD1"/>
    <w:rsid w:val="51BD627C"/>
    <w:rsid w:val="51BF1FF4"/>
    <w:rsid w:val="51BF3DA2"/>
    <w:rsid w:val="51C32097"/>
    <w:rsid w:val="51C40308"/>
    <w:rsid w:val="51D05FAF"/>
    <w:rsid w:val="51D81308"/>
    <w:rsid w:val="51D84E64"/>
    <w:rsid w:val="51DA2102"/>
    <w:rsid w:val="51DC1E91"/>
    <w:rsid w:val="51DC2BA6"/>
    <w:rsid w:val="51DD247A"/>
    <w:rsid w:val="51E43A2E"/>
    <w:rsid w:val="51E90E1F"/>
    <w:rsid w:val="51EF71C2"/>
    <w:rsid w:val="51F758FB"/>
    <w:rsid w:val="51FA74D0"/>
    <w:rsid w:val="51FC159A"/>
    <w:rsid w:val="52002ACB"/>
    <w:rsid w:val="52027454"/>
    <w:rsid w:val="5203382D"/>
    <w:rsid w:val="520745A2"/>
    <w:rsid w:val="520774F7"/>
    <w:rsid w:val="52081B54"/>
    <w:rsid w:val="52097713"/>
    <w:rsid w:val="520B348B"/>
    <w:rsid w:val="520F7023"/>
    <w:rsid w:val="52114508"/>
    <w:rsid w:val="52194FF5"/>
    <w:rsid w:val="521A1920"/>
    <w:rsid w:val="52214A5D"/>
    <w:rsid w:val="52293911"/>
    <w:rsid w:val="522A03DB"/>
    <w:rsid w:val="522B1438"/>
    <w:rsid w:val="522D3402"/>
    <w:rsid w:val="52391DA6"/>
    <w:rsid w:val="52397FF8"/>
    <w:rsid w:val="523A167B"/>
    <w:rsid w:val="523B56F1"/>
    <w:rsid w:val="523D116B"/>
    <w:rsid w:val="523F7D4F"/>
    <w:rsid w:val="52413940"/>
    <w:rsid w:val="52432C25"/>
    <w:rsid w:val="524349D3"/>
    <w:rsid w:val="5245699D"/>
    <w:rsid w:val="52456B38"/>
    <w:rsid w:val="52466271"/>
    <w:rsid w:val="524D0733"/>
    <w:rsid w:val="524E5126"/>
    <w:rsid w:val="525548D5"/>
    <w:rsid w:val="525A3ACB"/>
    <w:rsid w:val="52630BD1"/>
    <w:rsid w:val="526F57C8"/>
    <w:rsid w:val="52727066"/>
    <w:rsid w:val="52764D40"/>
    <w:rsid w:val="52770B21"/>
    <w:rsid w:val="527C71FB"/>
    <w:rsid w:val="528E479F"/>
    <w:rsid w:val="528F4984"/>
    <w:rsid w:val="52913715"/>
    <w:rsid w:val="529450AB"/>
    <w:rsid w:val="52991641"/>
    <w:rsid w:val="529A69D5"/>
    <w:rsid w:val="529D74C2"/>
    <w:rsid w:val="529E7E5B"/>
    <w:rsid w:val="52A3146B"/>
    <w:rsid w:val="52A450A9"/>
    <w:rsid w:val="52A47596"/>
    <w:rsid w:val="52AB2578"/>
    <w:rsid w:val="52B9272F"/>
    <w:rsid w:val="52B96A43"/>
    <w:rsid w:val="52BC6534"/>
    <w:rsid w:val="52C33D66"/>
    <w:rsid w:val="52C45EE8"/>
    <w:rsid w:val="52C57577"/>
    <w:rsid w:val="52C75604"/>
    <w:rsid w:val="52C8137C"/>
    <w:rsid w:val="52C955A4"/>
    <w:rsid w:val="52C96A13"/>
    <w:rsid w:val="52CD17A5"/>
    <w:rsid w:val="52CE71D5"/>
    <w:rsid w:val="52D25D57"/>
    <w:rsid w:val="52D65847"/>
    <w:rsid w:val="52D72187"/>
    <w:rsid w:val="52DB10B0"/>
    <w:rsid w:val="52DC0984"/>
    <w:rsid w:val="52DC6BD6"/>
    <w:rsid w:val="52DE294E"/>
    <w:rsid w:val="52DE46FC"/>
    <w:rsid w:val="52DE64AA"/>
    <w:rsid w:val="52E04FF4"/>
    <w:rsid w:val="52E141EC"/>
    <w:rsid w:val="52E361B6"/>
    <w:rsid w:val="52E635B0"/>
    <w:rsid w:val="52EB0BC7"/>
    <w:rsid w:val="52F83996"/>
    <w:rsid w:val="52F91536"/>
    <w:rsid w:val="53034162"/>
    <w:rsid w:val="530D1E6F"/>
    <w:rsid w:val="530D4FE1"/>
    <w:rsid w:val="531D5224"/>
    <w:rsid w:val="531E71EE"/>
    <w:rsid w:val="53232554"/>
    <w:rsid w:val="5325057D"/>
    <w:rsid w:val="53316F22"/>
    <w:rsid w:val="53346A12"/>
    <w:rsid w:val="53383097"/>
    <w:rsid w:val="53394028"/>
    <w:rsid w:val="534211D6"/>
    <w:rsid w:val="53445F89"/>
    <w:rsid w:val="534A4C2E"/>
    <w:rsid w:val="534C5B09"/>
    <w:rsid w:val="534F73A8"/>
    <w:rsid w:val="53513120"/>
    <w:rsid w:val="53525A69"/>
    <w:rsid w:val="53542C10"/>
    <w:rsid w:val="53591FD4"/>
    <w:rsid w:val="535D45AB"/>
    <w:rsid w:val="535D7607"/>
    <w:rsid w:val="53603363"/>
    <w:rsid w:val="536A41E2"/>
    <w:rsid w:val="536C1ECE"/>
    <w:rsid w:val="536D7242"/>
    <w:rsid w:val="536E5A80"/>
    <w:rsid w:val="53733096"/>
    <w:rsid w:val="53784B50"/>
    <w:rsid w:val="537D5CC3"/>
    <w:rsid w:val="53807561"/>
    <w:rsid w:val="5382152B"/>
    <w:rsid w:val="5387761B"/>
    <w:rsid w:val="538E3C2A"/>
    <w:rsid w:val="539A4AC7"/>
    <w:rsid w:val="53A21BCD"/>
    <w:rsid w:val="53A23354"/>
    <w:rsid w:val="53A475B9"/>
    <w:rsid w:val="53A96AB8"/>
    <w:rsid w:val="53AF7E46"/>
    <w:rsid w:val="53B03E00"/>
    <w:rsid w:val="53B23DEC"/>
    <w:rsid w:val="53B316E5"/>
    <w:rsid w:val="53B813F1"/>
    <w:rsid w:val="53C51418"/>
    <w:rsid w:val="53CB2ED2"/>
    <w:rsid w:val="53D665BC"/>
    <w:rsid w:val="53DD0E57"/>
    <w:rsid w:val="53DE2691"/>
    <w:rsid w:val="53E347BC"/>
    <w:rsid w:val="53E53868"/>
    <w:rsid w:val="53E53921"/>
    <w:rsid w:val="53F35F85"/>
    <w:rsid w:val="53FE22C0"/>
    <w:rsid w:val="53FE7F50"/>
    <w:rsid w:val="54003237"/>
    <w:rsid w:val="5406215C"/>
    <w:rsid w:val="54063F0A"/>
    <w:rsid w:val="540B32CF"/>
    <w:rsid w:val="540B40CB"/>
    <w:rsid w:val="541008E5"/>
    <w:rsid w:val="541066A1"/>
    <w:rsid w:val="5415239F"/>
    <w:rsid w:val="54161C73"/>
    <w:rsid w:val="54181E8F"/>
    <w:rsid w:val="54185932"/>
    <w:rsid w:val="541C372E"/>
    <w:rsid w:val="541F4FCC"/>
    <w:rsid w:val="542645AC"/>
    <w:rsid w:val="54294D20"/>
    <w:rsid w:val="542E16B3"/>
    <w:rsid w:val="542F5D51"/>
    <w:rsid w:val="54330A77"/>
    <w:rsid w:val="54332825"/>
    <w:rsid w:val="54352A41"/>
    <w:rsid w:val="54370568"/>
    <w:rsid w:val="543E18F6"/>
    <w:rsid w:val="543F2D91"/>
    <w:rsid w:val="543F741C"/>
    <w:rsid w:val="544607AB"/>
    <w:rsid w:val="544721B3"/>
    <w:rsid w:val="5458228C"/>
    <w:rsid w:val="545962AA"/>
    <w:rsid w:val="545C6CEF"/>
    <w:rsid w:val="5463310B"/>
    <w:rsid w:val="54656DB3"/>
    <w:rsid w:val="546B0211"/>
    <w:rsid w:val="54703A7A"/>
    <w:rsid w:val="54705699"/>
    <w:rsid w:val="547B1119"/>
    <w:rsid w:val="54870746"/>
    <w:rsid w:val="548811A0"/>
    <w:rsid w:val="548B2661"/>
    <w:rsid w:val="548F182A"/>
    <w:rsid w:val="54905ECA"/>
    <w:rsid w:val="549140ED"/>
    <w:rsid w:val="5499209E"/>
    <w:rsid w:val="54992FD0"/>
    <w:rsid w:val="549B1E04"/>
    <w:rsid w:val="549E05E7"/>
    <w:rsid w:val="54A31759"/>
    <w:rsid w:val="54A656ED"/>
    <w:rsid w:val="54A86851"/>
    <w:rsid w:val="54AA0D3A"/>
    <w:rsid w:val="54AB6112"/>
    <w:rsid w:val="54AC4C48"/>
    <w:rsid w:val="54B25E40"/>
    <w:rsid w:val="54B95421"/>
    <w:rsid w:val="54C53DC5"/>
    <w:rsid w:val="54C55D83"/>
    <w:rsid w:val="54C719D2"/>
    <w:rsid w:val="54C73809"/>
    <w:rsid w:val="54C811C0"/>
    <w:rsid w:val="54CB3436"/>
    <w:rsid w:val="54CF254E"/>
    <w:rsid w:val="54D1791F"/>
    <w:rsid w:val="54D220CA"/>
    <w:rsid w:val="54D9517B"/>
    <w:rsid w:val="54DA0EF3"/>
    <w:rsid w:val="54DE23CC"/>
    <w:rsid w:val="54DE6C35"/>
    <w:rsid w:val="54E01871"/>
    <w:rsid w:val="54E12281"/>
    <w:rsid w:val="54E3249D"/>
    <w:rsid w:val="54F75F49"/>
    <w:rsid w:val="54FC530D"/>
    <w:rsid w:val="54FE1085"/>
    <w:rsid w:val="54FE4BE1"/>
    <w:rsid w:val="54FE7551"/>
    <w:rsid w:val="550146D2"/>
    <w:rsid w:val="55050666"/>
    <w:rsid w:val="55056BE5"/>
    <w:rsid w:val="55083CB2"/>
    <w:rsid w:val="55087B46"/>
    <w:rsid w:val="550B5550"/>
    <w:rsid w:val="55106A28"/>
    <w:rsid w:val="55142733"/>
    <w:rsid w:val="551F0051"/>
    <w:rsid w:val="55225AFC"/>
    <w:rsid w:val="55254864"/>
    <w:rsid w:val="55264138"/>
    <w:rsid w:val="552B7D13"/>
    <w:rsid w:val="5531145B"/>
    <w:rsid w:val="55366A71"/>
    <w:rsid w:val="553C395C"/>
    <w:rsid w:val="553D68AF"/>
    <w:rsid w:val="553E1482"/>
    <w:rsid w:val="553F585C"/>
    <w:rsid w:val="55525033"/>
    <w:rsid w:val="55551AEE"/>
    <w:rsid w:val="555B25BA"/>
    <w:rsid w:val="55684751"/>
    <w:rsid w:val="556E7FB9"/>
    <w:rsid w:val="55741347"/>
    <w:rsid w:val="557524BE"/>
    <w:rsid w:val="55764EA2"/>
    <w:rsid w:val="557814C5"/>
    <w:rsid w:val="557919B7"/>
    <w:rsid w:val="5579695E"/>
    <w:rsid w:val="557E3F74"/>
    <w:rsid w:val="557E5D22"/>
    <w:rsid w:val="55807CEC"/>
    <w:rsid w:val="558110E9"/>
    <w:rsid w:val="558477DD"/>
    <w:rsid w:val="558C3D0B"/>
    <w:rsid w:val="55985036"/>
    <w:rsid w:val="55992B5C"/>
    <w:rsid w:val="55A41C2D"/>
    <w:rsid w:val="55A75279"/>
    <w:rsid w:val="55AE2AAB"/>
    <w:rsid w:val="55AF2380"/>
    <w:rsid w:val="55B1434A"/>
    <w:rsid w:val="55BA31FE"/>
    <w:rsid w:val="55BD4A9D"/>
    <w:rsid w:val="55C67DF5"/>
    <w:rsid w:val="55CA0F67"/>
    <w:rsid w:val="55D3478A"/>
    <w:rsid w:val="55D87746"/>
    <w:rsid w:val="55D930C2"/>
    <w:rsid w:val="55DB3424"/>
    <w:rsid w:val="55E464CD"/>
    <w:rsid w:val="55E60FF0"/>
    <w:rsid w:val="55EB785C"/>
    <w:rsid w:val="55F14746"/>
    <w:rsid w:val="55F61D5C"/>
    <w:rsid w:val="55F6559B"/>
    <w:rsid w:val="55FA184D"/>
    <w:rsid w:val="55FF1C14"/>
    <w:rsid w:val="55FF6E63"/>
    <w:rsid w:val="561D19DF"/>
    <w:rsid w:val="5621502B"/>
    <w:rsid w:val="56242C6E"/>
    <w:rsid w:val="5627460C"/>
    <w:rsid w:val="562B40FC"/>
    <w:rsid w:val="562B5EAA"/>
    <w:rsid w:val="562B7C58"/>
    <w:rsid w:val="562C577E"/>
    <w:rsid w:val="562D5E85"/>
    <w:rsid w:val="56350AD7"/>
    <w:rsid w:val="56403643"/>
    <w:rsid w:val="564E7DEA"/>
    <w:rsid w:val="56514B35"/>
    <w:rsid w:val="56516DFE"/>
    <w:rsid w:val="566B274A"/>
    <w:rsid w:val="566B3D03"/>
    <w:rsid w:val="566E223B"/>
    <w:rsid w:val="56717635"/>
    <w:rsid w:val="567535C9"/>
    <w:rsid w:val="567F61F6"/>
    <w:rsid w:val="56815ACA"/>
    <w:rsid w:val="56867584"/>
    <w:rsid w:val="568B2D64"/>
    <w:rsid w:val="568F468B"/>
    <w:rsid w:val="568F7482"/>
    <w:rsid w:val="56927CD7"/>
    <w:rsid w:val="569635F2"/>
    <w:rsid w:val="56982E14"/>
    <w:rsid w:val="569E48CE"/>
    <w:rsid w:val="56A33C92"/>
    <w:rsid w:val="56A705AA"/>
    <w:rsid w:val="56A91F9F"/>
    <w:rsid w:val="56AE1142"/>
    <w:rsid w:val="56B0716F"/>
    <w:rsid w:val="56B37C4E"/>
    <w:rsid w:val="56B6200C"/>
    <w:rsid w:val="56B71D61"/>
    <w:rsid w:val="56B92464"/>
    <w:rsid w:val="56BA0FDC"/>
    <w:rsid w:val="56C0608C"/>
    <w:rsid w:val="56C76C21"/>
    <w:rsid w:val="56C836F9"/>
    <w:rsid w:val="56CE6835"/>
    <w:rsid w:val="56CF61E9"/>
    <w:rsid w:val="56D000E4"/>
    <w:rsid w:val="56D007FF"/>
    <w:rsid w:val="56D24578"/>
    <w:rsid w:val="56D26633"/>
    <w:rsid w:val="56D402F0"/>
    <w:rsid w:val="56D44381"/>
    <w:rsid w:val="56D50751"/>
    <w:rsid w:val="56D85C73"/>
    <w:rsid w:val="56DA730F"/>
    <w:rsid w:val="56DC7584"/>
    <w:rsid w:val="56E322E1"/>
    <w:rsid w:val="56ED7603"/>
    <w:rsid w:val="56F02C50"/>
    <w:rsid w:val="56F24C1A"/>
    <w:rsid w:val="56FC3E1D"/>
    <w:rsid w:val="56FE7E37"/>
    <w:rsid w:val="570020A8"/>
    <w:rsid w:val="57006B1A"/>
    <w:rsid w:val="570723CE"/>
    <w:rsid w:val="57087CE0"/>
    <w:rsid w:val="570E5691"/>
    <w:rsid w:val="57113271"/>
    <w:rsid w:val="57122BC6"/>
    <w:rsid w:val="57177B0E"/>
    <w:rsid w:val="571921A6"/>
    <w:rsid w:val="571B2E6E"/>
    <w:rsid w:val="57232B50"/>
    <w:rsid w:val="57234DD3"/>
    <w:rsid w:val="57262AED"/>
    <w:rsid w:val="5728292E"/>
    <w:rsid w:val="572A032B"/>
    <w:rsid w:val="572A6162"/>
    <w:rsid w:val="572B1EDA"/>
    <w:rsid w:val="572B3C88"/>
    <w:rsid w:val="57362A2C"/>
    <w:rsid w:val="57376AD1"/>
    <w:rsid w:val="574014E1"/>
    <w:rsid w:val="574A090D"/>
    <w:rsid w:val="574C257C"/>
    <w:rsid w:val="574D00A2"/>
    <w:rsid w:val="574D7986"/>
    <w:rsid w:val="575651A9"/>
    <w:rsid w:val="57572B76"/>
    <w:rsid w:val="57580F21"/>
    <w:rsid w:val="575C2093"/>
    <w:rsid w:val="575C6C3E"/>
    <w:rsid w:val="57622086"/>
    <w:rsid w:val="576653CE"/>
    <w:rsid w:val="57684EDC"/>
    <w:rsid w:val="576B22D6"/>
    <w:rsid w:val="576D604E"/>
    <w:rsid w:val="576F1DC6"/>
    <w:rsid w:val="57743D85"/>
    <w:rsid w:val="57770C7B"/>
    <w:rsid w:val="577B4C0F"/>
    <w:rsid w:val="57827D4C"/>
    <w:rsid w:val="57882E88"/>
    <w:rsid w:val="5789732C"/>
    <w:rsid w:val="57935094"/>
    <w:rsid w:val="57967CD6"/>
    <w:rsid w:val="5797131D"/>
    <w:rsid w:val="57A34A8C"/>
    <w:rsid w:val="57A451D9"/>
    <w:rsid w:val="57A51C8C"/>
    <w:rsid w:val="57AA1051"/>
    <w:rsid w:val="57AA23C4"/>
    <w:rsid w:val="57AA2DFF"/>
    <w:rsid w:val="57B63E99"/>
    <w:rsid w:val="57B65C47"/>
    <w:rsid w:val="57C137D5"/>
    <w:rsid w:val="57C33EC0"/>
    <w:rsid w:val="57CC546B"/>
    <w:rsid w:val="57D20DB6"/>
    <w:rsid w:val="57D4431F"/>
    <w:rsid w:val="57D55747"/>
    <w:rsid w:val="57D55B95"/>
    <w:rsid w:val="57D63BF4"/>
    <w:rsid w:val="57D936E4"/>
    <w:rsid w:val="57DD1426"/>
    <w:rsid w:val="57E0124E"/>
    <w:rsid w:val="57E22015"/>
    <w:rsid w:val="57E825BE"/>
    <w:rsid w:val="57EA3B43"/>
    <w:rsid w:val="57EC3417"/>
    <w:rsid w:val="57EC7D0C"/>
    <w:rsid w:val="57FB3836"/>
    <w:rsid w:val="57FE6189"/>
    <w:rsid w:val="58005114"/>
    <w:rsid w:val="58006EC2"/>
    <w:rsid w:val="580469B3"/>
    <w:rsid w:val="58070251"/>
    <w:rsid w:val="580760F6"/>
    <w:rsid w:val="58095D77"/>
    <w:rsid w:val="580B0103"/>
    <w:rsid w:val="580C5892"/>
    <w:rsid w:val="581472DE"/>
    <w:rsid w:val="58150C6D"/>
    <w:rsid w:val="581806B0"/>
    <w:rsid w:val="581F1A3E"/>
    <w:rsid w:val="5822508B"/>
    <w:rsid w:val="58256929"/>
    <w:rsid w:val="5833468C"/>
    <w:rsid w:val="58353010"/>
    <w:rsid w:val="58371ABC"/>
    <w:rsid w:val="5837760D"/>
    <w:rsid w:val="58412429"/>
    <w:rsid w:val="58476D1B"/>
    <w:rsid w:val="58515970"/>
    <w:rsid w:val="58523BC2"/>
    <w:rsid w:val="585A65D3"/>
    <w:rsid w:val="585B234B"/>
    <w:rsid w:val="585C5C92"/>
    <w:rsid w:val="585D2567"/>
    <w:rsid w:val="585D60C3"/>
    <w:rsid w:val="58604C6D"/>
    <w:rsid w:val="58616610"/>
    <w:rsid w:val="586526C3"/>
    <w:rsid w:val="5866141B"/>
    <w:rsid w:val="586B3150"/>
    <w:rsid w:val="586D09FC"/>
    <w:rsid w:val="587271B1"/>
    <w:rsid w:val="58733B38"/>
    <w:rsid w:val="58734BCE"/>
    <w:rsid w:val="587753D7"/>
    <w:rsid w:val="587A4EC7"/>
    <w:rsid w:val="587C29ED"/>
    <w:rsid w:val="587D6765"/>
    <w:rsid w:val="58890AE1"/>
    <w:rsid w:val="588E0972"/>
    <w:rsid w:val="58937D37"/>
    <w:rsid w:val="589939CD"/>
    <w:rsid w:val="589A10C5"/>
    <w:rsid w:val="589A20D8"/>
    <w:rsid w:val="589C07F4"/>
    <w:rsid w:val="58A363C3"/>
    <w:rsid w:val="58A61818"/>
    <w:rsid w:val="58A65306"/>
    <w:rsid w:val="58A9755A"/>
    <w:rsid w:val="58AC5FE5"/>
    <w:rsid w:val="58AC7FBB"/>
    <w:rsid w:val="58B2640F"/>
    <w:rsid w:val="58B32187"/>
    <w:rsid w:val="58B747DD"/>
    <w:rsid w:val="58B817C4"/>
    <w:rsid w:val="58B92F82"/>
    <w:rsid w:val="58BC103B"/>
    <w:rsid w:val="58C47EF0"/>
    <w:rsid w:val="58C61EBA"/>
    <w:rsid w:val="58CC4DB4"/>
    <w:rsid w:val="58D2085F"/>
    <w:rsid w:val="58D27F6E"/>
    <w:rsid w:val="58D36385"/>
    <w:rsid w:val="58D5317F"/>
    <w:rsid w:val="58E4675B"/>
    <w:rsid w:val="58ED7AB4"/>
    <w:rsid w:val="58EF73A8"/>
    <w:rsid w:val="58F46A27"/>
    <w:rsid w:val="58F9403E"/>
    <w:rsid w:val="59011144"/>
    <w:rsid w:val="59067264"/>
    <w:rsid w:val="59080D07"/>
    <w:rsid w:val="590E3FC1"/>
    <w:rsid w:val="590F4B83"/>
    <w:rsid w:val="59126EAD"/>
    <w:rsid w:val="59133644"/>
    <w:rsid w:val="59165065"/>
    <w:rsid w:val="59170968"/>
    <w:rsid w:val="5919648E"/>
    <w:rsid w:val="591B0C87"/>
    <w:rsid w:val="591B10C7"/>
    <w:rsid w:val="591B6C3E"/>
    <w:rsid w:val="591E1CF6"/>
    <w:rsid w:val="59222D11"/>
    <w:rsid w:val="59232E69"/>
    <w:rsid w:val="592B368C"/>
    <w:rsid w:val="592E180D"/>
    <w:rsid w:val="593037D7"/>
    <w:rsid w:val="59376914"/>
    <w:rsid w:val="593A3F51"/>
    <w:rsid w:val="59403712"/>
    <w:rsid w:val="59434C15"/>
    <w:rsid w:val="594A55D4"/>
    <w:rsid w:val="594F22AF"/>
    <w:rsid w:val="59505C28"/>
    <w:rsid w:val="59506F18"/>
    <w:rsid w:val="59513E7A"/>
    <w:rsid w:val="5955323E"/>
    <w:rsid w:val="5957705E"/>
    <w:rsid w:val="595D4622"/>
    <w:rsid w:val="59604BBC"/>
    <w:rsid w:val="59613991"/>
    <w:rsid w:val="596A6CE9"/>
    <w:rsid w:val="596C783D"/>
    <w:rsid w:val="596D2336"/>
    <w:rsid w:val="597C052E"/>
    <w:rsid w:val="597E4543"/>
    <w:rsid w:val="5980475F"/>
    <w:rsid w:val="5987789B"/>
    <w:rsid w:val="59886A06"/>
    <w:rsid w:val="5988716F"/>
    <w:rsid w:val="59934492"/>
    <w:rsid w:val="599F05E5"/>
    <w:rsid w:val="59A06998"/>
    <w:rsid w:val="59A10231"/>
    <w:rsid w:val="59AC2E13"/>
    <w:rsid w:val="59B41EE8"/>
    <w:rsid w:val="59B44408"/>
    <w:rsid w:val="59B9557B"/>
    <w:rsid w:val="59BA53BE"/>
    <w:rsid w:val="59BD32BD"/>
    <w:rsid w:val="59BF753B"/>
    <w:rsid w:val="59C105A2"/>
    <w:rsid w:val="59C63F80"/>
    <w:rsid w:val="59C81C62"/>
    <w:rsid w:val="59D40607"/>
    <w:rsid w:val="59D5500D"/>
    <w:rsid w:val="59D6612D"/>
    <w:rsid w:val="59D93E6F"/>
    <w:rsid w:val="59DC376F"/>
    <w:rsid w:val="59E074F3"/>
    <w:rsid w:val="59F36CDF"/>
    <w:rsid w:val="59FB6D28"/>
    <w:rsid w:val="5A001125"/>
    <w:rsid w:val="5A04713E"/>
    <w:rsid w:val="5A115C65"/>
    <w:rsid w:val="5A1924BD"/>
    <w:rsid w:val="5A1D1FAE"/>
    <w:rsid w:val="5A1D5B0A"/>
    <w:rsid w:val="5A2275C4"/>
    <w:rsid w:val="5A2E1A3D"/>
    <w:rsid w:val="5A2F3A8F"/>
    <w:rsid w:val="5A3410A5"/>
    <w:rsid w:val="5A3572F7"/>
    <w:rsid w:val="5A366BCB"/>
    <w:rsid w:val="5A3671BD"/>
    <w:rsid w:val="5A3D7F5A"/>
    <w:rsid w:val="5A4968FF"/>
    <w:rsid w:val="5A587151"/>
    <w:rsid w:val="5A587B2F"/>
    <w:rsid w:val="5A5A0B0C"/>
    <w:rsid w:val="5A5A7395"/>
    <w:rsid w:val="5A5C4555"/>
    <w:rsid w:val="5A5D23AA"/>
    <w:rsid w:val="5A5D2E14"/>
    <w:rsid w:val="5A5F20FC"/>
    <w:rsid w:val="5A6037E3"/>
    <w:rsid w:val="5A6F486C"/>
    <w:rsid w:val="5A715E56"/>
    <w:rsid w:val="5A7A7D83"/>
    <w:rsid w:val="5A7E53FE"/>
    <w:rsid w:val="5A820063"/>
    <w:rsid w:val="5A841270"/>
    <w:rsid w:val="5A851901"/>
    <w:rsid w:val="5A865DA5"/>
    <w:rsid w:val="5A892511"/>
    <w:rsid w:val="5A8C2C8F"/>
    <w:rsid w:val="5A8F00DD"/>
    <w:rsid w:val="5A9009D2"/>
    <w:rsid w:val="5A903397"/>
    <w:rsid w:val="5A92474A"/>
    <w:rsid w:val="5A954D35"/>
    <w:rsid w:val="5A981634"/>
    <w:rsid w:val="5A982221"/>
    <w:rsid w:val="5A9D30EE"/>
    <w:rsid w:val="5AA52B72"/>
    <w:rsid w:val="5AA91A93"/>
    <w:rsid w:val="5AB83A84"/>
    <w:rsid w:val="5ABA5A4E"/>
    <w:rsid w:val="5AC02939"/>
    <w:rsid w:val="5AC468CD"/>
    <w:rsid w:val="5AC70F4B"/>
    <w:rsid w:val="5AC95C92"/>
    <w:rsid w:val="5ACA2870"/>
    <w:rsid w:val="5ACB7C5C"/>
    <w:rsid w:val="5ACD442C"/>
    <w:rsid w:val="5ACE0C44"/>
    <w:rsid w:val="5AD133E8"/>
    <w:rsid w:val="5AD45D7D"/>
    <w:rsid w:val="5ADA1C4D"/>
    <w:rsid w:val="5ADC405F"/>
    <w:rsid w:val="5AE2535B"/>
    <w:rsid w:val="5AE42ACB"/>
    <w:rsid w:val="5AE62E9B"/>
    <w:rsid w:val="5AE64944"/>
    <w:rsid w:val="5AE8436A"/>
    <w:rsid w:val="5AEA5F7A"/>
    <w:rsid w:val="5AEB77D7"/>
    <w:rsid w:val="5AF07B9A"/>
    <w:rsid w:val="5AF2343A"/>
    <w:rsid w:val="5AF30F60"/>
    <w:rsid w:val="5B0647F0"/>
    <w:rsid w:val="5B0B62AA"/>
    <w:rsid w:val="5B0D5B7E"/>
    <w:rsid w:val="5B1A473F"/>
    <w:rsid w:val="5B1D473C"/>
    <w:rsid w:val="5B1F3B03"/>
    <w:rsid w:val="5B2027D8"/>
    <w:rsid w:val="5B24736C"/>
    <w:rsid w:val="5B2630E4"/>
    <w:rsid w:val="5B286E5C"/>
    <w:rsid w:val="5B2A2BD4"/>
    <w:rsid w:val="5B2B0AD7"/>
    <w:rsid w:val="5B2B24A8"/>
    <w:rsid w:val="5B2D7FCE"/>
    <w:rsid w:val="5B37709F"/>
    <w:rsid w:val="5B422E2E"/>
    <w:rsid w:val="5B4B48F9"/>
    <w:rsid w:val="5B4E3295"/>
    <w:rsid w:val="5B503CBD"/>
    <w:rsid w:val="5B5419FF"/>
    <w:rsid w:val="5B566DE3"/>
    <w:rsid w:val="5B57504B"/>
    <w:rsid w:val="5B5A20B7"/>
    <w:rsid w:val="5B647768"/>
    <w:rsid w:val="5B653C0C"/>
    <w:rsid w:val="5B661732"/>
    <w:rsid w:val="5B6800B4"/>
    <w:rsid w:val="5B6836FC"/>
    <w:rsid w:val="5B6A7475"/>
    <w:rsid w:val="5B6A7CA6"/>
    <w:rsid w:val="5B6B4F9B"/>
    <w:rsid w:val="5B6B6D49"/>
    <w:rsid w:val="5B6E2334"/>
    <w:rsid w:val="5B6E25C5"/>
    <w:rsid w:val="5B773940"/>
    <w:rsid w:val="5B776A16"/>
    <w:rsid w:val="5B77749C"/>
    <w:rsid w:val="5B7913D3"/>
    <w:rsid w:val="5B7B3430"/>
    <w:rsid w:val="5B7C4AB2"/>
    <w:rsid w:val="5B7C71A8"/>
    <w:rsid w:val="5B7C7CA2"/>
    <w:rsid w:val="5B7E6A7C"/>
    <w:rsid w:val="5B7F45A2"/>
    <w:rsid w:val="5B8147BE"/>
    <w:rsid w:val="5B8C73EB"/>
    <w:rsid w:val="5B8D4F11"/>
    <w:rsid w:val="5B922527"/>
    <w:rsid w:val="5B93792A"/>
    <w:rsid w:val="5B9415FA"/>
    <w:rsid w:val="5B9462A0"/>
    <w:rsid w:val="5B955B74"/>
    <w:rsid w:val="5B98279E"/>
    <w:rsid w:val="5B987921"/>
    <w:rsid w:val="5B9914D0"/>
    <w:rsid w:val="5B9938B6"/>
    <w:rsid w:val="5B9C643C"/>
    <w:rsid w:val="5BA83AF9"/>
    <w:rsid w:val="5BAF6C35"/>
    <w:rsid w:val="5BB24978"/>
    <w:rsid w:val="5BB42718"/>
    <w:rsid w:val="5BB64468"/>
    <w:rsid w:val="5BB71F8E"/>
    <w:rsid w:val="5BB7663D"/>
    <w:rsid w:val="5BB8505D"/>
    <w:rsid w:val="5BB93F58"/>
    <w:rsid w:val="5BBA30EF"/>
    <w:rsid w:val="5BBB382C"/>
    <w:rsid w:val="5BC00E43"/>
    <w:rsid w:val="5BC36B85"/>
    <w:rsid w:val="5BC528FD"/>
    <w:rsid w:val="5BC8419B"/>
    <w:rsid w:val="5BCC3C8B"/>
    <w:rsid w:val="5BCE7BDA"/>
    <w:rsid w:val="5BCF552A"/>
    <w:rsid w:val="5BD14DFE"/>
    <w:rsid w:val="5BD60666"/>
    <w:rsid w:val="5BD631CB"/>
    <w:rsid w:val="5BD668B8"/>
    <w:rsid w:val="5BDC19F5"/>
    <w:rsid w:val="5BDC37A3"/>
    <w:rsid w:val="5BEB64B4"/>
    <w:rsid w:val="5BF16B47"/>
    <w:rsid w:val="5BF1724E"/>
    <w:rsid w:val="5BF359E5"/>
    <w:rsid w:val="5BF40AEC"/>
    <w:rsid w:val="5BF84DEE"/>
    <w:rsid w:val="5BFB00CD"/>
    <w:rsid w:val="5BFB631F"/>
    <w:rsid w:val="5C013209"/>
    <w:rsid w:val="5C02145B"/>
    <w:rsid w:val="5C0276AD"/>
    <w:rsid w:val="5C0351D3"/>
    <w:rsid w:val="5C035BC3"/>
    <w:rsid w:val="5C0D3255"/>
    <w:rsid w:val="5C104B08"/>
    <w:rsid w:val="5C1271C4"/>
    <w:rsid w:val="5C1843D5"/>
    <w:rsid w:val="5C261238"/>
    <w:rsid w:val="5C2B4F16"/>
    <w:rsid w:val="5C2C64D8"/>
    <w:rsid w:val="5C3420BD"/>
    <w:rsid w:val="5C3435B6"/>
    <w:rsid w:val="5C3435DF"/>
    <w:rsid w:val="5C3664BE"/>
    <w:rsid w:val="5C3D51D4"/>
    <w:rsid w:val="5C3F5AE6"/>
    <w:rsid w:val="5C447CC6"/>
    <w:rsid w:val="5C4826EA"/>
    <w:rsid w:val="5C4C26D6"/>
    <w:rsid w:val="5C4C6F93"/>
    <w:rsid w:val="5C4D0241"/>
    <w:rsid w:val="5C4D0EB4"/>
    <w:rsid w:val="5C514191"/>
    <w:rsid w:val="5C515F3F"/>
    <w:rsid w:val="5C5366D4"/>
    <w:rsid w:val="5C54268D"/>
    <w:rsid w:val="5C5644C1"/>
    <w:rsid w:val="5C564FBA"/>
    <w:rsid w:val="5C58107B"/>
    <w:rsid w:val="5C583771"/>
    <w:rsid w:val="5C594DF3"/>
    <w:rsid w:val="5C643EC4"/>
    <w:rsid w:val="5C68317F"/>
    <w:rsid w:val="5C693288"/>
    <w:rsid w:val="5C7560D1"/>
    <w:rsid w:val="5C790656"/>
    <w:rsid w:val="5C7A61AD"/>
    <w:rsid w:val="5C7B745F"/>
    <w:rsid w:val="5C7C57DB"/>
    <w:rsid w:val="5C7D6D34"/>
    <w:rsid w:val="5C886978"/>
    <w:rsid w:val="5C8E7193"/>
    <w:rsid w:val="5C93062A"/>
    <w:rsid w:val="5C9D2F32"/>
    <w:rsid w:val="5CA60DBC"/>
    <w:rsid w:val="5CA97B29"/>
    <w:rsid w:val="5CAF25EE"/>
    <w:rsid w:val="5CBA7F88"/>
    <w:rsid w:val="5CBF559E"/>
    <w:rsid w:val="5CC04E72"/>
    <w:rsid w:val="5CC07190"/>
    <w:rsid w:val="5CC71F9C"/>
    <w:rsid w:val="5CC826A5"/>
    <w:rsid w:val="5CCB3F43"/>
    <w:rsid w:val="5CCE758F"/>
    <w:rsid w:val="5CD32DF8"/>
    <w:rsid w:val="5CD526CC"/>
    <w:rsid w:val="5CD52B5A"/>
    <w:rsid w:val="5CDC2047"/>
    <w:rsid w:val="5CDD3C76"/>
    <w:rsid w:val="5CDD77D2"/>
    <w:rsid w:val="5CE648D9"/>
    <w:rsid w:val="5CEE378D"/>
    <w:rsid w:val="5CEE5E83"/>
    <w:rsid w:val="5CF54B1C"/>
    <w:rsid w:val="5CF80AB0"/>
    <w:rsid w:val="5CFE60C6"/>
    <w:rsid w:val="5D042B4A"/>
    <w:rsid w:val="5D045109"/>
    <w:rsid w:val="5D047455"/>
    <w:rsid w:val="5D0631CD"/>
    <w:rsid w:val="5D096819"/>
    <w:rsid w:val="5D0B07E3"/>
    <w:rsid w:val="5D0F7423"/>
    <w:rsid w:val="5D150E9F"/>
    <w:rsid w:val="5D1A0A26"/>
    <w:rsid w:val="5D1D48BE"/>
    <w:rsid w:val="5D276C9F"/>
    <w:rsid w:val="5D293AFC"/>
    <w:rsid w:val="5D375134"/>
    <w:rsid w:val="5D395350"/>
    <w:rsid w:val="5D3E4715"/>
    <w:rsid w:val="5D432A63"/>
    <w:rsid w:val="5D4D6706"/>
    <w:rsid w:val="5D50269A"/>
    <w:rsid w:val="5D5117B1"/>
    <w:rsid w:val="5D535CE6"/>
    <w:rsid w:val="5D573A29"/>
    <w:rsid w:val="5D584F8B"/>
    <w:rsid w:val="5D5932FD"/>
    <w:rsid w:val="5D5F6439"/>
    <w:rsid w:val="5D6565C4"/>
    <w:rsid w:val="5D69137C"/>
    <w:rsid w:val="5D6972B8"/>
    <w:rsid w:val="5D6D6DA8"/>
    <w:rsid w:val="5D6E17E2"/>
    <w:rsid w:val="5D6E43C8"/>
    <w:rsid w:val="5D6E48CE"/>
    <w:rsid w:val="5D706898"/>
    <w:rsid w:val="5D7E7207"/>
    <w:rsid w:val="5D7F6ADB"/>
    <w:rsid w:val="5D8451DF"/>
    <w:rsid w:val="5D861A18"/>
    <w:rsid w:val="5D881E34"/>
    <w:rsid w:val="5D881F62"/>
    <w:rsid w:val="5D8D11F8"/>
    <w:rsid w:val="5D9302F4"/>
    <w:rsid w:val="5D973E25"/>
    <w:rsid w:val="5D99194B"/>
    <w:rsid w:val="5D9A3915"/>
    <w:rsid w:val="5D9E51B4"/>
    <w:rsid w:val="5D9F0F2C"/>
    <w:rsid w:val="5D9F2BCB"/>
    <w:rsid w:val="5DA46B6D"/>
    <w:rsid w:val="5DAF51F7"/>
    <w:rsid w:val="5DB1138B"/>
    <w:rsid w:val="5DB1622D"/>
    <w:rsid w:val="5DB37B76"/>
    <w:rsid w:val="5DB659CA"/>
    <w:rsid w:val="5DBC7D30"/>
    <w:rsid w:val="5DBE13B2"/>
    <w:rsid w:val="5DC00F91"/>
    <w:rsid w:val="5DC15346"/>
    <w:rsid w:val="5DCE3659"/>
    <w:rsid w:val="5DD45FE3"/>
    <w:rsid w:val="5DDA1827"/>
    <w:rsid w:val="5DDC7A8A"/>
    <w:rsid w:val="5DDE1A54"/>
    <w:rsid w:val="5DE45F41"/>
    <w:rsid w:val="5DE66B5A"/>
    <w:rsid w:val="5DEB4545"/>
    <w:rsid w:val="5DEC610D"/>
    <w:rsid w:val="5DF30DCA"/>
    <w:rsid w:val="5DF43025"/>
    <w:rsid w:val="5DFB250E"/>
    <w:rsid w:val="5DFE5C52"/>
    <w:rsid w:val="5E0019CA"/>
    <w:rsid w:val="5E0314BA"/>
    <w:rsid w:val="5E0558A5"/>
    <w:rsid w:val="5E0A5B42"/>
    <w:rsid w:val="5E0B0BC2"/>
    <w:rsid w:val="5E0C65C1"/>
    <w:rsid w:val="5E100D3B"/>
    <w:rsid w:val="5E115985"/>
    <w:rsid w:val="5E14191A"/>
    <w:rsid w:val="5E1B0CAA"/>
    <w:rsid w:val="5E2356B9"/>
    <w:rsid w:val="5E243A9D"/>
    <w:rsid w:val="5E275256"/>
    <w:rsid w:val="5E2D1009"/>
    <w:rsid w:val="5E2F6140"/>
    <w:rsid w:val="5E3506BF"/>
    <w:rsid w:val="5E394EDC"/>
    <w:rsid w:val="5E3B178F"/>
    <w:rsid w:val="5E3F5456"/>
    <w:rsid w:val="5E4D2736"/>
    <w:rsid w:val="5E4F4700"/>
    <w:rsid w:val="5E544C03"/>
    <w:rsid w:val="5E613959"/>
    <w:rsid w:val="5E6141BD"/>
    <w:rsid w:val="5E61439A"/>
    <w:rsid w:val="5E615DD9"/>
    <w:rsid w:val="5E616B11"/>
    <w:rsid w:val="5E635B19"/>
    <w:rsid w:val="5E683B45"/>
    <w:rsid w:val="5E6C6DF5"/>
    <w:rsid w:val="5E6C7060"/>
    <w:rsid w:val="5E6F724E"/>
    <w:rsid w:val="5E7128C8"/>
    <w:rsid w:val="5E745F14"/>
    <w:rsid w:val="5E767EDE"/>
    <w:rsid w:val="5E79177D"/>
    <w:rsid w:val="5E7C3B11"/>
    <w:rsid w:val="5E824AD5"/>
    <w:rsid w:val="5E8C14B0"/>
    <w:rsid w:val="5E8C30D1"/>
    <w:rsid w:val="5E8C5954"/>
    <w:rsid w:val="5E8F2D4E"/>
    <w:rsid w:val="5E913DE3"/>
    <w:rsid w:val="5E916AC6"/>
    <w:rsid w:val="5E987E55"/>
    <w:rsid w:val="5E9D5BE1"/>
    <w:rsid w:val="5E9F11E3"/>
    <w:rsid w:val="5EA06D09"/>
    <w:rsid w:val="5EA42C9D"/>
    <w:rsid w:val="5EA5649C"/>
    <w:rsid w:val="5EA70098"/>
    <w:rsid w:val="5EB10F16"/>
    <w:rsid w:val="5EB34C8F"/>
    <w:rsid w:val="5EB6477F"/>
    <w:rsid w:val="5EBA601D"/>
    <w:rsid w:val="5EBB3B43"/>
    <w:rsid w:val="5EC062BD"/>
    <w:rsid w:val="5EC155FD"/>
    <w:rsid w:val="5EC450EE"/>
    <w:rsid w:val="5ECF75EF"/>
    <w:rsid w:val="5ED30C53"/>
    <w:rsid w:val="5ED52E57"/>
    <w:rsid w:val="5ED75746"/>
    <w:rsid w:val="5EDA54B9"/>
    <w:rsid w:val="5EDF3CD6"/>
    <w:rsid w:val="5EE237C6"/>
    <w:rsid w:val="5EF05EE3"/>
    <w:rsid w:val="5EF332DD"/>
    <w:rsid w:val="5EF37781"/>
    <w:rsid w:val="5EF62DCD"/>
    <w:rsid w:val="5EF7101F"/>
    <w:rsid w:val="5EF82F8A"/>
    <w:rsid w:val="5EF86B45"/>
    <w:rsid w:val="5EFF7ED4"/>
    <w:rsid w:val="5F0109D7"/>
    <w:rsid w:val="5F021772"/>
    <w:rsid w:val="5F061262"/>
    <w:rsid w:val="5F0A5975"/>
    <w:rsid w:val="5F0B0627"/>
    <w:rsid w:val="5F0D570A"/>
    <w:rsid w:val="5F130581"/>
    <w:rsid w:val="5F16521D"/>
    <w:rsid w:val="5F18074E"/>
    <w:rsid w:val="5F1917F3"/>
    <w:rsid w:val="5F1C3CE6"/>
    <w:rsid w:val="5F2142EE"/>
    <w:rsid w:val="5F285182"/>
    <w:rsid w:val="5F2C371F"/>
    <w:rsid w:val="5F3045AF"/>
    <w:rsid w:val="5F310398"/>
    <w:rsid w:val="5F332FE6"/>
    <w:rsid w:val="5F335DCF"/>
    <w:rsid w:val="5F3D09FC"/>
    <w:rsid w:val="5F482FB2"/>
    <w:rsid w:val="5F49279D"/>
    <w:rsid w:val="5F5A1FC8"/>
    <w:rsid w:val="5F5B17EB"/>
    <w:rsid w:val="5F630463"/>
    <w:rsid w:val="5F64491B"/>
    <w:rsid w:val="5F661EA2"/>
    <w:rsid w:val="5F700DD2"/>
    <w:rsid w:val="5F702B80"/>
    <w:rsid w:val="5F756664"/>
    <w:rsid w:val="5F7E34EF"/>
    <w:rsid w:val="5F8640D2"/>
    <w:rsid w:val="5F8B79B9"/>
    <w:rsid w:val="5F8F7736"/>
    <w:rsid w:val="5F903222"/>
    <w:rsid w:val="5F981E3E"/>
    <w:rsid w:val="5F9A0CFC"/>
    <w:rsid w:val="5F9E149B"/>
    <w:rsid w:val="5FA10F8B"/>
    <w:rsid w:val="5FA32F55"/>
    <w:rsid w:val="5FAA42E4"/>
    <w:rsid w:val="5FAB1E0A"/>
    <w:rsid w:val="5FB05672"/>
    <w:rsid w:val="5FBF7663"/>
    <w:rsid w:val="5FC609F2"/>
    <w:rsid w:val="5FC829BC"/>
    <w:rsid w:val="5FCA7817"/>
    <w:rsid w:val="5FCD1D80"/>
    <w:rsid w:val="5FCF7F47"/>
    <w:rsid w:val="5FD2450B"/>
    <w:rsid w:val="5FDB0EA0"/>
    <w:rsid w:val="5FDF3861"/>
    <w:rsid w:val="5FE06EEA"/>
    <w:rsid w:val="5FE5356E"/>
    <w:rsid w:val="5FE62E42"/>
    <w:rsid w:val="5FEA0B84"/>
    <w:rsid w:val="5FEB2206"/>
    <w:rsid w:val="5FEF590D"/>
    <w:rsid w:val="5FF52E9E"/>
    <w:rsid w:val="5FFB4B3F"/>
    <w:rsid w:val="5FFB68ED"/>
    <w:rsid w:val="5FFE616A"/>
    <w:rsid w:val="600734E4"/>
    <w:rsid w:val="6008100A"/>
    <w:rsid w:val="60084968"/>
    <w:rsid w:val="600902DE"/>
    <w:rsid w:val="60123C37"/>
    <w:rsid w:val="6014175D"/>
    <w:rsid w:val="60163727"/>
    <w:rsid w:val="60170067"/>
    <w:rsid w:val="6017749F"/>
    <w:rsid w:val="601F72DB"/>
    <w:rsid w:val="60206354"/>
    <w:rsid w:val="602168B1"/>
    <w:rsid w:val="602A2D2E"/>
    <w:rsid w:val="602A5424"/>
    <w:rsid w:val="602B4808"/>
    <w:rsid w:val="602F6597"/>
    <w:rsid w:val="603007A0"/>
    <w:rsid w:val="60395C8F"/>
    <w:rsid w:val="603B318E"/>
    <w:rsid w:val="603E670B"/>
    <w:rsid w:val="60424F05"/>
    <w:rsid w:val="604722F6"/>
    <w:rsid w:val="60472673"/>
    <w:rsid w:val="604B7CD1"/>
    <w:rsid w:val="604E2B96"/>
    <w:rsid w:val="604F52CE"/>
    <w:rsid w:val="605E0114"/>
    <w:rsid w:val="605E0C2A"/>
    <w:rsid w:val="605F7E99"/>
    <w:rsid w:val="606335C9"/>
    <w:rsid w:val="60675D31"/>
    <w:rsid w:val="60691767"/>
    <w:rsid w:val="606A5821"/>
    <w:rsid w:val="606A75CF"/>
    <w:rsid w:val="606F4BE5"/>
    <w:rsid w:val="60730601"/>
    <w:rsid w:val="60730B79"/>
    <w:rsid w:val="60762418"/>
    <w:rsid w:val="607B17DC"/>
    <w:rsid w:val="608605A7"/>
    <w:rsid w:val="608A1A1F"/>
    <w:rsid w:val="608A3F50"/>
    <w:rsid w:val="608C39E9"/>
    <w:rsid w:val="608F34D9"/>
    <w:rsid w:val="608F5287"/>
    <w:rsid w:val="6091780F"/>
    <w:rsid w:val="60932FCA"/>
    <w:rsid w:val="60933B18"/>
    <w:rsid w:val="60934D78"/>
    <w:rsid w:val="6097009E"/>
    <w:rsid w:val="609946E1"/>
    <w:rsid w:val="60996106"/>
    <w:rsid w:val="609B27D7"/>
    <w:rsid w:val="609E54CA"/>
    <w:rsid w:val="60A358E5"/>
    <w:rsid w:val="60A52CFD"/>
    <w:rsid w:val="60A54AAB"/>
    <w:rsid w:val="60AC5E39"/>
    <w:rsid w:val="60B01171"/>
    <w:rsid w:val="60B050DA"/>
    <w:rsid w:val="60B63B0B"/>
    <w:rsid w:val="60B768B1"/>
    <w:rsid w:val="60B8658C"/>
    <w:rsid w:val="60B92304"/>
    <w:rsid w:val="60BB7E2A"/>
    <w:rsid w:val="60C211B9"/>
    <w:rsid w:val="60CE7CAA"/>
    <w:rsid w:val="60D83AA0"/>
    <w:rsid w:val="60D94755"/>
    <w:rsid w:val="60DA174A"/>
    <w:rsid w:val="60DA44E4"/>
    <w:rsid w:val="60DD718A"/>
    <w:rsid w:val="60DE4198"/>
    <w:rsid w:val="60DE4622"/>
    <w:rsid w:val="60E43825"/>
    <w:rsid w:val="60E530F9"/>
    <w:rsid w:val="60E75BD3"/>
    <w:rsid w:val="60ED1D84"/>
    <w:rsid w:val="60EE2068"/>
    <w:rsid w:val="60F13388"/>
    <w:rsid w:val="60F15F42"/>
    <w:rsid w:val="60F668A1"/>
    <w:rsid w:val="60F872D1"/>
    <w:rsid w:val="60FA59D4"/>
    <w:rsid w:val="60FA6BA5"/>
    <w:rsid w:val="61007F33"/>
    <w:rsid w:val="61066DAA"/>
    <w:rsid w:val="611B344F"/>
    <w:rsid w:val="611D6D37"/>
    <w:rsid w:val="611F485D"/>
    <w:rsid w:val="612956DC"/>
    <w:rsid w:val="61314591"/>
    <w:rsid w:val="6138147B"/>
    <w:rsid w:val="61383921"/>
    <w:rsid w:val="613D4CE3"/>
    <w:rsid w:val="61412A26"/>
    <w:rsid w:val="61446072"/>
    <w:rsid w:val="61461DEA"/>
    <w:rsid w:val="6151253D"/>
    <w:rsid w:val="61534507"/>
    <w:rsid w:val="61555592"/>
    <w:rsid w:val="61595BB5"/>
    <w:rsid w:val="615A5895"/>
    <w:rsid w:val="615D17EC"/>
    <w:rsid w:val="61605860"/>
    <w:rsid w:val="6162299C"/>
    <w:rsid w:val="616808E3"/>
    <w:rsid w:val="61686204"/>
    <w:rsid w:val="61691F7C"/>
    <w:rsid w:val="616B35FF"/>
    <w:rsid w:val="616B7E1C"/>
    <w:rsid w:val="6175447D"/>
    <w:rsid w:val="61761FA3"/>
    <w:rsid w:val="61783F6D"/>
    <w:rsid w:val="617B0255"/>
    <w:rsid w:val="617C1CB0"/>
    <w:rsid w:val="617E77D6"/>
    <w:rsid w:val="618648DC"/>
    <w:rsid w:val="61907509"/>
    <w:rsid w:val="61952D71"/>
    <w:rsid w:val="619743F4"/>
    <w:rsid w:val="619863BE"/>
    <w:rsid w:val="61994D80"/>
    <w:rsid w:val="619A5CF5"/>
    <w:rsid w:val="619C5EAE"/>
    <w:rsid w:val="61A52B04"/>
    <w:rsid w:val="61A650CC"/>
    <w:rsid w:val="61A94127"/>
    <w:rsid w:val="61AE30F8"/>
    <w:rsid w:val="61B82347"/>
    <w:rsid w:val="61BC20AC"/>
    <w:rsid w:val="61BF394A"/>
    <w:rsid w:val="61C251E9"/>
    <w:rsid w:val="61C86CA3"/>
    <w:rsid w:val="61CD6067"/>
    <w:rsid w:val="61D373F6"/>
    <w:rsid w:val="61D43A01"/>
    <w:rsid w:val="61D75138"/>
    <w:rsid w:val="61D94C85"/>
    <w:rsid w:val="61DB4C28"/>
    <w:rsid w:val="61DC62AA"/>
    <w:rsid w:val="61DE0274"/>
    <w:rsid w:val="61E72810"/>
    <w:rsid w:val="61EB473F"/>
    <w:rsid w:val="61ED048F"/>
    <w:rsid w:val="61ED495B"/>
    <w:rsid w:val="61F25ACE"/>
    <w:rsid w:val="61F555BE"/>
    <w:rsid w:val="61F56EE9"/>
    <w:rsid w:val="61F96E5C"/>
    <w:rsid w:val="61FB0E26"/>
    <w:rsid w:val="62017CB5"/>
    <w:rsid w:val="620677CB"/>
    <w:rsid w:val="62090D84"/>
    <w:rsid w:val="620B084C"/>
    <w:rsid w:val="620D0B5A"/>
    <w:rsid w:val="62127C59"/>
    <w:rsid w:val="62127F1E"/>
    <w:rsid w:val="621A5D1E"/>
    <w:rsid w:val="62233F15"/>
    <w:rsid w:val="622D2FAA"/>
    <w:rsid w:val="622D678C"/>
    <w:rsid w:val="622D6B06"/>
    <w:rsid w:val="622F6D22"/>
    <w:rsid w:val="623065F6"/>
    <w:rsid w:val="62361E5F"/>
    <w:rsid w:val="625E3163"/>
    <w:rsid w:val="625E7607"/>
    <w:rsid w:val="62606CFF"/>
    <w:rsid w:val="62734B78"/>
    <w:rsid w:val="62740F21"/>
    <w:rsid w:val="62744735"/>
    <w:rsid w:val="62764951"/>
    <w:rsid w:val="62853336"/>
    <w:rsid w:val="62856942"/>
    <w:rsid w:val="62861D78"/>
    <w:rsid w:val="6287707E"/>
    <w:rsid w:val="629923ED"/>
    <w:rsid w:val="62A0377C"/>
    <w:rsid w:val="62A33CEE"/>
    <w:rsid w:val="62A36DC8"/>
    <w:rsid w:val="62A414BE"/>
    <w:rsid w:val="62A72D5C"/>
    <w:rsid w:val="62A80882"/>
    <w:rsid w:val="62AF1C11"/>
    <w:rsid w:val="62B07A33"/>
    <w:rsid w:val="62B114E5"/>
    <w:rsid w:val="62B57844"/>
    <w:rsid w:val="62B9483E"/>
    <w:rsid w:val="62BB0225"/>
    <w:rsid w:val="62BC2735"/>
    <w:rsid w:val="62BD2580"/>
    <w:rsid w:val="62BF00A6"/>
    <w:rsid w:val="62C16ED9"/>
    <w:rsid w:val="62C70D09"/>
    <w:rsid w:val="62D058DC"/>
    <w:rsid w:val="62D17D13"/>
    <w:rsid w:val="62D36604"/>
    <w:rsid w:val="62DD052C"/>
    <w:rsid w:val="62DD22DA"/>
    <w:rsid w:val="62DE3973"/>
    <w:rsid w:val="62DF24F6"/>
    <w:rsid w:val="62ED2A39"/>
    <w:rsid w:val="62EF003C"/>
    <w:rsid w:val="62F45876"/>
    <w:rsid w:val="62F80EEF"/>
    <w:rsid w:val="62FB30A8"/>
    <w:rsid w:val="62FD0BCE"/>
    <w:rsid w:val="62FD297C"/>
    <w:rsid w:val="62FD48F9"/>
    <w:rsid w:val="62FF575B"/>
    <w:rsid w:val="63001DEA"/>
    <w:rsid w:val="63044510"/>
    <w:rsid w:val="63142353"/>
    <w:rsid w:val="6315416A"/>
    <w:rsid w:val="63181564"/>
    <w:rsid w:val="631F750A"/>
    <w:rsid w:val="632717A7"/>
    <w:rsid w:val="632B573B"/>
    <w:rsid w:val="632C0287"/>
    <w:rsid w:val="63302D52"/>
    <w:rsid w:val="63316ACA"/>
    <w:rsid w:val="633A4412"/>
    <w:rsid w:val="633F2F95"/>
    <w:rsid w:val="634560D1"/>
    <w:rsid w:val="63463C10"/>
    <w:rsid w:val="634C56B2"/>
    <w:rsid w:val="63506F50"/>
    <w:rsid w:val="63536A40"/>
    <w:rsid w:val="63542B21"/>
    <w:rsid w:val="635649AD"/>
    <w:rsid w:val="635822A8"/>
    <w:rsid w:val="635A3395"/>
    <w:rsid w:val="636E6B6A"/>
    <w:rsid w:val="63724157"/>
    <w:rsid w:val="63727E69"/>
    <w:rsid w:val="637349EC"/>
    <w:rsid w:val="6379289B"/>
    <w:rsid w:val="637A221F"/>
    <w:rsid w:val="637B1AF3"/>
    <w:rsid w:val="637C15CE"/>
    <w:rsid w:val="637C5F97"/>
    <w:rsid w:val="63811411"/>
    <w:rsid w:val="63816D87"/>
    <w:rsid w:val="63822E81"/>
    <w:rsid w:val="6384309D"/>
    <w:rsid w:val="638F2C8D"/>
    <w:rsid w:val="639037F0"/>
    <w:rsid w:val="639613D5"/>
    <w:rsid w:val="63972DD1"/>
    <w:rsid w:val="63984453"/>
    <w:rsid w:val="639A19C1"/>
    <w:rsid w:val="639D68F3"/>
    <w:rsid w:val="639F465E"/>
    <w:rsid w:val="63A43095"/>
    <w:rsid w:val="63A44B67"/>
    <w:rsid w:val="63A66B70"/>
    <w:rsid w:val="63A67818"/>
    <w:rsid w:val="63AA2F5C"/>
    <w:rsid w:val="63AB062A"/>
    <w:rsid w:val="63AB4186"/>
    <w:rsid w:val="63B21F07"/>
    <w:rsid w:val="63C86BF3"/>
    <w:rsid w:val="63C93511"/>
    <w:rsid w:val="63CB4828"/>
    <w:rsid w:val="63D25BB7"/>
    <w:rsid w:val="63D47B81"/>
    <w:rsid w:val="63D6234D"/>
    <w:rsid w:val="63DD6415"/>
    <w:rsid w:val="63E53BC8"/>
    <w:rsid w:val="63E73C31"/>
    <w:rsid w:val="63E76AAE"/>
    <w:rsid w:val="63EE0517"/>
    <w:rsid w:val="63F4655B"/>
    <w:rsid w:val="63F6672E"/>
    <w:rsid w:val="63F773CC"/>
    <w:rsid w:val="63FF2DFF"/>
    <w:rsid w:val="64005A77"/>
    <w:rsid w:val="64137F7D"/>
    <w:rsid w:val="641553BE"/>
    <w:rsid w:val="64177A6E"/>
    <w:rsid w:val="642301C1"/>
    <w:rsid w:val="64287ECD"/>
    <w:rsid w:val="642B372C"/>
    <w:rsid w:val="642F3009"/>
    <w:rsid w:val="6432106C"/>
    <w:rsid w:val="64342FEB"/>
    <w:rsid w:val="64365658"/>
    <w:rsid w:val="64393E88"/>
    <w:rsid w:val="643C1282"/>
    <w:rsid w:val="64406FC4"/>
    <w:rsid w:val="644545DB"/>
    <w:rsid w:val="64476995"/>
    <w:rsid w:val="644840CB"/>
    <w:rsid w:val="644A1BF1"/>
    <w:rsid w:val="644C3E99"/>
    <w:rsid w:val="644D7933"/>
    <w:rsid w:val="644D7DDF"/>
    <w:rsid w:val="645035A7"/>
    <w:rsid w:val="64526CF8"/>
    <w:rsid w:val="64571B5F"/>
    <w:rsid w:val="645816A8"/>
    <w:rsid w:val="64590086"/>
    <w:rsid w:val="645942E2"/>
    <w:rsid w:val="64624C91"/>
    <w:rsid w:val="646507D9"/>
    <w:rsid w:val="64656A2B"/>
    <w:rsid w:val="64660D4E"/>
    <w:rsid w:val="646D34E5"/>
    <w:rsid w:val="6470717E"/>
    <w:rsid w:val="6472739A"/>
    <w:rsid w:val="64754794"/>
    <w:rsid w:val="64760C38"/>
    <w:rsid w:val="6477675E"/>
    <w:rsid w:val="64794284"/>
    <w:rsid w:val="647A2737"/>
    <w:rsid w:val="647A3D9A"/>
    <w:rsid w:val="647B0A21"/>
    <w:rsid w:val="647C661F"/>
    <w:rsid w:val="647E6DE2"/>
    <w:rsid w:val="64803865"/>
    <w:rsid w:val="64833FCA"/>
    <w:rsid w:val="648659EF"/>
    <w:rsid w:val="6488096B"/>
    <w:rsid w:val="648844C8"/>
    <w:rsid w:val="64897E3C"/>
    <w:rsid w:val="64942E6C"/>
    <w:rsid w:val="64967909"/>
    <w:rsid w:val="649B069F"/>
    <w:rsid w:val="649E018F"/>
    <w:rsid w:val="649E3CEB"/>
    <w:rsid w:val="64A47615"/>
    <w:rsid w:val="64A5054A"/>
    <w:rsid w:val="64AE05A2"/>
    <w:rsid w:val="64BD0615"/>
    <w:rsid w:val="64C179D9"/>
    <w:rsid w:val="64C74ED6"/>
    <w:rsid w:val="64D140C0"/>
    <w:rsid w:val="64D67929"/>
    <w:rsid w:val="64DB6CED"/>
    <w:rsid w:val="64DE766F"/>
    <w:rsid w:val="64E060B2"/>
    <w:rsid w:val="64E21243"/>
    <w:rsid w:val="64E214BB"/>
    <w:rsid w:val="64E35BA2"/>
    <w:rsid w:val="64EC2CA8"/>
    <w:rsid w:val="64ED1CCE"/>
    <w:rsid w:val="64FB6CCD"/>
    <w:rsid w:val="64FF12A9"/>
    <w:rsid w:val="65006754"/>
    <w:rsid w:val="65071890"/>
    <w:rsid w:val="650A312E"/>
    <w:rsid w:val="65117397"/>
    <w:rsid w:val="651371E6"/>
    <w:rsid w:val="65181CEF"/>
    <w:rsid w:val="65222B6E"/>
    <w:rsid w:val="6522491C"/>
    <w:rsid w:val="652341F0"/>
    <w:rsid w:val="6525147F"/>
    <w:rsid w:val="6525440C"/>
    <w:rsid w:val="65280E39"/>
    <w:rsid w:val="652D2A15"/>
    <w:rsid w:val="652E506F"/>
    <w:rsid w:val="652F2EC5"/>
    <w:rsid w:val="6532099C"/>
    <w:rsid w:val="653603C7"/>
    <w:rsid w:val="65392EE8"/>
    <w:rsid w:val="654943D9"/>
    <w:rsid w:val="654F4FE5"/>
    <w:rsid w:val="65501489"/>
    <w:rsid w:val="65505779"/>
    <w:rsid w:val="65515201"/>
    <w:rsid w:val="65516FAF"/>
    <w:rsid w:val="65587972"/>
    <w:rsid w:val="655A2308"/>
    <w:rsid w:val="655B5B7B"/>
    <w:rsid w:val="655E2E5B"/>
    <w:rsid w:val="65605444"/>
    <w:rsid w:val="6561620F"/>
    <w:rsid w:val="65634201"/>
    <w:rsid w:val="6565067D"/>
    <w:rsid w:val="65674A25"/>
    <w:rsid w:val="656C5B97"/>
    <w:rsid w:val="6570441C"/>
    <w:rsid w:val="65705687"/>
    <w:rsid w:val="65711400"/>
    <w:rsid w:val="6571289C"/>
    <w:rsid w:val="657A4758"/>
    <w:rsid w:val="657A67FB"/>
    <w:rsid w:val="658630FD"/>
    <w:rsid w:val="658E3D60"/>
    <w:rsid w:val="65917BFE"/>
    <w:rsid w:val="65924467"/>
    <w:rsid w:val="65947E9E"/>
    <w:rsid w:val="65A128A4"/>
    <w:rsid w:val="65A370BE"/>
    <w:rsid w:val="65A569EB"/>
    <w:rsid w:val="65B34EF4"/>
    <w:rsid w:val="65B5753E"/>
    <w:rsid w:val="65B65064"/>
    <w:rsid w:val="65B8461B"/>
    <w:rsid w:val="65B85280"/>
    <w:rsid w:val="65B94A12"/>
    <w:rsid w:val="65BD63F3"/>
    <w:rsid w:val="65C018F8"/>
    <w:rsid w:val="65C9123C"/>
    <w:rsid w:val="65CA33EE"/>
    <w:rsid w:val="65CB4640"/>
    <w:rsid w:val="65D35C16"/>
    <w:rsid w:val="65D54352"/>
    <w:rsid w:val="65D61B75"/>
    <w:rsid w:val="65E03249"/>
    <w:rsid w:val="65E04199"/>
    <w:rsid w:val="65E676F8"/>
    <w:rsid w:val="65E9368C"/>
    <w:rsid w:val="65E971E8"/>
    <w:rsid w:val="65EB11B2"/>
    <w:rsid w:val="660C59AD"/>
    <w:rsid w:val="6611613F"/>
    <w:rsid w:val="661A1A97"/>
    <w:rsid w:val="661C580F"/>
    <w:rsid w:val="662326FA"/>
    <w:rsid w:val="66256220"/>
    <w:rsid w:val="6626043C"/>
    <w:rsid w:val="66285F62"/>
    <w:rsid w:val="662B5A52"/>
    <w:rsid w:val="66304E17"/>
    <w:rsid w:val="66336550"/>
    <w:rsid w:val="66391968"/>
    <w:rsid w:val="663F1B4F"/>
    <w:rsid w:val="6646288C"/>
    <w:rsid w:val="664663E8"/>
    <w:rsid w:val="66482160"/>
    <w:rsid w:val="664B7EA3"/>
    <w:rsid w:val="664D3C1B"/>
    <w:rsid w:val="664F359C"/>
    <w:rsid w:val="66577A0E"/>
    <w:rsid w:val="665A00E6"/>
    <w:rsid w:val="665E7BD6"/>
    <w:rsid w:val="665F74AA"/>
    <w:rsid w:val="66644AC0"/>
    <w:rsid w:val="66683E2E"/>
    <w:rsid w:val="666A0329"/>
    <w:rsid w:val="666C2F5C"/>
    <w:rsid w:val="666F593F"/>
    <w:rsid w:val="66753763"/>
    <w:rsid w:val="66767F45"/>
    <w:rsid w:val="667D6598"/>
    <w:rsid w:val="66811B16"/>
    <w:rsid w:val="6688598D"/>
    <w:rsid w:val="668E5741"/>
    <w:rsid w:val="6695111E"/>
    <w:rsid w:val="66976C44"/>
    <w:rsid w:val="669C78E0"/>
    <w:rsid w:val="66A001EE"/>
    <w:rsid w:val="66A12E8D"/>
    <w:rsid w:val="66A6332B"/>
    <w:rsid w:val="66A852F5"/>
    <w:rsid w:val="66B141AA"/>
    <w:rsid w:val="66B15295"/>
    <w:rsid w:val="66B625AE"/>
    <w:rsid w:val="66B71336"/>
    <w:rsid w:val="66BB5028"/>
    <w:rsid w:val="66CA526B"/>
    <w:rsid w:val="66D165FA"/>
    <w:rsid w:val="66D333BF"/>
    <w:rsid w:val="66D920D5"/>
    <w:rsid w:val="66DE338F"/>
    <w:rsid w:val="66E005EB"/>
    <w:rsid w:val="66E04A8F"/>
    <w:rsid w:val="66E22C70"/>
    <w:rsid w:val="66E55C01"/>
    <w:rsid w:val="66E77BCB"/>
    <w:rsid w:val="66EA28ED"/>
    <w:rsid w:val="66EB7E49"/>
    <w:rsid w:val="66EC6F90"/>
    <w:rsid w:val="66F127F8"/>
    <w:rsid w:val="66F45E44"/>
    <w:rsid w:val="66F8413C"/>
    <w:rsid w:val="66FA116F"/>
    <w:rsid w:val="6703252B"/>
    <w:rsid w:val="670818F0"/>
    <w:rsid w:val="67087B42"/>
    <w:rsid w:val="670D5158"/>
    <w:rsid w:val="67114C48"/>
    <w:rsid w:val="671169F6"/>
    <w:rsid w:val="671D35ED"/>
    <w:rsid w:val="67281F92"/>
    <w:rsid w:val="672C55DE"/>
    <w:rsid w:val="672F24BD"/>
    <w:rsid w:val="673821D5"/>
    <w:rsid w:val="673D6A15"/>
    <w:rsid w:val="67430B7A"/>
    <w:rsid w:val="67444C1A"/>
    <w:rsid w:val="67446DCC"/>
    <w:rsid w:val="67492634"/>
    <w:rsid w:val="674D32DB"/>
    <w:rsid w:val="67550FD9"/>
    <w:rsid w:val="675633A1"/>
    <w:rsid w:val="675863D3"/>
    <w:rsid w:val="675B4115"/>
    <w:rsid w:val="675E59B4"/>
    <w:rsid w:val="67666275"/>
    <w:rsid w:val="676E3E49"/>
    <w:rsid w:val="67713939"/>
    <w:rsid w:val="67717495"/>
    <w:rsid w:val="6773145F"/>
    <w:rsid w:val="67750B86"/>
    <w:rsid w:val="6779459B"/>
    <w:rsid w:val="677B0314"/>
    <w:rsid w:val="677D63AA"/>
    <w:rsid w:val="6784366C"/>
    <w:rsid w:val="67863520"/>
    <w:rsid w:val="67865849"/>
    <w:rsid w:val="678E0047"/>
    <w:rsid w:val="678F78FF"/>
    <w:rsid w:val="67915D89"/>
    <w:rsid w:val="679247E6"/>
    <w:rsid w:val="67944EC0"/>
    <w:rsid w:val="67951162"/>
    <w:rsid w:val="6796339F"/>
    <w:rsid w:val="67976F43"/>
    <w:rsid w:val="67995641"/>
    <w:rsid w:val="679A46D5"/>
    <w:rsid w:val="679B2764"/>
    <w:rsid w:val="679B5E96"/>
    <w:rsid w:val="679F4002"/>
    <w:rsid w:val="67A4786A"/>
    <w:rsid w:val="67A930D3"/>
    <w:rsid w:val="67AB0BF9"/>
    <w:rsid w:val="67B37AAD"/>
    <w:rsid w:val="67B6134C"/>
    <w:rsid w:val="67BF6442"/>
    <w:rsid w:val="67C65A33"/>
    <w:rsid w:val="67D0065F"/>
    <w:rsid w:val="67D12268"/>
    <w:rsid w:val="67DD0F44"/>
    <w:rsid w:val="67DF4D46"/>
    <w:rsid w:val="67E10ABE"/>
    <w:rsid w:val="67ED7463"/>
    <w:rsid w:val="67F061BA"/>
    <w:rsid w:val="67F105D6"/>
    <w:rsid w:val="67F26828"/>
    <w:rsid w:val="67F51E74"/>
    <w:rsid w:val="67FD6F7B"/>
    <w:rsid w:val="67FF2CF3"/>
    <w:rsid w:val="6802302F"/>
    <w:rsid w:val="680B78E9"/>
    <w:rsid w:val="680D207D"/>
    <w:rsid w:val="6817628E"/>
    <w:rsid w:val="681A7B2C"/>
    <w:rsid w:val="68262975"/>
    <w:rsid w:val="68273FF7"/>
    <w:rsid w:val="68283019"/>
    <w:rsid w:val="682D7860"/>
    <w:rsid w:val="683A01CF"/>
    <w:rsid w:val="683A3FF8"/>
    <w:rsid w:val="683D5975"/>
    <w:rsid w:val="6844104D"/>
    <w:rsid w:val="684B7755"/>
    <w:rsid w:val="6853303E"/>
    <w:rsid w:val="685748DD"/>
    <w:rsid w:val="6858777C"/>
    <w:rsid w:val="685C18DD"/>
    <w:rsid w:val="685E5C6B"/>
    <w:rsid w:val="68606F0F"/>
    <w:rsid w:val="68617509"/>
    <w:rsid w:val="686252AC"/>
    <w:rsid w:val="68647BCC"/>
    <w:rsid w:val="68680898"/>
    <w:rsid w:val="68694610"/>
    <w:rsid w:val="686A0AB4"/>
    <w:rsid w:val="686F6420"/>
    <w:rsid w:val="687B34B7"/>
    <w:rsid w:val="687F7690"/>
    <w:rsid w:val="6884144A"/>
    <w:rsid w:val="688558EE"/>
    <w:rsid w:val="6886412C"/>
    <w:rsid w:val="6888718C"/>
    <w:rsid w:val="688B0A2A"/>
    <w:rsid w:val="688D47A2"/>
    <w:rsid w:val="688F4DE6"/>
    <w:rsid w:val="68914669"/>
    <w:rsid w:val="68993147"/>
    <w:rsid w:val="68996117"/>
    <w:rsid w:val="689A52B4"/>
    <w:rsid w:val="689C4889"/>
    <w:rsid w:val="689C6793"/>
    <w:rsid w:val="689D6BF6"/>
    <w:rsid w:val="689E250C"/>
    <w:rsid w:val="689E787C"/>
    <w:rsid w:val="68A12A5C"/>
    <w:rsid w:val="68A35D74"/>
    <w:rsid w:val="68A5389A"/>
    <w:rsid w:val="68A61457"/>
    <w:rsid w:val="68A85138"/>
    <w:rsid w:val="68AA4595"/>
    <w:rsid w:val="68B06877"/>
    <w:rsid w:val="68B27D65"/>
    <w:rsid w:val="68B30AF3"/>
    <w:rsid w:val="68B7129A"/>
    <w:rsid w:val="68B735CD"/>
    <w:rsid w:val="68B76601"/>
    <w:rsid w:val="68C77CB4"/>
    <w:rsid w:val="68CA1553"/>
    <w:rsid w:val="68CC52CB"/>
    <w:rsid w:val="68CE0052"/>
    <w:rsid w:val="68D02111"/>
    <w:rsid w:val="68D172F6"/>
    <w:rsid w:val="68D20407"/>
    <w:rsid w:val="68D417A8"/>
    <w:rsid w:val="68D66149"/>
    <w:rsid w:val="68D67EF7"/>
    <w:rsid w:val="68DE4FFE"/>
    <w:rsid w:val="68E41A1C"/>
    <w:rsid w:val="68E51EE8"/>
    <w:rsid w:val="68E54CA7"/>
    <w:rsid w:val="68E85E7D"/>
    <w:rsid w:val="68EF0D46"/>
    <w:rsid w:val="68EF720B"/>
    <w:rsid w:val="68F16ADF"/>
    <w:rsid w:val="68F51D1C"/>
    <w:rsid w:val="68FC5484"/>
    <w:rsid w:val="690007A9"/>
    <w:rsid w:val="6902337E"/>
    <w:rsid w:val="6903748B"/>
    <w:rsid w:val="69054339"/>
    <w:rsid w:val="69076303"/>
    <w:rsid w:val="690C2ABD"/>
    <w:rsid w:val="69121950"/>
    <w:rsid w:val="691B3B5C"/>
    <w:rsid w:val="691C49C1"/>
    <w:rsid w:val="691C5C42"/>
    <w:rsid w:val="691C78D4"/>
    <w:rsid w:val="691D1966"/>
    <w:rsid w:val="691F5712"/>
    <w:rsid w:val="691F7191"/>
    <w:rsid w:val="692769A5"/>
    <w:rsid w:val="692C4920"/>
    <w:rsid w:val="692C7EA4"/>
    <w:rsid w:val="69313380"/>
    <w:rsid w:val="69344C1E"/>
    <w:rsid w:val="693764BC"/>
    <w:rsid w:val="693A71DC"/>
    <w:rsid w:val="693D1D24"/>
    <w:rsid w:val="69401815"/>
    <w:rsid w:val="694330B3"/>
    <w:rsid w:val="694716C8"/>
    <w:rsid w:val="694F1A58"/>
    <w:rsid w:val="69502D4F"/>
    <w:rsid w:val="69513A22"/>
    <w:rsid w:val="695329B9"/>
    <w:rsid w:val="695663AF"/>
    <w:rsid w:val="69584DB0"/>
    <w:rsid w:val="6960172D"/>
    <w:rsid w:val="69661785"/>
    <w:rsid w:val="696848C8"/>
    <w:rsid w:val="69692B1A"/>
    <w:rsid w:val="696F3EA8"/>
    <w:rsid w:val="697119CE"/>
    <w:rsid w:val="6974326C"/>
    <w:rsid w:val="697F058F"/>
    <w:rsid w:val="69806B53"/>
    <w:rsid w:val="698735C3"/>
    <w:rsid w:val="698E5A3B"/>
    <w:rsid w:val="6991664A"/>
    <w:rsid w:val="699451E5"/>
    <w:rsid w:val="69983F80"/>
    <w:rsid w:val="699851AD"/>
    <w:rsid w:val="699D0A15"/>
    <w:rsid w:val="699D27C3"/>
    <w:rsid w:val="69A04061"/>
    <w:rsid w:val="69A55B1C"/>
    <w:rsid w:val="69A753F0"/>
    <w:rsid w:val="69A86CC8"/>
    <w:rsid w:val="69AA4EE0"/>
    <w:rsid w:val="69AA5856"/>
    <w:rsid w:val="69AD5E71"/>
    <w:rsid w:val="69AE49D0"/>
    <w:rsid w:val="69B12712"/>
    <w:rsid w:val="69B53FB1"/>
    <w:rsid w:val="69B95123"/>
    <w:rsid w:val="69BF098B"/>
    <w:rsid w:val="69C3307B"/>
    <w:rsid w:val="69C45FA2"/>
    <w:rsid w:val="69C67F6C"/>
    <w:rsid w:val="69D361E5"/>
    <w:rsid w:val="69D56401"/>
    <w:rsid w:val="69DA3A17"/>
    <w:rsid w:val="69DC2515"/>
    <w:rsid w:val="69DD52B6"/>
    <w:rsid w:val="69DD764A"/>
    <w:rsid w:val="69E421A0"/>
    <w:rsid w:val="69E76134"/>
    <w:rsid w:val="69E93C5A"/>
    <w:rsid w:val="69EB79D2"/>
    <w:rsid w:val="69EC374B"/>
    <w:rsid w:val="69F46E1A"/>
    <w:rsid w:val="69F70BB6"/>
    <w:rsid w:val="69FC398E"/>
    <w:rsid w:val="69FD282D"/>
    <w:rsid w:val="6A022F6E"/>
    <w:rsid w:val="6A035D92"/>
    <w:rsid w:val="6A093E50"/>
    <w:rsid w:val="6A0942FC"/>
    <w:rsid w:val="6A0E0F71"/>
    <w:rsid w:val="6A114F5F"/>
    <w:rsid w:val="6A1231B1"/>
    <w:rsid w:val="6A1D1B56"/>
    <w:rsid w:val="6A211646"/>
    <w:rsid w:val="6A2151A2"/>
    <w:rsid w:val="6A24096A"/>
    <w:rsid w:val="6A2A6BB5"/>
    <w:rsid w:val="6A2A744A"/>
    <w:rsid w:val="6A2C1D99"/>
    <w:rsid w:val="6A2C70D6"/>
    <w:rsid w:val="6A3273AF"/>
    <w:rsid w:val="6A3550F2"/>
    <w:rsid w:val="6A3D7B02"/>
    <w:rsid w:val="6A3F1ACC"/>
    <w:rsid w:val="6A41460E"/>
    <w:rsid w:val="6A4175F2"/>
    <w:rsid w:val="6A455DFD"/>
    <w:rsid w:val="6A4946F9"/>
    <w:rsid w:val="6A4E7F61"/>
    <w:rsid w:val="6A520AF6"/>
    <w:rsid w:val="6A522B35"/>
    <w:rsid w:val="6A527A52"/>
    <w:rsid w:val="6A535578"/>
    <w:rsid w:val="6A537326"/>
    <w:rsid w:val="6A58493C"/>
    <w:rsid w:val="6A5F510D"/>
    <w:rsid w:val="6A6301CF"/>
    <w:rsid w:val="6A6D488B"/>
    <w:rsid w:val="6A7817DB"/>
    <w:rsid w:val="6A82730F"/>
    <w:rsid w:val="6A837C0B"/>
    <w:rsid w:val="6A883473"/>
    <w:rsid w:val="6A8B2F63"/>
    <w:rsid w:val="6A8D6CDC"/>
    <w:rsid w:val="6A8F4802"/>
    <w:rsid w:val="6A9516EC"/>
    <w:rsid w:val="6AA06A0F"/>
    <w:rsid w:val="6AA23195"/>
    <w:rsid w:val="6AA33E09"/>
    <w:rsid w:val="6AAE4C7E"/>
    <w:rsid w:val="6AAF0A00"/>
    <w:rsid w:val="6AAF57D6"/>
    <w:rsid w:val="6AB10740"/>
    <w:rsid w:val="6AB204F0"/>
    <w:rsid w:val="6AB53B3C"/>
    <w:rsid w:val="6ABA0C36"/>
    <w:rsid w:val="6ABA73A5"/>
    <w:rsid w:val="6AC00E5F"/>
    <w:rsid w:val="6AC14B5B"/>
    <w:rsid w:val="6AC205A5"/>
    <w:rsid w:val="6AC50223"/>
    <w:rsid w:val="6AD93CCF"/>
    <w:rsid w:val="6ADA35A3"/>
    <w:rsid w:val="6ADC37BF"/>
    <w:rsid w:val="6ADE0DD0"/>
    <w:rsid w:val="6AE452FC"/>
    <w:rsid w:val="6AE80371"/>
    <w:rsid w:val="6AEF455A"/>
    <w:rsid w:val="6AF0332D"/>
    <w:rsid w:val="6AF328F6"/>
    <w:rsid w:val="6AF64881"/>
    <w:rsid w:val="6AF840FD"/>
    <w:rsid w:val="6AFB1E97"/>
    <w:rsid w:val="6AFC7D49"/>
    <w:rsid w:val="6AFE54E3"/>
    <w:rsid w:val="6B00519F"/>
    <w:rsid w:val="6B012A20"/>
    <w:rsid w:val="6B016D82"/>
    <w:rsid w:val="6B051CFD"/>
    <w:rsid w:val="6B0B7C00"/>
    <w:rsid w:val="6B0F5943"/>
    <w:rsid w:val="6B106FC5"/>
    <w:rsid w:val="6B1100E5"/>
    <w:rsid w:val="6B1116BB"/>
    <w:rsid w:val="6B1271E1"/>
    <w:rsid w:val="6B160A7F"/>
    <w:rsid w:val="6B170353"/>
    <w:rsid w:val="6B180670"/>
    <w:rsid w:val="6B1C6609"/>
    <w:rsid w:val="6B1D005F"/>
    <w:rsid w:val="6B1E16E2"/>
    <w:rsid w:val="6B234B19"/>
    <w:rsid w:val="6B234F4A"/>
    <w:rsid w:val="6B256F14"/>
    <w:rsid w:val="6B287D4C"/>
    <w:rsid w:val="6B2B3DFF"/>
    <w:rsid w:val="6B2D401B"/>
    <w:rsid w:val="6B2F38EF"/>
    <w:rsid w:val="6B3C7DBA"/>
    <w:rsid w:val="6B4262EE"/>
    <w:rsid w:val="6B453112"/>
    <w:rsid w:val="6B4644DF"/>
    <w:rsid w:val="6B484DC8"/>
    <w:rsid w:val="6B4C3885"/>
    <w:rsid w:val="6B543355"/>
    <w:rsid w:val="6B5477F9"/>
    <w:rsid w:val="6B5641C9"/>
    <w:rsid w:val="6B574014"/>
    <w:rsid w:val="6B592781"/>
    <w:rsid w:val="6B5E2426"/>
    <w:rsid w:val="6B6537B4"/>
    <w:rsid w:val="6B655563"/>
    <w:rsid w:val="6B6A4927"/>
    <w:rsid w:val="6B6C3959"/>
    <w:rsid w:val="6B713F07"/>
    <w:rsid w:val="6B725286"/>
    <w:rsid w:val="6B7B2FD8"/>
    <w:rsid w:val="6B7E6624"/>
    <w:rsid w:val="6B85058F"/>
    <w:rsid w:val="6B8609FC"/>
    <w:rsid w:val="6B87500A"/>
    <w:rsid w:val="6B8F0831"/>
    <w:rsid w:val="6B9145AA"/>
    <w:rsid w:val="6B922CC0"/>
    <w:rsid w:val="6B964575"/>
    <w:rsid w:val="6B96631E"/>
    <w:rsid w:val="6B9B2D32"/>
    <w:rsid w:val="6B9D6AAA"/>
    <w:rsid w:val="6BA73DCD"/>
    <w:rsid w:val="6BA90FD6"/>
    <w:rsid w:val="6BB43DF4"/>
    <w:rsid w:val="6BB66E93"/>
    <w:rsid w:val="6BB81B36"/>
    <w:rsid w:val="6BBA58AE"/>
    <w:rsid w:val="6BBD60AA"/>
    <w:rsid w:val="6BC229B5"/>
    <w:rsid w:val="6BC67A8C"/>
    <w:rsid w:val="6BC71D79"/>
    <w:rsid w:val="6BCA2E4F"/>
    <w:rsid w:val="6BCC3834"/>
    <w:rsid w:val="6BCC7390"/>
    <w:rsid w:val="6BD44496"/>
    <w:rsid w:val="6BD46A58"/>
    <w:rsid w:val="6BD526E8"/>
    <w:rsid w:val="6BD9385B"/>
    <w:rsid w:val="6BDF70C3"/>
    <w:rsid w:val="6BE0108D"/>
    <w:rsid w:val="6BE67566"/>
    <w:rsid w:val="6BE923C6"/>
    <w:rsid w:val="6BEE4B6A"/>
    <w:rsid w:val="6BEE5558"/>
    <w:rsid w:val="6BF012D0"/>
    <w:rsid w:val="6BF12D98"/>
    <w:rsid w:val="6BF23772"/>
    <w:rsid w:val="6BF55889"/>
    <w:rsid w:val="6BF5774A"/>
    <w:rsid w:val="6BFF59B7"/>
    <w:rsid w:val="6C021003"/>
    <w:rsid w:val="6C0905E4"/>
    <w:rsid w:val="6C0B610A"/>
    <w:rsid w:val="6C0D77F1"/>
    <w:rsid w:val="6C0F54CE"/>
    <w:rsid w:val="6C184383"/>
    <w:rsid w:val="6C2526A5"/>
    <w:rsid w:val="6C264CF2"/>
    <w:rsid w:val="6C292A34"/>
    <w:rsid w:val="6C2B2308"/>
    <w:rsid w:val="6C2C0154"/>
    <w:rsid w:val="6C30791F"/>
    <w:rsid w:val="6C3A0913"/>
    <w:rsid w:val="6C3C7FF2"/>
    <w:rsid w:val="6C3D38D3"/>
    <w:rsid w:val="6C450EF0"/>
    <w:rsid w:val="6C4909E0"/>
    <w:rsid w:val="6C497664"/>
    <w:rsid w:val="6C4C04D0"/>
    <w:rsid w:val="6C5630FD"/>
    <w:rsid w:val="6C5A2BED"/>
    <w:rsid w:val="6C5C0714"/>
    <w:rsid w:val="6C5F402C"/>
    <w:rsid w:val="6C621AA2"/>
    <w:rsid w:val="6C634982"/>
    <w:rsid w:val="6C6A0C0A"/>
    <w:rsid w:val="6C7208E9"/>
    <w:rsid w:val="6C7B7DBF"/>
    <w:rsid w:val="6C817F78"/>
    <w:rsid w:val="6C866672"/>
    <w:rsid w:val="6C8735E5"/>
    <w:rsid w:val="6C8C6B1F"/>
    <w:rsid w:val="6C953C26"/>
    <w:rsid w:val="6C9738D7"/>
    <w:rsid w:val="6C974B35"/>
    <w:rsid w:val="6C975BF0"/>
    <w:rsid w:val="6C9A56E0"/>
    <w:rsid w:val="6C9D0D2C"/>
    <w:rsid w:val="6C9D2ADA"/>
    <w:rsid w:val="6CA44149"/>
    <w:rsid w:val="6CA519F7"/>
    <w:rsid w:val="6CA728F8"/>
    <w:rsid w:val="6CAC6DF2"/>
    <w:rsid w:val="6CB24026"/>
    <w:rsid w:val="6CB61189"/>
    <w:rsid w:val="6CBD6E8C"/>
    <w:rsid w:val="6CC12C6C"/>
    <w:rsid w:val="6CC60283"/>
    <w:rsid w:val="6CC664D5"/>
    <w:rsid w:val="6CDD277C"/>
    <w:rsid w:val="6CDE55CC"/>
    <w:rsid w:val="6CE52C63"/>
    <w:rsid w:val="6CE626D3"/>
    <w:rsid w:val="6CF021E2"/>
    <w:rsid w:val="6CF070AE"/>
    <w:rsid w:val="6CF20365"/>
    <w:rsid w:val="6CF21078"/>
    <w:rsid w:val="6CFA1CDB"/>
    <w:rsid w:val="6D0019E7"/>
    <w:rsid w:val="6D0A4613"/>
    <w:rsid w:val="6D1151F0"/>
    <w:rsid w:val="6D1159A2"/>
    <w:rsid w:val="6D142D9C"/>
    <w:rsid w:val="6D147240"/>
    <w:rsid w:val="6D194FC0"/>
    <w:rsid w:val="6D202E2C"/>
    <w:rsid w:val="6D2C1207"/>
    <w:rsid w:val="6D2D1405"/>
    <w:rsid w:val="6D2D20B0"/>
    <w:rsid w:val="6D32265A"/>
    <w:rsid w:val="6D364E14"/>
    <w:rsid w:val="6D3E2003"/>
    <w:rsid w:val="6D41621A"/>
    <w:rsid w:val="6D435152"/>
    <w:rsid w:val="6D464F20"/>
    <w:rsid w:val="6D4E4ADE"/>
    <w:rsid w:val="6D4F64CA"/>
    <w:rsid w:val="6D51529D"/>
    <w:rsid w:val="6D54588F"/>
    <w:rsid w:val="6D5533B5"/>
    <w:rsid w:val="6D657A9C"/>
    <w:rsid w:val="6D673814"/>
    <w:rsid w:val="6D6C7290"/>
    <w:rsid w:val="6D6F4508"/>
    <w:rsid w:val="6D727E47"/>
    <w:rsid w:val="6D765805"/>
    <w:rsid w:val="6D793547"/>
    <w:rsid w:val="6D7D3037"/>
    <w:rsid w:val="6D855A48"/>
    <w:rsid w:val="6D88155A"/>
    <w:rsid w:val="6D8F2D6B"/>
    <w:rsid w:val="6D915FF2"/>
    <w:rsid w:val="6D937262"/>
    <w:rsid w:val="6D942212"/>
    <w:rsid w:val="6D943EDD"/>
    <w:rsid w:val="6D986680"/>
    <w:rsid w:val="6D9C0FE4"/>
    <w:rsid w:val="6D9E4D5C"/>
    <w:rsid w:val="6DA305C4"/>
    <w:rsid w:val="6DA46816"/>
    <w:rsid w:val="6DA5433C"/>
    <w:rsid w:val="6DA846E8"/>
    <w:rsid w:val="6DAE1443"/>
    <w:rsid w:val="6DB85E1E"/>
    <w:rsid w:val="6DC6295F"/>
    <w:rsid w:val="6DC81DD9"/>
    <w:rsid w:val="6DD518E8"/>
    <w:rsid w:val="6DD54C1E"/>
    <w:rsid w:val="6DD6118A"/>
    <w:rsid w:val="6DD8201C"/>
    <w:rsid w:val="6DDA2161"/>
    <w:rsid w:val="6DE07122"/>
    <w:rsid w:val="6DE74955"/>
    <w:rsid w:val="6DEA61F3"/>
    <w:rsid w:val="6DEA7FA1"/>
    <w:rsid w:val="6DEE09E5"/>
    <w:rsid w:val="6DF4699A"/>
    <w:rsid w:val="6DF745C2"/>
    <w:rsid w:val="6DFA4688"/>
    <w:rsid w:val="6DFB5D0A"/>
    <w:rsid w:val="6E032E11"/>
    <w:rsid w:val="6E041063"/>
    <w:rsid w:val="6E070B53"/>
    <w:rsid w:val="6E081FC6"/>
    <w:rsid w:val="6E096679"/>
    <w:rsid w:val="6E0E0133"/>
    <w:rsid w:val="6E0E5A3E"/>
    <w:rsid w:val="6E0F7A08"/>
    <w:rsid w:val="6E1517E1"/>
    <w:rsid w:val="6E18519D"/>
    <w:rsid w:val="6E1D0376"/>
    <w:rsid w:val="6E1F7C4B"/>
    <w:rsid w:val="6E201C15"/>
    <w:rsid w:val="6E22773B"/>
    <w:rsid w:val="6E276AFF"/>
    <w:rsid w:val="6E281A1A"/>
    <w:rsid w:val="6E296D1B"/>
    <w:rsid w:val="6E2B2A93"/>
    <w:rsid w:val="6E2C0263"/>
    <w:rsid w:val="6E2F4EA0"/>
    <w:rsid w:val="6E3336F6"/>
    <w:rsid w:val="6E34121C"/>
    <w:rsid w:val="6E3556C0"/>
    <w:rsid w:val="6E364877"/>
    <w:rsid w:val="6E386F5E"/>
    <w:rsid w:val="6E3A3756"/>
    <w:rsid w:val="6E42387F"/>
    <w:rsid w:val="6E4341C8"/>
    <w:rsid w:val="6E4678CD"/>
    <w:rsid w:val="6E4A3A4F"/>
    <w:rsid w:val="6E4B4EE4"/>
    <w:rsid w:val="6E510020"/>
    <w:rsid w:val="6E517E76"/>
    <w:rsid w:val="6E52229C"/>
    <w:rsid w:val="6E565636"/>
    <w:rsid w:val="6E587601"/>
    <w:rsid w:val="6E5F44EB"/>
    <w:rsid w:val="6E632089"/>
    <w:rsid w:val="6E671C67"/>
    <w:rsid w:val="6E67471D"/>
    <w:rsid w:val="6E692A74"/>
    <w:rsid w:val="6E6A0E41"/>
    <w:rsid w:val="6E6B7334"/>
    <w:rsid w:val="6E6E2DDD"/>
    <w:rsid w:val="6E755ABD"/>
    <w:rsid w:val="6E781A51"/>
    <w:rsid w:val="6E7A5ED0"/>
    <w:rsid w:val="6E7D2BC3"/>
    <w:rsid w:val="6E8B1784"/>
    <w:rsid w:val="6E8B52E0"/>
    <w:rsid w:val="6E966455"/>
    <w:rsid w:val="6E975A45"/>
    <w:rsid w:val="6E9817AB"/>
    <w:rsid w:val="6E9C573F"/>
    <w:rsid w:val="6E9D05BA"/>
    <w:rsid w:val="6E9E4E8E"/>
    <w:rsid w:val="6E9E5833"/>
    <w:rsid w:val="6EA2262A"/>
    <w:rsid w:val="6EA445F4"/>
    <w:rsid w:val="6EA55596"/>
    <w:rsid w:val="6EA563D0"/>
    <w:rsid w:val="6EA91C0A"/>
    <w:rsid w:val="6EB26D11"/>
    <w:rsid w:val="6EB365E5"/>
    <w:rsid w:val="6EBD1212"/>
    <w:rsid w:val="6EBF34D3"/>
    <w:rsid w:val="6EBF7737"/>
    <w:rsid w:val="6EC175DC"/>
    <w:rsid w:val="6ECB392F"/>
    <w:rsid w:val="6ECD58F9"/>
    <w:rsid w:val="6ED12BC5"/>
    <w:rsid w:val="6ED44F12"/>
    <w:rsid w:val="6ED929CC"/>
    <w:rsid w:val="6EDC1FE0"/>
    <w:rsid w:val="6EDD18B4"/>
    <w:rsid w:val="6EDF7A17"/>
    <w:rsid w:val="6EE81966"/>
    <w:rsid w:val="6EF020B7"/>
    <w:rsid w:val="6EF336A4"/>
    <w:rsid w:val="6EF42DCB"/>
    <w:rsid w:val="6EFC4430"/>
    <w:rsid w:val="6EFE3626"/>
    <w:rsid w:val="6EFE5688"/>
    <w:rsid w:val="6EFF5CCE"/>
    <w:rsid w:val="6F011A46"/>
    <w:rsid w:val="6F0137F4"/>
    <w:rsid w:val="6F0D3F47"/>
    <w:rsid w:val="6F101C89"/>
    <w:rsid w:val="6F143527"/>
    <w:rsid w:val="6F150E28"/>
    <w:rsid w:val="6F153CD3"/>
    <w:rsid w:val="6F176B74"/>
    <w:rsid w:val="6F1928EC"/>
    <w:rsid w:val="6F2D283B"/>
    <w:rsid w:val="6F3054EB"/>
    <w:rsid w:val="6F3239AE"/>
    <w:rsid w:val="6F360B96"/>
    <w:rsid w:val="6F370D0F"/>
    <w:rsid w:val="6F370FC4"/>
    <w:rsid w:val="6F3813CA"/>
    <w:rsid w:val="6F3D46B1"/>
    <w:rsid w:val="6F410095"/>
    <w:rsid w:val="6F431EE0"/>
    <w:rsid w:val="6F4638FD"/>
    <w:rsid w:val="6F4B4A6F"/>
    <w:rsid w:val="6F593630"/>
    <w:rsid w:val="6F59718C"/>
    <w:rsid w:val="6F5D2FB4"/>
    <w:rsid w:val="6F6B5112"/>
    <w:rsid w:val="6F6B6EC0"/>
    <w:rsid w:val="6F6D49E6"/>
    <w:rsid w:val="6F6F075E"/>
    <w:rsid w:val="6F71097A"/>
    <w:rsid w:val="6F745D74"/>
    <w:rsid w:val="6F771D08"/>
    <w:rsid w:val="6F78153D"/>
    <w:rsid w:val="6F7C6A4D"/>
    <w:rsid w:val="6F7E5279"/>
    <w:rsid w:val="6F80296B"/>
    <w:rsid w:val="6F8166E3"/>
    <w:rsid w:val="6F891436"/>
    <w:rsid w:val="6F8D6E36"/>
    <w:rsid w:val="6F8F0E00"/>
    <w:rsid w:val="6F8F2BAE"/>
    <w:rsid w:val="6F944668"/>
    <w:rsid w:val="6F9603E0"/>
    <w:rsid w:val="6F990141"/>
    <w:rsid w:val="6F993AF1"/>
    <w:rsid w:val="6FA70552"/>
    <w:rsid w:val="6FA84C02"/>
    <w:rsid w:val="6FB40867"/>
    <w:rsid w:val="6FB62831"/>
    <w:rsid w:val="6FBC3668"/>
    <w:rsid w:val="6FBE7937"/>
    <w:rsid w:val="6FC62348"/>
    <w:rsid w:val="6FCE1961"/>
    <w:rsid w:val="6FCE582A"/>
    <w:rsid w:val="6FCF2A35"/>
    <w:rsid w:val="6FD23B94"/>
    <w:rsid w:val="6FD3514C"/>
    <w:rsid w:val="6FD66A2F"/>
    <w:rsid w:val="6FD809F9"/>
    <w:rsid w:val="6FD827A7"/>
    <w:rsid w:val="6FDB3522"/>
    <w:rsid w:val="6FDC1B6B"/>
    <w:rsid w:val="6FDD3255"/>
    <w:rsid w:val="6FE078AE"/>
    <w:rsid w:val="6FE253D4"/>
    <w:rsid w:val="6FE359C2"/>
    <w:rsid w:val="6FEF7AF1"/>
    <w:rsid w:val="6FF43359"/>
    <w:rsid w:val="6FF6185D"/>
    <w:rsid w:val="7003534A"/>
    <w:rsid w:val="700C41FF"/>
    <w:rsid w:val="700D7F77"/>
    <w:rsid w:val="70102B68"/>
    <w:rsid w:val="70121FAD"/>
    <w:rsid w:val="70131A31"/>
    <w:rsid w:val="701653E3"/>
    <w:rsid w:val="701A29A5"/>
    <w:rsid w:val="701C4822"/>
    <w:rsid w:val="70221C74"/>
    <w:rsid w:val="702459EC"/>
    <w:rsid w:val="7025639F"/>
    <w:rsid w:val="702754DC"/>
    <w:rsid w:val="70290D2C"/>
    <w:rsid w:val="702B69E4"/>
    <w:rsid w:val="702D1E69"/>
    <w:rsid w:val="70310109"/>
    <w:rsid w:val="70344490"/>
    <w:rsid w:val="70441100"/>
    <w:rsid w:val="704876EA"/>
    <w:rsid w:val="704A5FEB"/>
    <w:rsid w:val="704C3013"/>
    <w:rsid w:val="704C4F43"/>
    <w:rsid w:val="705252F6"/>
    <w:rsid w:val="70556EED"/>
    <w:rsid w:val="7056191E"/>
    <w:rsid w:val="70575C80"/>
    <w:rsid w:val="70585696"/>
    <w:rsid w:val="705F1DD6"/>
    <w:rsid w:val="70666005"/>
    <w:rsid w:val="70673EE3"/>
    <w:rsid w:val="706B361B"/>
    <w:rsid w:val="706C1726"/>
    <w:rsid w:val="706C51C0"/>
    <w:rsid w:val="706F12F4"/>
    <w:rsid w:val="707324D0"/>
    <w:rsid w:val="707441F0"/>
    <w:rsid w:val="70776A9B"/>
    <w:rsid w:val="70781894"/>
    <w:rsid w:val="707A1AB0"/>
    <w:rsid w:val="707D6EAA"/>
    <w:rsid w:val="707F4F45"/>
    <w:rsid w:val="708228FC"/>
    <w:rsid w:val="70823BE0"/>
    <w:rsid w:val="70893AA1"/>
    <w:rsid w:val="70904E30"/>
    <w:rsid w:val="709541F4"/>
    <w:rsid w:val="70965DA1"/>
    <w:rsid w:val="709661BE"/>
    <w:rsid w:val="709712A0"/>
    <w:rsid w:val="709C6820"/>
    <w:rsid w:val="709D579F"/>
    <w:rsid w:val="709F12DA"/>
    <w:rsid w:val="70A26911"/>
    <w:rsid w:val="70A42689"/>
    <w:rsid w:val="70A71437"/>
    <w:rsid w:val="70A7741B"/>
    <w:rsid w:val="70AE6645"/>
    <w:rsid w:val="70B4006F"/>
    <w:rsid w:val="70B57A34"/>
    <w:rsid w:val="70C65E02"/>
    <w:rsid w:val="70CD7E32"/>
    <w:rsid w:val="70CE7706"/>
    <w:rsid w:val="70D171F6"/>
    <w:rsid w:val="70DF7B65"/>
    <w:rsid w:val="70E379D0"/>
    <w:rsid w:val="70E81F3E"/>
    <w:rsid w:val="70E837DF"/>
    <w:rsid w:val="70E92277"/>
    <w:rsid w:val="70EF3E1D"/>
    <w:rsid w:val="70F3126C"/>
    <w:rsid w:val="70F73101"/>
    <w:rsid w:val="70FC4273"/>
    <w:rsid w:val="7104137A"/>
    <w:rsid w:val="71082B55"/>
    <w:rsid w:val="710B6BAC"/>
    <w:rsid w:val="71193077"/>
    <w:rsid w:val="711A6DEF"/>
    <w:rsid w:val="711C0C24"/>
    <w:rsid w:val="711E582B"/>
    <w:rsid w:val="711F4406"/>
    <w:rsid w:val="71235C9B"/>
    <w:rsid w:val="712B6906"/>
    <w:rsid w:val="71327C95"/>
    <w:rsid w:val="71381023"/>
    <w:rsid w:val="7139265C"/>
    <w:rsid w:val="714300F4"/>
    <w:rsid w:val="714F6A99"/>
    <w:rsid w:val="71597917"/>
    <w:rsid w:val="715C2F64"/>
    <w:rsid w:val="715F4991"/>
    <w:rsid w:val="71630796"/>
    <w:rsid w:val="71641E18"/>
    <w:rsid w:val="71702C8B"/>
    <w:rsid w:val="71716B68"/>
    <w:rsid w:val="7174105B"/>
    <w:rsid w:val="71744751"/>
    <w:rsid w:val="717B5AE0"/>
    <w:rsid w:val="717F172E"/>
    <w:rsid w:val="7185070D"/>
    <w:rsid w:val="718B5D8D"/>
    <w:rsid w:val="718F3339"/>
    <w:rsid w:val="71932046"/>
    <w:rsid w:val="71946A7E"/>
    <w:rsid w:val="71970440"/>
    <w:rsid w:val="71997D14"/>
    <w:rsid w:val="71A1306D"/>
    <w:rsid w:val="71A87F57"/>
    <w:rsid w:val="71AA3CCF"/>
    <w:rsid w:val="71AB7A47"/>
    <w:rsid w:val="71AC3F14"/>
    <w:rsid w:val="71B505CF"/>
    <w:rsid w:val="71B548D1"/>
    <w:rsid w:val="71BD1D40"/>
    <w:rsid w:val="71C07997"/>
    <w:rsid w:val="71C43014"/>
    <w:rsid w:val="71C64881"/>
    <w:rsid w:val="71C8684B"/>
    <w:rsid w:val="71CC7E01"/>
    <w:rsid w:val="71D022E5"/>
    <w:rsid w:val="71D1493E"/>
    <w:rsid w:val="71D842C9"/>
    <w:rsid w:val="71E01DE7"/>
    <w:rsid w:val="71E13243"/>
    <w:rsid w:val="71E41740"/>
    <w:rsid w:val="71E41974"/>
    <w:rsid w:val="71ED62B2"/>
    <w:rsid w:val="71F039A4"/>
    <w:rsid w:val="71FC02A3"/>
    <w:rsid w:val="72021D5D"/>
    <w:rsid w:val="72031631"/>
    <w:rsid w:val="72043067"/>
    <w:rsid w:val="7205184D"/>
    <w:rsid w:val="720A0C12"/>
    <w:rsid w:val="720A29C0"/>
    <w:rsid w:val="720C491C"/>
    <w:rsid w:val="720C6738"/>
    <w:rsid w:val="72111FA0"/>
    <w:rsid w:val="72161365"/>
    <w:rsid w:val="72165809"/>
    <w:rsid w:val="721750DD"/>
    <w:rsid w:val="721D0945"/>
    <w:rsid w:val="721E6481"/>
    <w:rsid w:val="72236CE8"/>
    <w:rsid w:val="722A54BC"/>
    <w:rsid w:val="723A0276"/>
    <w:rsid w:val="723B526F"/>
    <w:rsid w:val="723D4CFB"/>
    <w:rsid w:val="72406E13"/>
    <w:rsid w:val="7249173A"/>
    <w:rsid w:val="724A3704"/>
    <w:rsid w:val="724E133B"/>
    <w:rsid w:val="72511D57"/>
    <w:rsid w:val="72556331"/>
    <w:rsid w:val="726A7902"/>
    <w:rsid w:val="726B54BE"/>
    <w:rsid w:val="72730565"/>
    <w:rsid w:val="728203DC"/>
    <w:rsid w:val="7283753E"/>
    <w:rsid w:val="7284642B"/>
    <w:rsid w:val="7285473C"/>
    <w:rsid w:val="728C7879"/>
    <w:rsid w:val="729130E1"/>
    <w:rsid w:val="72914E8F"/>
    <w:rsid w:val="7292327F"/>
    <w:rsid w:val="72952BD1"/>
    <w:rsid w:val="729A1F96"/>
    <w:rsid w:val="729B7ABC"/>
    <w:rsid w:val="729F57FE"/>
    <w:rsid w:val="72A02941"/>
    <w:rsid w:val="72A9136A"/>
    <w:rsid w:val="72A91BA0"/>
    <w:rsid w:val="72B1108D"/>
    <w:rsid w:val="72B312A9"/>
    <w:rsid w:val="72B62B48"/>
    <w:rsid w:val="72B8066E"/>
    <w:rsid w:val="72BD5C84"/>
    <w:rsid w:val="72C214EC"/>
    <w:rsid w:val="72C45800"/>
    <w:rsid w:val="72C542CA"/>
    <w:rsid w:val="72CE60E3"/>
    <w:rsid w:val="72D336FA"/>
    <w:rsid w:val="72D54D7C"/>
    <w:rsid w:val="72DD1E82"/>
    <w:rsid w:val="72E14993"/>
    <w:rsid w:val="72E47527"/>
    <w:rsid w:val="72F16E84"/>
    <w:rsid w:val="72F431B5"/>
    <w:rsid w:val="72F63973"/>
    <w:rsid w:val="72FC0AEE"/>
    <w:rsid w:val="73052A89"/>
    <w:rsid w:val="73076EFF"/>
    <w:rsid w:val="730A1B38"/>
    <w:rsid w:val="730D6C0C"/>
    <w:rsid w:val="73117D7E"/>
    <w:rsid w:val="731A1328"/>
    <w:rsid w:val="731A30D6"/>
    <w:rsid w:val="73221500"/>
    <w:rsid w:val="7327134F"/>
    <w:rsid w:val="732C6152"/>
    <w:rsid w:val="732D418A"/>
    <w:rsid w:val="732E798D"/>
    <w:rsid w:val="73326672"/>
    <w:rsid w:val="73375A36"/>
    <w:rsid w:val="733D0C11"/>
    <w:rsid w:val="733F0072"/>
    <w:rsid w:val="733F2B3D"/>
    <w:rsid w:val="73441F01"/>
    <w:rsid w:val="73505624"/>
    <w:rsid w:val="73506AF8"/>
    <w:rsid w:val="735465E8"/>
    <w:rsid w:val="735754B8"/>
    <w:rsid w:val="735760D9"/>
    <w:rsid w:val="735C36EF"/>
    <w:rsid w:val="735D0C99"/>
    <w:rsid w:val="735D2FC3"/>
    <w:rsid w:val="735E1767"/>
    <w:rsid w:val="73660E13"/>
    <w:rsid w:val="736B748E"/>
    <w:rsid w:val="73740A39"/>
    <w:rsid w:val="737710AF"/>
    <w:rsid w:val="737956B3"/>
    <w:rsid w:val="737C5B3F"/>
    <w:rsid w:val="737C78ED"/>
    <w:rsid w:val="737D7091"/>
    <w:rsid w:val="737E18B7"/>
    <w:rsid w:val="73840550"/>
    <w:rsid w:val="738549F4"/>
    <w:rsid w:val="738557A7"/>
    <w:rsid w:val="738642C8"/>
    <w:rsid w:val="738A200A"/>
    <w:rsid w:val="738E6711"/>
    <w:rsid w:val="73922C6D"/>
    <w:rsid w:val="739509AF"/>
    <w:rsid w:val="73951FDA"/>
    <w:rsid w:val="7399224D"/>
    <w:rsid w:val="73A62BBC"/>
    <w:rsid w:val="73A82490"/>
    <w:rsid w:val="73AA445A"/>
    <w:rsid w:val="73AB3D2F"/>
    <w:rsid w:val="73AD7AA7"/>
    <w:rsid w:val="73AE0BB5"/>
    <w:rsid w:val="73B20C2B"/>
    <w:rsid w:val="73B80A58"/>
    <w:rsid w:val="73BB0416"/>
    <w:rsid w:val="73BC4B7F"/>
    <w:rsid w:val="73BE3A62"/>
    <w:rsid w:val="73C43B5F"/>
    <w:rsid w:val="73C848E1"/>
    <w:rsid w:val="73C979D4"/>
    <w:rsid w:val="73CD3073"/>
    <w:rsid w:val="73D073A4"/>
    <w:rsid w:val="73DE4104"/>
    <w:rsid w:val="73E01C2A"/>
    <w:rsid w:val="73F61E70"/>
    <w:rsid w:val="73F76F74"/>
    <w:rsid w:val="73FE5977"/>
    <w:rsid w:val="7407365B"/>
    <w:rsid w:val="740A4EF9"/>
    <w:rsid w:val="740B2A1F"/>
    <w:rsid w:val="741713C4"/>
    <w:rsid w:val="741C044C"/>
    <w:rsid w:val="741C69DA"/>
    <w:rsid w:val="7420296E"/>
    <w:rsid w:val="74246941"/>
    <w:rsid w:val="74257F85"/>
    <w:rsid w:val="743106D8"/>
    <w:rsid w:val="74337EFD"/>
    <w:rsid w:val="7434612B"/>
    <w:rsid w:val="74363E3E"/>
    <w:rsid w:val="74364910"/>
    <w:rsid w:val="74476CC4"/>
    <w:rsid w:val="744A79EB"/>
    <w:rsid w:val="744C3764"/>
    <w:rsid w:val="745A5E80"/>
    <w:rsid w:val="745A77E9"/>
    <w:rsid w:val="745B519B"/>
    <w:rsid w:val="745F5557"/>
    <w:rsid w:val="746C4B3C"/>
    <w:rsid w:val="746C4C5A"/>
    <w:rsid w:val="746E2840"/>
    <w:rsid w:val="746E5488"/>
    <w:rsid w:val="746F1200"/>
    <w:rsid w:val="74744A68"/>
    <w:rsid w:val="74746816"/>
    <w:rsid w:val="74784559"/>
    <w:rsid w:val="747F58E7"/>
    <w:rsid w:val="74861836"/>
    <w:rsid w:val="74890514"/>
    <w:rsid w:val="748F3650"/>
    <w:rsid w:val="74934EEE"/>
    <w:rsid w:val="7499627D"/>
    <w:rsid w:val="749A65CD"/>
    <w:rsid w:val="74A0707D"/>
    <w:rsid w:val="74A0760B"/>
    <w:rsid w:val="74A36D45"/>
    <w:rsid w:val="74AC7D5E"/>
    <w:rsid w:val="74B0456B"/>
    <w:rsid w:val="74B65081"/>
    <w:rsid w:val="74B658A6"/>
    <w:rsid w:val="74B9247B"/>
    <w:rsid w:val="74BA6BC4"/>
    <w:rsid w:val="74C07CAE"/>
    <w:rsid w:val="74C27582"/>
    <w:rsid w:val="74C32360"/>
    <w:rsid w:val="74C432FA"/>
    <w:rsid w:val="74C83B0D"/>
    <w:rsid w:val="74CC21AE"/>
    <w:rsid w:val="74D3178F"/>
    <w:rsid w:val="74D55507"/>
    <w:rsid w:val="74D80B53"/>
    <w:rsid w:val="74DE2DFA"/>
    <w:rsid w:val="74E0571E"/>
    <w:rsid w:val="74EF59B8"/>
    <w:rsid w:val="74F17E67"/>
    <w:rsid w:val="74FE5F13"/>
    <w:rsid w:val="75083D4B"/>
    <w:rsid w:val="750B0F29"/>
    <w:rsid w:val="75136D13"/>
    <w:rsid w:val="75137DDD"/>
    <w:rsid w:val="75157205"/>
    <w:rsid w:val="751920F4"/>
    <w:rsid w:val="751A5610"/>
    <w:rsid w:val="751F49D4"/>
    <w:rsid w:val="751F6782"/>
    <w:rsid w:val="75214E97"/>
    <w:rsid w:val="75241A57"/>
    <w:rsid w:val="75273889"/>
    <w:rsid w:val="752A7CF7"/>
    <w:rsid w:val="752D2645"/>
    <w:rsid w:val="752E07F8"/>
    <w:rsid w:val="752E5D59"/>
    <w:rsid w:val="7530273D"/>
    <w:rsid w:val="75306BE1"/>
    <w:rsid w:val="7533401E"/>
    <w:rsid w:val="75340057"/>
    <w:rsid w:val="75342F7B"/>
    <w:rsid w:val="75385A96"/>
    <w:rsid w:val="753F3897"/>
    <w:rsid w:val="75510278"/>
    <w:rsid w:val="75564E94"/>
    <w:rsid w:val="755D0873"/>
    <w:rsid w:val="7561323F"/>
    <w:rsid w:val="75622B13"/>
    <w:rsid w:val="7564688B"/>
    <w:rsid w:val="75684D2F"/>
    <w:rsid w:val="75693EA1"/>
    <w:rsid w:val="756B19C7"/>
    <w:rsid w:val="756C3391"/>
    <w:rsid w:val="757321B9"/>
    <w:rsid w:val="757A3787"/>
    <w:rsid w:val="757A59D3"/>
    <w:rsid w:val="757E794D"/>
    <w:rsid w:val="758456F4"/>
    <w:rsid w:val="7589009F"/>
    <w:rsid w:val="75896AAB"/>
    <w:rsid w:val="758A2545"/>
    <w:rsid w:val="758B3CC7"/>
    <w:rsid w:val="759479A6"/>
    <w:rsid w:val="75956A44"/>
    <w:rsid w:val="759929D8"/>
    <w:rsid w:val="759F6502"/>
    <w:rsid w:val="75A31A77"/>
    <w:rsid w:val="75A3600B"/>
    <w:rsid w:val="75A37883"/>
    <w:rsid w:val="75A60C51"/>
    <w:rsid w:val="75A849CA"/>
    <w:rsid w:val="75AB6ADD"/>
    <w:rsid w:val="75AD0232"/>
    <w:rsid w:val="75B710B1"/>
    <w:rsid w:val="75B94E29"/>
    <w:rsid w:val="75BA46FD"/>
    <w:rsid w:val="75BA6733"/>
    <w:rsid w:val="75BE5F9B"/>
    <w:rsid w:val="75BE6D3C"/>
    <w:rsid w:val="75BF1D13"/>
    <w:rsid w:val="75BF3AC1"/>
    <w:rsid w:val="75C33EB4"/>
    <w:rsid w:val="75C61D28"/>
    <w:rsid w:val="75C665FE"/>
    <w:rsid w:val="75CA2B92"/>
    <w:rsid w:val="75D9283F"/>
    <w:rsid w:val="75DE488F"/>
    <w:rsid w:val="75DF4163"/>
    <w:rsid w:val="75DF5F11"/>
    <w:rsid w:val="75E579CC"/>
    <w:rsid w:val="75E9535F"/>
    <w:rsid w:val="75EF25F8"/>
    <w:rsid w:val="75F257F1"/>
    <w:rsid w:val="75F25C45"/>
    <w:rsid w:val="75F45E61"/>
    <w:rsid w:val="75FF0362"/>
    <w:rsid w:val="76012CC3"/>
    <w:rsid w:val="760616F0"/>
    <w:rsid w:val="760A11E0"/>
    <w:rsid w:val="760A7432"/>
    <w:rsid w:val="760B6D06"/>
    <w:rsid w:val="760F67F7"/>
    <w:rsid w:val="76156C95"/>
    <w:rsid w:val="761756AB"/>
    <w:rsid w:val="76175A86"/>
    <w:rsid w:val="761A519B"/>
    <w:rsid w:val="761B163F"/>
    <w:rsid w:val="7621652A"/>
    <w:rsid w:val="762D4ECF"/>
    <w:rsid w:val="7630676D"/>
    <w:rsid w:val="76325D56"/>
    <w:rsid w:val="76366479"/>
    <w:rsid w:val="763E70DC"/>
    <w:rsid w:val="764010A6"/>
    <w:rsid w:val="76455496"/>
    <w:rsid w:val="764A5562"/>
    <w:rsid w:val="764C0A5E"/>
    <w:rsid w:val="764E7C2F"/>
    <w:rsid w:val="76516E0F"/>
    <w:rsid w:val="76522FEF"/>
    <w:rsid w:val="765336FE"/>
    <w:rsid w:val="76545287"/>
    <w:rsid w:val="76562678"/>
    <w:rsid w:val="765661D4"/>
    <w:rsid w:val="76636B42"/>
    <w:rsid w:val="76650B0D"/>
    <w:rsid w:val="76654669"/>
    <w:rsid w:val="76663667"/>
    <w:rsid w:val="766A0ECB"/>
    <w:rsid w:val="766F0A02"/>
    <w:rsid w:val="7671125F"/>
    <w:rsid w:val="76790114"/>
    <w:rsid w:val="767A147A"/>
    <w:rsid w:val="768076F4"/>
    <w:rsid w:val="76855262"/>
    <w:rsid w:val="76870A83"/>
    <w:rsid w:val="76872831"/>
    <w:rsid w:val="76876CD5"/>
    <w:rsid w:val="768A40CF"/>
    <w:rsid w:val="768F7938"/>
    <w:rsid w:val="7691545E"/>
    <w:rsid w:val="76946CFC"/>
    <w:rsid w:val="76982C90"/>
    <w:rsid w:val="769A6A08"/>
    <w:rsid w:val="769B0662"/>
    <w:rsid w:val="76AC4841"/>
    <w:rsid w:val="76AC75EB"/>
    <w:rsid w:val="76AF7FDA"/>
    <w:rsid w:val="76B000B8"/>
    <w:rsid w:val="76B35130"/>
    <w:rsid w:val="76B4739E"/>
    <w:rsid w:val="76B7502B"/>
    <w:rsid w:val="76B86E8E"/>
    <w:rsid w:val="76C240A3"/>
    <w:rsid w:val="76C27D0D"/>
    <w:rsid w:val="76C30D21"/>
    <w:rsid w:val="76C75323"/>
    <w:rsid w:val="76C92E49"/>
    <w:rsid w:val="76D161A2"/>
    <w:rsid w:val="76D17F50"/>
    <w:rsid w:val="76D23D36"/>
    <w:rsid w:val="76D65566"/>
    <w:rsid w:val="76D812DE"/>
    <w:rsid w:val="76D87530"/>
    <w:rsid w:val="76DB0DCF"/>
    <w:rsid w:val="76E310A6"/>
    <w:rsid w:val="76E61C4D"/>
    <w:rsid w:val="76E9529A"/>
    <w:rsid w:val="76EC70A4"/>
    <w:rsid w:val="76EF6628"/>
    <w:rsid w:val="76F31C74"/>
    <w:rsid w:val="76F37EC6"/>
    <w:rsid w:val="76F40FE9"/>
    <w:rsid w:val="76F46560"/>
    <w:rsid w:val="76F82CD0"/>
    <w:rsid w:val="76FC0095"/>
    <w:rsid w:val="76FD729E"/>
    <w:rsid w:val="77020109"/>
    <w:rsid w:val="770420D4"/>
    <w:rsid w:val="770976EA"/>
    <w:rsid w:val="770A1305"/>
    <w:rsid w:val="770B3462"/>
    <w:rsid w:val="77195299"/>
    <w:rsid w:val="771D4568"/>
    <w:rsid w:val="772029EF"/>
    <w:rsid w:val="77204A34"/>
    <w:rsid w:val="772207AC"/>
    <w:rsid w:val="772462D2"/>
    <w:rsid w:val="772C5D33"/>
    <w:rsid w:val="772E2825"/>
    <w:rsid w:val="77302EC9"/>
    <w:rsid w:val="77334767"/>
    <w:rsid w:val="773724A9"/>
    <w:rsid w:val="773A3D47"/>
    <w:rsid w:val="773C186D"/>
    <w:rsid w:val="773D55E5"/>
    <w:rsid w:val="77402ADC"/>
    <w:rsid w:val="774D3A7A"/>
    <w:rsid w:val="774D5910"/>
    <w:rsid w:val="7750356B"/>
    <w:rsid w:val="77536BB7"/>
    <w:rsid w:val="77585F7B"/>
    <w:rsid w:val="775C0B8E"/>
    <w:rsid w:val="77624382"/>
    <w:rsid w:val="776963DA"/>
    <w:rsid w:val="776D5ECB"/>
    <w:rsid w:val="77764653"/>
    <w:rsid w:val="777728A5"/>
    <w:rsid w:val="7778661E"/>
    <w:rsid w:val="777A2396"/>
    <w:rsid w:val="777B5DEC"/>
    <w:rsid w:val="777C7EBC"/>
    <w:rsid w:val="77846D70"/>
    <w:rsid w:val="77894387"/>
    <w:rsid w:val="7789717D"/>
    <w:rsid w:val="77925931"/>
    <w:rsid w:val="779A2A38"/>
    <w:rsid w:val="779E42D6"/>
    <w:rsid w:val="77A318EC"/>
    <w:rsid w:val="77A47413"/>
    <w:rsid w:val="77A613DD"/>
    <w:rsid w:val="77AC29D7"/>
    <w:rsid w:val="77BA055F"/>
    <w:rsid w:val="77BC475C"/>
    <w:rsid w:val="77BE0B50"/>
    <w:rsid w:val="77BF467D"/>
    <w:rsid w:val="77C11D73"/>
    <w:rsid w:val="77C27719"/>
    <w:rsid w:val="77C27899"/>
    <w:rsid w:val="77C47AB5"/>
    <w:rsid w:val="77C90C27"/>
    <w:rsid w:val="77CD6969"/>
    <w:rsid w:val="77CE6A0D"/>
    <w:rsid w:val="77D575CC"/>
    <w:rsid w:val="77D677BF"/>
    <w:rsid w:val="77D846FA"/>
    <w:rsid w:val="77DF044B"/>
    <w:rsid w:val="77DF669D"/>
    <w:rsid w:val="77E00A7D"/>
    <w:rsid w:val="77E12415"/>
    <w:rsid w:val="77E15F71"/>
    <w:rsid w:val="77E24E65"/>
    <w:rsid w:val="77E369E1"/>
    <w:rsid w:val="77EB6DF0"/>
    <w:rsid w:val="77EF68E0"/>
    <w:rsid w:val="77F0461D"/>
    <w:rsid w:val="77F57C6E"/>
    <w:rsid w:val="77F959B0"/>
    <w:rsid w:val="77FA34D6"/>
    <w:rsid w:val="77FA3FB4"/>
    <w:rsid w:val="78041B5D"/>
    <w:rsid w:val="78047EB1"/>
    <w:rsid w:val="78126A72"/>
    <w:rsid w:val="78160DD1"/>
    <w:rsid w:val="78170973"/>
    <w:rsid w:val="78174088"/>
    <w:rsid w:val="781774FC"/>
    <w:rsid w:val="781B6E93"/>
    <w:rsid w:val="78235058"/>
    <w:rsid w:val="78283619"/>
    <w:rsid w:val="782D045E"/>
    <w:rsid w:val="782F5BA4"/>
    <w:rsid w:val="7836235A"/>
    <w:rsid w:val="784309DA"/>
    <w:rsid w:val="78474691"/>
    <w:rsid w:val="784C3D32"/>
    <w:rsid w:val="784E2CAA"/>
    <w:rsid w:val="784F737E"/>
    <w:rsid w:val="785250C1"/>
    <w:rsid w:val="7856695F"/>
    <w:rsid w:val="78595178"/>
    <w:rsid w:val="785F785A"/>
    <w:rsid w:val="7863107C"/>
    <w:rsid w:val="7866291A"/>
    <w:rsid w:val="78686692"/>
    <w:rsid w:val="786A679B"/>
    <w:rsid w:val="786F4218"/>
    <w:rsid w:val="787709AC"/>
    <w:rsid w:val="7879264D"/>
    <w:rsid w:val="787D699C"/>
    <w:rsid w:val="7883171E"/>
    <w:rsid w:val="788D7EA7"/>
    <w:rsid w:val="788E7FF8"/>
    <w:rsid w:val="78911745"/>
    <w:rsid w:val="789254BD"/>
    <w:rsid w:val="78A04C36"/>
    <w:rsid w:val="78A458CD"/>
    <w:rsid w:val="78A50A63"/>
    <w:rsid w:val="78A551F0"/>
    <w:rsid w:val="78AD50A9"/>
    <w:rsid w:val="78AF2513"/>
    <w:rsid w:val="78AF42C1"/>
    <w:rsid w:val="78B27ED5"/>
    <w:rsid w:val="78B71BFD"/>
    <w:rsid w:val="78B96EEE"/>
    <w:rsid w:val="78BC2D64"/>
    <w:rsid w:val="78BE2756"/>
    <w:rsid w:val="78BF764D"/>
    <w:rsid w:val="78C064CE"/>
    <w:rsid w:val="78C31B1A"/>
    <w:rsid w:val="78CA5C67"/>
    <w:rsid w:val="78CA6D92"/>
    <w:rsid w:val="78DC306E"/>
    <w:rsid w:val="78E33F6B"/>
    <w:rsid w:val="78E51A91"/>
    <w:rsid w:val="78ED0288"/>
    <w:rsid w:val="78EF290F"/>
    <w:rsid w:val="78F328E0"/>
    <w:rsid w:val="78F63854"/>
    <w:rsid w:val="78F87A16"/>
    <w:rsid w:val="78F9378E"/>
    <w:rsid w:val="79002BDE"/>
    <w:rsid w:val="79037B9B"/>
    <w:rsid w:val="79055E52"/>
    <w:rsid w:val="790C1BE0"/>
    <w:rsid w:val="790C75C7"/>
    <w:rsid w:val="79125110"/>
    <w:rsid w:val="7917592A"/>
    <w:rsid w:val="79224A93"/>
    <w:rsid w:val="79241DCB"/>
    <w:rsid w:val="79273E57"/>
    <w:rsid w:val="79293D18"/>
    <w:rsid w:val="79297BCF"/>
    <w:rsid w:val="792C5912"/>
    <w:rsid w:val="792D3F27"/>
    <w:rsid w:val="7931117A"/>
    <w:rsid w:val="7933353D"/>
    <w:rsid w:val="793547C6"/>
    <w:rsid w:val="793A1DDD"/>
    <w:rsid w:val="794C17CC"/>
    <w:rsid w:val="79526D7F"/>
    <w:rsid w:val="795A247F"/>
    <w:rsid w:val="795D5ACB"/>
    <w:rsid w:val="795F5CE7"/>
    <w:rsid w:val="796055BB"/>
    <w:rsid w:val="7961380D"/>
    <w:rsid w:val="79654980"/>
    <w:rsid w:val="79660E24"/>
    <w:rsid w:val="796903D7"/>
    <w:rsid w:val="797177C8"/>
    <w:rsid w:val="79742119"/>
    <w:rsid w:val="797835F9"/>
    <w:rsid w:val="797A667D"/>
    <w:rsid w:val="797C23F5"/>
    <w:rsid w:val="797D616D"/>
    <w:rsid w:val="798B2638"/>
    <w:rsid w:val="798F2E94"/>
    <w:rsid w:val="79915775"/>
    <w:rsid w:val="799178BA"/>
    <w:rsid w:val="79917F3C"/>
    <w:rsid w:val="799C4845"/>
    <w:rsid w:val="799C6753"/>
    <w:rsid w:val="79A436FA"/>
    <w:rsid w:val="79A731EA"/>
    <w:rsid w:val="79AB24EF"/>
    <w:rsid w:val="79AC25AE"/>
    <w:rsid w:val="79AE4579"/>
    <w:rsid w:val="79AE5E14"/>
    <w:rsid w:val="79B7167F"/>
    <w:rsid w:val="79B7342D"/>
    <w:rsid w:val="79BA2F1D"/>
    <w:rsid w:val="79BD2EFB"/>
    <w:rsid w:val="79BF0534"/>
    <w:rsid w:val="79C43D9C"/>
    <w:rsid w:val="79C9213B"/>
    <w:rsid w:val="79CC4220"/>
    <w:rsid w:val="79CC49FF"/>
    <w:rsid w:val="79CD2C51"/>
    <w:rsid w:val="79D00993"/>
    <w:rsid w:val="79D7587D"/>
    <w:rsid w:val="79D90702"/>
    <w:rsid w:val="79DA35C0"/>
    <w:rsid w:val="79DE2130"/>
    <w:rsid w:val="79E24222"/>
    <w:rsid w:val="79E47F9A"/>
    <w:rsid w:val="79E92E30"/>
    <w:rsid w:val="79ED068D"/>
    <w:rsid w:val="79ED2CC7"/>
    <w:rsid w:val="79ED6E4F"/>
    <w:rsid w:val="79EE2BC7"/>
    <w:rsid w:val="79EE5161"/>
    <w:rsid w:val="79F5251F"/>
    <w:rsid w:val="79F77CCE"/>
    <w:rsid w:val="79FE6D37"/>
    <w:rsid w:val="7A122E9E"/>
    <w:rsid w:val="7A124ABF"/>
    <w:rsid w:val="7A140880"/>
    <w:rsid w:val="7A2118AD"/>
    <w:rsid w:val="7A2811CB"/>
    <w:rsid w:val="7A2B7977"/>
    <w:rsid w:val="7A304F8E"/>
    <w:rsid w:val="7A306137"/>
    <w:rsid w:val="7A394DCB"/>
    <w:rsid w:val="7A3A1A7F"/>
    <w:rsid w:val="7A410F49"/>
    <w:rsid w:val="7A460C55"/>
    <w:rsid w:val="7A4F18B8"/>
    <w:rsid w:val="7A523156"/>
    <w:rsid w:val="7A543372"/>
    <w:rsid w:val="7A575308"/>
    <w:rsid w:val="7A5C214F"/>
    <w:rsid w:val="7A62253E"/>
    <w:rsid w:val="7A653295"/>
    <w:rsid w:val="7A6560BF"/>
    <w:rsid w:val="7A680BCB"/>
    <w:rsid w:val="7A6D4434"/>
    <w:rsid w:val="7A7430CC"/>
    <w:rsid w:val="7A7E219D"/>
    <w:rsid w:val="7A825211"/>
    <w:rsid w:val="7A842082"/>
    <w:rsid w:val="7A8461EE"/>
    <w:rsid w:val="7A8A0B42"/>
    <w:rsid w:val="7A8D418E"/>
    <w:rsid w:val="7A8F43AA"/>
    <w:rsid w:val="7AA01628"/>
    <w:rsid w:val="7AA31C03"/>
    <w:rsid w:val="7AA9070B"/>
    <w:rsid w:val="7AAA28A3"/>
    <w:rsid w:val="7AAC160F"/>
    <w:rsid w:val="7AB91427"/>
    <w:rsid w:val="7AB94F83"/>
    <w:rsid w:val="7ABB6F4D"/>
    <w:rsid w:val="7ABC4A73"/>
    <w:rsid w:val="7ABE2CD8"/>
    <w:rsid w:val="7ACA7190"/>
    <w:rsid w:val="7AD16771"/>
    <w:rsid w:val="7AD324E9"/>
    <w:rsid w:val="7AD4514B"/>
    <w:rsid w:val="7ADB139D"/>
    <w:rsid w:val="7AE446F6"/>
    <w:rsid w:val="7AE87C4C"/>
    <w:rsid w:val="7AEA15E0"/>
    <w:rsid w:val="7AEE0B70"/>
    <w:rsid w:val="7AFB26BA"/>
    <w:rsid w:val="7AFB559C"/>
    <w:rsid w:val="7AFE6810"/>
    <w:rsid w:val="7B036659"/>
    <w:rsid w:val="7B046B46"/>
    <w:rsid w:val="7B05641A"/>
    <w:rsid w:val="7B08663A"/>
    <w:rsid w:val="7B087CB8"/>
    <w:rsid w:val="7B0A57DF"/>
    <w:rsid w:val="7B0B276E"/>
    <w:rsid w:val="7B0F54EB"/>
    <w:rsid w:val="7B124186"/>
    <w:rsid w:val="7B151345"/>
    <w:rsid w:val="7B160FC2"/>
    <w:rsid w:val="7B1623D5"/>
    <w:rsid w:val="7B176702"/>
    <w:rsid w:val="7B22521E"/>
    <w:rsid w:val="7B2368A0"/>
    <w:rsid w:val="7B244A56"/>
    <w:rsid w:val="7B272834"/>
    <w:rsid w:val="7B2A40D3"/>
    <w:rsid w:val="7B2D0613"/>
    <w:rsid w:val="7B2E119E"/>
    <w:rsid w:val="7B2F59D6"/>
    <w:rsid w:val="7B340AAD"/>
    <w:rsid w:val="7B38059E"/>
    <w:rsid w:val="7B3C19F7"/>
    <w:rsid w:val="7B3D3E06"/>
    <w:rsid w:val="7B3D5BB4"/>
    <w:rsid w:val="7B4479A9"/>
    <w:rsid w:val="7B454A69"/>
    <w:rsid w:val="7B4A4A3E"/>
    <w:rsid w:val="7B4D06B6"/>
    <w:rsid w:val="7B4F3755"/>
    <w:rsid w:val="7B4F58E7"/>
    <w:rsid w:val="7B51165F"/>
    <w:rsid w:val="7B5178B1"/>
    <w:rsid w:val="7B5573A2"/>
    <w:rsid w:val="7B5B2A6B"/>
    <w:rsid w:val="7B674798"/>
    <w:rsid w:val="7B6969A9"/>
    <w:rsid w:val="7B6D0B60"/>
    <w:rsid w:val="7B711D02"/>
    <w:rsid w:val="7B7A6E08"/>
    <w:rsid w:val="7B7B66DC"/>
    <w:rsid w:val="7B810197"/>
    <w:rsid w:val="7B851309"/>
    <w:rsid w:val="7B8A0D35"/>
    <w:rsid w:val="7B8A691F"/>
    <w:rsid w:val="7B8C2698"/>
    <w:rsid w:val="7B91508D"/>
    <w:rsid w:val="7B95154C"/>
    <w:rsid w:val="7B981B6E"/>
    <w:rsid w:val="7BA45C33"/>
    <w:rsid w:val="7BA479E1"/>
    <w:rsid w:val="7BA56F07"/>
    <w:rsid w:val="7BA619AB"/>
    <w:rsid w:val="7BA64D25"/>
    <w:rsid w:val="7BA67BFD"/>
    <w:rsid w:val="7BA93249"/>
    <w:rsid w:val="7BAD6F9E"/>
    <w:rsid w:val="7BB10350"/>
    <w:rsid w:val="7BB265A2"/>
    <w:rsid w:val="7BB87930"/>
    <w:rsid w:val="7BB9567E"/>
    <w:rsid w:val="7BBB726B"/>
    <w:rsid w:val="7BC40B01"/>
    <w:rsid w:val="7BC6204D"/>
    <w:rsid w:val="7BC77B74"/>
    <w:rsid w:val="7BCC0CE6"/>
    <w:rsid w:val="7BDE7397"/>
    <w:rsid w:val="7BE10C35"/>
    <w:rsid w:val="7BE75B20"/>
    <w:rsid w:val="7BE95D3C"/>
    <w:rsid w:val="7BEC3136"/>
    <w:rsid w:val="7BED392B"/>
    <w:rsid w:val="7BED75DA"/>
    <w:rsid w:val="7BF02C26"/>
    <w:rsid w:val="7BF24BF0"/>
    <w:rsid w:val="7BF344C5"/>
    <w:rsid w:val="7BF546E1"/>
    <w:rsid w:val="7C0B180E"/>
    <w:rsid w:val="7C0B3F04"/>
    <w:rsid w:val="7C0C0536"/>
    <w:rsid w:val="7C0D37D8"/>
    <w:rsid w:val="7C0E596F"/>
    <w:rsid w:val="7C0E7550"/>
    <w:rsid w:val="7C1C7EBF"/>
    <w:rsid w:val="7C217284"/>
    <w:rsid w:val="7C23124E"/>
    <w:rsid w:val="7C305719"/>
    <w:rsid w:val="7C3A20F4"/>
    <w:rsid w:val="7C3B6B97"/>
    <w:rsid w:val="7C3C2310"/>
    <w:rsid w:val="7C3D3992"/>
    <w:rsid w:val="7C3F595C"/>
    <w:rsid w:val="7C43369E"/>
    <w:rsid w:val="7C4453CC"/>
    <w:rsid w:val="7C5238E1"/>
    <w:rsid w:val="7C5937F5"/>
    <w:rsid w:val="7C5B1D71"/>
    <w:rsid w:val="7C5C02BC"/>
    <w:rsid w:val="7C672EE5"/>
    <w:rsid w:val="7C680B6E"/>
    <w:rsid w:val="7C683105"/>
    <w:rsid w:val="7C6D071B"/>
    <w:rsid w:val="7C7750F6"/>
    <w:rsid w:val="7C792C1C"/>
    <w:rsid w:val="7C79319C"/>
    <w:rsid w:val="7C7B2E38"/>
    <w:rsid w:val="7C815F74"/>
    <w:rsid w:val="7C824F1B"/>
    <w:rsid w:val="7C8917B4"/>
    <w:rsid w:val="7C8A4E29"/>
    <w:rsid w:val="7C8C376F"/>
    <w:rsid w:val="7C8D66C7"/>
    <w:rsid w:val="7C8F243F"/>
    <w:rsid w:val="7C920181"/>
    <w:rsid w:val="7C943EFA"/>
    <w:rsid w:val="7C945CA8"/>
    <w:rsid w:val="7C9D1B23"/>
    <w:rsid w:val="7CA33D37"/>
    <w:rsid w:val="7CA3413D"/>
    <w:rsid w:val="7CA53A11"/>
    <w:rsid w:val="7CA659DB"/>
    <w:rsid w:val="7CAA234C"/>
    <w:rsid w:val="7CBA4FE2"/>
    <w:rsid w:val="7CBB3234"/>
    <w:rsid w:val="7CBE6C5A"/>
    <w:rsid w:val="7CCA16C9"/>
    <w:rsid w:val="7CD42548"/>
    <w:rsid w:val="7CD82038"/>
    <w:rsid w:val="7CDD764F"/>
    <w:rsid w:val="7CE333B2"/>
    <w:rsid w:val="7CE85FF3"/>
    <w:rsid w:val="7CF6426C"/>
    <w:rsid w:val="7D0641F4"/>
    <w:rsid w:val="7D0A012A"/>
    <w:rsid w:val="7D0A5F6A"/>
    <w:rsid w:val="7D1110A6"/>
    <w:rsid w:val="7D1307C6"/>
    <w:rsid w:val="7D140B97"/>
    <w:rsid w:val="7D16490F"/>
    <w:rsid w:val="7D1D2B7D"/>
    <w:rsid w:val="7D20412A"/>
    <w:rsid w:val="7D2F59D0"/>
    <w:rsid w:val="7D3038A0"/>
    <w:rsid w:val="7D3134F6"/>
    <w:rsid w:val="7D320A51"/>
    <w:rsid w:val="7D3473ED"/>
    <w:rsid w:val="7D3D1E9B"/>
    <w:rsid w:val="7D3E3E65"/>
    <w:rsid w:val="7D40373A"/>
    <w:rsid w:val="7D484972"/>
    <w:rsid w:val="7D4A0A5C"/>
    <w:rsid w:val="7D4B74C7"/>
    <w:rsid w:val="7D4C0330"/>
    <w:rsid w:val="7D4E40A8"/>
    <w:rsid w:val="7D5362B5"/>
    <w:rsid w:val="7D545437"/>
    <w:rsid w:val="7D567401"/>
    <w:rsid w:val="7D576338"/>
    <w:rsid w:val="7D5D30D1"/>
    <w:rsid w:val="7D5E0064"/>
    <w:rsid w:val="7D6116ED"/>
    <w:rsid w:val="7D627B54"/>
    <w:rsid w:val="7D690EE2"/>
    <w:rsid w:val="7D7004C3"/>
    <w:rsid w:val="7D704031"/>
    <w:rsid w:val="7D7635FF"/>
    <w:rsid w:val="7D80447E"/>
    <w:rsid w:val="7D811A57"/>
    <w:rsid w:val="7D845D1C"/>
    <w:rsid w:val="7D846007"/>
    <w:rsid w:val="7D871368"/>
    <w:rsid w:val="7D8775BA"/>
    <w:rsid w:val="7D8950E1"/>
    <w:rsid w:val="7D8C77F7"/>
    <w:rsid w:val="7D8D727A"/>
    <w:rsid w:val="7D8E26F7"/>
    <w:rsid w:val="7D941E07"/>
    <w:rsid w:val="7DA06319"/>
    <w:rsid w:val="7DB257C7"/>
    <w:rsid w:val="7DB303AF"/>
    <w:rsid w:val="7DB67DE3"/>
    <w:rsid w:val="7DB67EA0"/>
    <w:rsid w:val="7DB81165"/>
    <w:rsid w:val="7DB95684"/>
    <w:rsid w:val="7DC425BD"/>
    <w:rsid w:val="7DC51E91"/>
    <w:rsid w:val="7DC73E5B"/>
    <w:rsid w:val="7DD32800"/>
    <w:rsid w:val="7DD345AE"/>
    <w:rsid w:val="7DD71AD1"/>
    <w:rsid w:val="7DD722F0"/>
    <w:rsid w:val="7DD87E16"/>
    <w:rsid w:val="7DDE4DCE"/>
    <w:rsid w:val="7DE20C95"/>
    <w:rsid w:val="7DE44687"/>
    <w:rsid w:val="7DE801CD"/>
    <w:rsid w:val="7DE90E8D"/>
    <w:rsid w:val="7DE948D5"/>
    <w:rsid w:val="7DEC7621"/>
    <w:rsid w:val="7DEE0806"/>
    <w:rsid w:val="7DEE7639"/>
    <w:rsid w:val="7DF05160"/>
    <w:rsid w:val="7DF32EA2"/>
    <w:rsid w:val="7DF34C50"/>
    <w:rsid w:val="7DF87373"/>
    <w:rsid w:val="7DFF53A3"/>
    <w:rsid w:val="7E012829"/>
    <w:rsid w:val="7E0155BF"/>
    <w:rsid w:val="7E046E5D"/>
    <w:rsid w:val="7E062BD5"/>
    <w:rsid w:val="7E097FCF"/>
    <w:rsid w:val="7E0B4B47"/>
    <w:rsid w:val="7E0D5D12"/>
    <w:rsid w:val="7E1216CD"/>
    <w:rsid w:val="7E141A72"/>
    <w:rsid w:val="7E226F1F"/>
    <w:rsid w:val="7E2A3C6C"/>
    <w:rsid w:val="7E2F1264"/>
    <w:rsid w:val="7E327526"/>
    <w:rsid w:val="7E3338BA"/>
    <w:rsid w:val="7E370FE0"/>
    <w:rsid w:val="7E372D8F"/>
    <w:rsid w:val="7E3A2E26"/>
    <w:rsid w:val="7E3A462D"/>
    <w:rsid w:val="7E3C11F7"/>
    <w:rsid w:val="7E405BAE"/>
    <w:rsid w:val="7E42141E"/>
    <w:rsid w:val="7E4F632A"/>
    <w:rsid w:val="7E52582A"/>
    <w:rsid w:val="7E584AB3"/>
    <w:rsid w:val="7E590F57"/>
    <w:rsid w:val="7E5971A9"/>
    <w:rsid w:val="7E5A57E9"/>
    <w:rsid w:val="7E5A6A7D"/>
    <w:rsid w:val="7E61605D"/>
    <w:rsid w:val="7E68119A"/>
    <w:rsid w:val="7E694F32"/>
    <w:rsid w:val="7E6E42D6"/>
    <w:rsid w:val="7E6F0EF7"/>
    <w:rsid w:val="7E7A4D34"/>
    <w:rsid w:val="7E8835EA"/>
    <w:rsid w:val="7E9006F1"/>
    <w:rsid w:val="7E90249F"/>
    <w:rsid w:val="7E953F59"/>
    <w:rsid w:val="7E9A331D"/>
    <w:rsid w:val="7EA047A8"/>
    <w:rsid w:val="7EAE3236"/>
    <w:rsid w:val="7EB86C95"/>
    <w:rsid w:val="7EB93EBC"/>
    <w:rsid w:val="7EBC09D3"/>
    <w:rsid w:val="7EC30751"/>
    <w:rsid w:val="7EC550D4"/>
    <w:rsid w:val="7EC94FAA"/>
    <w:rsid w:val="7ECF746B"/>
    <w:rsid w:val="7ED530CE"/>
    <w:rsid w:val="7ED76320"/>
    <w:rsid w:val="7EDC183D"/>
    <w:rsid w:val="7EDC1B88"/>
    <w:rsid w:val="7EE5567C"/>
    <w:rsid w:val="7EEC4C0E"/>
    <w:rsid w:val="7EEE4A86"/>
    <w:rsid w:val="7EF02F3D"/>
    <w:rsid w:val="7EF7251E"/>
    <w:rsid w:val="7EF96296"/>
    <w:rsid w:val="7EFB0260"/>
    <w:rsid w:val="7EFB200E"/>
    <w:rsid w:val="7F00531C"/>
    <w:rsid w:val="7F014D65"/>
    <w:rsid w:val="7F01514B"/>
    <w:rsid w:val="7F055779"/>
    <w:rsid w:val="7F0F1615"/>
    <w:rsid w:val="7F1906E6"/>
    <w:rsid w:val="7F1931CA"/>
    <w:rsid w:val="7F1D01D6"/>
    <w:rsid w:val="7F211349"/>
    <w:rsid w:val="7F2552DD"/>
    <w:rsid w:val="7F2C21C7"/>
    <w:rsid w:val="7F2F50A9"/>
    <w:rsid w:val="7F2F7F0A"/>
    <w:rsid w:val="7F3217A8"/>
    <w:rsid w:val="7F34107C"/>
    <w:rsid w:val="7F364DF4"/>
    <w:rsid w:val="7F385010"/>
    <w:rsid w:val="7F3E4FDF"/>
    <w:rsid w:val="7F401A1B"/>
    <w:rsid w:val="7F4C42FD"/>
    <w:rsid w:val="7F5434CC"/>
    <w:rsid w:val="7F544F1F"/>
    <w:rsid w:val="7F567997"/>
    <w:rsid w:val="7F587EB8"/>
    <w:rsid w:val="7F590AE3"/>
    <w:rsid w:val="7F590D0F"/>
    <w:rsid w:val="7F596D35"/>
    <w:rsid w:val="7F5A53F2"/>
    <w:rsid w:val="7F607EFF"/>
    <w:rsid w:val="7F62128F"/>
    <w:rsid w:val="7F6C6A68"/>
    <w:rsid w:val="7F6F60D6"/>
    <w:rsid w:val="7F741DC0"/>
    <w:rsid w:val="7F78540D"/>
    <w:rsid w:val="7F790A0F"/>
    <w:rsid w:val="7F8042C1"/>
    <w:rsid w:val="7F890F9F"/>
    <w:rsid w:val="7F8B73C1"/>
    <w:rsid w:val="7F930498"/>
    <w:rsid w:val="7F9B2EB0"/>
    <w:rsid w:val="7FA06711"/>
    <w:rsid w:val="7FA36202"/>
    <w:rsid w:val="7FA44454"/>
    <w:rsid w:val="7FAE08F2"/>
    <w:rsid w:val="7FAE7080"/>
    <w:rsid w:val="7FB34697"/>
    <w:rsid w:val="7FC20D7E"/>
    <w:rsid w:val="7FC543CA"/>
    <w:rsid w:val="7FCE265B"/>
    <w:rsid w:val="7FD10FC1"/>
    <w:rsid w:val="7FD12D6F"/>
    <w:rsid w:val="7FE64B79"/>
    <w:rsid w:val="7FED6247"/>
    <w:rsid w:val="7FF35D2C"/>
    <w:rsid w:val="7FF42D7D"/>
    <w:rsid w:val="7FFA4074"/>
    <w:rsid w:val="7FFB7DEC"/>
    <w:rsid w:val="7FFD1DB6"/>
    <w:rsid w:val="7FFD59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9"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qFormat="1" w:unhideWhenUsed="0" w:uiPriority="39" w:semiHidden="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uiPriority="0" w:name="List 2"/>
    <w:lsdException w:qFormat="1"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iPriority="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qFormat="1" w:uiPriority="99" w:semiHidden="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jc w:val="center"/>
      <w:outlineLvl w:val="0"/>
    </w:pPr>
    <w:rPr>
      <w:b/>
      <w:kern w:val="44"/>
      <w:sz w:val="30"/>
      <w:szCs w:val="30"/>
    </w:rPr>
  </w:style>
  <w:style w:type="paragraph" w:styleId="4">
    <w:name w:val="heading 2"/>
    <w:basedOn w:val="1"/>
    <w:next w:val="1"/>
    <w:unhideWhenUsed/>
    <w:qFormat/>
    <w:uiPriority w:val="0"/>
    <w:pPr>
      <w:keepNext/>
      <w:keepLines/>
      <w:outlineLvl w:val="1"/>
    </w:pPr>
    <w:rPr>
      <w:b/>
    </w:rPr>
  </w:style>
  <w:style w:type="paragraph" w:styleId="5">
    <w:name w:val="heading 3"/>
    <w:basedOn w:val="1"/>
    <w:next w:val="1"/>
    <w:qFormat/>
    <w:uiPriority w:val="0"/>
    <w:pPr>
      <w:keepNext/>
      <w:jc w:val="center"/>
      <w:outlineLvl w:val="2"/>
    </w:pPr>
    <w:rPr>
      <w:rFonts w:ascii="宋体" w:hAnsi="宋体"/>
      <w:b/>
      <w:bCs/>
    </w:rPr>
  </w:style>
  <w:style w:type="paragraph" w:styleId="6">
    <w:name w:val="heading 4"/>
    <w:basedOn w:val="1"/>
    <w:next w:val="7"/>
    <w:qFormat/>
    <w:uiPriority w:val="9"/>
    <w:pPr>
      <w:spacing w:line="240" w:lineRule="auto"/>
      <w:ind w:firstLine="240" w:firstLineChars="100"/>
      <w:outlineLvl w:val="3"/>
    </w:pPr>
    <w:rPr>
      <w:rFonts w:ascii="Arial" w:hAnsi="Arial"/>
      <w:sz w:val="28"/>
    </w:rPr>
  </w:style>
  <w:style w:type="paragraph" w:styleId="8">
    <w:name w:val="heading 5"/>
    <w:basedOn w:val="1"/>
    <w:next w:val="1"/>
    <w:qFormat/>
    <w:uiPriority w:val="0"/>
    <w:pPr>
      <w:keepNext/>
      <w:keepLines/>
      <w:numPr>
        <w:ilvl w:val="4"/>
        <w:numId w:val="1"/>
      </w:numPr>
      <w:tabs>
        <w:tab w:val="left" w:pos="700"/>
        <w:tab w:val="clear" w:pos="1008"/>
      </w:tabs>
      <w:autoSpaceDE w:val="0"/>
      <w:autoSpaceDN w:val="0"/>
      <w:adjustRightInd w:val="0"/>
      <w:spacing w:before="280" w:after="290" w:line="376" w:lineRule="auto"/>
      <w:outlineLvl w:val="4"/>
    </w:pPr>
    <w:rPr>
      <w:rFonts w:ascii="宋体"/>
      <w:b/>
      <w:color w:val="000000"/>
      <w:w w:val="90"/>
      <w:kern w:val="0"/>
      <w:sz w:val="28"/>
      <w:szCs w:val="20"/>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adjustRightInd w:val="0"/>
      <w:spacing w:line="312" w:lineRule="atLeast"/>
      <w:ind w:left="420" w:leftChars="200"/>
      <w:textAlignment w:val="baseline"/>
    </w:pPr>
    <w:rPr>
      <w:kern w:val="0"/>
      <w:szCs w:val="20"/>
    </w:rPr>
  </w:style>
  <w:style w:type="paragraph" w:customStyle="1" w:styleId="7">
    <w:name w:val="报告书正文"/>
    <w:basedOn w:val="1"/>
    <w:qFormat/>
    <w:uiPriority w:val="0"/>
    <w:pPr>
      <w:ind w:firstLine="480" w:firstLineChars="200"/>
    </w:pPr>
    <w:rPr>
      <w:kern w:val="0"/>
    </w:rPr>
  </w:style>
  <w:style w:type="paragraph" w:styleId="9">
    <w:name w:val="List 3"/>
    <w:basedOn w:val="1"/>
    <w:next w:val="1"/>
    <w:qFormat/>
    <w:uiPriority w:val="0"/>
    <w:pPr>
      <w:ind w:left="100" w:leftChars="400" w:hanging="200" w:hangingChars="200"/>
    </w:pPr>
  </w:style>
  <w:style w:type="paragraph" w:styleId="10">
    <w:name w:val="E-mail Signature"/>
    <w:basedOn w:val="1"/>
    <w:next w:val="11"/>
    <w:unhideWhenUsed/>
    <w:qFormat/>
    <w:uiPriority w:val="99"/>
    <w:pPr>
      <w:spacing w:line="460" w:lineRule="exact"/>
      <w:ind w:firstLine="200"/>
    </w:pPr>
  </w:style>
  <w:style w:type="paragraph" w:customStyle="1" w:styleId="11">
    <w:name w:val="文章"/>
    <w:basedOn w:val="12"/>
    <w:next w:val="13"/>
    <w:qFormat/>
    <w:uiPriority w:val="0"/>
    <w:pPr>
      <w:widowControl/>
      <w:spacing w:line="240" w:lineRule="auto"/>
      <w:ind w:firstLine="480"/>
      <w:jc w:val="center"/>
    </w:pPr>
    <w:rPr>
      <w:sz w:val="26"/>
    </w:rPr>
  </w:style>
  <w:style w:type="paragraph" w:styleId="12">
    <w:name w:val="Body Text Indent"/>
    <w:basedOn w:val="1"/>
    <w:next w:val="1"/>
    <w:qFormat/>
    <w:uiPriority w:val="0"/>
    <w:pPr>
      <w:spacing w:after="120"/>
      <w:ind w:left="420" w:leftChars="200"/>
    </w:pPr>
    <w:rPr>
      <w:kern w:val="0"/>
      <w:szCs w:val="20"/>
    </w:rPr>
  </w:style>
  <w:style w:type="paragraph" w:styleId="13">
    <w:name w:val="List"/>
    <w:basedOn w:val="1"/>
    <w:next w:val="1"/>
    <w:qFormat/>
    <w:uiPriority w:val="0"/>
    <w:pPr>
      <w:ind w:left="200" w:hanging="200" w:hangingChars="200"/>
    </w:pPr>
  </w:style>
  <w:style w:type="paragraph" w:styleId="14">
    <w:name w:val="Normal Indent"/>
    <w:basedOn w:val="1"/>
    <w:next w:val="1"/>
    <w:qFormat/>
    <w:uiPriority w:val="0"/>
    <w:pPr>
      <w:ind w:firstLine="420"/>
    </w:pPr>
  </w:style>
  <w:style w:type="paragraph" w:styleId="15">
    <w:name w:val="annotation text"/>
    <w:basedOn w:val="1"/>
    <w:next w:val="16"/>
    <w:link w:val="77"/>
    <w:qFormat/>
    <w:uiPriority w:val="99"/>
    <w:pPr>
      <w:jc w:val="left"/>
    </w:pPr>
    <w:rPr>
      <w:kern w:val="0"/>
      <w:szCs w:val="20"/>
    </w:rPr>
  </w:style>
  <w:style w:type="paragraph" w:styleId="16">
    <w:name w:val="toc 5"/>
    <w:basedOn w:val="1"/>
    <w:next w:val="1"/>
    <w:qFormat/>
    <w:uiPriority w:val="39"/>
    <w:pPr>
      <w:ind w:left="840"/>
      <w:jc w:val="left"/>
    </w:pPr>
    <w:rPr>
      <w:sz w:val="18"/>
      <w:szCs w:val="18"/>
    </w:rPr>
  </w:style>
  <w:style w:type="paragraph" w:styleId="17">
    <w:name w:val="Body Text"/>
    <w:basedOn w:val="1"/>
    <w:next w:val="14"/>
    <w:qFormat/>
    <w:uiPriority w:val="0"/>
    <w:rPr>
      <w:b/>
      <w:bCs/>
      <w:sz w:val="32"/>
    </w:rPr>
  </w:style>
  <w:style w:type="paragraph" w:styleId="18">
    <w:name w:val="Plain Text"/>
    <w:basedOn w:val="1"/>
    <w:next w:val="19"/>
    <w:qFormat/>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Courier New"/>
      <w:kern w:val="2"/>
      <w:sz w:val="21"/>
      <w:szCs w:val="21"/>
      <w:lang w:val="en-US" w:eastAsia="zh-CN" w:bidi="ar"/>
    </w:rPr>
  </w:style>
  <w:style w:type="paragraph" w:styleId="19">
    <w:name w:val="toc 1"/>
    <w:basedOn w:val="1"/>
    <w:next w:val="1"/>
    <w:qFormat/>
    <w:uiPriority w:val="0"/>
  </w:style>
  <w:style w:type="paragraph" w:styleId="20">
    <w:name w:val="Body Text Indent 2"/>
    <w:basedOn w:val="1"/>
    <w:qFormat/>
    <w:uiPriority w:val="0"/>
    <w:pPr>
      <w:widowControl/>
      <w:ind w:firstLine="430"/>
      <w:jc w:val="left"/>
    </w:pPr>
    <w:rPr>
      <w:kern w:val="0"/>
      <w:sz w:val="24"/>
      <w:szCs w:val="20"/>
    </w:rPr>
  </w:style>
  <w:style w:type="paragraph" w:styleId="21">
    <w:name w:val="Balloon Text"/>
    <w:basedOn w:val="1"/>
    <w:link w:val="79"/>
    <w:qFormat/>
    <w:uiPriority w:val="0"/>
    <w:pPr>
      <w:spacing w:line="240" w:lineRule="auto"/>
    </w:pPr>
    <w:rPr>
      <w:sz w:val="18"/>
      <w:szCs w:val="18"/>
    </w:rPr>
  </w:style>
  <w:style w:type="paragraph" w:styleId="22">
    <w:name w:val="footer"/>
    <w:basedOn w:val="1"/>
    <w:qFormat/>
    <w:uiPriority w:val="99"/>
    <w:pPr>
      <w:tabs>
        <w:tab w:val="center" w:pos="4153"/>
        <w:tab w:val="right" w:pos="8306"/>
      </w:tabs>
      <w:snapToGrid w:val="0"/>
      <w:jc w:val="left"/>
    </w:pPr>
    <w:rPr>
      <w:kern w:val="0"/>
      <w:sz w:val="18"/>
      <w:szCs w:val="20"/>
    </w:rPr>
  </w:style>
  <w:style w:type="paragraph" w:styleId="2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4">
    <w:name w:val="Body Text Indent 3"/>
    <w:basedOn w:val="1"/>
    <w:qFormat/>
    <w:uiPriority w:val="0"/>
    <w:pPr>
      <w:autoSpaceDE w:val="0"/>
      <w:autoSpaceDN w:val="0"/>
      <w:adjustRightInd w:val="0"/>
      <w:spacing w:line="400" w:lineRule="exact"/>
      <w:ind w:firstLine="520" w:firstLineChars="200"/>
    </w:pPr>
    <w:rPr>
      <w:rFonts w:ascii="宋体" w:hAnsi="宋体"/>
      <w:sz w:val="26"/>
    </w:rPr>
  </w:style>
  <w:style w:type="paragraph" w:styleId="25">
    <w:name w:val="Normal (Web)"/>
    <w:basedOn w:val="1"/>
    <w:qFormat/>
    <w:uiPriority w:val="0"/>
    <w:pPr>
      <w:widowControl/>
      <w:spacing w:before="100" w:beforeAutospacing="1" w:after="100" w:afterAutospacing="1"/>
      <w:jc w:val="left"/>
    </w:pPr>
    <w:rPr>
      <w:rFonts w:ascii="宋体" w:hAnsi="宋体"/>
      <w:kern w:val="0"/>
      <w:szCs w:val="20"/>
    </w:rPr>
  </w:style>
  <w:style w:type="paragraph" w:styleId="26">
    <w:name w:val="annotation subject"/>
    <w:basedOn w:val="15"/>
    <w:next w:val="15"/>
    <w:link w:val="78"/>
    <w:qFormat/>
    <w:uiPriority w:val="0"/>
    <w:rPr>
      <w:b/>
      <w:bCs/>
      <w:kern w:val="2"/>
      <w:szCs w:val="24"/>
    </w:rPr>
  </w:style>
  <w:style w:type="paragraph" w:styleId="27">
    <w:name w:val="Body Text First Indent"/>
    <w:basedOn w:val="17"/>
    <w:qFormat/>
    <w:uiPriority w:val="99"/>
    <w:pPr>
      <w:ind w:firstLine="420" w:firstLineChars="100"/>
    </w:pPr>
  </w:style>
  <w:style w:type="paragraph" w:styleId="28">
    <w:name w:val="Body Text First Indent 2"/>
    <w:basedOn w:val="12"/>
    <w:next w:val="27"/>
    <w:unhideWhenUsed/>
    <w:qFormat/>
    <w:uiPriority w:val="99"/>
    <w:pPr>
      <w:ind w:firstLine="420" w:firstLineChars="200"/>
    </w:pPr>
  </w:style>
  <w:style w:type="table" w:styleId="30">
    <w:name w:val="Table Grid"/>
    <w:basedOn w:val="2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0"/>
  </w:style>
  <w:style w:type="character" w:styleId="33">
    <w:name w:val="page number"/>
    <w:basedOn w:val="31"/>
    <w:qFormat/>
    <w:uiPriority w:val="0"/>
  </w:style>
  <w:style w:type="character" w:styleId="34">
    <w:name w:val="FollowedHyperlink"/>
    <w:basedOn w:val="31"/>
    <w:semiHidden/>
    <w:unhideWhenUsed/>
    <w:qFormat/>
    <w:uiPriority w:val="0"/>
    <w:rPr>
      <w:color w:val="333333"/>
      <w:u w:val="none"/>
    </w:rPr>
  </w:style>
  <w:style w:type="character" w:styleId="35">
    <w:name w:val="Emphasis"/>
    <w:basedOn w:val="31"/>
    <w:qFormat/>
    <w:uiPriority w:val="0"/>
  </w:style>
  <w:style w:type="character" w:styleId="36">
    <w:name w:val="Hyperlink"/>
    <w:basedOn w:val="31"/>
    <w:semiHidden/>
    <w:unhideWhenUsed/>
    <w:qFormat/>
    <w:uiPriority w:val="0"/>
    <w:rPr>
      <w:color w:val="333333"/>
      <w:u w:val="none"/>
    </w:rPr>
  </w:style>
  <w:style w:type="character" w:styleId="37">
    <w:name w:val="annotation reference"/>
    <w:basedOn w:val="31"/>
    <w:qFormat/>
    <w:uiPriority w:val="0"/>
    <w:rPr>
      <w:sz w:val="21"/>
      <w:szCs w:val="21"/>
    </w:rPr>
  </w:style>
  <w:style w:type="paragraph" w:customStyle="1" w:styleId="38">
    <w:name w:val="正文 首行缩进:  2 字符"/>
    <w:basedOn w:val="1"/>
    <w:qFormat/>
    <w:uiPriority w:val="0"/>
    <w:pPr>
      <w:suppressAutoHyphens/>
      <w:ind w:firstLine="579" w:firstLineChars="200"/>
    </w:pPr>
    <w:rPr>
      <w:rFonts w:cs="宋体"/>
      <w:kern w:val="1"/>
      <w:lang w:eastAsia="ar-SA"/>
    </w:rPr>
  </w:style>
  <w:style w:type="paragraph" w:customStyle="1" w:styleId="39">
    <w:name w:val="表格文字"/>
    <w:basedOn w:val="40"/>
    <w:qFormat/>
    <w:uiPriority w:val="0"/>
    <w:pPr>
      <w:adjustRightInd w:val="0"/>
      <w:snapToGrid w:val="0"/>
      <w:spacing w:line="240" w:lineRule="auto"/>
      <w:ind w:firstLine="0" w:firstLineChars="0"/>
      <w:jc w:val="center"/>
    </w:pPr>
    <w:rPr>
      <w:sz w:val="21"/>
      <w:szCs w:val="20"/>
    </w:rPr>
  </w:style>
  <w:style w:type="paragraph" w:customStyle="1" w:styleId="40">
    <w:name w:val="表格表头"/>
    <w:basedOn w:val="1"/>
    <w:qFormat/>
    <w:uiPriority w:val="0"/>
    <w:pPr>
      <w:jc w:val="center"/>
    </w:pPr>
    <w:rPr>
      <w:b/>
      <w:sz w:val="21"/>
    </w:rPr>
  </w:style>
  <w:style w:type="paragraph" w:customStyle="1" w:styleId="41">
    <w:name w:val="Body text|1"/>
    <w:basedOn w:val="1"/>
    <w:qFormat/>
    <w:uiPriority w:val="0"/>
    <w:pPr>
      <w:widowControl w:val="0"/>
      <w:shd w:val="clear" w:color="auto" w:fill="auto"/>
      <w:spacing w:after="50" w:line="396" w:lineRule="auto"/>
      <w:ind w:firstLine="400"/>
    </w:pPr>
    <w:rPr>
      <w:rFonts w:ascii="宋体" w:hAnsi="宋体" w:eastAsia="宋体" w:cs="宋体"/>
      <w:u w:val="none"/>
      <w:shd w:val="clear" w:color="auto" w:fill="auto"/>
      <w:lang w:val="zh-TW" w:eastAsia="zh-TW" w:bidi="zh-TW"/>
    </w:rPr>
  </w:style>
  <w:style w:type="paragraph" w:customStyle="1" w:styleId="42">
    <w:name w:val="Default"/>
    <w:basedOn w:val="43"/>
    <w:next w:val="1"/>
    <w:qFormat/>
    <w:uiPriority w:val="0"/>
    <w:pPr>
      <w:autoSpaceDE w:val="0"/>
      <w:autoSpaceDN w:val="0"/>
      <w:adjustRightInd w:val="0"/>
    </w:pPr>
    <w:rPr>
      <w:rFonts w:ascii="仿宋_GB2312" w:hAnsi="Times New Roman" w:eastAsia="仿宋_GB2312" w:cs="仿宋_GB2312"/>
      <w:color w:val="000000"/>
      <w:sz w:val="24"/>
      <w:szCs w:val="24"/>
    </w:rPr>
  </w:style>
  <w:style w:type="paragraph" w:customStyle="1" w:styleId="43">
    <w:name w:val="纯文本1"/>
    <w:basedOn w:val="1"/>
    <w:next w:val="18"/>
    <w:qFormat/>
    <w:uiPriority w:val="0"/>
    <w:rPr>
      <w:rFonts w:ascii="宋体" w:hAnsi="Courier New" w:cs="Courier New"/>
      <w:sz w:val="21"/>
      <w:szCs w:val="21"/>
    </w:rPr>
  </w:style>
  <w:style w:type="paragraph" w:customStyle="1" w:styleId="44">
    <w:name w:val="环评表格"/>
    <w:basedOn w:val="1"/>
    <w:qFormat/>
    <w:uiPriority w:val="0"/>
    <w:pPr>
      <w:numPr>
        <w:ilvl w:val="0"/>
        <w:numId w:val="2"/>
      </w:numPr>
      <w:shd w:val="clear" w:color="auto" w:fill="auto"/>
      <w:spacing w:line="240" w:lineRule="auto"/>
      <w:jc w:val="center"/>
    </w:pPr>
    <w:rPr>
      <w:rFonts w:ascii="Times New Roman" w:hAnsi="Times New Roman" w:eastAsia="宋体"/>
      <w:b/>
      <w:bCs/>
      <w:color w:val="000000" w:themeColor="text1"/>
      <w:u w:val="none"/>
      <w:shd w:val="clear" w:color="auto" w:fill="auto"/>
      <w14:textFill>
        <w14:solidFill>
          <w14:schemeClr w14:val="tx1"/>
        </w14:solidFill>
      </w14:textFill>
    </w:rPr>
  </w:style>
  <w:style w:type="paragraph" w:customStyle="1" w:styleId="45">
    <w:name w:val="环评图片"/>
    <w:basedOn w:val="1"/>
    <w:qFormat/>
    <w:uiPriority w:val="0"/>
    <w:pPr>
      <w:numPr>
        <w:ilvl w:val="0"/>
        <w:numId w:val="3"/>
      </w:numPr>
      <w:adjustRightInd w:val="0"/>
      <w:snapToGrid w:val="0"/>
      <w:ind w:left="0" w:firstLine="0" w:firstLineChars="0"/>
      <w:jc w:val="center"/>
    </w:pPr>
    <w:rPr>
      <w:rFonts w:hint="eastAsia" w:ascii="Times New Roman" w:hAnsi="Times New Roman" w:eastAsia="宋体"/>
      <w:b/>
    </w:rPr>
  </w:style>
  <w:style w:type="paragraph" w:customStyle="1" w:styleId="46">
    <w:name w:val="样式35"/>
    <w:basedOn w:val="47"/>
    <w:next w:val="48"/>
    <w:qFormat/>
    <w:uiPriority w:val="0"/>
    <w:pPr>
      <w:tabs>
        <w:tab w:val="left" w:pos="0"/>
        <w:tab w:val="left" w:pos="360"/>
        <w:tab w:val="left" w:pos="480"/>
        <w:tab w:val="left" w:pos="540"/>
        <w:tab w:val="left" w:pos="567"/>
        <w:tab w:val="left" w:pos="720"/>
        <w:tab w:val="left" w:pos="1008"/>
      </w:tabs>
      <w:spacing w:line="312" w:lineRule="auto"/>
      <w:ind w:firstLine="567"/>
    </w:pPr>
    <w:rPr>
      <w:rFonts w:ascii="宋体"/>
      <w:sz w:val="28"/>
    </w:rPr>
  </w:style>
  <w:style w:type="paragraph" w:customStyle="1" w:styleId="47">
    <w:name w:val="表 内容"/>
    <w:basedOn w:val="1"/>
    <w:qFormat/>
    <w:uiPriority w:val="0"/>
    <w:pPr>
      <w:snapToGrid w:val="0"/>
      <w:jc w:val="center"/>
    </w:pPr>
    <w:rPr>
      <w:rFonts w:hint="eastAsia"/>
      <w:sz w:val="24"/>
      <w:szCs w:val="21"/>
    </w:rPr>
  </w:style>
  <w:style w:type="paragraph" w:customStyle="1" w:styleId="48">
    <w:name w:val="font6"/>
    <w:basedOn w:val="1"/>
    <w:next w:val="2"/>
    <w:qFormat/>
    <w:uiPriority w:val="0"/>
    <w:pPr>
      <w:widowControl/>
      <w:spacing w:before="280" w:after="280"/>
    </w:pPr>
  </w:style>
  <w:style w:type="paragraph" w:customStyle="1" w:styleId="49">
    <w:name w:val="样式26"/>
    <w:basedOn w:val="50"/>
    <w:qFormat/>
    <w:uiPriority w:val="0"/>
    <w:pPr>
      <w:tabs>
        <w:tab w:val="left" w:pos="0"/>
        <w:tab w:val="left" w:pos="360"/>
        <w:tab w:val="left" w:pos="480"/>
        <w:tab w:val="left" w:pos="540"/>
        <w:tab w:val="left" w:pos="567"/>
        <w:tab w:val="left" w:pos="720"/>
        <w:tab w:val="left" w:pos="1008"/>
      </w:tabs>
    </w:pPr>
  </w:style>
  <w:style w:type="paragraph" w:customStyle="1" w:styleId="50">
    <w:name w:val="样式21"/>
    <w:basedOn w:val="51"/>
    <w:qFormat/>
    <w:uiPriority w:val="0"/>
    <w:pPr>
      <w:tabs>
        <w:tab w:val="left" w:pos="360"/>
        <w:tab w:val="left" w:pos="480"/>
        <w:tab w:val="left" w:pos="540"/>
        <w:tab w:val="left" w:pos="720"/>
        <w:tab w:val="left" w:pos="1008"/>
      </w:tabs>
      <w:spacing w:beforeLines="50" w:afterLines="50" w:line="360" w:lineRule="auto"/>
      <w:ind w:left="720" w:hanging="720"/>
      <w:outlineLvl w:val="2"/>
    </w:pPr>
    <w:rPr>
      <w:rFonts w:eastAsia="MS Mincho"/>
      <w:kern w:val="0"/>
      <w:sz w:val="24"/>
      <w:szCs w:val="32"/>
    </w:rPr>
  </w:style>
  <w:style w:type="paragraph" w:customStyle="1" w:styleId="51">
    <w:name w:val="样式5"/>
    <w:basedOn w:val="52"/>
    <w:qFormat/>
    <w:uiPriority w:val="0"/>
    <w:pPr>
      <w:tabs>
        <w:tab w:val="left" w:pos="480"/>
        <w:tab w:val="left" w:pos="1008"/>
      </w:tabs>
      <w:ind w:right="-105" w:rightChars="-50"/>
      <w:jc w:val="center"/>
    </w:pPr>
    <w:rPr>
      <w:rFonts w:ascii="宋体"/>
      <w:kern w:val="0"/>
      <w:sz w:val="21"/>
    </w:rPr>
  </w:style>
  <w:style w:type="paragraph" w:customStyle="1" w:styleId="52">
    <w:name w:val="样式12"/>
    <w:basedOn w:val="8"/>
    <w:qFormat/>
    <w:uiPriority w:val="0"/>
    <w:pPr>
      <w:tabs>
        <w:tab w:val="left" w:pos="480"/>
        <w:tab w:val="left" w:pos="1008"/>
        <w:tab w:val="clear" w:pos="700"/>
      </w:tabs>
      <w:ind w:firstLine="200" w:firstLineChars="200"/>
    </w:pPr>
    <w:rPr>
      <w:rFonts w:ascii="Times New Roman" w:hAnsi="Times New Roman" w:eastAsia="宋体"/>
    </w:rPr>
  </w:style>
  <w:style w:type="paragraph" w:customStyle="1" w:styleId="53">
    <w:name w:val="表格标题"/>
    <w:basedOn w:val="54"/>
    <w:next w:val="1"/>
    <w:qFormat/>
    <w:uiPriority w:val="0"/>
    <w:pPr>
      <w:numPr>
        <w:ilvl w:val="0"/>
        <w:numId w:val="4"/>
      </w:numPr>
      <w:spacing w:line="240" w:lineRule="auto"/>
      <w:ind w:left="0" w:firstLine="0"/>
      <w:jc w:val="center"/>
    </w:pPr>
    <w:rPr>
      <w:b/>
      <w:bCs/>
    </w:rPr>
  </w:style>
  <w:style w:type="paragraph" w:customStyle="1" w:styleId="54">
    <w:name w:val="表格000"/>
    <w:basedOn w:val="1"/>
    <w:qFormat/>
    <w:uiPriority w:val="0"/>
    <w:pPr>
      <w:jc w:val="center"/>
    </w:pPr>
    <w:rPr>
      <w:kern w:val="11"/>
      <w:szCs w:val="21"/>
    </w:rPr>
  </w:style>
  <w:style w:type="paragraph" w:customStyle="1" w:styleId="55">
    <w:name w:val="Table Paragraph"/>
    <w:basedOn w:val="1"/>
    <w:qFormat/>
    <w:uiPriority w:val="1"/>
    <w:rPr>
      <w:rFonts w:ascii="仿宋" w:hAnsi="仿宋" w:eastAsia="仿宋" w:cs="仿宋"/>
      <w:lang w:val="zh-CN" w:bidi="zh-CN"/>
    </w:rPr>
  </w:style>
  <w:style w:type="paragraph" w:customStyle="1" w:styleId="56">
    <w:name w:val="报告表正文"/>
    <w:basedOn w:val="1"/>
    <w:qFormat/>
    <w:uiPriority w:val="0"/>
    <w:pPr>
      <w:adjustRightInd w:val="0"/>
      <w:spacing w:line="240" w:lineRule="auto"/>
      <w:jc w:val="center"/>
      <w:textAlignment w:val="baseline"/>
    </w:pPr>
    <w:rPr>
      <w:kern w:val="0"/>
      <w:sz w:val="21"/>
      <w:szCs w:val="20"/>
    </w:rPr>
  </w:style>
  <w:style w:type="paragraph" w:customStyle="1" w:styleId="57">
    <w:name w:val="图标题"/>
    <w:basedOn w:val="1"/>
    <w:qFormat/>
    <w:uiPriority w:val="0"/>
    <w:pPr>
      <w:numPr>
        <w:ilvl w:val="0"/>
        <w:numId w:val="5"/>
      </w:numPr>
      <w:jc w:val="center"/>
    </w:pPr>
    <w:rPr>
      <w:b/>
    </w:rPr>
  </w:style>
  <w:style w:type="paragraph" w:customStyle="1" w:styleId="58">
    <w:name w:val="表格内容"/>
    <w:basedOn w:val="59"/>
    <w:next w:val="1"/>
    <w:qFormat/>
    <w:uiPriority w:val="0"/>
    <w:rPr>
      <w:bCs/>
      <w:kern w:val="2"/>
      <w:szCs w:val="24"/>
      <w:lang w:val="zh-CN"/>
    </w:rPr>
  </w:style>
  <w:style w:type="paragraph" w:customStyle="1" w:styleId="59">
    <w:name w:val="表格内容居中"/>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60">
    <w:name w:val="表格正文"/>
    <w:basedOn w:val="1"/>
    <w:next w:val="1"/>
    <w:qFormat/>
    <w:uiPriority w:val="99"/>
    <w:pPr>
      <w:adjustRightInd w:val="0"/>
      <w:spacing w:line="240" w:lineRule="auto"/>
      <w:jc w:val="center"/>
    </w:pPr>
    <w:rPr>
      <w:sz w:val="21"/>
      <w:szCs w:val="20"/>
    </w:rPr>
  </w:style>
  <w:style w:type="paragraph" w:styleId="61">
    <w:name w:val="List Paragraph"/>
    <w:basedOn w:val="1"/>
    <w:qFormat/>
    <w:uiPriority w:val="34"/>
    <w:pPr>
      <w:widowControl/>
      <w:ind w:firstLine="420" w:firstLineChars="200"/>
      <w:jc w:val="left"/>
    </w:pPr>
    <w:rPr>
      <w:rFonts w:ascii="宋体" w:hAnsi="宋体" w:cs="宋体"/>
      <w:kern w:val="0"/>
    </w:rPr>
  </w:style>
  <w:style w:type="paragraph" w:customStyle="1" w:styleId="62">
    <w:name w:val="表标题"/>
    <w:basedOn w:val="63"/>
    <w:next w:val="63"/>
    <w:qFormat/>
    <w:uiPriority w:val="0"/>
    <w:pPr>
      <w:spacing w:line="520" w:lineRule="exact"/>
      <w:jc w:val="center"/>
      <w:textAlignment w:val="baseline"/>
    </w:pPr>
    <w:rPr>
      <w:b/>
      <w:kern w:val="0"/>
      <w:szCs w:val="20"/>
    </w:rPr>
  </w:style>
  <w:style w:type="paragraph" w:customStyle="1" w:styleId="63">
    <w:name w:val="正文内容"/>
    <w:basedOn w:val="1"/>
    <w:qFormat/>
    <w:uiPriority w:val="0"/>
    <w:pPr>
      <w:ind w:firstLine="200" w:firstLineChars="200"/>
    </w:pPr>
    <w:rPr>
      <w:kern w:val="0"/>
    </w:rPr>
  </w:style>
  <w:style w:type="paragraph" w:customStyle="1" w:styleId="64">
    <w:name w:val="正文001"/>
    <w:basedOn w:val="17"/>
    <w:qFormat/>
    <w:uiPriority w:val="0"/>
    <w:pPr>
      <w:spacing w:line="240" w:lineRule="auto"/>
      <w:jc w:val="center"/>
    </w:pPr>
  </w:style>
  <w:style w:type="paragraph" w:customStyle="1" w:styleId="65">
    <w:name w:val="表格2"/>
    <w:basedOn w:val="66"/>
    <w:next w:val="1"/>
    <w:qFormat/>
    <w:uiPriority w:val="0"/>
    <w:rPr>
      <w:position w:val="-28"/>
      <w:sz w:val="21"/>
    </w:rPr>
  </w:style>
  <w:style w:type="paragraph" w:customStyle="1" w:styleId="66">
    <w:name w:val="表格1"/>
    <w:basedOn w:val="1"/>
    <w:next w:val="1"/>
    <w:qFormat/>
    <w:uiPriority w:val="0"/>
    <w:pPr>
      <w:topLinePunct/>
      <w:autoSpaceDE w:val="0"/>
      <w:autoSpaceDN w:val="0"/>
      <w:adjustRightInd w:val="0"/>
      <w:jc w:val="center"/>
    </w:pPr>
    <w:rPr>
      <w:rFonts w:ascii="宋体" w:hAnsi="Impact"/>
      <w:kern w:val="24"/>
      <w:sz w:val="28"/>
      <w:szCs w:val="20"/>
    </w:rPr>
  </w:style>
  <w:style w:type="paragraph" w:customStyle="1" w:styleId="67">
    <w:name w:val="样式1"/>
    <w:qFormat/>
    <w:uiPriority w:val="0"/>
    <w:pPr>
      <w:widowControl w:val="0"/>
      <w:autoSpaceDE w:val="0"/>
      <w:autoSpaceDN w:val="0"/>
      <w:adjustRightInd w:val="0"/>
      <w:spacing w:after="200" w:line="276" w:lineRule="auto"/>
      <w:jc w:val="both"/>
    </w:pPr>
    <w:rPr>
      <w:rFonts w:ascii="Times New Roman" w:hAnsi="Roman" w:eastAsia="宋体" w:cs="Times New Roman"/>
      <w:color w:val="000000"/>
      <w:spacing w:val="-1"/>
      <w:kern w:val="30"/>
      <w:position w:val="-1"/>
      <w:sz w:val="30"/>
      <w:lang w:val="en-US" w:eastAsia="zh-CN" w:bidi="ar-SA"/>
    </w:rPr>
  </w:style>
  <w:style w:type="paragraph" w:customStyle="1" w:styleId="68">
    <w:name w:val="Body Text 22"/>
    <w:basedOn w:val="1"/>
    <w:qFormat/>
    <w:uiPriority w:val="0"/>
    <w:pPr>
      <w:adjustRightInd w:val="0"/>
      <w:spacing w:line="440" w:lineRule="atLeast"/>
      <w:ind w:firstLine="480"/>
    </w:pPr>
    <w:rPr>
      <w:rFonts w:eastAsia="仿宋_GB2312"/>
      <w:szCs w:val="20"/>
    </w:rPr>
  </w:style>
  <w:style w:type="character" w:customStyle="1" w:styleId="69">
    <w:name w:val="font31"/>
    <w:qFormat/>
    <w:uiPriority w:val="0"/>
    <w:rPr>
      <w:rFonts w:hint="default" w:ascii="Times New Roman" w:hAnsi="Times New Roman" w:cs="Times New Roman"/>
      <w:b/>
      <w:color w:val="000000"/>
      <w:sz w:val="21"/>
      <w:szCs w:val="21"/>
      <w:u w:val="none"/>
    </w:rPr>
  </w:style>
  <w:style w:type="character" w:customStyle="1" w:styleId="70">
    <w:name w:val="font41"/>
    <w:basedOn w:val="31"/>
    <w:qFormat/>
    <w:uiPriority w:val="0"/>
    <w:rPr>
      <w:rFonts w:hint="eastAsia" w:ascii="宋体" w:hAnsi="宋体" w:eastAsia="宋体" w:cs="宋体"/>
      <w:b/>
      <w:color w:val="000000"/>
      <w:sz w:val="21"/>
      <w:szCs w:val="21"/>
      <w:u w:val="none"/>
    </w:rPr>
  </w:style>
  <w:style w:type="character" w:customStyle="1" w:styleId="71">
    <w:name w:val="font61"/>
    <w:basedOn w:val="31"/>
    <w:qFormat/>
    <w:uiPriority w:val="0"/>
    <w:rPr>
      <w:rFonts w:hint="eastAsia" w:ascii="宋体" w:hAnsi="宋体" w:eastAsia="宋体" w:cs="宋体"/>
      <w:color w:val="000000"/>
      <w:sz w:val="21"/>
      <w:szCs w:val="21"/>
      <w:u w:val="none"/>
    </w:rPr>
  </w:style>
  <w:style w:type="character" w:customStyle="1" w:styleId="72">
    <w:name w:val="font71"/>
    <w:basedOn w:val="31"/>
    <w:qFormat/>
    <w:uiPriority w:val="0"/>
    <w:rPr>
      <w:rFonts w:hint="default" w:ascii="Times New Roman" w:hAnsi="Times New Roman" w:cs="Times New Roman"/>
      <w:color w:val="000000"/>
      <w:sz w:val="21"/>
      <w:szCs w:val="21"/>
      <w:u w:val="none"/>
      <w:vertAlign w:val="subscript"/>
    </w:rPr>
  </w:style>
  <w:style w:type="character" w:customStyle="1" w:styleId="73">
    <w:name w:val="font51"/>
    <w:qFormat/>
    <w:uiPriority w:val="0"/>
    <w:rPr>
      <w:rFonts w:hint="default" w:ascii="Times New Roman" w:hAnsi="Times New Roman" w:cs="Times New Roman"/>
      <w:color w:val="000000"/>
      <w:sz w:val="21"/>
      <w:szCs w:val="21"/>
      <w:u w:val="none"/>
    </w:rPr>
  </w:style>
  <w:style w:type="paragraph" w:customStyle="1" w:styleId="74">
    <w:name w:val="p0"/>
    <w:basedOn w:val="1"/>
    <w:qFormat/>
    <w:uiPriority w:val="0"/>
    <w:pPr>
      <w:widowControl/>
    </w:pPr>
    <w:rPr>
      <w:rFonts w:ascii="Calibri" w:hAnsi="Calibri" w:cs="宋体"/>
      <w:kern w:val="0"/>
      <w:szCs w:val="21"/>
    </w:rPr>
  </w:style>
  <w:style w:type="paragraph" w:customStyle="1" w:styleId="75">
    <w:name w:val="表格"/>
    <w:basedOn w:val="1"/>
    <w:next w:val="1"/>
    <w:qFormat/>
    <w:uiPriority w:val="0"/>
    <w:pPr>
      <w:adjustRightInd w:val="0"/>
      <w:snapToGrid w:val="0"/>
      <w:spacing w:beforeLines="10" w:afterLines="10" w:line="259" w:lineRule="auto"/>
      <w:jc w:val="center"/>
    </w:pPr>
    <w:rPr>
      <w:rFonts w:ascii="宋体"/>
      <w:kern w:val="0"/>
      <w:szCs w:val="20"/>
    </w:rPr>
  </w:style>
  <w:style w:type="character" w:customStyle="1" w:styleId="76">
    <w:name w:val="font11"/>
    <w:qFormat/>
    <w:uiPriority w:val="0"/>
    <w:rPr>
      <w:rFonts w:hint="default" w:ascii="Times New Roman" w:hAnsi="Times New Roman" w:cs="Times New Roman"/>
      <w:color w:val="000000"/>
      <w:sz w:val="21"/>
      <w:szCs w:val="21"/>
      <w:u w:val="none"/>
    </w:rPr>
  </w:style>
  <w:style w:type="character" w:customStyle="1" w:styleId="77">
    <w:name w:val="批注文字 字符"/>
    <w:basedOn w:val="31"/>
    <w:link w:val="15"/>
    <w:qFormat/>
    <w:uiPriority w:val="99"/>
    <w:rPr>
      <w:sz w:val="24"/>
    </w:rPr>
  </w:style>
  <w:style w:type="character" w:customStyle="1" w:styleId="78">
    <w:name w:val="批注主题 字符"/>
    <w:basedOn w:val="77"/>
    <w:link w:val="26"/>
    <w:qFormat/>
    <w:uiPriority w:val="0"/>
    <w:rPr>
      <w:sz w:val="24"/>
    </w:rPr>
  </w:style>
  <w:style w:type="character" w:customStyle="1" w:styleId="79">
    <w:name w:val="批注框文本 字符"/>
    <w:basedOn w:val="31"/>
    <w:link w:val="21"/>
    <w:qFormat/>
    <w:uiPriority w:val="0"/>
    <w:rPr>
      <w:kern w:val="2"/>
      <w:sz w:val="18"/>
      <w:szCs w:val="18"/>
    </w:rPr>
  </w:style>
  <w:style w:type="paragraph" w:customStyle="1" w:styleId="80">
    <w:name w:val="Revision"/>
    <w:hidden/>
    <w:unhideWhenUsed/>
    <w:qFormat/>
    <w:uiPriority w:val="99"/>
    <w:rPr>
      <w:rFonts w:ascii="Times New Roman" w:hAnsi="Times New Roman" w:eastAsia="宋体" w:cs="Times New Roman"/>
      <w:kern w:val="2"/>
      <w:sz w:val="24"/>
      <w:szCs w:val="24"/>
      <w:lang w:val="en-US" w:eastAsia="zh-CN" w:bidi="ar-SA"/>
    </w:rPr>
  </w:style>
  <w:style w:type="character" w:customStyle="1" w:styleId="81">
    <w:name w:val="info-label"/>
    <w:basedOn w:val="31"/>
    <w:qFormat/>
    <w:uiPriority w:val="0"/>
    <w:rPr>
      <w:b/>
      <w:bCs/>
    </w:rPr>
  </w:style>
  <w:style w:type="character" w:customStyle="1" w:styleId="82">
    <w:name w:val="current"/>
    <w:basedOn w:val="31"/>
    <w:qFormat/>
    <w:uiPriority w:val="0"/>
    <w:rPr>
      <w:color w:val="00C1DE"/>
    </w:rPr>
  </w:style>
  <w:style w:type="character" w:customStyle="1" w:styleId="83">
    <w:name w:val="current1"/>
    <w:basedOn w:val="31"/>
    <w:qFormat/>
    <w:uiPriority w:val="0"/>
    <w:rPr>
      <w:color w:val="00C1DE"/>
    </w:rPr>
  </w:style>
  <w:style w:type="character" w:customStyle="1" w:styleId="84">
    <w:name w:val="info-content"/>
    <w:basedOn w:val="31"/>
    <w:qFormat/>
    <w:uiPriority w:val="0"/>
    <w:rPr>
      <w:color w:val="808080"/>
    </w:rPr>
  </w:style>
  <w:style w:type="paragraph" w:customStyle="1" w:styleId="85">
    <w:name w:val="协力表格标题"/>
    <w:basedOn w:val="59"/>
    <w:qFormat/>
    <w:uiPriority w:val="0"/>
    <w:pPr>
      <w:numPr>
        <w:ilvl w:val="4"/>
        <w:numId w:val="6"/>
      </w:numPr>
      <w:spacing w:line="240" w:lineRule="auto"/>
      <w:ind w:left="1008" w:hanging="1008" w:firstLineChars="0"/>
      <w:jc w:val="center"/>
    </w:pPr>
    <w:rPr>
      <w:rFonts w:ascii="Times New Roman" w:hAnsi="Times New Roman"/>
      <w:b/>
      <w:sz w:val="24"/>
    </w:rPr>
  </w:style>
  <w:style w:type="paragraph" w:customStyle="1" w:styleId="86">
    <w:name w:val="文本"/>
    <w:qFormat/>
    <w:uiPriority w:val="0"/>
    <w:pPr>
      <w:ind w:firstLine="480"/>
    </w:pPr>
    <w:rPr>
      <w:rFonts w:ascii="Times New Roman" w:hAnsi="Times New Roman" w:eastAsia="宋体" w:cs="宋体"/>
      <w:lang w:val="en-US" w:eastAsia="zh-CN" w:bidi="ar-SA"/>
    </w:rPr>
  </w:style>
  <w:style w:type="paragraph" w:customStyle="1" w:styleId="87">
    <w:name w:val="正文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8">
    <w:name w:val="Default1"/>
    <w:basedOn w:val="89"/>
    <w:next w:val="90"/>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89">
    <w:name w:val="表格文字01"/>
    <w:basedOn w:val="1"/>
    <w:qFormat/>
    <w:uiPriority w:val="0"/>
    <w:pPr>
      <w:wordWrap w:val="0"/>
      <w:overflowPunct w:val="0"/>
      <w:topLinePunct/>
      <w:jc w:val="center"/>
    </w:pPr>
    <w:rPr>
      <w:rFonts w:ascii="Arial" w:hAnsi="Arial"/>
      <w:snapToGrid w:val="0"/>
      <w:color w:val="000000"/>
      <w:szCs w:val="20"/>
    </w:rPr>
  </w:style>
  <w:style w:type="paragraph" w:customStyle="1" w:styleId="90">
    <w:name w:val="正文样式1"/>
    <w:basedOn w:val="1"/>
    <w:next w:val="1"/>
    <w:qFormat/>
    <w:uiPriority w:val="0"/>
    <w:pPr>
      <w:adjustRightInd w:val="0"/>
      <w:spacing w:line="360" w:lineRule="auto"/>
      <w:ind w:firstLine="360" w:firstLineChars="150"/>
      <w:textAlignment w:val="baseline"/>
    </w:pPr>
    <w:rPr>
      <w:rFonts w:ascii="宋体" w:hAnsi="宋体"/>
      <w:color w:val="FF0000"/>
      <w:kern w:val="0"/>
      <w:sz w:val="24"/>
      <w:szCs w:val="20"/>
    </w:rPr>
  </w:style>
  <w:style w:type="paragraph" w:customStyle="1" w:styleId="91">
    <w:name w:val="表格填充1"/>
    <w:basedOn w:val="1"/>
    <w:qFormat/>
    <w:uiPriority w:val="0"/>
    <w:pPr>
      <w:adjustRightInd w:val="0"/>
      <w:snapToGrid w:val="0"/>
      <w:spacing w:line="400" w:lineRule="exact"/>
      <w:jc w:val="center"/>
    </w:pPr>
    <w:rPr>
      <w:snapToGrid w:val="0"/>
      <w:kern w:val="0"/>
      <w:szCs w:val="18"/>
    </w:rPr>
  </w:style>
  <w:style w:type="paragraph" w:customStyle="1" w:styleId="92">
    <w:name w:val="DL段落"/>
    <w:basedOn w:val="1"/>
    <w:qFormat/>
    <w:uiPriority w:val="0"/>
    <w:pPr>
      <w:adjustRightInd w:val="0"/>
      <w:snapToGrid w:val="0"/>
      <w:spacing w:line="360" w:lineRule="auto"/>
      <w:ind w:firstLine="200" w:firstLineChars="200"/>
    </w:pPr>
    <w:rPr>
      <w:sz w:val="24"/>
    </w:rPr>
  </w:style>
  <w:style w:type="paragraph" w:customStyle="1" w:styleId="93">
    <w:name w:val="报告表格内中"/>
    <w:basedOn w:val="1"/>
    <w:qFormat/>
    <w:uiPriority w:val="0"/>
    <w:pPr>
      <w:spacing w:before="100" w:beforeAutospacing="1"/>
      <w:jc w:val="center"/>
    </w:pPr>
    <w:rPr>
      <w:rFonts w:ascii="宋体" w:hAnsi="宋体"/>
      <w:sz w:val="24"/>
    </w:rPr>
  </w:style>
  <w:style w:type="paragraph" w:styleId="94">
    <w:name w:val="No Spacing"/>
    <w:qFormat/>
    <w:uiPriority w:val="0"/>
    <w:pPr>
      <w:widowControl w:val="0"/>
      <w:jc w:val="both"/>
    </w:pPr>
    <w:rPr>
      <w:rFonts w:ascii="Calibri" w:hAnsi="Calibri" w:eastAsia="Calibri" w:cs="Times New Roman"/>
      <w:kern w:val="2"/>
      <w:sz w:val="21"/>
      <w:szCs w:val="24"/>
      <w:lang w:val="en-US" w:eastAsia="zh-CN" w:bidi="ar-SA"/>
    </w:rPr>
  </w:style>
  <w:style w:type="paragraph" w:customStyle="1" w:styleId="95">
    <w:name w:val="五号缩进2"/>
    <w:basedOn w:val="1"/>
    <w:qFormat/>
    <w:uiPriority w:val="0"/>
    <w:pPr>
      <w:keepNext w:val="0"/>
      <w:keepLines w:val="0"/>
      <w:widowControl w:val="0"/>
      <w:suppressLineNumbers w:val="0"/>
      <w:spacing w:before="0" w:beforeAutospacing="0" w:after="0" w:afterAutospacing="0" w:line="360" w:lineRule="auto"/>
      <w:ind w:left="0" w:right="0" w:firstLine="200" w:firstLineChars="200"/>
      <w:jc w:val="both"/>
    </w:pPr>
    <w:rPr>
      <w:rFonts w:hint="default" w:ascii="Times New Roman" w:hAnsi="Times New Roman" w:eastAsia="宋体" w:cs="仿宋_GB2312"/>
      <w:kern w:val="2"/>
      <w:sz w:val="21"/>
      <w:szCs w:val="21"/>
      <w:lang w:val="en-US" w:eastAsia="zh-CN" w:bidi="ar"/>
    </w:rPr>
  </w:style>
  <w:style w:type="paragraph" w:customStyle="1" w:styleId="96">
    <w:name w:val="表格格式"/>
    <w:basedOn w:val="53"/>
    <w:next w:val="1"/>
    <w:qFormat/>
    <w:uiPriority w:val="99"/>
    <w:pPr>
      <w:jc w:val="center"/>
    </w:pPr>
    <w:rPr>
      <w:rFonts w:hAnsi="宋体"/>
      <w:szCs w:val="21"/>
    </w:rPr>
  </w:style>
  <w:style w:type="paragraph" w:customStyle="1" w:styleId="97">
    <w:name w:val="报告表  段"/>
    <w:basedOn w:val="1"/>
    <w:qFormat/>
    <w:uiPriority w:val="0"/>
    <w:pPr>
      <w:adjustRightInd w:val="0"/>
      <w:spacing w:line="360" w:lineRule="auto"/>
      <w:ind w:firstLine="505"/>
      <w:textAlignment w:val="baseline"/>
    </w:pPr>
    <w:rPr>
      <w:rFonts w:ascii="宋体"/>
      <w:kern w:val="0"/>
      <w:sz w:val="24"/>
      <w:szCs w:val="20"/>
    </w:rPr>
  </w:style>
  <w:style w:type="paragraph" w:customStyle="1" w:styleId="98">
    <w:name w:val="1表格字体"/>
    <w:basedOn w:val="1"/>
    <w:qFormat/>
    <w:uiPriority w:val="0"/>
    <w:pPr>
      <w:adjustRightInd w:val="0"/>
      <w:spacing w:line="264" w:lineRule="auto"/>
      <w:jc w:val="center"/>
    </w:pPr>
  </w:style>
  <w:style w:type="paragraph" w:customStyle="1" w:styleId="99">
    <w:name w:val="正 文"/>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paragraph" w:customStyle="1" w:styleId="100">
    <w:name w:val="注解文字"/>
    <w:basedOn w:val="1"/>
    <w:qFormat/>
    <w:uiPriority w:val="0"/>
    <w:pPr>
      <w:ind w:firstLine="471"/>
    </w:pPr>
    <w:rPr>
      <w:snapToGrid w:val="0"/>
      <w:color w:val="000000"/>
      <w:kern w:val="0"/>
      <w:szCs w:val="20"/>
      <w:lang w:val="eu-ES"/>
    </w:rPr>
  </w:style>
  <w:style w:type="paragraph" w:customStyle="1" w:styleId="101">
    <w:name w:val="正文 New"/>
    <w:qFormat/>
    <w:uiPriority w:val="0"/>
    <w:pPr>
      <w:widowControl w:val="0"/>
      <w:jc w:val="both"/>
    </w:pPr>
    <w:rPr>
      <w:rFonts w:ascii="Calibri" w:hAnsi="Calibri" w:eastAsia="仿宋_GB2312" w:cs="Times New Roman"/>
      <w:kern w:val="2"/>
      <w:sz w:val="32"/>
      <w:szCs w:val="32"/>
      <w:lang w:val="en-US" w:eastAsia="zh-CN" w:bidi="ar-SA"/>
    </w:rPr>
  </w:style>
  <w:style w:type="paragraph" w:customStyle="1" w:styleId="102">
    <w:name w:val="xl27"/>
    <w:basedOn w:val="1"/>
    <w:qFormat/>
    <w:uiPriority w:val="0"/>
    <w:pPr>
      <w:widowControl/>
      <w:pBdr>
        <w:bottom w:val="single" w:color="auto" w:sz="4" w:space="0"/>
        <w:right w:val="single" w:color="auto" w:sz="4" w:space="0"/>
      </w:pBdr>
      <w:spacing w:before="100" w:beforeAutospacing="1" w:after="100" w:afterAutospacing="1"/>
      <w:jc w:val="center"/>
    </w:pPr>
    <w:rPr>
      <w:kern w:val="0"/>
      <w:sz w:val="21"/>
      <w:szCs w:val="21"/>
    </w:rPr>
  </w:style>
  <w:style w:type="paragraph" w:customStyle="1" w:styleId="103">
    <w:name w:val="环评表格title序号格式"/>
    <w:basedOn w:val="1"/>
    <w:qFormat/>
    <w:uiPriority w:val="0"/>
    <w:pPr>
      <w:keepNext/>
      <w:keepLines/>
      <w:numPr>
        <w:ilvl w:val="1"/>
        <w:numId w:val="7"/>
      </w:numPr>
      <w:tabs>
        <w:tab w:val="center" w:pos="0"/>
      </w:tabs>
      <w:adjustRightInd/>
      <w:spacing w:beforeLines="0" w:afterLines="0" w:line="360" w:lineRule="auto"/>
      <w:ind w:left="0" w:firstLine="0"/>
      <w:jc w:val="center"/>
      <w:outlineLvl w:val="2"/>
    </w:pPr>
    <w:rPr>
      <w:rFonts w:ascii="Times New Roman" w:hAnsi="Times New Roman" w:eastAsia="宋体"/>
      <w:b/>
      <w:szCs w:val="21"/>
    </w:rPr>
  </w:style>
  <w:style w:type="character" w:customStyle="1" w:styleId="104">
    <w:name w:val="font01"/>
    <w:basedOn w:val="31"/>
    <w:qFormat/>
    <w:uiPriority w:val="0"/>
    <w:rPr>
      <w:rFonts w:hint="default" w:ascii="Times New Roman" w:hAnsi="Times New Roman" w:cs="Times New Roman"/>
      <w:color w:val="000000"/>
      <w:sz w:val="28"/>
      <w:szCs w:val="28"/>
      <w:u w:val="none"/>
      <w:vertAlign w:val="subscript"/>
    </w:rPr>
  </w:style>
  <w:style w:type="character" w:customStyle="1" w:styleId="105">
    <w:name w:val="font21"/>
    <w:basedOn w:val="31"/>
    <w:qFormat/>
    <w:uiPriority w:val="0"/>
    <w:rPr>
      <w:rFonts w:hint="default" w:ascii="Times New Roman" w:hAnsi="Times New Roman" w:cs="Times New Roman"/>
      <w:color w:val="000000"/>
      <w:sz w:val="28"/>
      <w:szCs w:val="28"/>
      <w:u w:val="none"/>
    </w:rPr>
  </w:style>
  <w:style w:type="character" w:customStyle="1" w:styleId="106">
    <w:name w:val="Body text|2 + 9.5 pt"/>
    <w:qFormat/>
    <w:uiPriority w:val="0"/>
    <w:rPr>
      <w:rFonts w:ascii="PMingLiU" w:hAnsi="PMingLiU" w:eastAsia="PMingLiU" w:cs="PMingLiU"/>
      <w:color w:val="000000"/>
      <w:spacing w:val="0"/>
      <w:w w:val="100"/>
      <w:position w:val="0"/>
      <w:sz w:val="19"/>
      <w:szCs w:val="19"/>
      <w:u w:val="none"/>
      <w:lang w:val="en-US" w:eastAsia="en-US" w:bidi="en-US"/>
    </w:rPr>
  </w:style>
  <w:style w:type="character" w:customStyle="1" w:styleId="107">
    <w:name w:val="Body text|2 + Times New Roman6"/>
    <w:qFormat/>
    <w:uiPriority w:val="0"/>
    <w:rPr>
      <w:rFonts w:ascii="Times New Roman" w:hAnsi="Times New Roman" w:eastAsia="Times New Roman" w:cs="Times New Roman"/>
      <w:color w:val="000000"/>
      <w:spacing w:val="0"/>
      <w:w w:val="100"/>
      <w:position w:val="0"/>
      <w:sz w:val="21"/>
      <w:szCs w:val="21"/>
      <w:u w:val="none"/>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emf"/><Relationship Id="rId23" Type="http://schemas.openxmlformats.org/officeDocument/2006/relationships/oleObject" Target="embeddings/oleObject6.bin"/><Relationship Id="rId22" Type="http://schemas.openxmlformats.org/officeDocument/2006/relationships/image" Target="media/image8.emf"/><Relationship Id="rId21" Type="http://schemas.openxmlformats.org/officeDocument/2006/relationships/oleObject" Target="embeddings/oleObject5.bin"/><Relationship Id="rId20" Type="http://schemas.openxmlformats.org/officeDocument/2006/relationships/image" Target="media/image7.e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6.emf"/><Relationship Id="rId17" Type="http://schemas.openxmlformats.org/officeDocument/2006/relationships/oleObject" Target="embeddings/oleObject3.bin"/><Relationship Id="rId16" Type="http://schemas.openxmlformats.org/officeDocument/2006/relationships/image" Target="media/image5.emf"/><Relationship Id="rId15" Type="http://schemas.openxmlformats.org/officeDocument/2006/relationships/oleObject" Target="embeddings/oleObject2.bin"/><Relationship Id="rId14" Type="http://schemas.openxmlformats.org/officeDocument/2006/relationships/image" Target="media/image4.wmf"/><Relationship Id="rId13" Type="http://schemas.openxmlformats.org/officeDocument/2006/relationships/oleObject" Target="embeddings/oleObject1.bin"/><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84</Pages>
  <Words>52259</Words>
  <Characters>63595</Characters>
  <Lines>393</Lines>
  <Paragraphs>110</Paragraphs>
  <TotalTime>0</TotalTime>
  <ScaleCrop>false</ScaleCrop>
  <LinksUpToDate>false</LinksUpToDate>
  <CharactersWithSpaces>63870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2021-12-14T03:45:00Z</dcterms:created>
  <dc:creator>Administrator</dc:creator>
  <cp:lastModifiedBy>叶靖</cp:lastModifiedBy>
  <cp:lastPrinted>2022-07-27T05:03:00Z</cp:lastPrinted>
  <dcterms:modified xsi:type="dcterms:W3CDTF">2023-08-24T07:38:46Z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B06645B0A67D45DDADCA358D4DAE5B15_13</vt:lpwstr>
  </property>
  <property fmtid="{D5CDD505-2E9C-101B-9397-08002B2CF9AE}" pid="4" name="commondata">
    <vt:lpwstr>eyJoZGlkIjoiZjBlNTgzYzJjNGIyNzFlMGU5OWViZTNmMGU0YTllNjQifQ==</vt:lpwstr>
  </property>
</Properties>
</file>