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0"/>
          <w:numId w:val="0"/>
        </w:numPr>
        <w:jc w:val="center"/>
        <w:rPr>
          <w:rFonts w:ascii="宋体" w:hAnsi="宋体" w:cs="仿宋_GB2312"/>
        </w:rPr>
      </w:pPr>
      <w:r>
        <w:rPr>
          <w:rFonts w:hint="eastAsia" w:ascii="宋体" w:hAnsi="宋体" w:cs="仿宋_GB2312"/>
          <w:lang w:val="en-US" w:eastAsia="zh-CN"/>
        </w:rPr>
        <w:t>评分细则</w:t>
      </w:r>
      <w:r>
        <w:rPr>
          <w:rFonts w:hint="eastAsia" w:ascii="宋体" w:hAnsi="宋体" w:cs="仿宋_GB2312"/>
        </w:rPr>
        <w:t>表</w:t>
      </w:r>
    </w:p>
    <w:p>
      <w:pPr>
        <w:rPr>
          <w:rFonts w:ascii="宋体" w:hAnsi="宋体"/>
        </w:rPr>
      </w:pPr>
    </w:p>
    <w:tbl>
      <w:tblPr>
        <w:tblStyle w:val="20"/>
        <w:tblW w:w="8160" w:type="dxa"/>
        <w:tblInd w:w="0" w:type="dxa"/>
        <w:tblLayout w:type="autofit"/>
        <w:tblCellMar>
          <w:top w:w="15" w:type="dxa"/>
          <w:left w:w="15" w:type="dxa"/>
          <w:bottom w:w="15" w:type="dxa"/>
          <w:right w:w="15" w:type="dxa"/>
        </w:tblCellMar>
      </w:tblPr>
      <w:tblGrid>
        <w:gridCol w:w="765"/>
        <w:gridCol w:w="1530"/>
        <w:gridCol w:w="765"/>
        <w:gridCol w:w="5100"/>
      </w:tblGrid>
      <w:tr>
        <w:tblPrEx>
          <w:tblCellMar>
            <w:top w:w="15" w:type="dxa"/>
            <w:left w:w="15" w:type="dxa"/>
            <w:bottom w:w="15" w:type="dxa"/>
            <w:right w:w="15" w:type="dxa"/>
          </w:tblCellMar>
        </w:tblPrEx>
        <w:trPr>
          <w:trHeight w:val="285" w:hRule="atLeast"/>
        </w:trPr>
        <w:tc>
          <w:tcPr>
            <w:tcW w:w="22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b/>
                <w:szCs w:val="21"/>
              </w:rPr>
            </w:pPr>
            <w:r>
              <w:rPr>
                <w:rFonts w:hint="eastAsia" w:ascii="宋体" w:hAnsi="宋体" w:cs="仿宋_GB2312"/>
                <w:b/>
                <w:kern w:val="0"/>
                <w:szCs w:val="21"/>
              </w:rPr>
              <w:t>评审因素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b/>
                <w:szCs w:val="21"/>
              </w:rPr>
            </w:pPr>
            <w:r>
              <w:rPr>
                <w:rFonts w:hint="eastAsia" w:ascii="宋体" w:hAnsi="宋体" w:cs="仿宋_GB2312"/>
                <w:b/>
                <w:kern w:val="0"/>
                <w:szCs w:val="21"/>
              </w:rPr>
              <w:t>分值(分)</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b/>
                <w:szCs w:val="21"/>
              </w:rPr>
            </w:pPr>
            <w:r>
              <w:rPr>
                <w:rFonts w:hint="eastAsia" w:ascii="宋体" w:hAnsi="宋体" w:cs="仿宋_GB2312"/>
                <w:b/>
                <w:kern w:val="0"/>
                <w:szCs w:val="21"/>
              </w:rPr>
              <w:t>评分细则</w:t>
            </w:r>
          </w:p>
        </w:tc>
      </w:tr>
      <w:tr>
        <w:tblPrEx>
          <w:tblCellMar>
            <w:top w:w="15" w:type="dxa"/>
            <w:left w:w="15" w:type="dxa"/>
            <w:bottom w:w="15" w:type="dxa"/>
            <w:right w:w="15" w:type="dxa"/>
          </w:tblCellMar>
        </w:tblPrEx>
        <w:trPr>
          <w:trHeight w:val="1080" w:hRule="atLeast"/>
        </w:trPr>
        <w:tc>
          <w:tcPr>
            <w:tcW w:w="22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rPr>
              <w:t>价格</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rPr>
              <w:t>10</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仿宋_GB2312"/>
                <w:szCs w:val="21"/>
              </w:rPr>
            </w:pPr>
            <w:r>
              <w:rPr>
                <w:rFonts w:hint="eastAsia" w:ascii="宋体" w:hAnsi="宋体" w:cs="仿宋_GB2312"/>
                <w:szCs w:val="21"/>
              </w:rPr>
              <w:t>报价得分＝（评标基准价/投标报价）×价格分值【注：满足</w:t>
            </w:r>
            <w:r>
              <w:rPr>
                <w:rFonts w:hint="eastAsia" w:ascii="宋体" w:hAnsi="宋体" w:cs="仿宋_GB2312"/>
                <w:szCs w:val="21"/>
                <w:lang w:val="en-US" w:eastAsia="zh-CN"/>
              </w:rPr>
              <w:t>采购需求</w:t>
            </w:r>
            <w:r>
              <w:rPr>
                <w:rFonts w:hint="eastAsia" w:ascii="宋体" w:hAnsi="宋体" w:cs="仿宋_GB2312"/>
                <w:szCs w:val="21"/>
              </w:rPr>
              <w:t>文件要求且投标价格最低的投标报价为评标基准价。】最低报价不是中标的唯一依据。因落实政府采购政策进行价格调整的，以调整后的价格计算评标基准价和投标报价。</w:t>
            </w:r>
          </w:p>
        </w:tc>
      </w:tr>
      <w:tr>
        <w:tblPrEx>
          <w:tblCellMar>
            <w:top w:w="15" w:type="dxa"/>
            <w:left w:w="15" w:type="dxa"/>
            <w:bottom w:w="15" w:type="dxa"/>
            <w:right w:w="15" w:type="dxa"/>
          </w:tblCellMar>
        </w:tblPrEx>
        <w:trPr>
          <w:trHeight w:val="540" w:hRule="atLeast"/>
        </w:trPr>
        <w:tc>
          <w:tcPr>
            <w:tcW w:w="765" w:type="dxa"/>
            <w:vMerge w:val="restart"/>
            <w:tcBorders>
              <w:left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仿宋_GB2312"/>
                <w:kern w:val="0"/>
                <w:szCs w:val="21"/>
                <w:lang w:val="en-US" w:eastAsia="zh-CN"/>
              </w:rPr>
            </w:pPr>
            <w:r>
              <w:rPr>
                <w:rFonts w:hint="eastAsia" w:ascii="宋体" w:hAnsi="宋体" w:cs="仿宋_GB2312"/>
                <w:kern w:val="0"/>
                <w:szCs w:val="21"/>
                <w:lang w:val="en-US" w:eastAsia="zh-CN"/>
              </w:rPr>
              <w:t>技术</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kern w:val="0"/>
                <w:szCs w:val="21"/>
              </w:rPr>
            </w:pPr>
            <w:r>
              <w:rPr>
                <w:rFonts w:hint="eastAsia" w:ascii="宋体" w:hAnsi="宋体" w:cs="仿宋_GB2312"/>
                <w:kern w:val="0"/>
                <w:szCs w:val="21"/>
              </w:rPr>
              <w:t>项目培训方案</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宋体" w:hAnsi="宋体" w:eastAsia="宋体" w:cs="仿宋_GB2312"/>
                <w:szCs w:val="21"/>
                <w:lang w:val="en-US" w:eastAsia="zh-CN"/>
              </w:rPr>
            </w:pPr>
            <w:r>
              <w:rPr>
                <w:rFonts w:hint="eastAsia" w:ascii="宋体" w:hAnsi="宋体" w:cs="仿宋_GB2312"/>
                <w:szCs w:val="21"/>
                <w:lang w:val="en-US" w:eastAsia="zh-CN"/>
              </w:rPr>
              <w:t>20</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仿宋_GB2312"/>
                <w:kern w:val="0"/>
                <w:szCs w:val="21"/>
              </w:rPr>
            </w:pPr>
            <w:r>
              <w:rPr>
                <w:rFonts w:ascii="宋体" w:hAnsi="宋体" w:cs="仿宋_GB2312"/>
                <w:kern w:val="0"/>
                <w:szCs w:val="21"/>
              </w:rPr>
              <w:t>投标人根据本项目要求，提出相应的</w:t>
            </w:r>
            <w:r>
              <w:rPr>
                <w:rFonts w:hint="eastAsia" w:ascii="宋体" w:hAnsi="宋体" w:cs="仿宋_GB2312"/>
                <w:kern w:val="0"/>
                <w:szCs w:val="21"/>
              </w:rPr>
              <w:t>培训</w:t>
            </w:r>
            <w:r>
              <w:rPr>
                <w:rFonts w:ascii="宋体" w:hAnsi="宋体" w:cs="仿宋_GB2312"/>
                <w:kern w:val="0"/>
                <w:szCs w:val="21"/>
              </w:rPr>
              <w:t>方案</w:t>
            </w:r>
            <w:r>
              <w:rPr>
                <w:rFonts w:hint="eastAsia" w:ascii="宋体" w:hAnsi="宋体" w:eastAsia="宋体" w:cs="宋体"/>
                <w:color w:val="auto"/>
                <w:kern w:val="0"/>
                <w:sz w:val="21"/>
                <w:szCs w:val="21"/>
                <w:lang w:val="en-US" w:eastAsia="zh-CN"/>
              </w:rPr>
              <w:t>（</w:t>
            </w:r>
            <w:r>
              <w:rPr>
                <w:rFonts w:hint="eastAsia" w:ascii="宋体" w:hAnsi="宋体" w:cs="宋体"/>
                <w:color w:val="auto"/>
                <w:kern w:val="0"/>
                <w:sz w:val="21"/>
                <w:szCs w:val="21"/>
                <w:lang w:val="en-US" w:eastAsia="zh-CN"/>
              </w:rPr>
              <w:t>数字经济与产业融合创新能力提升</w:t>
            </w:r>
            <w:r>
              <w:rPr>
                <w:rFonts w:hint="eastAsia" w:ascii="宋体" w:hAnsi="宋体" w:eastAsia="宋体" w:cs="宋体"/>
                <w:color w:val="auto"/>
                <w:kern w:val="0"/>
                <w:sz w:val="21"/>
                <w:szCs w:val="21"/>
                <w:lang w:val="en-US" w:eastAsia="zh-CN"/>
              </w:rPr>
              <w:t>培训服务）</w:t>
            </w:r>
            <w:r>
              <w:rPr>
                <w:rFonts w:ascii="宋体" w:hAnsi="宋体" w:cs="仿宋_GB2312"/>
                <w:kern w:val="0"/>
                <w:szCs w:val="21"/>
              </w:rPr>
              <w:t>，</w:t>
            </w:r>
            <w:r>
              <w:rPr>
                <w:rFonts w:hint="eastAsia" w:ascii="宋体" w:hAnsi="宋体" w:cs="宋体"/>
                <w:color w:val="auto"/>
                <w:kern w:val="0"/>
                <w:sz w:val="21"/>
                <w:szCs w:val="21"/>
                <w:lang w:val="en-US" w:eastAsia="zh-CN"/>
              </w:rPr>
              <w:t>方案需包含但不限于现场教学、专题教学、课程安排、培训手册和交通食宿安排等内容，</w:t>
            </w:r>
            <w:r>
              <w:rPr>
                <w:rFonts w:hint="eastAsia" w:ascii="宋体" w:hAnsi="宋体" w:cs="仿宋_GB2312"/>
                <w:kern w:val="0"/>
                <w:szCs w:val="21"/>
              </w:rPr>
              <w:t>评委</w:t>
            </w:r>
            <w:r>
              <w:rPr>
                <w:rFonts w:ascii="宋体" w:hAnsi="宋体" w:cs="仿宋_GB2312"/>
                <w:kern w:val="0"/>
                <w:szCs w:val="21"/>
              </w:rPr>
              <w:t>会对项目</w:t>
            </w:r>
            <w:r>
              <w:rPr>
                <w:rFonts w:hint="eastAsia" w:ascii="宋体" w:hAnsi="宋体" w:cs="仿宋_GB2312"/>
                <w:kern w:val="0"/>
                <w:szCs w:val="21"/>
              </w:rPr>
              <w:t>培训</w:t>
            </w:r>
            <w:r>
              <w:rPr>
                <w:rFonts w:ascii="宋体" w:hAnsi="宋体" w:cs="仿宋_GB2312"/>
                <w:kern w:val="0"/>
                <w:szCs w:val="21"/>
              </w:rPr>
              <w:t>方案进行比较和评优。优:</w:t>
            </w:r>
            <w:r>
              <w:rPr>
                <w:rFonts w:hint="eastAsia" w:ascii="宋体" w:hAnsi="宋体" w:cs="仿宋_GB2312"/>
                <w:kern w:val="0"/>
                <w:szCs w:val="21"/>
                <w:lang w:val="en-US" w:eastAsia="zh-CN"/>
              </w:rPr>
              <w:t>20</w:t>
            </w:r>
            <w:r>
              <w:rPr>
                <w:rFonts w:ascii="宋体" w:hAnsi="宋体" w:cs="仿宋_GB2312"/>
                <w:kern w:val="0"/>
                <w:szCs w:val="21"/>
              </w:rPr>
              <w:t>分;良:</w:t>
            </w:r>
            <w:r>
              <w:rPr>
                <w:rFonts w:hint="eastAsia" w:ascii="宋体" w:hAnsi="宋体" w:cs="仿宋_GB2312"/>
                <w:kern w:val="0"/>
                <w:szCs w:val="21"/>
                <w:lang w:val="en-US" w:eastAsia="zh-CN"/>
              </w:rPr>
              <w:t>14</w:t>
            </w:r>
            <w:r>
              <w:rPr>
                <w:rFonts w:ascii="宋体" w:hAnsi="宋体" w:cs="仿宋_GB2312"/>
                <w:kern w:val="0"/>
                <w:szCs w:val="21"/>
              </w:rPr>
              <w:t>分;一般:</w:t>
            </w:r>
            <w:r>
              <w:rPr>
                <w:rFonts w:hint="eastAsia" w:ascii="宋体" w:hAnsi="宋体" w:cs="仿宋_GB2312"/>
                <w:kern w:val="0"/>
                <w:szCs w:val="21"/>
                <w:lang w:val="en-US" w:eastAsia="zh-CN"/>
              </w:rPr>
              <w:t>6</w:t>
            </w:r>
            <w:r>
              <w:rPr>
                <w:rFonts w:ascii="宋体" w:hAnsi="宋体" w:cs="仿宋_GB2312"/>
                <w:kern w:val="0"/>
                <w:szCs w:val="21"/>
              </w:rPr>
              <w:t>分;无:0分。</w:t>
            </w:r>
          </w:p>
        </w:tc>
      </w:tr>
      <w:tr>
        <w:tblPrEx>
          <w:tblCellMar>
            <w:top w:w="15" w:type="dxa"/>
            <w:left w:w="15" w:type="dxa"/>
            <w:bottom w:w="15" w:type="dxa"/>
            <w:right w:w="15" w:type="dxa"/>
          </w:tblCellMar>
        </w:tblPrEx>
        <w:trPr>
          <w:trHeight w:val="720" w:hRule="atLeast"/>
        </w:trPr>
        <w:tc>
          <w:tcPr>
            <w:tcW w:w="765" w:type="dxa"/>
            <w:vMerge w:val="continue"/>
            <w:tcBorders>
              <w:left w:val="single" w:color="000000" w:sz="4" w:space="0"/>
              <w:right w:val="single" w:color="000000" w:sz="4" w:space="0"/>
            </w:tcBorders>
            <w:shd w:val="clear" w:color="auto" w:fill="auto"/>
            <w:vAlign w:val="center"/>
          </w:tcPr>
          <w:p>
            <w:pPr>
              <w:jc w:val="center"/>
              <w:rPr>
                <w:rFonts w:ascii="宋体" w:hAnsi="宋体" w:cs="仿宋_GB2312"/>
                <w:szCs w:val="21"/>
              </w:rPr>
            </w:pPr>
          </w:p>
        </w:tc>
        <w:tc>
          <w:tcPr>
            <w:tcW w:w="1530"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rPr>
              <w:t>主要标识指标</w:t>
            </w:r>
          </w:p>
        </w:tc>
        <w:tc>
          <w:tcPr>
            <w:tcW w:w="76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lang w:val="en-US" w:eastAsia="zh-CN"/>
              </w:rPr>
              <w:t>2</w:t>
            </w:r>
            <w:r>
              <w:rPr>
                <w:rFonts w:ascii="宋体" w:hAnsi="宋体" w:cs="仿宋_GB2312"/>
                <w:kern w:val="0"/>
                <w:szCs w:val="21"/>
              </w:rPr>
              <w:t>0</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仿宋_GB2312"/>
                <w:szCs w:val="21"/>
              </w:rPr>
            </w:pPr>
            <w:r>
              <w:rPr>
                <w:rFonts w:hint="eastAsia" w:ascii="宋体" w:hAnsi="宋体" w:cs="仿宋_GB2312"/>
                <w:kern w:val="0"/>
                <w:szCs w:val="21"/>
              </w:rPr>
              <w:t>评委会对比所有投标人所投产品满足本项目招标要求中标识▲的主要技术要求进行比较和评价，每不满足一项▲主要技术要求扣</w:t>
            </w:r>
            <w:r>
              <w:rPr>
                <w:rFonts w:hint="eastAsia" w:ascii="宋体" w:hAnsi="宋体" w:cs="仿宋_GB2312"/>
                <w:kern w:val="0"/>
                <w:szCs w:val="21"/>
                <w:lang w:val="en-US" w:eastAsia="zh-CN"/>
              </w:rPr>
              <w:t>10</w:t>
            </w:r>
            <w:r>
              <w:rPr>
                <w:rFonts w:hint="eastAsia" w:ascii="宋体" w:hAnsi="宋体" w:cs="仿宋_GB2312"/>
                <w:kern w:val="0"/>
                <w:szCs w:val="21"/>
              </w:rPr>
              <w:t>分，扣完为止。（投标文件需要提供有效的证明文件，证明文件须是本项目招标公告发布前所获得，否则将被视为无效。）满分:</w:t>
            </w:r>
            <w:r>
              <w:rPr>
                <w:rFonts w:hint="eastAsia" w:ascii="宋体" w:hAnsi="宋体" w:cs="仿宋_GB2312"/>
                <w:kern w:val="0"/>
                <w:szCs w:val="21"/>
                <w:lang w:val="en-US" w:eastAsia="zh-CN"/>
              </w:rPr>
              <w:t>2</w:t>
            </w:r>
            <w:r>
              <w:rPr>
                <w:rFonts w:ascii="宋体" w:hAnsi="宋体" w:cs="仿宋_GB2312"/>
                <w:kern w:val="0"/>
                <w:szCs w:val="21"/>
              </w:rPr>
              <w:t>0</w:t>
            </w:r>
            <w:r>
              <w:rPr>
                <w:rFonts w:hint="eastAsia" w:ascii="宋体" w:hAnsi="宋体" w:cs="仿宋_GB2312"/>
                <w:kern w:val="0"/>
                <w:szCs w:val="21"/>
              </w:rPr>
              <w:t>;无:0</w:t>
            </w:r>
          </w:p>
        </w:tc>
      </w:tr>
      <w:tr>
        <w:tblPrEx>
          <w:tblCellMar>
            <w:top w:w="15" w:type="dxa"/>
            <w:left w:w="15" w:type="dxa"/>
            <w:bottom w:w="15" w:type="dxa"/>
            <w:right w:w="15" w:type="dxa"/>
          </w:tblCellMar>
        </w:tblPrEx>
        <w:trPr>
          <w:trHeight w:val="720" w:hRule="atLeast"/>
        </w:trPr>
        <w:tc>
          <w:tcPr>
            <w:tcW w:w="765" w:type="dxa"/>
            <w:vMerge w:val="continue"/>
            <w:tcBorders>
              <w:left w:val="single" w:color="000000" w:sz="4" w:space="0"/>
              <w:right w:val="single" w:color="000000" w:sz="4" w:space="0"/>
            </w:tcBorders>
            <w:shd w:val="clear" w:color="auto" w:fill="auto"/>
            <w:vAlign w:val="center"/>
          </w:tcPr>
          <w:p>
            <w:pPr>
              <w:jc w:val="center"/>
              <w:rPr>
                <w:rFonts w:ascii="宋体" w:hAnsi="宋体" w:cs="仿宋_GB2312"/>
                <w:szCs w:val="21"/>
              </w:rPr>
            </w:pPr>
          </w:p>
        </w:tc>
        <w:tc>
          <w:tcPr>
            <w:tcW w:w="1530" w:type="dxa"/>
            <w:vMerge w:val="continue"/>
            <w:tcBorders>
              <w:left w:val="single" w:color="000000" w:sz="4" w:space="0"/>
              <w:right w:val="single" w:color="000000" w:sz="4" w:space="0"/>
            </w:tcBorders>
            <w:shd w:val="clear" w:color="auto" w:fill="auto"/>
            <w:vAlign w:val="center"/>
          </w:tcPr>
          <w:p>
            <w:pPr>
              <w:widowControl/>
              <w:jc w:val="center"/>
              <w:textAlignment w:val="center"/>
            </w:pPr>
          </w:p>
        </w:tc>
        <w:tc>
          <w:tcPr>
            <w:tcW w:w="765" w:type="dxa"/>
            <w:vMerge w:val="continue"/>
            <w:tcBorders>
              <w:left w:val="single" w:color="000000" w:sz="4" w:space="0"/>
              <w:right w:val="single" w:color="000000" w:sz="4" w:space="0"/>
            </w:tcBorders>
            <w:shd w:val="clear" w:color="auto" w:fill="auto"/>
            <w:vAlign w:val="center"/>
          </w:tcPr>
          <w:p>
            <w:pPr>
              <w:widowControl/>
              <w:jc w:val="center"/>
              <w:textAlignment w:val="center"/>
            </w:pP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textAlignment w:val="center"/>
              <w:rPr>
                <w:rFonts w:hint="default" w:ascii="宋体" w:hAnsi="宋体" w:eastAsia="宋体" w:cs="宋体"/>
                <w:color w:val="auto"/>
                <w:kern w:val="0"/>
                <w:sz w:val="21"/>
                <w:szCs w:val="21"/>
                <w:lang w:val="en-US" w:eastAsia="zh-CN"/>
              </w:rPr>
            </w:pPr>
            <w:r>
              <w:rPr>
                <w:rFonts w:hint="eastAsia" w:ascii="宋体" w:hAnsi="宋体" w:cs="仿宋_GB2312"/>
                <w:kern w:val="0"/>
                <w:szCs w:val="21"/>
              </w:rPr>
              <w:t>▲</w:t>
            </w:r>
            <w:r>
              <w:rPr>
                <w:rFonts w:hint="eastAsia"/>
                <w:lang w:val="en-US" w:eastAsia="zh-CN"/>
              </w:rPr>
              <w:t>技术要求：投标人应具备相关的培训资质，以确保培训的专业效果。</w:t>
            </w:r>
          </w:p>
        </w:tc>
      </w:tr>
      <w:tr>
        <w:tblPrEx>
          <w:tblCellMar>
            <w:top w:w="15" w:type="dxa"/>
            <w:left w:w="15" w:type="dxa"/>
            <w:bottom w:w="15" w:type="dxa"/>
            <w:right w:w="15" w:type="dxa"/>
          </w:tblCellMar>
        </w:tblPrEx>
        <w:trPr>
          <w:trHeight w:val="720" w:hRule="atLeast"/>
        </w:trPr>
        <w:tc>
          <w:tcPr>
            <w:tcW w:w="765" w:type="dxa"/>
            <w:vMerge w:val="continue"/>
            <w:tcBorders>
              <w:left w:val="single" w:color="000000" w:sz="4" w:space="0"/>
              <w:right w:val="single" w:color="000000" w:sz="4" w:space="0"/>
            </w:tcBorders>
            <w:shd w:val="clear" w:color="auto" w:fill="auto"/>
            <w:vAlign w:val="center"/>
          </w:tcPr>
          <w:p>
            <w:pPr>
              <w:jc w:val="center"/>
              <w:rPr>
                <w:rFonts w:ascii="宋体" w:hAnsi="宋体" w:cs="仿宋_GB2312"/>
                <w:szCs w:val="21"/>
              </w:rPr>
            </w:pPr>
          </w:p>
        </w:tc>
        <w:tc>
          <w:tcPr>
            <w:tcW w:w="1530"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pPr>
          </w:p>
        </w:tc>
        <w:tc>
          <w:tcPr>
            <w:tcW w:w="765"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pP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textAlignment w:val="center"/>
              <w:rPr>
                <w:rFonts w:hint="default"/>
                <w:lang w:val="en-US" w:eastAsia="zh-CN"/>
              </w:rPr>
            </w:pPr>
            <w:r>
              <w:rPr>
                <w:rFonts w:hint="eastAsia" w:ascii="宋体" w:hAnsi="宋体" w:cs="仿宋_GB2312"/>
                <w:kern w:val="0"/>
                <w:szCs w:val="21"/>
              </w:rPr>
              <w:t>▲</w:t>
            </w:r>
            <w:r>
              <w:rPr>
                <w:rFonts w:hint="default"/>
                <w:lang w:val="en-US" w:eastAsia="zh-CN"/>
              </w:rPr>
              <w:t>保障服务</w:t>
            </w:r>
            <w:r>
              <w:rPr>
                <w:rFonts w:hint="eastAsia"/>
                <w:lang w:val="en-US" w:eastAsia="zh-CN"/>
              </w:rPr>
              <w:t>：投标人应针对本项目</w:t>
            </w:r>
            <w:r>
              <w:rPr>
                <w:rFonts w:hint="default"/>
                <w:lang w:val="en-US" w:eastAsia="zh-CN"/>
              </w:rPr>
              <w:t>所有培训，须派出具有相应专业资格和实际工作经验的辅导人员进行培训</w:t>
            </w:r>
            <w:r>
              <w:rPr>
                <w:rFonts w:hint="eastAsia"/>
                <w:lang w:val="en-US" w:eastAsia="zh-CN"/>
              </w:rPr>
              <w:t>，</w:t>
            </w:r>
            <w:r>
              <w:rPr>
                <w:rFonts w:hint="default"/>
                <w:lang w:val="en-US" w:eastAsia="zh-CN"/>
              </w:rPr>
              <w:t>培训</w:t>
            </w:r>
            <w:r>
              <w:rPr>
                <w:rFonts w:hint="eastAsia"/>
                <w:lang w:val="en-US" w:eastAsia="zh-CN"/>
              </w:rPr>
              <w:t>时间</w:t>
            </w:r>
            <w:r>
              <w:rPr>
                <w:rFonts w:hint="default"/>
                <w:lang w:val="en-US" w:eastAsia="zh-CN"/>
              </w:rPr>
              <w:t>不少于5天</w:t>
            </w:r>
            <w:r>
              <w:rPr>
                <w:rFonts w:hint="eastAsia"/>
                <w:lang w:val="en-US" w:eastAsia="zh-CN"/>
              </w:rPr>
              <w:t>，并且在培训期间至少安排一名专职带班老师提供全程跟踪保障服务。</w:t>
            </w:r>
          </w:p>
        </w:tc>
      </w:tr>
      <w:tr>
        <w:tblPrEx>
          <w:tblCellMar>
            <w:top w:w="15" w:type="dxa"/>
            <w:left w:w="15" w:type="dxa"/>
            <w:bottom w:w="15" w:type="dxa"/>
            <w:right w:w="15" w:type="dxa"/>
          </w:tblCellMar>
        </w:tblPrEx>
        <w:trPr>
          <w:trHeight w:val="3228"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rPr>
              <w:t>商务</w:t>
            </w:r>
          </w:p>
        </w:tc>
        <w:tc>
          <w:tcPr>
            <w:tcW w:w="1530"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rPr>
              <w:t>体系认证证书</w:t>
            </w:r>
          </w:p>
        </w:tc>
        <w:tc>
          <w:tcPr>
            <w:tcW w:w="765"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default" w:ascii="宋体" w:hAnsi="宋体" w:eastAsia="宋体" w:cs="仿宋_GB2312"/>
                <w:szCs w:val="21"/>
                <w:lang w:val="en-US" w:eastAsia="zh-CN"/>
              </w:rPr>
            </w:pPr>
            <w:r>
              <w:rPr>
                <w:rFonts w:hint="eastAsia" w:ascii="宋体" w:hAnsi="宋体" w:cs="仿宋_GB2312"/>
                <w:szCs w:val="21"/>
                <w:lang w:val="en-US" w:eastAsia="zh-CN"/>
              </w:rPr>
              <w:t>8</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宋体" w:hAnsi="宋体" w:eastAsia="宋体" w:cs="宋体"/>
                <w:kern w:val="0"/>
                <w:sz w:val="21"/>
                <w:szCs w:val="21"/>
              </w:rPr>
            </w:pPr>
            <w:r>
              <w:rPr>
                <w:rFonts w:hint="eastAsia" w:ascii="宋体" w:hAnsi="宋体" w:eastAsia="宋体" w:cs="宋体"/>
                <w:kern w:val="0"/>
                <w:sz w:val="21"/>
                <w:szCs w:val="21"/>
              </w:rPr>
              <w:t>评委会对投标人提供的证书进行评审：</w:t>
            </w:r>
          </w:p>
          <w:p>
            <w:pPr>
              <w:widowControl/>
              <w:numPr>
                <w:ilvl w:val="0"/>
                <w:numId w:val="3"/>
              </w:numPr>
              <w:textAlignment w:val="center"/>
              <w:rPr>
                <w:rFonts w:hint="eastAsia" w:ascii="宋体" w:hAnsi="宋体" w:eastAsia="宋体" w:cs="宋体"/>
                <w:sz w:val="21"/>
                <w:szCs w:val="21"/>
              </w:rPr>
            </w:pPr>
            <w:r>
              <w:rPr>
                <w:rFonts w:hint="eastAsia" w:ascii="宋体" w:hAnsi="宋体" w:eastAsia="宋体" w:cs="宋体"/>
                <w:sz w:val="21"/>
                <w:szCs w:val="21"/>
              </w:rPr>
              <w:t>GB/T19001/ISO9001质量管理体系认证证书； 2.ISO/IEC 20000信息技术服务管理体系认证证书； 3.GB/T22080/ISO/IEC27001信息安全管理体系认证证书；</w:t>
            </w:r>
          </w:p>
          <w:p>
            <w:pPr>
              <w:pStyle w:val="2"/>
              <w:numPr>
                <w:ilvl w:val="0"/>
                <w:numId w:val="0"/>
              </w:numP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4.服务质量评价认证证书</w:t>
            </w:r>
          </w:p>
          <w:p>
            <w:pPr>
              <w:widowControl/>
              <w:textAlignment w:val="center"/>
              <w:rPr>
                <w:rFonts w:hint="eastAsia" w:ascii="宋体" w:hAnsi="宋体" w:eastAsia="宋体" w:cs="宋体"/>
                <w:kern w:val="0"/>
                <w:sz w:val="21"/>
                <w:szCs w:val="21"/>
              </w:rPr>
            </w:pPr>
            <w:r>
              <w:rPr>
                <w:rFonts w:hint="eastAsia" w:ascii="宋体" w:hAnsi="宋体" w:eastAsia="宋体" w:cs="宋体"/>
                <w:kern w:val="0"/>
                <w:sz w:val="21"/>
                <w:szCs w:val="21"/>
              </w:rPr>
              <w:t>每提供一个得</w:t>
            </w:r>
            <w:r>
              <w:rPr>
                <w:rFonts w:hint="eastAsia" w:ascii="宋体" w:hAnsi="宋体" w:eastAsia="宋体" w:cs="宋体"/>
                <w:kern w:val="0"/>
                <w:sz w:val="21"/>
                <w:szCs w:val="21"/>
                <w:lang w:val="en-US" w:eastAsia="zh-CN"/>
              </w:rPr>
              <w:t>2</w:t>
            </w:r>
            <w:r>
              <w:rPr>
                <w:rFonts w:hint="eastAsia" w:ascii="宋体" w:hAnsi="宋体" w:eastAsia="宋体" w:cs="宋体"/>
                <w:kern w:val="0"/>
                <w:sz w:val="21"/>
                <w:szCs w:val="21"/>
              </w:rPr>
              <w:t>分，满分</w:t>
            </w:r>
            <w:r>
              <w:rPr>
                <w:rFonts w:hint="eastAsia" w:ascii="宋体" w:hAnsi="宋体" w:eastAsia="宋体" w:cs="宋体"/>
                <w:kern w:val="0"/>
                <w:sz w:val="21"/>
                <w:szCs w:val="21"/>
                <w:lang w:val="en-US" w:eastAsia="zh-CN"/>
              </w:rPr>
              <w:t>8</w:t>
            </w:r>
            <w:r>
              <w:rPr>
                <w:rFonts w:hint="eastAsia" w:ascii="宋体" w:hAnsi="宋体" w:eastAsia="宋体" w:cs="宋体"/>
                <w:kern w:val="0"/>
                <w:sz w:val="21"/>
                <w:szCs w:val="21"/>
              </w:rPr>
              <w:t>分。</w:t>
            </w:r>
          </w:p>
          <w:p>
            <w:pPr>
              <w:widowControl/>
              <w:textAlignment w:val="center"/>
              <w:rPr>
                <w:rFonts w:ascii="宋体" w:hAnsi="宋体" w:cs="仿宋_GB2312"/>
                <w:kern w:val="0"/>
                <w:szCs w:val="21"/>
              </w:rPr>
            </w:pPr>
            <w:r>
              <w:rPr>
                <w:rFonts w:hint="eastAsia" w:ascii="宋体" w:hAnsi="宋体" w:eastAsia="宋体" w:cs="宋体"/>
                <w:kern w:val="0"/>
                <w:sz w:val="21"/>
                <w:szCs w:val="21"/>
              </w:rPr>
              <w:t>（提供证明材料复印件并加盖公章，无提供证明材料该项不得分）</w:t>
            </w:r>
          </w:p>
        </w:tc>
      </w:tr>
      <w:tr>
        <w:tblPrEx>
          <w:tblCellMar>
            <w:top w:w="15" w:type="dxa"/>
            <w:left w:w="15" w:type="dxa"/>
            <w:bottom w:w="15" w:type="dxa"/>
            <w:right w:w="15" w:type="dxa"/>
          </w:tblCellMar>
        </w:tblPrEx>
        <w:trPr>
          <w:trHeight w:val="144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仿宋_GB2312"/>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kern w:val="0"/>
                <w:sz w:val="21"/>
                <w:szCs w:val="21"/>
              </w:rPr>
              <w:t>同类项目业绩情况</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sz w:val="21"/>
                <w:szCs w:val="21"/>
                <w:lang w:eastAsia="zh-CN"/>
              </w:rPr>
            </w:pPr>
            <w:r>
              <w:rPr>
                <w:rFonts w:hint="eastAsia" w:ascii="宋体" w:hAnsi="宋体" w:cs="宋体"/>
                <w:kern w:val="0"/>
                <w:sz w:val="21"/>
                <w:szCs w:val="21"/>
                <w:lang w:val="en-US" w:eastAsia="zh-CN"/>
              </w:rPr>
              <w:t>1</w:t>
            </w:r>
            <w:r>
              <w:rPr>
                <w:rFonts w:hint="eastAsia" w:ascii="宋体" w:hAnsi="宋体" w:eastAsia="宋体" w:cs="宋体"/>
                <w:kern w:val="0"/>
                <w:sz w:val="21"/>
                <w:szCs w:val="21"/>
                <w:lang w:val="en-US" w:eastAsia="zh-CN"/>
              </w:rPr>
              <w:t>5</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default"/>
                <w:lang w:val="en-US" w:eastAsia="zh-CN"/>
              </w:rPr>
            </w:pPr>
            <w:r>
              <w:rPr>
                <w:rFonts w:hint="eastAsia" w:ascii="宋体" w:hAnsi="宋体" w:eastAsia="宋体" w:cs="宋体"/>
                <w:sz w:val="21"/>
                <w:szCs w:val="21"/>
              </w:rPr>
              <w:t>评标委员会根据</w:t>
            </w:r>
            <w:r>
              <w:rPr>
                <w:rFonts w:hint="eastAsia" w:ascii="宋体" w:hAnsi="宋体" w:eastAsia="宋体" w:cs="宋体"/>
                <w:sz w:val="21"/>
                <w:szCs w:val="21"/>
                <w:lang w:val="en-US" w:eastAsia="zh-CN"/>
              </w:rPr>
              <w:t>相关培训</w:t>
            </w:r>
            <w:r>
              <w:rPr>
                <w:rFonts w:hint="eastAsia" w:ascii="宋体" w:hAnsi="宋体" w:eastAsia="宋体" w:cs="宋体"/>
                <w:sz w:val="21"/>
                <w:szCs w:val="21"/>
              </w:rPr>
              <w:t>类业绩的份数对比所有投标文件，投标文件每提供一份业绩得</w:t>
            </w:r>
            <w:r>
              <w:rPr>
                <w:rFonts w:hint="eastAsia" w:ascii="宋体" w:hAnsi="宋体" w:cs="宋体"/>
                <w:sz w:val="21"/>
                <w:szCs w:val="21"/>
                <w:lang w:val="en-US" w:eastAsia="zh-CN"/>
              </w:rPr>
              <w:t>3</w:t>
            </w:r>
            <w:r>
              <w:rPr>
                <w:rFonts w:hint="eastAsia" w:ascii="宋体" w:hAnsi="宋体" w:eastAsia="宋体" w:cs="宋体"/>
                <w:sz w:val="21"/>
                <w:szCs w:val="21"/>
              </w:rPr>
              <w:t>分，满分</w:t>
            </w:r>
            <w:r>
              <w:rPr>
                <w:rFonts w:hint="eastAsia" w:ascii="宋体" w:hAnsi="宋体" w:cs="宋体"/>
                <w:sz w:val="21"/>
                <w:szCs w:val="21"/>
                <w:lang w:val="en-US" w:eastAsia="zh-CN"/>
              </w:rPr>
              <w:t>1</w:t>
            </w:r>
            <w:r>
              <w:rPr>
                <w:rFonts w:hint="eastAsia" w:ascii="宋体" w:hAnsi="宋体" w:eastAsia="宋体" w:cs="宋体"/>
                <w:sz w:val="21"/>
                <w:szCs w:val="21"/>
                <w:lang w:val="en-US" w:eastAsia="zh-CN"/>
              </w:rPr>
              <w:t>5</w:t>
            </w:r>
            <w:r>
              <w:rPr>
                <w:rFonts w:hint="eastAsia" w:ascii="宋体" w:hAnsi="宋体" w:eastAsia="宋体" w:cs="宋体"/>
                <w:sz w:val="21"/>
                <w:szCs w:val="21"/>
              </w:rPr>
              <w:t>分。依据《招投标法》或《政府采购法》的有关规定，按照公开透明原则，在招标投标活动的政府行政监督管理部门指定的发布媒体上发布了公告，然后代理机构向中标的投标人发出的告知其中标的书面通知文件，该书面通知文件称为中标通知书。（投标文件无提供同类业绩证明文件复印件不得分）</w:t>
            </w:r>
          </w:p>
        </w:tc>
      </w:tr>
      <w:tr>
        <w:tblPrEx>
          <w:tblCellMar>
            <w:top w:w="15" w:type="dxa"/>
            <w:left w:w="15" w:type="dxa"/>
            <w:bottom w:w="15" w:type="dxa"/>
            <w:right w:w="15" w:type="dxa"/>
          </w:tblCellMar>
        </w:tblPrEx>
        <w:trPr>
          <w:trHeight w:val="108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仿宋_GB2312"/>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rPr>
              <w:t>服务便利性</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ascii="宋体" w:hAnsi="宋体" w:cs="仿宋_GB2312"/>
                <w:szCs w:val="21"/>
              </w:rPr>
              <w:t>10</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仿宋_GB2312"/>
                <w:szCs w:val="21"/>
              </w:rPr>
            </w:pPr>
            <w:r>
              <w:rPr>
                <w:rFonts w:hint="eastAsia" w:ascii="宋体" w:hAnsi="宋体" w:cs="仿宋_GB2312"/>
                <w:kern w:val="0"/>
                <w:szCs w:val="21"/>
              </w:rPr>
              <w:t>根据各投标人的售后服务机构是否为采购人提供方便、快捷的服务进行评审打分，优：</w:t>
            </w:r>
            <w:r>
              <w:rPr>
                <w:rFonts w:ascii="宋体" w:hAnsi="宋体" w:cs="仿宋_GB2312"/>
                <w:kern w:val="0"/>
                <w:szCs w:val="21"/>
              </w:rPr>
              <w:t>10</w:t>
            </w:r>
            <w:r>
              <w:rPr>
                <w:rFonts w:hint="eastAsia" w:ascii="宋体" w:hAnsi="宋体" w:cs="仿宋_GB2312"/>
                <w:kern w:val="0"/>
                <w:szCs w:val="21"/>
              </w:rPr>
              <w:t>分；良：</w:t>
            </w:r>
            <w:r>
              <w:rPr>
                <w:rFonts w:hint="eastAsia" w:ascii="宋体" w:hAnsi="宋体" w:cs="仿宋_GB2312"/>
                <w:kern w:val="0"/>
                <w:szCs w:val="21"/>
                <w:lang w:val="en-US" w:eastAsia="zh-CN"/>
              </w:rPr>
              <w:t>6</w:t>
            </w:r>
            <w:r>
              <w:rPr>
                <w:rFonts w:hint="eastAsia" w:ascii="宋体" w:hAnsi="宋体" w:cs="仿宋_GB2312"/>
                <w:kern w:val="0"/>
                <w:szCs w:val="21"/>
              </w:rPr>
              <w:t>分；一般：</w:t>
            </w:r>
            <w:r>
              <w:rPr>
                <w:rFonts w:hint="eastAsia" w:ascii="宋体" w:hAnsi="宋体" w:cs="仿宋_GB2312"/>
                <w:kern w:val="0"/>
                <w:szCs w:val="21"/>
                <w:lang w:val="en-US" w:eastAsia="zh-CN"/>
              </w:rPr>
              <w:t>4</w:t>
            </w:r>
            <w:r>
              <w:rPr>
                <w:rFonts w:hint="eastAsia" w:ascii="宋体" w:hAnsi="宋体" w:cs="仿宋_GB2312"/>
                <w:kern w:val="0"/>
                <w:szCs w:val="21"/>
              </w:rPr>
              <w:t>分。</w:t>
            </w:r>
          </w:p>
        </w:tc>
      </w:tr>
      <w:tr>
        <w:tblPrEx>
          <w:tblCellMar>
            <w:top w:w="15" w:type="dxa"/>
            <w:left w:w="15" w:type="dxa"/>
            <w:bottom w:w="15" w:type="dxa"/>
            <w:right w:w="15" w:type="dxa"/>
          </w:tblCellMar>
        </w:tblPrEx>
        <w:trPr>
          <w:trHeight w:val="144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仿宋_GB2312"/>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kern w:val="0"/>
                <w:szCs w:val="21"/>
              </w:rPr>
            </w:pPr>
            <w:r>
              <w:rPr>
                <w:rFonts w:hint="eastAsia" w:ascii="宋体" w:hAnsi="宋体" w:cs="仿宋_GB2312"/>
                <w:szCs w:val="21"/>
              </w:rPr>
              <w:t>服务承诺函</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宋体" w:hAnsi="宋体" w:eastAsia="宋体" w:cs="仿宋_GB2312"/>
                <w:szCs w:val="21"/>
                <w:lang w:val="en-US" w:eastAsia="zh-CN"/>
              </w:rPr>
            </w:pPr>
            <w:r>
              <w:rPr>
                <w:rFonts w:hint="eastAsia" w:ascii="宋体" w:hAnsi="宋体" w:cs="仿宋_GB2312"/>
                <w:szCs w:val="21"/>
                <w:lang w:val="en-US" w:eastAsia="zh-CN"/>
              </w:rPr>
              <w:t>12</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仿宋_GB2312"/>
                <w:szCs w:val="21"/>
              </w:rPr>
            </w:pPr>
            <w:r>
              <w:rPr>
                <w:rFonts w:hint="eastAsia" w:ascii="宋体" w:hAnsi="宋体" w:cs="仿宋_GB2312"/>
                <w:szCs w:val="21"/>
              </w:rPr>
              <w:t>投标人需出具对接承诺函，承诺内容如下：</w:t>
            </w:r>
          </w:p>
          <w:p>
            <w:pPr>
              <w:widowControl/>
              <w:textAlignment w:val="center"/>
              <w:rPr>
                <w:rFonts w:ascii="宋体" w:hAnsi="宋体" w:cs="仿宋_GB2312"/>
                <w:szCs w:val="21"/>
              </w:rPr>
            </w:pPr>
            <w:r>
              <w:rPr>
                <w:rFonts w:hint="eastAsia" w:ascii="宋体" w:hAnsi="宋体" w:cs="仿宋_GB2312"/>
                <w:szCs w:val="21"/>
              </w:rPr>
              <w:t>投标人需承诺签订合同之后完成</w:t>
            </w:r>
            <w:r>
              <w:rPr>
                <w:rFonts w:hint="eastAsia" w:ascii="宋体" w:hAnsi="宋体" w:cs="仿宋_GB2312"/>
                <w:szCs w:val="21"/>
                <w:lang w:val="en-US" w:eastAsia="zh-CN"/>
              </w:rPr>
              <w:t>售后保障服务</w:t>
            </w:r>
            <w:r>
              <w:rPr>
                <w:rFonts w:hint="eastAsia" w:ascii="宋体" w:hAnsi="宋体" w:cs="仿宋_GB2312"/>
                <w:szCs w:val="21"/>
              </w:rPr>
              <w:t>。</w:t>
            </w:r>
          </w:p>
          <w:p>
            <w:pPr>
              <w:widowControl/>
              <w:textAlignment w:val="center"/>
              <w:rPr>
                <w:rFonts w:ascii="宋体" w:hAnsi="宋体" w:cs="仿宋_GB2312"/>
                <w:szCs w:val="21"/>
              </w:rPr>
            </w:pPr>
            <w:r>
              <w:rPr>
                <w:rFonts w:hint="eastAsia" w:ascii="宋体" w:hAnsi="宋体" w:cs="仿宋_GB2312"/>
                <w:szCs w:val="21"/>
              </w:rPr>
              <w:t>满足以上要求得</w:t>
            </w:r>
            <w:r>
              <w:rPr>
                <w:rFonts w:hint="eastAsia" w:ascii="宋体" w:hAnsi="宋体" w:cs="仿宋_GB2312"/>
                <w:szCs w:val="21"/>
                <w:lang w:val="en-US" w:eastAsia="zh-CN"/>
              </w:rPr>
              <w:t>12</w:t>
            </w:r>
            <w:bookmarkStart w:id="0" w:name="_GoBack"/>
            <w:bookmarkEnd w:id="0"/>
            <w:r>
              <w:rPr>
                <w:rFonts w:hint="eastAsia" w:ascii="宋体" w:hAnsi="宋体" w:cs="仿宋_GB2312"/>
                <w:szCs w:val="21"/>
              </w:rPr>
              <w:t>分，不满足不得分</w:t>
            </w:r>
            <w:r>
              <w:rPr>
                <w:rFonts w:ascii="宋体" w:hAnsi="宋体" w:cs="仿宋_GB2312"/>
                <w:szCs w:val="21"/>
              </w:rPr>
              <w:t>。</w:t>
            </w:r>
          </w:p>
        </w:tc>
      </w:tr>
      <w:tr>
        <w:tblPrEx>
          <w:tblCellMar>
            <w:top w:w="15" w:type="dxa"/>
            <w:left w:w="15" w:type="dxa"/>
            <w:bottom w:w="15" w:type="dxa"/>
            <w:right w:w="15" w:type="dxa"/>
          </w:tblCellMar>
        </w:tblPrEx>
        <w:trPr>
          <w:trHeight w:val="36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仿宋_GB2312"/>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rPr>
              <w:t>对招标文件的响应程度</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仿宋_GB2312"/>
                <w:szCs w:val="21"/>
                <w:lang w:eastAsia="zh-CN"/>
              </w:rPr>
            </w:pPr>
            <w:r>
              <w:rPr>
                <w:rFonts w:hint="eastAsia" w:ascii="宋体" w:hAnsi="宋体" w:cs="仿宋_GB2312"/>
                <w:szCs w:val="21"/>
                <w:lang w:val="en-US" w:eastAsia="zh-CN"/>
              </w:rPr>
              <w:t>5</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仿宋_GB2312"/>
                <w:szCs w:val="21"/>
              </w:rPr>
            </w:pPr>
            <w:r>
              <w:rPr>
                <w:rFonts w:hint="eastAsia" w:ascii="宋体" w:hAnsi="宋体" w:cs="仿宋_GB2312"/>
                <w:szCs w:val="21"/>
              </w:rPr>
              <w:t>根据各投标人响应招标文件商务、技术要求的情况进行综合评审，满足招标文件要求得</w:t>
            </w:r>
            <w:r>
              <w:rPr>
                <w:rFonts w:hint="eastAsia" w:ascii="宋体" w:hAnsi="宋体" w:cs="仿宋_GB2312"/>
                <w:szCs w:val="21"/>
                <w:lang w:val="en-US" w:eastAsia="zh-CN"/>
              </w:rPr>
              <w:t>5</w:t>
            </w:r>
            <w:r>
              <w:rPr>
                <w:rFonts w:hint="eastAsia" w:ascii="宋体" w:hAnsi="宋体" w:cs="仿宋_GB2312"/>
                <w:szCs w:val="21"/>
              </w:rPr>
              <w:t>分，基本符合招标文件要求得</w:t>
            </w:r>
            <w:r>
              <w:rPr>
                <w:rFonts w:hint="eastAsia" w:ascii="宋体" w:hAnsi="宋体" w:cs="仿宋_GB2312"/>
                <w:szCs w:val="21"/>
                <w:lang w:val="en-US" w:eastAsia="zh-CN"/>
              </w:rPr>
              <w:t>2</w:t>
            </w:r>
            <w:r>
              <w:rPr>
                <w:rFonts w:hint="eastAsia" w:ascii="宋体" w:hAnsi="宋体" w:cs="仿宋_GB2312"/>
                <w:szCs w:val="21"/>
              </w:rPr>
              <w:t>分，其他得0分。</w:t>
            </w:r>
          </w:p>
        </w:tc>
      </w:tr>
      <w:tr>
        <w:tblPrEx>
          <w:tblCellMar>
            <w:top w:w="15" w:type="dxa"/>
            <w:left w:w="15" w:type="dxa"/>
            <w:bottom w:w="15" w:type="dxa"/>
            <w:right w:w="15" w:type="dxa"/>
          </w:tblCellMar>
        </w:tblPrEx>
        <w:trPr>
          <w:trHeight w:val="285" w:hRule="atLeast"/>
        </w:trPr>
        <w:tc>
          <w:tcPr>
            <w:tcW w:w="22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rPr>
              <w:t>合计</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仿宋_GB2312"/>
                <w:szCs w:val="21"/>
              </w:rPr>
            </w:pPr>
            <w:r>
              <w:rPr>
                <w:rFonts w:hint="eastAsia" w:ascii="宋体" w:hAnsi="宋体" w:cs="仿宋_GB2312"/>
                <w:kern w:val="0"/>
                <w:szCs w:val="21"/>
              </w:rPr>
              <w:t>100</w:t>
            </w:r>
          </w:p>
        </w:tc>
        <w:tc>
          <w:tcPr>
            <w:tcW w:w="51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仿宋_GB2312"/>
                <w:sz w:val="28"/>
                <w:szCs w:val="28"/>
              </w:rPr>
            </w:pPr>
          </w:p>
        </w:tc>
      </w:tr>
    </w:tbl>
    <w:p>
      <w:pPr>
        <w:rPr>
          <w:rFonts w:ascii="宋体" w:hAnsi="宋体" w:cs="仿宋_GB231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7"/>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chineseCounting"/>
      <w:pStyle w:val="4"/>
      <w:suff w:val="nothing"/>
      <w:lvlText w:val="%1、"/>
      <w:lvlJc w:val="left"/>
      <w:pPr>
        <w:tabs>
          <w:tab w:val="left" w:pos="420"/>
        </w:tabs>
        <w:ind w:left="432" w:hanging="432"/>
      </w:pPr>
      <w:rPr>
        <w:rFonts w:hint="eastAsia" w:ascii="宋体" w:hAnsi="宋体" w:eastAsia="宋体" w:cs="宋体"/>
      </w:rPr>
    </w:lvl>
    <w:lvl w:ilvl="1" w:tentative="0">
      <w:start w:val="1"/>
      <w:numFmt w:val="decimal"/>
      <w:pStyle w:val="5"/>
      <w:isLgl/>
      <w:suff w:val="nothing"/>
      <w:lvlText w:val="%1.%2"/>
      <w:lvlJc w:val="left"/>
      <w:pPr>
        <w:ind w:left="576" w:hanging="576"/>
      </w:pPr>
      <w:rPr>
        <w:rFonts w:hint="eastAsia" w:ascii="宋体" w:hAnsi="宋体" w:eastAsia="宋体" w:cs="宋体"/>
      </w:rPr>
    </w:lvl>
    <w:lvl w:ilvl="2" w:tentative="0">
      <w:start w:val="1"/>
      <w:numFmt w:val="decimal"/>
      <w:pStyle w:val="6"/>
      <w:isLgl/>
      <w:suff w:val="nothing"/>
      <w:lvlText w:val="%1.%2.%3"/>
      <w:lvlJc w:val="left"/>
      <w:pPr>
        <w:ind w:left="720" w:hanging="720"/>
      </w:pPr>
      <w:rPr>
        <w:rFonts w:hint="eastAsia" w:ascii="宋体" w:hAnsi="宋体" w:eastAsia="宋体" w:cs="宋体"/>
      </w:rPr>
    </w:lvl>
    <w:lvl w:ilvl="3" w:tentative="0">
      <w:start w:val="1"/>
      <w:numFmt w:val="decimal"/>
      <w:pStyle w:val="7"/>
      <w:isLgl/>
      <w:lvlText w:val="%1.%2.%3.%4"/>
      <w:lvlJc w:val="left"/>
      <w:pPr>
        <w:tabs>
          <w:tab w:val="left" w:pos="420"/>
        </w:tabs>
        <w:ind w:left="864" w:hanging="864"/>
      </w:pPr>
      <w:rPr>
        <w:rFonts w:hint="eastAsia" w:ascii="宋体" w:hAnsi="宋体" w:eastAsia="宋体" w:cs="宋体"/>
      </w:rPr>
    </w:lvl>
    <w:lvl w:ilvl="4" w:tentative="0">
      <w:start w:val="1"/>
      <w:numFmt w:val="decimal"/>
      <w:pStyle w:val="8"/>
      <w:lvlText w:val="%1.%2.%3.%4.%5"/>
      <w:lvlJc w:val="left"/>
      <w:pPr>
        <w:ind w:left="1008" w:hanging="1008"/>
      </w:pPr>
      <w:rPr>
        <w:rFonts w:hint="eastAsia"/>
      </w:rPr>
    </w:lvl>
    <w:lvl w:ilvl="5" w:tentative="0">
      <w:start w:val="1"/>
      <w:numFmt w:val="decimal"/>
      <w:pStyle w:val="9"/>
      <w:lvlText w:val="%1.%2.%3.%4.%5.%6"/>
      <w:lvlJc w:val="left"/>
      <w:pPr>
        <w:ind w:left="1152" w:hanging="1152"/>
      </w:pPr>
      <w:rPr>
        <w:rFonts w:hint="eastAsia"/>
      </w:rPr>
    </w:lvl>
    <w:lvl w:ilvl="6" w:tentative="0">
      <w:start w:val="1"/>
      <w:numFmt w:val="decimal"/>
      <w:pStyle w:val="10"/>
      <w:lvlText w:val="%1.%2.%3.%4.%5.%6.%7"/>
      <w:lvlJc w:val="left"/>
      <w:pPr>
        <w:ind w:left="1296" w:hanging="1296"/>
      </w:pPr>
      <w:rPr>
        <w:rFonts w:hint="eastAsia"/>
      </w:rPr>
    </w:lvl>
    <w:lvl w:ilvl="7" w:tentative="0">
      <w:start w:val="1"/>
      <w:numFmt w:val="decimal"/>
      <w:pStyle w:val="11"/>
      <w:lvlText w:val="%1.%2.%3.%4.%5.%6.%7.%8"/>
      <w:lvlJc w:val="left"/>
      <w:pPr>
        <w:ind w:left="1440" w:hanging="1440"/>
      </w:pPr>
      <w:rPr>
        <w:rFonts w:hint="eastAsia"/>
      </w:rPr>
    </w:lvl>
    <w:lvl w:ilvl="8" w:tentative="0">
      <w:start w:val="1"/>
      <w:numFmt w:val="decimal"/>
      <w:pStyle w:val="12"/>
      <w:lvlText w:val="%1.%2.%3.%4.%5.%6.%7.%8.%9"/>
      <w:lvlJc w:val="left"/>
      <w:pPr>
        <w:ind w:left="1584" w:hanging="1584"/>
      </w:pPr>
      <w:rPr>
        <w:rFonts w:hint="eastAsia"/>
      </w:rPr>
    </w:lvl>
  </w:abstractNum>
  <w:abstractNum w:abstractNumId="1">
    <w:nsid w:val="00000003"/>
    <w:multiLevelType w:val="multilevel"/>
    <w:tmpl w:val="00000003"/>
    <w:lvl w:ilvl="0" w:tentative="0">
      <w:start w:val="1"/>
      <w:numFmt w:val="chineseCounting"/>
      <w:suff w:val="space"/>
      <w:lvlText w:val="%1、"/>
      <w:lvlJc w:val="left"/>
      <w:pPr>
        <w:tabs>
          <w:tab w:val="left" w:pos="0"/>
        </w:tabs>
        <w:ind w:left="0" w:firstLine="0"/>
      </w:pPr>
      <w:rPr>
        <w:rFonts w:hint="eastAsia" w:ascii="宋体" w:hAnsi="宋体" w:eastAsia="宋体" w:cs="宋体"/>
      </w:rPr>
    </w:lvl>
    <w:lvl w:ilvl="1" w:tentative="0">
      <w:start w:val="1"/>
      <w:numFmt w:val="decimal"/>
      <w:pStyle w:val="29"/>
      <w:isLgl/>
      <w:suff w:val="space"/>
      <w:lvlText w:val="%1.%2"/>
      <w:lvlJc w:val="left"/>
      <w:pPr>
        <w:ind w:left="0" w:firstLine="0"/>
      </w:pPr>
      <w:rPr>
        <w:rFonts w:hint="eastAsia" w:ascii="宋体" w:hAnsi="宋体" w:eastAsia="宋体" w:cs="宋体"/>
      </w:rPr>
    </w:lvl>
    <w:lvl w:ilvl="2" w:tentative="0">
      <w:start w:val="1"/>
      <w:numFmt w:val="decimal"/>
      <w:pStyle w:val="30"/>
      <w:isLgl/>
      <w:suff w:val="space"/>
      <w:lvlText w:val="%1.%2.%3"/>
      <w:lvlJc w:val="left"/>
      <w:pPr>
        <w:ind w:left="0" w:firstLine="0"/>
      </w:pPr>
      <w:rPr>
        <w:rFonts w:hint="eastAsia" w:ascii="宋体" w:hAnsi="宋体" w:eastAsia="宋体" w:cs="宋体"/>
      </w:rPr>
    </w:lvl>
    <w:lvl w:ilvl="3" w:tentative="0">
      <w:start w:val="1"/>
      <w:numFmt w:val="decimal"/>
      <w:isLgl/>
      <w:lvlText w:val="%1.%2.%3.%4"/>
      <w:lvlJc w:val="left"/>
      <w:pPr>
        <w:tabs>
          <w:tab w:val="left" w:pos="420"/>
        </w:tabs>
        <w:ind w:left="0" w:firstLine="0"/>
      </w:pPr>
      <w:rPr>
        <w:rFonts w:hint="eastAsia" w:ascii="宋体" w:hAnsi="宋体" w:eastAsia="宋体" w:cs="宋体"/>
      </w:rPr>
    </w:lvl>
    <w:lvl w:ilvl="4" w:tentative="0">
      <w:start w:val="1"/>
      <w:numFmt w:val="decimal"/>
      <w:isLgl/>
      <w:suff w:val="space"/>
      <w:lvlText w:val="%1.%2.%3.%4.%5"/>
      <w:lvlJc w:val="left"/>
      <w:pPr>
        <w:tabs>
          <w:tab w:val="left" w:pos="0"/>
        </w:tabs>
        <w:ind w:left="0" w:firstLine="0"/>
      </w:pPr>
      <w:rPr>
        <w:rFonts w:hint="eastAsia" w:ascii="宋体" w:hAnsi="宋体" w:eastAsia="宋体" w:cs="宋体"/>
      </w:rPr>
    </w:lvl>
    <w:lvl w:ilvl="5" w:tentative="0">
      <w:start w:val="1"/>
      <w:numFmt w:val="decimal"/>
      <w:isLgl/>
      <w:suff w:val="space"/>
      <w:lvlText w:val="%1.%2.%3.%4.%5.%6."/>
      <w:lvlJc w:val="left"/>
      <w:pPr>
        <w:ind w:left="0" w:firstLine="0"/>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119B7668"/>
    <w:multiLevelType w:val="singleLevel"/>
    <w:tmpl w:val="119B7668"/>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NhMTBjMzg3M2Q1Zjc4ODkwNDE1NGI2NGZhMTFjZTkifQ=="/>
  </w:docVars>
  <w:rsids>
    <w:rsidRoot w:val="00000000"/>
    <w:rsid w:val="0A087F03"/>
    <w:rsid w:val="0A7A1A91"/>
    <w:rsid w:val="14015561"/>
    <w:rsid w:val="15C4410F"/>
    <w:rsid w:val="16D45CE7"/>
    <w:rsid w:val="1A074734"/>
    <w:rsid w:val="1E2718EF"/>
    <w:rsid w:val="24F779AA"/>
    <w:rsid w:val="2A2D6C89"/>
    <w:rsid w:val="3B163718"/>
    <w:rsid w:val="3BA055CB"/>
    <w:rsid w:val="3BFC3CCB"/>
    <w:rsid w:val="3BFF17F6"/>
    <w:rsid w:val="3EBD055E"/>
    <w:rsid w:val="413F1751"/>
    <w:rsid w:val="4486312F"/>
    <w:rsid w:val="47A80469"/>
    <w:rsid w:val="4DC20A71"/>
    <w:rsid w:val="4F144165"/>
    <w:rsid w:val="4F381929"/>
    <w:rsid w:val="5C2A0B85"/>
    <w:rsid w:val="60091085"/>
    <w:rsid w:val="62312074"/>
    <w:rsid w:val="64162B69"/>
    <w:rsid w:val="6B9473F0"/>
    <w:rsid w:val="6CAB7066"/>
    <w:rsid w:val="6E6A0E38"/>
    <w:rsid w:val="6EB435C9"/>
    <w:rsid w:val="72E5669A"/>
    <w:rsid w:val="73763543"/>
    <w:rsid w:val="73B1598D"/>
    <w:rsid w:val="75C3243C"/>
    <w:rsid w:val="7B751BCB"/>
    <w:rsid w:val="7BD4364C"/>
    <w:rsid w:val="7C2368CF"/>
    <w:rsid w:val="7E8125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9"/>
    <w:pPr>
      <w:keepNext/>
      <w:keepLines/>
      <w:numPr>
        <w:ilvl w:val="0"/>
        <w:numId w:val="1"/>
      </w:numPr>
      <w:spacing w:before="340" w:after="330" w:line="578" w:lineRule="auto"/>
      <w:outlineLvl w:val="0"/>
    </w:pPr>
    <w:rPr>
      <w:b/>
      <w:bCs/>
      <w:kern w:val="44"/>
      <w:sz w:val="44"/>
      <w:szCs w:val="44"/>
    </w:rPr>
  </w:style>
  <w:style w:type="paragraph" w:styleId="5">
    <w:name w:val="heading 2"/>
    <w:basedOn w:val="1"/>
    <w:next w:val="1"/>
    <w:link w:val="27"/>
    <w:qFormat/>
    <w:uiPriority w:val="0"/>
    <w:pPr>
      <w:keepNext/>
      <w:keepLines/>
      <w:numPr>
        <w:ilvl w:val="1"/>
        <w:numId w:val="1"/>
      </w:numPr>
      <w:tabs>
        <w:tab w:val="left" w:pos="420"/>
      </w:tabs>
      <w:spacing w:before="120" w:after="120" w:line="360" w:lineRule="auto"/>
      <w:outlineLvl w:val="1"/>
    </w:pPr>
    <w:rPr>
      <w:rFonts w:ascii="Arial" w:hAnsi="Arial"/>
      <w:b/>
      <w:bCs/>
      <w:sz w:val="32"/>
      <w:szCs w:val="32"/>
    </w:rPr>
  </w:style>
  <w:style w:type="paragraph" w:styleId="6">
    <w:name w:val="heading 3"/>
    <w:basedOn w:val="1"/>
    <w:next w:val="1"/>
    <w:link w:val="32"/>
    <w:qFormat/>
    <w:uiPriority w:val="9"/>
    <w:pPr>
      <w:keepNext/>
      <w:keepLines/>
      <w:numPr>
        <w:ilvl w:val="2"/>
        <w:numId w:val="1"/>
      </w:numPr>
      <w:tabs>
        <w:tab w:val="left" w:pos="420"/>
      </w:tabs>
      <w:spacing w:before="260" w:after="260" w:line="416" w:lineRule="auto"/>
      <w:outlineLvl w:val="2"/>
    </w:pPr>
    <w:rPr>
      <w:b/>
      <w:bCs/>
      <w:sz w:val="32"/>
      <w:szCs w:val="32"/>
    </w:rPr>
  </w:style>
  <w:style w:type="paragraph" w:styleId="7">
    <w:name w:val="heading 4"/>
    <w:basedOn w:val="1"/>
    <w:next w:val="1"/>
    <w:link w:val="33"/>
    <w:qFormat/>
    <w:uiPriority w:val="9"/>
    <w:pPr>
      <w:keepNext/>
      <w:keepLines/>
      <w:numPr>
        <w:ilvl w:val="3"/>
        <w:numId w:val="1"/>
      </w:numPr>
      <w:spacing w:before="280" w:after="290" w:line="376" w:lineRule="auto"/>
      <w:outlineLvl w:val="3"/>
    </w:pPr>
    <w:rPr>
      <w:rFonts w:ascii="等线 Light" w:hAnsi="等线 Light" w:eastAsia="等线 Light" w:cs="宋体"/>
      <w:b/>
      <w:bCs/>
      <w:sz w:val="28"/>
      <w:szCs w:val="28"/>
    </w:rPr>
  </w:style>
  <w:style w:type="paragraph" w:styleId="8">
    <w:name w:val="heading 5"/>
    <w:basedOn w:val="1"/>
    <w:next w:val="1"/>
    <w:link w:val="34"/>
    <w:qFormat/>
    <w:uiPriority w:val="9"/>
    <w:pPr>
      <w:keepNext/>
      <w:keepLines/>
      <w:numPr>
        <w:ilvl w:val="4"/>
        <w:numId w:val="1"/>
      </w:numPr>
      <w:spacing w:before="280" w:after="290" w:line="376" w:lineRule="auto"/>
      <w:outlineLvl w:val="4"/>
    </w:pPr>
    <w:rPr>
      <w:b/>
      <w:bCs/>
      <w:sz w:val="28"/>
      <w:szCs w:val="28"/>
    </w:rPr>
  </w:style>
  <w:style w:type="paragraph" w:styleId="9">
    <w:name w:val="heading 6"/>
    <w:basedOn w:val="1"/>
    <w:next w:val="1"/>
    <w:link w:val="35"/>
    <w:qFormat/>
    <w:uiPriority w:val="9"/>
    <w:pPr>
      <w:keepNext/>
      <w:keepLines/>
      <w:numPr>
        <w:ilvl w:val="5"/>
        <w:numId w:val="1"/>
      </w:numPr>
      <w:spacing w:before="240" w:after="64" w:line="320" w:lineRule="auto"/>
      <w:outlineLvl w:val="5"/>
    </w:pPr>
    <w:rPr>
      <w:rFonts w:ascii="等线 Light" w:hAnsi="等线 Light" w:eastAsia="等线 Light" w:cs="宋体"/>
      <w:b/>
      <w:bCs/>
      <w:sz w:val="24"/>
    </w:rPr>
  </w:style>
  <w:style w:type="paragraph" w:styleId="10">
    <w:name w:val="heading 7"/>
    <w:basedOn w:val="1"/>
    <w:next w:val="1"/>
    <w:link w:val="36"/>
    <w:qFormat/>
    <w:uiPriority w:val="9"/>
    <w:pPr>
      <w:keepNext/>
      <w:keepLines/>
      <w:numPr>
        <w:ilvl w:val="6"/>
        <w:numId w:val="1"/>
      </w:numPr>
      <w:spacing w:before="240" w:after="64" w:line="320" w:lineRule="auto"/>
      <w:outlineLvl w:val="6"/>
    </w:pPr>
    <w:rPr>
      <w:b/>
      <w:bCs/>
      <w:sz w:val="24"/>
    </w:rPr>
  </w:style>
  <w:style w:type="paragraph" w:styleId="11">
    <w:name w:val="heading 8"/>
    <w:basedOn w:val="1"/>
    <w:next w:val="1"/>
    <w:link w:val="37"/>
    <w:qFormat/>
    <w:uiPriority w:val="9"/>
    <w:pPr>
      <w:keepNext/>
      <w:keepLines/>
      <w:numPr>
        <w:ilvl w:val="7"/>
        <w:numId w:val="1"/>
      </w:numPr>
      <w:spacing w:before="240" w:after="64" w:line="320" w:lineRule="auto"/>
      <w:outlineLvl w:val="7"/>
    </w:pPr>
    <w:rPr>
      <w:rFonts w:ascii="等线 Light" w:hAnsi="等线 Light" w:eastAsia="等线 Light" w:cs="宋体"/>
      <w:sz w:val="24"/>
    </w:rPr>
  </w:style>
  <w:style w:type="paragraph" w:styleId="12">
    <w:name w:val="heading 9"/>
    <w:basedOn w:val="1"/>
    <w:next w:val="1"/>
    <w:link w:val="38"/>
    <w:qFormat/>
    <w:uiPriority w:val="9"/>
    <w:pPr>
      <w:keepNext/>
      <w:keepLines/>
      <w:numPr>
        <w:ilvl w:val="8"/>
        <w:numId w:val="1"/>
      </w:numPr>
      <w:spacing w:before="240" w:after="64" w:line="320" w:lineRule="auto"/>
      <w:outlineLvl w:val="8"/>
    </w:pPr>
    <w:rPr>
      <w:rFonts w:ascii="等线 Light" w:hAnsi="等线 Light" w:eastAsia="等线 Light" w:cs="宋体"/>
      <w:szCs w:val="21"/>
    </w:rPr>
  </w:style>
  <w:style w:type="character" w:default="1" w:styleId="22">
    <w:name w:val="Default Paragraph Font"/>
    <w:qFormat/>
    <w:uiPriority w:val="1"/>
  </w:style>
  <w:style w:type="table" w:default="1" w:styleId="20">
    <w:name w:val="Normal Table"/>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ascii="Times New Roman" w:hAnsi="Times New Roman" w:cs="Times New Roman"/>
    </w:rPr>
  </w:style>
  <w:style w:type="paragraph" w:styleId="3">
    <w:name w:val="Body Text Indent"/>
    <w:basedOn w:val="1"/>
    <w:next w:val="1"/>
    <w:link w:val="44"/>
    <w:qFormat/>
    <w:uiPriority w:val="0"/>
    <w:pPr>
      <w:ind w:firstLine="830" w:firstLineChars="352"/>
    </w:pPr>
    <w:rPr>
      <w:rFonts w:ascii="仿宋_GB2312" w:eastAsia="仿宋_GB2312"/>
      <w:sz w:val="32"/>
      <w:szCs w:val="20"/>
    </w:rPr>
  </w:style>
  <w:style w:type="paragraph" w:styleId="13">
    <w:name w:val="annotation text"/>
    <w:basedOn w:val="1"/>
    <w:link w:val="39"/>
    <w:qFormat/>
    <w:uiPriority w:val="99"/>
    <w:pPr>
      <w:jc w:val="left"/>
    </w:pPr>
  </w:style>
  <w:style w:type="paragraph" w:styleId="14">
    <w:name w:val="Body Text"/>
    <w:basedOn w:val="1"/>
    <w:next w:val="3"/>
    <w:link w:val="43"/>
    <w:qFormat/>
    <w:uiPriority w:val="0"/>
    <w:pPr>
      <w:spacing w:after="120"/>
    </w:pPr>
  </w:style>
  <w:style w:type="paragraph" w:styleId="15">
    <w:name w:val="Plain Text"/>
    <w:basedOn w:val="1"/>
    <w:link w:val="28"/>
    <w:qFormat/>
    <w:uiPriority w:val="0"/>
    <w:rPr>
      <w:rFonts w:ascii="宋体" w:hAnsi="Courier New" w:cs="Courier New"/>
      <w:szCs w:val="21"/>
    </w:rPr>
  </w:style>
  <w:style w:type="paragraph" w:styleId="16">
    <w:name w:val="Balloon Text"/>
    <w:basedOn w:val="1"/>
    <w:link w:val="41"/>
    <w:qFormat/>
    <w:uiPriority w:val="99"/>
    <w:rPr>
      <w:sz w:val="18"/>
      <w:szCs w:val="18"/>
    </w:rPr>
  </w:style>
  <w:style w:type="paragraph" w:styleId="17">
    <w:name w:val="footer"/>
    <w:basedOn w:val="1"/>
    <w:link w:val="26"/>
    <w:qFormat/>
    <w:uiPriority w:val="99"/>
    <w:pPr>
      <w:tabs>
        <w:tab w:val="center" w:pos="4153"/>
        <w:tab w:val="right" w:pos="8306"/>
      </w:tabs>
      <w:snapToGrid w:val="0"/>
      <w:jc w:val="left"/>
    </w:pPr>
    <w:rPr>
      <w:rFonts w:ascii="等线" w:hAnsi="等线" w:cs="宋体"/>
      <w:sz w:val="18"/>
      <w:szCs w:val="18"/>
    </w:rPr>
  </w:style>
  <w:style w:type="paragraph" w:styleId="18">
    <w:name w:val="header"/>
    <w:basedOn w:val="1"/>
    <w:link w:val="25"/>
    <w:qFormat/>
    <w:uiPriority w:val="99"/>
    <w:pPr>
      <w:pBdr>
        <w:bottom w:val="single" w:color="auto" w:sz="6" w:space="1"/>
      </w:pBdr>
      <w:tabs>
        <w:tab w:val="center" w:pos="4153"/>
        <w:tab w:val="right" w:pos="8306"/>
      </w:tabs>
      <w:snapToGrid w:val="0"/>
      <w:jc w:val="center"/>
    </w:pPr>
    <w:rPr>
      <w:rFonts w:ascii="等线" w:hAnsi="等线" w:cs="宋体"/>
      <w:sz w:val="18"/>
      <w:szCs w:val="18"/>
    </w:rPr>
  </w:style>
  <w:style w:type="paragraph" w:styleId="19">
    <w:name w:val="annotation subject"/>
    <w:basedOn w:val="13"/>
    <w:next w:val="13"/>
    <w:link w:val="40"/>
    <w:qFormat/>
    <w:uiPriority w:val="99"/>
    <w:rPr>
      <w:b/>
      <w:bCs/>
    </w:rPr>
  </w:style>
  <w:style w:type="table" w:styleId="21">
    <w:name w:val="Table Grid"/>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annotation reference"/>
    <w:basedOn w:val="22"/>
    <w:qFormat/>
    <w:uiPriority w:val="99"/>
    <w:rPr>
      <w:sz w:val="21"/>
      <w:szCs w:val="21"/>
    </w:rPr>
  </w:style>
  <w:style w:type="paragraph" w:customStyle="1" w:styleId="24">
    <w:name w:val="z正文"/>
    <w:basedOn w:val="1"/>
    <w:qFormat/>
    <w:uiPriority w:val="0"/>
    <w:pPr>
      <w:spacing w:line="500" w:lineRule="exact"/>
      <w:ind w:firstLine="560" w:firstLineChars="200"/>
    </w:pPr>
    <w:rPr>
      <w:rFonts w:eastAsia="仿宋_GB2312" w:cs="宋体"/>
      <w:sz w:val="28"/>
    </w:rPr>
  </w:style>
  <w:style w:type="character" w:customStyle="1" w:styleId="25">
    <w:name w:val="页眉 字符"/>
    <w:basedOn w:val="22"/>
    <w:link w:val="18"/>
    <w:qFormat/>
    <w:uiPriority w:val="99"/>
    <w:rPr>
      <w:rFonts w:eastAsia="宋体"/>
      <w:sz w:val="18"/>
      <w:szCs w:val="18"/>
    </w:rPr>
  </w:style>
  <w:style w:type="character" w:customStyle="1" w:styleId="26">
    <w:name w:val="页脚 字符"/>
    <w:basedOn w:val="22"/>
    <w:link w:val="17"/>
    <w:qFormat/>
    <w:uiPriority w:val="99"/>
    <w:rPr>
      <w:rFonts w:eastAsia="宋体"/>
      <w:sz w:val="18"/>
      <w:szCs w:val="18"/>
    </w:rPr>
  </w:style>
  <w:style w:type="character" w:customStyle="1" w:styleId="27">
    <w:name w:val="标题 2 字符"/>
    <w:basedOn w:val="22"/>
    <w:link w:val="5"/>
    <w:qFormat/>
    <w:uiPriority w:val="0"/>
    <w:rPr>
      <w:rFonts w:ascii="Arial" w:hAnsi="Arial"/>
      <w:b/>
      <w:bCs/>
      <w:kern w:val="2"/>
      <w:sz w:val="32"/>
      <w:szCs w:val="32"/>
    </w:rPr>
  </w:style>
  <w:style w:type="character" w:customStyle="1" w:styleId="28">
    <w:name w:val="纯文本 字符"/>
    <w:basedOn w:val="22"/>
    <w:link w:val="15"/>
    <w:qFormat/>
    <w:uiPriority w:val="0"/>
    <w:rPr>
      <w:rFonts w:ascii="宋体" w:hAnsi="Courier New" w:eastAsia="宋体" w:cs="Courier New"/>
      <w:szCs w:val="21"/>
    </w:rPr>
  </w:style>
  <w:style w:type="paragraph" w:customStyle="1" w:styleId="29">
    <w:name w:val="标题二"/>
    <w:basedOn w:val="1"/>
    <w:qFormat/>
    <w:uiPriority w:val="0"/>
    <w:pPr>
      <w:numPr>
        <w:ilvl w:val="1"/>
        <w:numId w:val="2"/>
      </w:numPr>
      <w:tabs>
        <w:tab w:val="left" w:pos="0"/>
      </w:tabs>
      <w:outlineLvl w:val="1"/>
    </w:pPr>
    <w:rPr>
      <w:rFonts w:ascii="Calibri" w:hAnsi="Calibri"/>
      <w:b/>
      <w:sz w:val="28"/>
    </w:rPr>
  </w:style>
  <w:style w:type="paragraph" w:customStyle="1" w:styleId="30">
    <w:name w:val="标题三"/>
    <w:basedOn w:val="1"/>
    <w:qFormat/>
    <w:uiPriority w:val="0"/>
    <w:pPr>
      <w:numPr>
        <w:ilvl w:val="2"/>
        <w:numId w:val="2"/>
      </w:numPr>
      <w:tabs>
        <w:tab w:val="left" w:pos="0"/>
      </w:tabs>
      <w:outlineLvl w:val="2"/>
    </w:pPr>
    <w:rPr>
      <w:rFonts w:ascii="Calibri" w:hAnsi="Calibri"/>
      <w:b/>
      <w:sz w:val="28"/>
    </w:rPr>
  </w:style>
  <w:style w:type="character" w:customStyle="1" w:styleId="31">
    <w:name w:val="标题 1 字符"/>
    <w:basedOn w:val="22"/>
    <w:link w:val="4"/>
    <w:qFormat/>
    <w:uiPriority w:val="9"/>
    <w:rPr>
      <w:rFonts w:ascii="Times New Roman" w:hAnsi="Times New Roman" w:eastAsia="宋体" w:cs="Times New Roman"/>
      <w:b/>
      <w:bCs/>
      <w:kern w:val="44"/>
      <w:sz w:val="44"/>
      <w:szCs w:val="44"/>
    </w:rPr>
  </w:style>
  <w:style w:type="character" w:customStyle="1" w:styleId="32">
    <w:name w:val="标题 3 字符"/>
    <w:basedOn w:val="22"/>
    <w:link w:val="6"/>
    <w:qFormat/>
    <w:uiPriority w:val="9"/>
    <w:rPr>
      <w:rFonts w:ascii="Times New Roman" w:hAnsi="Times New Roman" w:eastAsia="宋体" w:cs="Times New Roman"/>
      <w:b/>
      <w:bCs/>
      <w:sz w:val="32"/>
      <w:szCs w:val="32"/>
    </w:rPr>
  </w:style>
  <w:style w:type="character" w:customStyle="1" w:styleId="33">
    <w:name w:val="标题 4 字符"/>
    <w:basedOn w:val="22"/>
    <w:link w:val="7"/>
    <w:qFormat/>
    <w:uiPriority w:val="9"/>
    <w:rPr>
      <w:rFonts w:ascii="等线 Light" w:hAnsi="等线 Light" w:eastAsia="等线 Light" w:cs="宋体"/>
      <w:b/>
      <w:bCs/>
      <w:sz w:val="28"/>
      <w:szCs w:val="28"/>
    </w:rPr>
  </w:style>
  <w:style w:type="character" w:customStyle="1" w:styleId="34">
    <w:name w:val="标题 5 字符"/>
    <w:basedOn w:val="22"/>
    <w:link w:val="8"/>
    <w:qFormat/>
    <w:uiPriority w:val="9"/>
    <w:rPr>
      <w:rFonts w:ascii="Times New Roman" w:hAnsi="Times New Roman" w:eastAsia="宋体" w:cs="Times New Roman"/>
      <w:b/>
      <w:bCs/>
      <w:sz w:val="28"/>
      <w:szCs w:val="28"/>
    </w:rPr>
  </w:style>
  <w:style w:type="character" w:customStyle="1" w:styleId="35">
    <w:name w:val="标题 6 字符"/>
    <w:basedOn w:val="22"/>
    <w:link w:val="9"/>
    <w:qFormat/>
    <w:uiPriority w:val="9"/>
    <w:rPr>
      <w:rFonts w:ascii="等线 Light" w:hAnsi="等线 Light" w:eastAsia="等线 Light" w:cs="宋体"/>
      <w:b/>
      <w:bCs/>
      <w:sz w:val="24"/>
      <w:szCs w:val="24"/>
    </w:rPr>
  </w:style>
  <w:style w:type="character" w:customStyle="1" w:styleId="36">
    <w:name w:val="标题 7 字符"/>
    <w:basedOn w:val="22"/>
    <w:link w:val="10"/>
    <w:qFormat/>
    <w:uiPriority w:val="9"/>
    <w:rPr>
      <w:rFonts w:ascii="Times New Roman" w:hAnsi="Times New Roman" w:eastAsia="宋体" w:cs="Times New Roman"/>
      <w:b/>
      <w:bCs/>
      <w:sz w:val="24"/>
      <w:szCs w:val="24"/>
    </w:rPr>
  </w:style>
  <w:style w:type="character" w:customStyle="1" w:styleId="37">
    <w:name w:val="标题 8 字符"/>
    <w:basedOn w:val="22"/>
    <w:link w:val="11"/>
    <w:qFormat/>
    <w:uiPriority w:val="9"/>
    <w:rPr>
      <w:rFonts w:ascii="等线 Light" w:hAnsi="等线 Light" w:eastAsia="等线 Light" w:cs="宋体"/>
      <w:sz w:val="24"/>
      <w:szCs w:val="24"/>
    </w:rPr>
  </w:style>
  <w:style w:type="character" w:customStyle="1" w:styleId="38">
    <w:name w:val="标题 9 字符"/>
    <w:basedOn w:val="22"/>
    <w:link w:val="12"/>
    <w:qFormat/>
    <w:uiPriority w:val="9"/>
    <w:rPr>
      <w:rFonts w:ascii="等线 Light" w:hAnsi="等线 Light" w:eastAsia="等线 Light" w:cs="宋体"/>
      <w:szCs w:val="21"/>
    </w:rPr>
  </w:style>
  <w:style w:type="character" w:customStyle="1" w:styleId="39">
    <w:name w:val="批注文字 字符"/>
    <w:basedOn w:val="22"/>
    <w:link w:val="13"/>
    <w:qFormat/>
    <w:uiPriority w:val="99"/>
    <w:rPr>
      <w:rFonts w:ascii="Times New Roman" w:hAnsi="Times New Roman" w:eastAsia="宋体" w:cs="Times New Roman"/>
      <w:szCs w:val="24"/>
    </w:rPr>
  </w:style>
  <w:style w:type="character" w:customStyle="1" w:styleId="40">
    <w:name w:val="批注主题 字符"/>
    <w:basedOn w:val="39"/>
    <w:link w:val="19"/>
    <w:qFormat/>
    <w:uiPriority w:val="99"/>
    <w:rPr>
      <w:rFonts w:ascii="Times New Roman" w:hAnsi="Times New Roman" w:eastAsia="宋体" w:cs="Times New Roman"/>
      <w:b/>
      <w:bCs/>
      <w:szCs w:val="24"/>
    </w:rPr>
  </w:style>
  <w:style w:type="character" w:customStyle="1" w:styleId="41">
    <w:name w:val="批注框文本 字符"/>
    <w:basedOn w:val="22"/>
    <w:link w:val="16"/>
    <w:qFormat/>
    <w:uiPriority w:val="99"/>
    <w:rPr>
      <w:rFonts w:ascii="Times New Roman" w:hAnsi="Times New Roman" w:eastAsia="宋体" w:cs="Times New Roman"/>
      <w:sz w:val="18"/>
      <w:szCs w:val="18"/>
    </w:rPr>
  </w:style>
  <w:style w:type="character" w:customStyle="1" w:styleId="42">
    <w:name w:val="font01"/>
    <w:basedOn w:val="22"/>
    <w:qFormat/>
    <w:uiPriority w:val="0"/>
    <w:rPr>
      <w:rFonts w:hint="eastAsia" w:ascii="宋体" w:hAnsi="宋体" w:eastAsia="宋体" w:cs="宋体"/>
      <w:b/>
      <w:bCs/>
      <w:color w:val="000000"/>
      <w:sz w:val="21"/>
      <w:szCs w:val="21"/>
      <w:u w:val="none"/>
    </w:rPr>
  </w:style>
  <w:style w:type="character" w:customStyle="1" w:styleId="43">
    <w:name w:val="正文文本 字符"/>
    <w:link w:val="14"/>
    <w:qFormat/>
    <w:uiPriority w:val="0"/>
    <w:rPr>
      <w:kern w:val="2"/>
      <w:sz w:val="21"/>
      <w:szCs w:val="24"/>
    </w:rPr>
  </w:style>
  <w:style w:type="character" w:customStyle="1" w:styleId="44">
    <w:name w:val="正文文本缩进 字符"/>
    <w:basedOn w:val="22"/>
    <w:link w:val="3"/>
    <w:qFormat/>
    <w:uiPriority w:val="0"/>
    <w:rPr>
      <w:rFonts w:ascii="仿宋_GB2312" w:eastAsia="仿宋_GB2312"/>
      <w:kern w:val="2"/>
      <w:sz w:val="32"/>
    </w:rPr>
  </w:style>
  <w:style w:type="character" w:customStyle="1" w:styleId="45">
    <w:name w:val="正文文本 字符1"/>
    <w:basedOn w:val="22"/>
    <w:qFormat/>
    <w:uiPriority w:val="99"/>
    <w:rPr>
      <w:kern w:val="2"/>
      <w:sz w:val="21"/>
      <w:szCs w:val="24"/>
    </w:rPr>
  </w:style>
  <w:style w:type="paragraph" w:customStyle="1" w:styleId="46">
    <w:name w:val="Normal Indent1"/>
    <w:basedOn w:val="1"/>
    <w:qFormat/>
    <w:uiPriority w:val="0"/>
    <w:pPr>
      <w:widowControl/>
      <w:ind w:firstLine="420"/>
      <w:jc w:val="left"/>
    </w:pPr>
    <w:rPr>
      <w:kern w:val="0"/>
      <w:szCs w:val="20"/>
    </w:rPr>
  </w:style>
  <w:style w:type="paragraph" w:styleId="47">
    <w:name w:val="List Paragraph"/>
    <w:basedOn w:val="1"/>
    <w:qFormat/>
    <w:uiPriority w:val="99"/>
    <w:pPr>
      <w:ind w:firstLine="420" w:firstLineChars="200"/>
    </w:pPr>
  </w:style>
  <w:style w:type="paragraph" w:customStyle="1" w:styleId="48">
    <w:name w:val="Revisio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8842</Words>
  <Characters>9175</Characters>
  <Paragraphs>430</Paragraphs>
  <TotalTime>20</TotalTime>
  <ScaleCrop>false</ScaleCrop>
  <LinksUpToDate>false</LinksUpToDate>
  <CharactersWithSpaces>9180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2023-05-20T10:48:00Z</dcterms:created>
  <dc:creator>黄 朝晖</dc:creator>
  <cp:lastModifiedBy>许文倩</cp:lastModifiedBy>
  <cp:lastPrinted>2023-10-25T06:34:00Z</cp:lastPrinted>
  <dcterms:modified xsi:type="dcterms:W3CDTF">2023-10-27T07:54:50Z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467AEA86D24143D3B22FB3C0175C92D3</vt:lpwstr>
  </property>
</Properties>
</file>