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sz w:val="24"/>
          <w:szCs w:val="24"/>
          <w:lang w:val="en-US" w:eastAsia="zh-CN"/>
        </w:rPr>
      </w:pPr>
      <w:r>
        <w:rPr>
          <w:rFonts w:hint="default" w:ascii="Times New Roman" w:hAnsi="Times New Roman" w:eastAsia="宋体" w:cs="Times New Roman"/>
          <w:sz w:val="24"/>
          <w:szCs w:val="24"/>
          <w:lang w:val="en-US"/>
        </w:rPr>
        <w:t>附件</w:t>
      </w:r>
      <w:r>
        <w:rPr>
          <w:rFonts w:hint="default" w:ascii="Times New Roman" w:hAnsi="Times New Roman" w:cs="Times New Roman"/>
          <w:sz w:val="24"/>
          <w:szCs w:val="24"/>
          <w:lang w:val="en-US" w:eastAsia="zh-CN"/>
        </w:rPr>
        <w:t>4</w:t>
      </w:r>
    </w:p>
    <w:p>
      <w:pPr>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 xml:space="preserve">                                                       </w:t>
      </w:r>
    </w:p>
    <w:p>
      <w:pPr>
        <w:jc w:val="center"/>
        <w:rPr>
          <w:rFonts w:hint="eastAsia" w:eastAsia="方正大标宋简体"/>
          <w:color w:val="FF0000"/>
          <w:spacing w:val="-20"/>
          <w:w w:val="80"/>
          <w:sz w:val="90"/>
          <w:szCs w:val="90"/>
        </w:rPr>
      </w:pPr>
      <w:r>
        <w:rPr>
          <w:rFonts w:hint="eastAsia" w:eastAsia="方正大标宋简体"/>
          <w:color w:val="FF0000"/>
          <w:spacing w:val="-20"/>
          <w:w w:val="80"/>
          <w:sz w:val="90"/>
          <w:szCs w:val="90"/>
        </w:rPr>
        <w:t>博罗县</w:t>
      </w:r>
      <w:r>
        <w:rPr>
          <w:rFonts w:hint="eastAsia" w:eastAsia="方正大标宋简体"/>
          <w:color w:val="FF0000"/>
          <w:spacing w:val="-20"/>
          <w:w w:val="80"/>
          <w:sz w:val="90"/>
          <w:szCs w:val="90"/>
          <w:lang w:eastAsia="zh-CN"/>
        </w:rPr>
        <w:t>市场监督</w:t>
      </w:r>
      <w:r>
        <w:rPr>
          <w:rFonts w:hint="eastAsia" w:eastAsia="方正大标宋简体"/>
          <w:color w:val="FF0000"/>
          <w:spacing w:val="-20"/>
          <w:w w:val="80"/>
          <w:sz w:val="90"/>
          <w:szCs w:val="90"/>
        </w:rPr>
        <w:t>管理局文件</w:t>
      </w:r>
    </w:p>
    <w:p>
      <w:pPr>
        <w:jc w:val="center"/>
        <w:rPr>
          <w:rFonts w:hint="eastAsia" w:ascii="黑体" w:eastAsia="黑体"/>
          <w:sz w:val="38"/>
          <w:szCs w:val="38"/>
        </w:rPr>
      </w:pPr>
    </w:p>
    <w:p>
      <w:pPr>
        <w:jc w:val="center"/>
        <w:rPr>
          <w:rFonts w:hint="eastAsia" w:ascii="仿宋_GB2312" w:eastAsia="仿宋_GB2312"/>
          <w:sz w:val="32"/>
          <w:szCs w:val="32"/>
        </w:rPr>
      </w:pPr>
      <w:r>
        <w:rPr>
          <w:rFonts w:ascii="仿宋_GB2312"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-32385</wp:posOffset>
                </wp:positionH>
                <wp:positionV relativeFrom="paragraph">
                  <wp:posOffset>353060</wp:posOffset>
                </wp:positionV>
                <wp:extent cx="5615940" cy="0"/>
                <wp:effectExtent l="0" t="9525" r="3810" b="9525"/>
                <wp:wrapNone/>
                <wp:docPr id="1" name="直接连接符 1"/>
                <wp:cNvGraphicFramePr/>
                <a:graphic xmlns:a="http://schemas.openxmlformats.org/drawingml/2006/main">
                  <a:graphicData uri="http://schemas.microsoft.com/office/word/2010/wordprocessingShape">
                    <wps:wsp>
                      <wps:cNvCnPr/>
                      <wps:spPr>
                        <a:xfrm>
                          <a:off x="0" y="0"/>
                          <a:ext cx="561594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55pt;margin-top:27.8pt;height:0pt;width:442.2pt;z-index:251659264;mso-width-relative:page;mso-height-relative:page;" filled="f" stroked="t" coordsize="21600,21600" o:gfxdata="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dcyK2AAAAAgBAAAPAAAA&#10;AAAAAAEAIAAAACIAAABkcnMvZG93bnJldi54bWxQSwECFAAUAAAACACHTuJAxB1WttwBAACXAwAA&#10;DgAAAAAAAAABACAAAAAnAQAAZHJzL2Uyb0RvYy54bWxQSwUGAAAAAAYABgBZAQAAdQUAAAAA&#10;">
                <v:fill on="f" focussize="0,0"/>
                <v:stroke weight="1.5pt" color="#FF0000" joinstyle="round"/>
                <v:imagedata o:title=""/>
                <o:lock v:ext="edit" aspectratio="f"/>
              </v:line>
            </w:pict>
          </mc:Fallback>
        </mc:AlternateContent>
      </w:r>
      <w:bookmarkStart w:id="0" w:name="NO"/>
      <w:bookmarkEnd w:id="0"/>
      <w:r>
        <w:rPr>
          <w:rFonts w:hint="eastAsia" w:ascii="仿宋_GB2312" w:eastAsia="仿宋_GB2312"/>
          <w:sz w:val="32"/>
          <w:szCs w:val="32"/>
          <w:lang w:eastAsia="zh-CN"/>
        </w:rPr>
        <w:t>博市监〔202</w:t>
      </w:r>
      <w:r>
        <w:rPr>
          <w:rFonts w:hint="eastAsia" w:ascii="仿宋_GB2312" w:eastAsia="仿宋_GB2312"/>
          <w:sz w:val="32"/>
          <w:szCs w:val="32"/>
          <w:lang w:val="en-US" w:eastAsia="zh-CN"/>
        </w:rPr>
        <w:t>2</w:t>
      </w:r>
      <w:r>
        <w:rPr>
          <w:rFonts w:hint="eastAsia" w:ascii="仿宋_GB2312" w:eastAsia="仿宋_GB2312"/>
          <w:sz w:val="32"/>
          <w:szCs w:val="32"/>
          <w:lang w:eastAsia="zh-CN"/>
        </w:rPr>
        <w:t>〕</w:t>
      </w:r>
      <w:r>
        <w:rPr>
          <w:rFonts w:hint="eastAsia" w:ascii="仿宋_GB2312" w:eastAsia="仿宋_GB2312"/>
          <w:sz w:val="32"/>
          <w:szCs w:val="32"/>
          <w:lang w:val="en-US" w:eastAsia="zh-CN"/>
        </w:rPr>
        <w:t>55</w:t>
      </w:r>
      <w:r>
        <w:rPr>
          <w:rFonts w:hint="eastAsia" w:ascii="仿宋_GB2312" w:eastAsia="仿宋_GB2312"/>
          <w:sz w:val="32"/>
          <w:szCs w:val="32"/>
          <w:lang w:eastAsia="zh-CN"/>
        </w:rPr>
        <w:t>号</w:t>
      </w:r>
    </w:p>
    <w:p>
      <w:pPr>
        <w:jc w:val="center"/>
        <w:rPr>
          <w:rFonts w:hint="eastAsia" w:ascii="宋体" w:hAnsi="宋体" w:cs="宋体"/>
          <w:bCs/>
          <w:color w:val="000000"/>
          <w:sz w:val="44"/>
          <w:szCs w:val="44"/>
        </w:rPr>
      </w:pPr>
      <w:bookmarkStart w:id="1" w:name="Title"/>
      <w:bookmarkEnd w:id="1"/>
    </w:p>
    <w:p>
      <w:pPr>
        <w:spacing w:line="640" w:lineRule="exact"/>
        <w:jc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博罗县市场监督管理局关于开展202</w:t>
      </w:r>
      <w:r>
        <w:rPr>
          <w:rFonts w:hint="eastAsia" w:ascii="方正小标宋简体" w:hAnsi="方正小标宋简体" w:eastAsia="方正小标宋简体" w:cs="方正小标宋简体"/>
          <w:bCs/>
          <w:color w:val="000000"/>
          <w:sz w:val="44"/>
          <w:szCs w:val="44"/>
          <w:lang w:val="en-US" w:eastAsia="zh-CN"/>
        </w:rPr>
        <w:t>2</w:t>
      </w:r>
      <w:r>
        <w:rPr>
          <w:rFonts w:hint="eastAsia" w:ascii="方正小标宋简体" w:hAnsi="方正小标宋简体" w:eastAsia="方正小标宋简体" w:cs="方正小标宋简体"/>
          <w:bCs/>
          <w:color w:val="000000"/>
          <w:sz w:val="44"/>
          <w:szCs w:val="44"/>
        </w:rPr>
        <w:t>年</w:t>
      </w:r>
    </w:p>
    <w:p>
      <w:pPr>
        <w:spacing w:line="640" w:lineRule="exact"/>
        <w:jc w:val="center"/>
        <w:rPr>
          <w:rFonts w:hint="eastAsia" w:ascii="方正小标宋简体" w:hAnsi="方正小标宋简体" w:eastAsia="方正小标宋简体" w:cs="方正小标宋简体"/>
          <w:bCs/>
          <w:color w:val="000000"/>
          <w:sz w:val="44"/>
          <w:szCs w:val="44"/>
        </w:rPr>
      </w:pPr>
      <w:r>
        <w:rPr>
          <w:rFonts w:hint="eastAsia" w:ascii="方正小标宋简体" w:hAnsi="方正小标宋简体" w:eastAsia="方正小标宋简体" w:cs="方正小标宋简体"/>
          <w:bCs/>
          <w:color w:val="000000"/>
          <w:sz w:val="44"/>
          <w:szCs w:val="44"/>
        </w:rPr>
        <w:t>在用电梯监督抽查检验工作的通知</w:t>
      </w:r>
    </w:p>
    <w:p>
      <w:pPr>
        <w:spacing w:line="640" w:lineRule="exact"/>
        <w:jc w:val="center"/>
        <w:rPr>
          <w:rFonts w:hint="eastAsia" w:ascii="方正小标宋简体" w:hAnsi="方正小标宋简体" w:eastAsia="方正小标宋简体" w:cs="方正小标宋简体"/>
          <w:b/>
          <w:color w:val="000000"/>
          <w:sz w:val="44"/>
          <w:szCs w:val="44"/>
        </w:rPr>
      </w:pP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为有效掌握我县在用电梯使用安全动态，提升在用电梯的安全运行水平，加强系统性风险的分析及防控工作，切实保障群众安全利益，博罗县市场监督管理局</w:t>
      </w:r>
      <w:r>
        <w:rPr>
          <w:rFonts w:hint="eastAsia" w:ascii="仿宋_GB2312" w:hAnsi="仿宋_GB2312" w:eastAsia="仿宋_GB2312" w:cs="仿宋_GB2312"/>
          <w:color w:val="000000"/>
          <w:sz w:val="32"/>
          <w:szCs w:val="32"/>
          <w:lang w:eastAsia="zh-CN"/>
        </w:rPr>
        <w:t>拟</w:t>
      </w:r>
      <w:r>
        <w:rPr>
          <w:rFonts w:hint="eastAsia" w:ascii="仿宋_GB2312" w:hAnsi="仿宋_GB2312" w:eastAsia="仿宋_GB2312" w:cs="仿宋_GB2312"/>
          <w:color w:val="000000"/>
          <w:sz w:val="32"/>
          <w:szCs w:val="32"/>
        </w:rPr>
        <w:t>开展202</w:t>
      </w:r>
      <w:r>
        <w:rPr>
          <w:rFonts w:hint="eastAsia" w:ascii="仿宋_GB2312" w:hAnsi="仿宋_GB2312" w:eastAsia="仿宋_GB2312" w:cs="仿宋_GB2312"/>
          <w:color w:val="000000"/>
          <w:sz w:val="32"/>
          <w:szCs w:val="32"/>
          <w:lang w:val="en-US" w:eastAsia="zh-CN"/>
        </w:rPr>
        <w:t>2</w:t>
      </w:r>
      <w:r>
        <w:rPr>
          <w:rFonts w:hint="eastAsia" w:ascii="仿宋_GB2312" w:hAnsi="仿宋_GB2312" w:eastAsia="仿宋_GB2312" w:cs="仿宋_GB2312"/>
          <w:color w:val="000000"/>
          <w:sz w:val="32"/>
          <w:szCs w:val="32"/>
        </w:rPr>
        <w:t>年在用电梯安全监督抽查检验工作。有关事项</w:t>
      </w:r>
      <w:r>
        <w:rPr>
          <w:rFonts w:hint="eastAsia" w:ascii="仿宋_GB2312" w:hAnsi="仿宋_GB2312" w:eastAsia="仿宋_GB2312" w:cs="仿宋_GB2312"/>
          <w:color w:val="000000"/>
          <w:sz w:val="32"/>
          <w:szCs w:val="32"/>
          <w:lang w:eastAsia="zh-CN"/>
        </w:rPr>
        <w:t>安排</w:t>
      </w:r>
      <w:r>
        <w:rPr>
          <w:rFonts w:hint="eastAsia" w:ascii="仿宋_GB2312" w:hAnsi="仿宋_GB2312" w:eastAsia="仿宋_GB2312" w:cs="仿宋_GB2312"/>
          <w:color w:val="000000"/>
          <w:sz w:val="32"/>
          <w:szCs w:val="32"/>
        </w:rPr>
        <w:t>如下：</w:t>
      </w:r>
    </w:p>
    <w:p>
      <w:pPr>
        <w:spacing w:line="56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一、抽查重点</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（一）车站、医院、商场、酒店、体育场馆、文艺演出场馆、展览馆、旅游景点、学校、幼儿园、大型住宅小区、写字楼等人员密集或公众场所使用的电梯；</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（二）使用年限10年以上的电梯，使用场所不限；</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（三）其它需要实施重点监督检查的电梯，如近一年内群众投诉率高的电梯。</w:t>
      </w:r>
    </w:p>
    <w:p>
      <w:pPr>
        <w:spacing w:line="56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二、抽查时间和样本、数量</w:t>
      </w:r>
    </w:p>
    <w:p>
      <w:pPr>
        <w:spacing w:line="560" w:lineRule="exact"/>
        <w:ind w:firstLine="643" w:firstLineChars="200"/>
        <w:jc w:val="left"/>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（一）抽查时间安排</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即日起至</w:t>
      </w:r>
      <w:r>
        <w:rPr>
          <w:rFonts w:hint="eastAsia" w:ascii="仿宋_GB2312" w:hAnsi="仿宋_GB2312" w:eastAsia="仿宋_GB2312" w:cs="仿宋_GB2312"/>
          <w:color w:val="auto"/>
          <w:sz w:val="32"/>
          <w:szCs w:val="32"/>
          <w:highlight w:val="none"/>
        </w:rPr>
        <w:t>12</w:t>
      </w:r>
      <w:r>
        <w:rPr>
          <w:rFonts w:hint="eastAsia" w:ascii="仿宋_GB2312" w:hAnsi="仿宋_GB2312" w:eastAsia="仿宋_GB2312" w:cs="仿宋_GB2312"/>
          <w:color w:val="000000"/>
          <w:sz w:val="32"/>
          <w:szCs w:val="32"/>
          <w:highlight w:val="none"/>
        </w:rPr>
        <w:t>月</w:t>
      </w:r>
      <w:r>
        <w:rPr>
          <w:rFonts w:hint="eastAsia" w:ascii="仿宋_GB2312" w:hAnsi="仿宋_GB2312" w:eastAsia="仿宋_GB2312" w:cs="仿宋_GB2312"/>
          <w:color w:val="000000"/>
          <w:sz w:val="32"/>
          <w:szCs w:val="32"/>
          <w:highlight w:val="none"/>
          <w:lang w:eastAsia="zh-CN"/>
        </w:rPr>
        <w:t>底</w:t>
      </w:r>
      <w:r>
        <w:rPr>
          <w:rFonts w:hint="eastAsia" w:ascii="仿宋_GB2312" w:hAnsi="仿宋_GB2312" w:eastAsia="仿宋_GB2312" w:cs="仿宋_GB2312"/>
          <w:color w:val="000000"/>
          <w:sz w:val="32"/>
          <w:szCs w:val="32"/>
        </w:rPr>
        <w:t>，由承检单位完成博罗县</w:t>
      </w:r>
      <w:r>
        <w:rPr>
          <w:rFonts w:hint="eastAsia" w:ascii="仿宋_GB2312" w:hAnsi="仿宋_GB2312" w:eastAsia="仿宋_GB2312" w:cs="仿宋_GB2312"/>
          <w:color w:val="auto"/>
          <w:sz w:val="32"/>
          <w:szCs w:val="32"/>
          <w:highlight w:val="none"/>
          <w:lang w:val="en-US" w:eastAsia="zh-CN"/>
        </w:rPr>
        <w:t>610</w:t>
      </w:r>
      <w:r>
        <w:rPr>
          <w:rFonts w:hint="eastAsia" w:ascii="仿宋_GB2312" w:hAnsi="仿宋_GB2312" w:eastAsia="仿宋_GB2312" w:cs="仿宋_GB2312"/>
          <w:color w:val="000000"/>
          <w:sz w:val="32"/>
          <w:szCs w:val="32"/>
        </w:rPr>
        <w:t>台电梯安全监督抽查检验，并在抽查结束后5个工作日内将抽查情况总结和质量分析报告报送博罗县市场监督管理局。</w:t>
      </w:r>
    </w:p>
    <w:p>
      <w:pPr>
        <w:numPr>
          <w:ilvl w:val="0"/>
          <w:numId w:val="1"/>
        </w:numPr>
        <w:spacing w:line="560" w:lineRule="exact"/>
        <w:ind w:firstLine="643" w:firstLineChars="200"/>
        <w:jc w:val="left"/>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 xml:space="preserve">抽查样本及数量  </w:t>
      </w:r>
    </w:p>
    <w:p>
      <w:pPr>
        <w:spacing w:line="560" w:lineRule="exact"/>
        <w:jc w:val="left"/>
        <w:rPr>
          <w:rFonts w:hint="default"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 xml:space="preserve">    曳引驱动乘客电梯与曳引驱动载货电梯</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自动扶梯与自动人行道</w:t>
      </w:r>
      <w:r>
        <w:rPr>
          <w:rFonts w:hint="eastAsia" w:ascii="仿宋_GB2312" w:hAnsi="仿宋_GB2312" w:eastAsia="仿宋_GB2312" w:cs="仿宋_GB2312"/>
          <w:color w:val="000000"/>
          <w:sz w:val="32"/>
          <w:szCs w:val="32"/>
          <w:lang w:eastAsia="zh-CN"/>
        </w:rPr>
        <w:t>共</w:t>
      </w:r>
      <w:r>
        <w:rPr>
          <w:rFonts w:hint="eastAsia" w:ascii="仿宋_GB2312" w:hAnsi="仿宋_GB2312" w:eastAsia="仿宋_GB2312" w:cs="仿宋_GB2312"/>
          <w:color w:val="auto"/>
          <w:sz w:val="32"/>
          <w:szCs w:val="32"/>
          <w:highlight w:val="none"/>
          <w:lang w:val="en-US" w:eastAsia="zh-CN"/>
        </w:rPr>
        <w:t>610</w:t>
      </w:r>
      <w:r>
        <w:rPr>
          <w:rFonts w:hint="eastAsia" w:ascii="仿宋_GB2312" w:hAnsi="仿宋_GB2312" w:eastAsia="仿宋_GB2312" w:cs="仿宋_GB2312"/>
          <w:color w:val="000000"/>
          <w:sz w:val="32"/>
          <w:szCs w:val="32"/>
          <w:lang w:val="en-US" w:eastAsia="zh-CN"/>
        </w:rPr>
        <w:t>台。</w:t>
      </w:r>
    </w:p>
    <w:p>
      <w:pPr>
        <w:spacing w:line="56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三、抽查依据及项目</w:t>
      </w:r>
    </w:p>
    <w:p>
      <w:pPr>
        <w:spacing w:line="560" w:lineRule="exact"/>
        <w:ind w:firstLine="643" w:firstLineChars="200"/>
        <w:jc w:val="left"/>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（一）抽查依据</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《中华人民共和国特种设备安全法》</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《广东省特种设备安全条例》</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《广东省电梯使用安全条例》</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《电梯制造与安装安全规范》（GB 7588-2003）</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《自动扶梯和自动人行道的制造与安装安全规范》（GB 16899-2011）</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《电梯监督检验和定期检验规则-曳引与强制驱动电梯》（TSG T7001-2009）</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《电梯监督检验和定期检验规则-自动扶梯和自动人行道》（TSG T7001-2009）</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《电梯维护保养规则》TSG T5002-2017</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《特种设备使用管理规则》（TSG 08-2017）</w:t>
      </w:r>
    </w:p>
    <w:p>
      <w:pPr>
        <w:ind w:firstLine="643" w:firstLineChars="200"/>
        <w:jc w:val="left"/>
        <w:rPr>
          <w:rFonts w:hint="eastAsia" w:ascii="楷体_GB2312" w:hAnsi="楷体_GB2312" w:eastAsia="楷体_GB2312" w:cs="楷体_GB2312"/>
          <w:b/>
          <w:bCs/>
          <w:color w:val="000000"/>
          <w:sz w:val="32"/>
          <w:szCs w:val="32"/>
        </w:rPr>
      </w:pPr>
      <w:r>
        <w:rPr>
          <w:rFonts w:hint="eastAsia" w:ascii="楷体_GB2312" w:hAnsi="楷体_GB2312" w:eastAsia="楷体_GB2312" w:cs="楷体_GB2312"/>
          <w:b/>
          <w:bCs/>
          <w:color w:val="000000"/>
          <w:sz w:val="32"/>
          <w:szCs w:val="32"/>
        </w:rPr>
        <w:t>（二）抽查项目</w:t>
      </w:r>
    </w:p>
    <w:p>
      <w:pPr>
        <w:spacing w:line="360" w:lineRule="auto"/>
        <w:jc w:val="left"/>
        <w:rPr>
          <w:rFonts w:hint="eastAsia" w:ascii="仿宋_GB2312" w:hAnsi="仿宋_GB2312" w:eastAsia="仿宋_GB2312" w:cs="仿宋_GB2312"/>
          <w:color w:val="000000"/>
          <w:sz w:val="32"/>
          <w:szCs w:val="32"/>
        </w:rPr>
      </w:pPr>
    </w:p>
    <w:p>
      <w:pPr>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表1：曳引驱动乘客电梯与曳引驱动载货电梯</w:t>
      </w:r>
    </w:p>
    <w:p>
      <w:pPr>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监督抽查检验项目</w:t>
      </w:r>
    </w:p>
    <w:p>
      <w:pPr>
        <w:spacing w:line="560" w:lineRule="exact"/>
        <w:jc w:val="center"/>
        <w:rPr>
          <w:rFonts w:hint="eastAsia" w:ascii="仿宋_GB2312" w:hAnsi="仿宋_GB2312" w:eastAsia="仿宋_GB2312" w:cs="仿宋_GB2312"/>
          <w:color w:val="000000"/>
          <w:sz w:val="32"/>
          <w:szCs w:val="32"/>
        </w:rPr>
      </w:pPr>
    </w:p>
    <w:tbl>
      <w:tblPr>
        <w:tblStyle w:val="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64"/>
        <w:gridCol w:w="2659"/>
        <w:gridCol w:w="49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tblHeader/>
          <w:jc w:val="center"/>
        </w:trPr>
        <w:tc>
          <w:tcPr>
            <w:tcW w:w="864" w:type="dxa"/>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序号</w:t>
            </w:r>
          </w:p>
        </w:tc>
        <w:tc>
          <w:tcPr>
            <w:tcW w:w="7619" w:type="dxa"/>
            <w:gridSpan w:val="2"/>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检查项目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w:t>
            </w:r>
          </w:p>
        </w:tc>
        <w:tc>
          <w:tcPr>
            <w:tcW w:w="2659" w:type="dxa"/>
            <w:vMerge w:val="restart"/>
            <w:noWrap w:val="0"/>
            <w:vAlign w:val="center"/>
          </w:tcPr>
          <w:p>
            <w:pPr>
              <w:snapToGrid w:val="0"/>
              <w:jc w:val="center"/>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color w:val="000000"/>
                <w:kern w:val="0"/>
                <w:sz w:val="32"/>
                <w:szCs w:val="32"/>
              </w:rPr>
              <w:t>使用管理</w:t>
            </w:r>
          </w:p>
        </w:tc>
        <w:tc>
          <w:tcPr>
            <w:tcW w:w="4960" w:type="dxa"/>
            <w:noWrap w:val="0"/>
            <w:vAlign w:val="center"/>
          </w:tcPr>
          <w:p>
            <w:pPr>
              <w:snapToGrid w:val="0"/>
              <w:jc w:val="left"/>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snapToGrid w:val="0"/>
                <w:color w:val="000000"/>
                <w:kern w:val="0"/>
                <w:sz w:val="32"/>
                <w:szCs w:val="32"/>
              </w:rPr>
              <w:t>1.1管理制度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2659"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4960" w:type="dxa"/>
            <w:noWrap w:val="0"/>
            <w:vAlign w:val="center"/>
          </w:tcPr>
          <w:p>
            <w:pPr>
              <w:snapToGrid w:val="0"/>
              <w:jc w:val="left"/>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1.2使用登记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2659"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4960" w:type="dxa"/>
            <w:noWrap w:val="0"/>
            <w:vAlign w:val="center"/>
          </w:tcPr>
          <w:p>
            <w:pPr>
              <w:snapToGrid w:val="0"/>
              <w:jc w:val="left"/>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1.3救援预案和演练记录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w:t>
            </w:r>
          </w:p>
        </w:tc>
        <w:tc>
          <w:tcPr>
            <w:tcW w:w="2659"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color w:val="000000"/>
                <w:sz w:val="32"/>
                <w:szCs w:val="32"/>
              </w:rPr>
              <w:t>维护保养</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2.1维保方案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snapToGrid w:val="0"/>
              <w:jc w:val="center"/>
              <w:rPr>
                <w:rFonts w:hint="eastAsia" w:ascii="仿宋_GB2312" w:hAnsi="仿宋_GB2312" w:eastAsia="仿宋_GB2312" w:cs="仿宋_GB2312"/>
                <w:snapToGrid w:val="0"/>
                <w:color w:val="000000"/>
                <w:kern w:val="0"/>
                <w:sz w:val="32"/>
                <w:szCs w:val="32"/>
              </w:rPr>
            </w:pPr>
          </w:p>
        </w:tc>
        <w:tc>
          <w:tcPr>
            <w:tcW w:w="2659" w:type="dxa"/>
            <w:vMerge w:val="continue"/>
            <w:noWrap w:val="0"/>
            <w:vAlign w:val="center"/>
          </w:tcPr>
          <w:p>
            <w:pPr>
              <w:snapToGrid w:val="0"/>
              <w:jc w:val="center"/>
              <w:rPr>
                <w:rFonts w:hint="eastAsia" w:ascii="仿宋_GB2312" w:hAnsi="仿宋_GB2312" w:eastAsia="仿宋_GB2312" w:cs="仿宋_GB2312"/>
                <w:color w:val="000000"/>
                <w:sz w:val="32"/>
                <w:szCs w:val="32"/>
              </w:rPr>
            </w:pPr>
          </w:p>
        </w:tc>
        <w:tc>
          <w:tcPr>
            <w:tcW w:w="4960" w:type="dxa"/>
            <w:noWrap w:val="0"/>
            <w:vAlign w:val="center"/>
          </w:tcPr>
          <w:p>
            <w:pPr>
              <w:snapToGrid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2.2</w:t>
            </w:r>
            <w:r>
              <w:rPr>
                <w:rFonts w:hint="eastAsia" w:ascii="仿宋_GB2312" w:hAnsi="仿宋_GB2312" w:eastAsia="仿宋_GB2312" w:cs="仿宋_GB2312"/>
                <w:snapToGrid w:val="0"/>
                <w:color w:val="000000"/>
                <w:kern w:val="0"/>
                <w:sz w:val="32"/>
                <w:szCs w:val="32"/>
              </w:rPr>
              <w:t>维保记录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864" w:type="dxa"/>
            <w:vMerge w:val="continue"/>
            <w:noWrap w:val="0"/>
            <w:vAlign w:val="center"/>
          </w:tcPr>
          <w:p>
            <w:pPr>
              <w:snapToGrid w:val="0"/>
              <w:jc w:val="center"/>
              <w:rPr>
                <w:rFonts w:hint="eastAsia" w:ascii="仿宋_GB2312" w:hAnsi="仿宋_GB2312" w:eastAsia="仿宋_GB2312" w:cs="仿宋_GB2312"/>
                <w:snapToGrid w:val="0"/>
                <w:color w:val="000000"/>
                <w:kern w:val="0"/>
                <w:sz w:val="32"/>
                <w:szCs w:val="32"/>
              </w:rPr>
            </w:pPr>
          </w:p>
        </w:tc>
        <w:tc>
          <w:tcPr>
            <w:tcW w:w="2659" w:type="dxa"/>
            <w:vMerge w:val="continue"/>
            <w:noWrap w:val="0"/>
            <w:vAlign w:val="center"/>
          </w:tcPr>
          <w:p>
            <w:pPr>
              <w:snapToGrid w:val="0"/>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2.3机房、滑轮间、底坑、轿顶内环境安全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w:t>
            </w:r>
          </w:p>
        </w:tc>
        <w:tc>
          <w:tcPr>
            <w:tcW w:w="2659" w:type="dxa"/>
            <w:vMerge w:val="restart"/>
            <w:noWrap w:val="0"/>
            <w:vAlign w:val="center"/>
          </w:tcPr>
          <w:p>
            <w:pPr>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轿厢照明、应急装置、环境</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3.1紧急照明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3.2紧急报警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3.3轿厢照明、安全守则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w:t>
            </w:r>
          </w:p>
        </w:tc>
        <w:tc>
          <w:tcPr>
            <w:tcW w:w="2659"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门的锁紧</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4.1锁紧型式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4.2锁紧元件啮合长度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4.3电气安全装置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4.4轿门锁紧装置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5</w:t>
            </w:r>
          </w:p>
        </w:tc>
        <w:tc>
          <w:tcPr>
            <w:tcW w:w="2659"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门的闭合</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5.1机电联锁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5.2电气安全装置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w:t>
            </w:r>
          </w:p>
        </w:tc>
        <w:tc>
          <w:tcPr>
            <w:tcW w:w="2659"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自动关闭层门</w:t>
            </w:r>
          </w:p>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装置</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6.1自动关闭层门装置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64" w:type="dxa"/>
            <w:vMerge w:val="continue"/>
            <w:noWrap w:val="0"/>
            <w:vAlign w:val="center"/>
          </w:tcPr>
          <w:p>
            <w:pPr>
              <w:snapToGrid w:val="0"/>
              <w:jc w:val="center"/>
              <w:rPr>
                <w:rFonts w:hint="eastAsia" w:ascii="仿宋_GB2312" w:hAnsi="仿宋_GB2312" w:eastAsia="仿宋_GB2312" w:cs="仿宋_GB2312"/>
                <w:snapToGrid w:val="0"/>
                <w:color w:val="000000"/>
                <w:kern w:val="0"/>
                <w:sz w:val="32"/>
                <w:szCs w:val="32"/>
              </w:rPr>
            </w:pPr>
          </w:p>
        </w:tc>
        <w:tc>
          <w:tcPr>
            <w:tcW w:w="2659" w:type="dxa"/>
            <w:vMerge w:val="continue"/>
            <w:noWrap w:val="0"/>
            <w:vAlign w:val="center"/>
          </w:tcPr>
          <w:p>
            <w:pPr>
              <w:snapToGrid w:val="0"/>
              <w:jc w:val="center"/>
              <w:rPr>
                <w:rFonts w:hint="eastAsia" w:ascii="仿宋_GB2312" w:hAnsi="仿宋_GB2312" w:eastAsia="仿宋_GB2312" w:cs="仿宋_GB2312"/>
                <w:snapToGrid w:val="0"/>
                <w:color w:val="000000"/>
                <w:kern w:val="0"/>
                <w:sz w:val="32"/>
                <w:szCs w:val="32"/>
              </w:rPr>
            </w:pPr>
          </w:p>
        </w:tc>
        <w:tc>
          <w:tcPr>
            <w:tcW w:w="4960" w:type="dxa"/>
            <w:noWrap w:val="0"/>
            <w:vAlign w:val="center"/>
          </w:tcPr>
          <w:p>
            <w:pPr>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6.2防止重块坠落的措施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w:t>
            </w:r>
          </w:p>
        </w:tc>
        <w:tc>
          <w:tcPr>
            <w:tcW w:w="2659"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紧急开锁装置</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7.1紧急开锁装置的设置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7.2门闭合后的自动复位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864" w:type="dxa"/>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8</w:t>
            </w:r>
          </w:p>
        </w:tc>
        <w:tc>
          <w:tcPr>
            <w:tcW w:w="2659" w:type="dxa"/>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电气安全装置</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8.1电气安全装置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864" w:type="dxa"/>
            <w:vMerge w:val="restart"/>
            <w:noWrap w:val="0"/>
            <w:vAlign w:val="center"/>
          </w:tcPr>
          <w:p>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w:t>
            </w:r>
          </w:p>
        </w:tc>
        <w:tc>
          <w:tcPr>
            <w:tcW w:w="2659" w:type="dxa"/>
            <w:vMerge w:val="restart"/>
            <w:noWrap w:val="0"/>
            <w:vAlign w:val="center"/>
          </w:tcPr>
          <w:p>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制动装置</w:t>
            </w: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9.1制动器工作情况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9.2轿厢空载上行制动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64" w:type="dxa"/>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10</w:t>
            </w:r>
          </w:p>
        </w:tc>
        <w:tc>
          <w:tcPr>
            <w:tcW w:w="2659" w:type="dxa"/>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运行试验</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10.1空载运行状况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11</w:t>
            </w:r>
          </w:p>
        </w:tc>
        <w:tc>
          <w:tcPr>
            <w:tcW w:w="2659"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轿厢面积和</w:t>
            </w:r>
          </w:p>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装修情况</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11.1轿厢面积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11.2额外装修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strike/>
                <w:color w:val="000000"/>
                <w:sz w:val="32"/>
                <w:szCs w:val="32"/>
              </w:rPr>
            </w:pPr>
          </w:p>
        </w:tc>
        <w:tc>
          <w:tcPr>
            <w:tcW w:w="4960" w:type="dxa"/>
            <w:noWrap w:val="0"/>
            <w:vAlign w:val="center"/>
          </w:tcPr>
          <w:p>
            <w:pPr>
              <w:jc w:val="left"/>
              <w:rPr>
                <w:rFonts w:hint="eastAsia" w:ascii="仿宋_GB2312" w:hAnsi="仿宋_GB2312" w:eastAsia="仿宋_GB2312" w:cs="仿宋_GB2312"/>
                <w:strike/>
                <w:color w:val="000000"/>
                <w:sz w:val="32"/>
                <w:szCs w:val="32"/>
              </w:rPr>
            </w:pPr>
            <w:r>
              <w:rPr>
                <w:rFonts w:hint="eastAsia" w:ascii="仿宋_GB2312" w:hAnsi="仿宋_GB2312" w:eastAsia="仿宋_GB2312" w:cs="仿宋_GB2312"/>
                <w:snapToGrid w:val="0"/>
                <w:color w:val="000000"/>
                <w:kern w:val="0"/>
                <w:sz w:val="32"/>
                <w:szCs w:val="32"/>
              </w:rPr>
              <w:t>11.3识别数量的措施</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restart"/>
            <w:noWrap w:val="0"/>
            <w:vAlign w:val="center"/>
          </w:tcPr>
          <w:p>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w:t>
            </w:r>
          </w:p>
        </w:tc>
        <w:tc>
          <w:tcPr>
            <w:tcW w:w="2659" w:type="dxa"/>
            <w:vMerge w:val="restart"/>
            <w:noWrap w:val="0"/>
            <w:vAlign w:val="center"/>
          </w:tcPr>
          <w:p>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应急救援试验</w:t>
            </w:r>
          </w:p>
        </w:tc>
        <w:tc>
          <w:tcPr>
            <w:tcW w:w="4960" w:type="dxa"/>
            <w:noWrap w:val="0"/>
            <w:vAlign w:val="center"/>
          </w:tcPr>
          <w:p>
            <w:pPr>
              <w:rPr>
                <w:rFonts w:hint="eastAsia" w:ascii="仿宋_GB2312" w:hAnsi="仿宋_GB2312" w:eastAsia="仿宋_GB2312" w:cs="仿宋_GB2312"/>
                <w:strike/>
                <w:snapToGrid w:val="0"/>
                <w:color w:val="000000"/>
                <w:kern w:val="0"/>
                <w:sz w:val="32"/>
                <w:szCs w:val="32"/>
              </w:rPr>
            </w:pPr>
            <w:r>
              <w:rPr>
                <w:rFonts w:hint="eastAsia" w:ascii="仿宋_GB2312" w:hAnsi="仿宋_GB2312" w:eastAsia="仿宋_GB2312" w:cs="仿宋_GB2312"/>
                <w:color w:val="000000"/>
                <w:sz w:val="32"/>
                <w:szCs w:val="32"/>
              </w:rPr>
              <w:t>12.1救援程序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12.2救援通道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12.3救援操作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64" w:type="dxa"/>
            <w:vMerge w:val="restart"/>
            <w:noWrap w:val="0"/>
            <w:vAlign w:val="center"/>
          </w:tcPr>
          <w:p>
            <w:pPr>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color w:val="000000"/>
                <w:sz w:val="32"/>
                <w:szCs w:val="32"/>
              </w:rPr>
              <w:t>13</w:t>
            </w:r>
          </w:p>
        </w:tc>
        <w:tc>
          <w:tcPr>
            <w:tcW w:w="2659" w:type="dxa"/>
            <w:vMerge w:val="restart"/>
            <w:noWrap w:val="0"/>
            <w:vAlign w:val="center"/>
          </w:tcPr>
          <w:p>
            <w:pPr>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钢丝绳</w:t>
            </w: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13.1磨损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13.2断丝</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13.3变形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14</w:t>
            </w:r>
          </w:p>
        </w:tc>
        <w:tc>
          <w:tcPr>
            <w:tcW w:w="2659"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驱动主机</w:t>
            </w:r>
          </w:p>
        </w:tc>
        <w:tc>
          <w:tcPr>
            <w:tcW w:w="4960" w:type="dxa"/>
            <w:noWrap w:val="0"/>
            <w:vAlign w:val="center"/>
          </w:tcPr>
          <w:p>
            <w:pPr>
              <w:adjustRightInd w:val="0"/>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14.1工作状况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14.2曳引轮安全色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14.3轮槽磨损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864" w:type="dxa"/>
            <w:vMerge w:val="continue"/>
            <w:noWrap w:val="0"/>
            <w:vAlign w:val="center"/>
          </w:tcPr>
          <w:p>
            <w:pPr>
              <w:jc w:val="center"/>
              <w:rPr>
                <w:rFonts w:hint="eastAsia" w:ascii="仿宋_GB2312" w:hAnsi="仿宋_GB2312" w:eastAsia="仿宋_GB2312" w:cs="仿宋_GB2312"/>
                <w:color w:val="000000"/>
                <w:sz w:val="32"/>
                <w:szCs w:val="32"/>
              </w:rPr>
            </w:pPr>
          </w:p>
        </w:tc>
        <w:tc>
          <w:tcPr>
            <w:tcW w:w="2659" w:type="dxa"/>
            <w:vMerge w:val="continue"/>
            <w:noWrap w:val="0"/>
            <w:vAlign w:val="center"/>
          </w:tcPr>
          <w:p>
            <w:pPr>
              <w:jc w:val="center"/>
              <w:rPr>
                <w:rFonts w:hint="eastAsia" w:ascii="仿宋_GB2312" w:hAnsi="仿宋_GB2312" w:eastAsia="仿宋_GB2312" w:cs="仿宋_GB2312"/>
                <w:color w:val="000000"/>
                <w:sz w:val="32"/>
                <w:szCs w:val="32"/>
              </w:rPr>
            </w:pPr>
          </w:p>
        </w:tc>
        <w:tc>
          <w:tcPr>
            <w:tcW w:w="4960"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14.4漏油情况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864"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15</w:t>
            </w:r>
          </w:p>
        </w:tc>
        <w:tc>
          <w:tcPr>
            <w:tcW w:w="2659" w:type="dxa"/>
            <w:vMerge w:val="restart"/>
            <w:noWrap w:val="0"/>
            <w:vAlign w:val="center"/>
          </w:tcPr>
          <w:p>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井道安全门</w:t>
            </w: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15.1门的开启方向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64" w:type="dxa"/>
            <w:vMerge w:val="continue"/>
            <w:noWrap w:val="0"/>
            <w:vAlign w:val="center"/>
          </w:tcPr>
          <w:p>
            <w:pPr>
              <w:snapToGrid w:val="0"/>
              <w:jc w:val="center"/>
              <w:rPr>
                <w:rFonts w:hint="eastAsia" w:ascii="仿宋_GB2312" w:hAnsi="仿宋_GB2312" w:eastAsia="仿宋_GB2312" w:cs="仿宋_GB2312"/>
                <w:snapToGrid w:val="0"/>
                <w:color w:val="000000"/>
                <w:kern w:val="0"/>
                <w:sz w:val="32"/>
                <w:szCs w:val="32"/>
              </w:rPr>
            </w:pPr>
          </w:p>
        </w:tc>
        <w:tc>
          <w:tcPr>
            <w:tcW w:w="2659" w:type="dxa"/>
            <w:vMerge w:val="continue"/>
            <w:noWrap w:val="0"/>
            <w:vAlign w:val="center"/>
          </w:tcPr>
          <w:p>
            <w:pPr>
              <w:jc w:val="left"/>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15.2门锁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64" w:type="dxa"/>
            <w:vMerge w:val="continue"/>
            <w:noWrap w:val="0"/>
            <w:vAlign w:val="center"/>
          </w:tcPr>
          <w:p>
            <w:pPr>
              <w:snapToGrid w:val="0"/>
              <w:jc w:val="center"/>
              <w:rPr>
                <w:rFonts w:hint="eastAsia" w:ascii="仿宋_GB2312" w:hAnsi="仿宋_GB2312" w:eastAsia="仿宋_GB2312" w:cs="仿宋_GB2312"/>
                <w:snapToGrid w:val="0"/>
                <w:color w:val="000000"/>
                <w:kern w:val="0"/>
                <w:sz w:val="32"/>
                <w:szCs w:val="32"/>
              </w:rPr>
            </w:pPr>
          </w:p>
        </w:tc>
        <w:tc>
          <w:tcPr>
            <w:tcW w:w="2659" w:type="dxa"/>
            <w:vMerge w:val="continue"/>
            <w:noWrap w:val="0"/>
            <w:vAlign w:val="center"/>
          </w:tcPr>
          <w:p>
            <w:pPr>
              <w:jc w:val="left"/>
              <w:rPr>
                <w:rFonts w:hint="eastAsia" w:ascii="仿宋_GB2312" w:hAnsi="仿宋_GB2312" w:eastAsia="仿宋_GB2312" w:cs="仿宋_GB2312"/>
                <w:color w:val="000000"/>
                <w:sz w:val="32"/>
                <w:szCs w:val="32"/>
              </w:rPr>
            </w:pP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15.3电气安全装置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9" w:hRule="atLeast"/>
          <w:jc w:val="center"/>
        </w:trPr>
        <w:tc>
          <w:tcPr>
            <w:tcW w:w="864" w:type="dxa"/>
            <w:noWrap w:val="0"/>
            <w:vAlign w:val="center"/>
          </w:tcPr>
          <w:p>
            <w:pPr>
              <w:jc w:val="center"/>
              <w:rPr>
                <w:rFonts w:hint="eastAsia" w:ascii="仿宋_GB2312" w:hAnsi="仿宋_GB2312" w:eastAsia="仿宋_GB2312" w:cs="仿宋_GB2312"/>
                <w:color w:val="000000"/>
                <w:sz w:val="32"/>
                <w:szCs w:val="32"/>
                <w:highlight w:val="cyan"/>
              </w:rPr>
            </w:pPr>
          </w:p>
        </w:tc>
        <w:tc>
          <w:tcPr>
            <w:tcW w:w="2659" w:type="dxa"/>
            <w:noWrap w:val="0"/>
            <w:vAlign w:val="center"/>
          </w:tcPr>
          <w:p>
            <w:pPr>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停止使用情形</w:t>
            </w:r>
          </w:p>
        </w:tc>
        <w:tc>
          <w:tcPr>
            <w:tcW w:w="4960" w:type="dxa"/>
            <w:noWrap w:val="0"/>
            <w:vAlign w:val="center"/>
          </w:tcPr>
          <w:p>
            <w:pPr>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A使用非法生产电梯；B无维护保养单位；C使用超期未检电梯;D使用经检验检测判为不合格且限期未整改电梯；E使用复检不合格电梯；F短接电气安全回路；G缺少安全附件、安全装置；H安全附件、安全装置失灵而继续使用；I存在明显故障、异常情况的特种设备继续使用有可能造成人员伤亡。</w:t>
            </w:r>
          </w:p>
        </w:tc>
      </w:tr>
    </w:tbl>
    <w:p>
      <w:pPr>
        <w:spacing w:line="360" w:lineRule="auto"/>
        <w:jc w:val="left"/>
        <w:rPr>
          <w:rFonts w:hint="eastAsia" w:ascii="仿宋_GB2312" w:hAnsi="仿宋_GB2312" w:eastAsia="仿宋_GB2312" w:cs="仿宋_GB2312"/>
          <w:color w:val="000000"/>
          <w:sz w:val="32"/>
          <w:szCs w:val="32"/>
        </w:rPr>
      </w:pPr>
    </w:p>
    <w:p>
      <w:pPr>
        <w:spacing w:line="360" w:lineRule="auto"/>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表2：自动扶梯和自动人行道监督抽查检验项目</w:t>
      </w:r>
    </w:p>
    <w:tbl>
      <w:tblPr>
        <w:tblStyle w:val="2"/>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70"/>
        <w:gridCol w:w="3181"/>
        <w:gridCol w:w="433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870" w:type="dxa"/>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序号</w:t>
            </w:r>
          </w:p>
        </w:tc>
        <w:tc>
          <w:tcPr>
            <w:tcW w:w="7514" w:type="dxa"/>
            <w:gridSpan w:val="2"/>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检查项目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870"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w:t>
            </w:r>
          </w:p>
        </w:tc>
        <w:tc>
          <w:tcPr>
            <w:tcW w:w="3181" w:type="dxa"/>
            <w:vMerge w:val="restart"/>
            <w:noWrap w:val="0"/>
            <w:vAlign w:val="center"/>
          </w:tcPr>
          <w:p>
            <w:pPr>
              <w:snapToGrid w:val="0"/>
              <w:jc w:val="center"/>
              <w:rPr>
                <w:rFonts w:hint="eastAsia" w:ascii="仿宋_GB2312" w:hAnsi="仿宋_GB2312" w:eastAsia="仿宋_GB2312" w:cs="仿宋_GB2312"/>
                <w:bCs/>
                <w:snapToGrid w:val="0"/>
                <w:color w:val="000000"/>
                <w:kern w:val="0"/>
                <w:sz w:val="32"/>
                <w:szCs w:val="32"/>
              </w:rPr>
            </w:pPr>
            <w:r>
              <w:rPr>
                <w:rFonts w:hint="eastAsia" w:ascii="仿宋_GB2312" w:hAnsi="仿宋_GB2312" w:eastAsia="仿宋_GB2312" w:cs="仿宋_GB2312"/>
                <w:bCs/>
                <w:color w:val="000000"/>
                <w:kern w:val="0"/>
                <w:sz w:val="32"/>
                <w:szCs w:val="32"/>
              </w:rPr>
              <w:t>使用管理</w:t>
            </w:r>
          </w:p>
        </w:tc>
        <w:tc>
          <w:tcPr>
            <w:tcW w:w="4333" w:type="dxa"/>
            <w:noWrap w:val="0"/>
            <w:vAlign w:val="center"/>
          </w:tcPr>
          <w:p>
            <w:pPr>
              <w:snapToGrid w:val="0"/>
              <w:jc w:val="left"/>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snapToGrid w:val="0"/>
                <w:color w:val="000000"/>
                <w:kern w:val="0"/>
                <w:sz w:val="32"/>
                <w:szCs w:val="32"/>
              </w:rPr>
              <w:t>1.1管理制度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870" w:type="dxa"/>
            <w:vMerge w:val="continue"/>
            <w:noWrap w:val="0"/>
            <w:vAlign w:val="center"/>
          </w:tcPr>
          <w:p>
            <w:pPr>
              <w:snapToGrid w:val="0"/>
              <w:rPr>
                <w:rFonts w:hint="eastAsia" w:ascii="仿宋_GB2312" w:hAnsi="仿宋_GB2312" w:eastAsia="仿宋_GB2312" w:cs="仿宋_GB2312"/>
                <w:color w:val="00000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color w:val="000000"/>
                <w:sz w:val="32"/>
                <w:szCs w:val="32"/>
              </w:rPr>
            </w:pPr>
          </w:p>
        </w:tc>
        <w:tc>
          <w:tcPr>
            <w:tcW w:w="4333" w:type="dxa"/>
            <w:noWrap w:val="0"/>
            <w:vAlign w:val="center"/>
          </w:tcPr>
          <w:p>
            <w:pPr>
              <w:snapToGrid w:val="0"/>
              <w:jc w:val="left"/>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1.2使用登记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7" w:hRule="atLeast"/>
          <w:jc w:val="center"/>
        </w:trPr>
        <w:tc>
          <w:tcPr>
            <w:tcW w:w="870" w:type="dxa"/>
            <w:vMerge w:val="continue"/>
            <w:noWrap w:val="0"/>
            <w:vAlign w:val="center"/>
          </w:tcPr>
          <w:p>
            <w:pPr>
              <w:snapToGrid w:val="0"/>
              <w:rPr>
                <w:rFonts w:hint="eastAsia" w:ascii="仿宋_GB2312" w:hAnsi="仿宋_GB2312" w:eastAsia="仿宋_GB2312" w:cs="仿宋_GB2312"/>
                <w:bCs/>
                <w:color w:val="000000"/>
                <w:kern w:val="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4333" w:type="dxa"/>
            <w:noWrap w:val="0"/>
            <w:vAlign w:val="center"/>
          </w:tcPr>
          <w:p>
            <w:pPr>
              <w:snapToGrid w:val="0"/>
              <w:jc w:val="left"/>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1.3救援预案和演练记录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870"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2</w:t>
            </w:r>
          </w:p>
        </w:tc>
        <w:tc>
          <w:tcPr>
            <w:tcW w:w="3181" w:type="dxa"/>
            <w:vMerge w:val="restart"/>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color w:val="000000"/>
                <w:sz w:val="32"/>
                <w:szCs w:val="32"/>
              </w:rPr>
              <w:t>维护保养</w:t>
            </w:r>
          </w:p>
        </w:tc>
        <w:tc>
          <w:tcPr>
            <w:tcW w:w="4333" w:type="dxa"/>
            <w:noWrap w:val="0"/>
            <w:vAlign w:val="center"/>
          </w:tcPr>
          <w:p>
            <w:pPr>
              <w:snapToGrid w:val="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snapToGrid w:val="0"/>
                <w:color w:val="000000"/>
                <w:kern w:val="0"/>
                <w:sz w:val="32"/>
                <w:szCs w:val="32"/>
              </w:rPr>
              <w:t>2.1维保方案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06" w:hRule="atLeast"/>
          <w:jc w:val="center"/>
        </w:trPr>
        <w:tc>
          <w:tcPr>
            <w:tcW w:w="870" w:type="dxa"/>
            <w:vMerge w:val="continue"/>
            <w:noWrap w:val="0"/>
            <w:vAlign w:val="center"/>
          </w:tcPr>
          <w:p>
            <w:pPr>
              <w:snapToGrid w:val="0"/>
              <w:rPr>
                <w:rFonts w:hint="eastAsia" w:ascii="仿宋_GB2312" w:hAnsi="仿宋_GB2312" w:eastAsia="仿宋_GB2312" w:cs="仿宋_GB2312"/>
                <w:color w:val="000000"/>
                <w:sz w:val="32"/>
                <w:szCs w:val="32"/>
              </w:rPr>
            </w:pPr>
          </w:p>
        </w:tc>
        <w:tc>
          <w:tcPr>
            <w:tcW w:w="3181" w:type="dxa"/>
            <w:vMerge w:val="continue"/>
            <w:noWrap w:val="0"/>
            <w:vAlign w:val="center"/>
          </w:tcPr>
          <w:p>
            <w:pPr>
              <w:snapToGrid w:val="0"/>
              <w:rPr>
                <w:rFonts w:hint="eastAsia" w:ascii="仿宋_GB2312" w:hAnsi="仿宋_GB2312" w:eastAsia="仿宋_GB2312" w:cs="仿宋_GB2312"/>
                <w:color w:val="000000"/>
                <w:sz w:val="32"/>
                <w:szCs w:val="32"/>
              </w:rPr>
            </w:pPr>
          </w:p>
        </w:tc>
        <w:tc>
          <w:tcPr>
            <w:tcW w:w="4333" w:type="dxa"/>
            <w:noWrap w:val="0"/>
            <w:vAlign w:val="center"/>
          </w:tcPr>
          <w:p>
            <w:pPr>
              <w:snapToGrid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2.2</w:t>
            </w:r>
            <w:r>
              <w:rPr>
                <w:rFonts w:hint="eastAsia" w:ascii="仿宋_GB2312" w:hAnsi="仿宋_GB2312" w:eastAsia="仿宋_GB2312" w:cs="仿宋_GB2312"/>
                <w:snapToGrid w:val="0"/>
                <w:color w:val="000000"/>
                <w:kern w:val="0"/>
                <w:sz w:val="32"/>
                <w:szCs w:val="32"/>
              </w:rPr>
              <w:t>维保记录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w:t>
            </w:r>
          </w:p>
        </w:tc>
        <w:tc>
          <w:tcPr>
            <w:tcW w:w="3181" w:type="dxa"/>
            <w:vMerge w:val="restart"/>
            <w:noWrap w:val="0"/>
            <w:vAlign w:val="center"/>
          </w:tcPr>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紧急停止装置</w:t>
            </w: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3.1紧急停止装置的设置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3.2紧急停止装置的标识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3.3动作可靠性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4</w:t>
            </w:r>
          </w:p>
        </w:tc>
        <w:tc>
          <w:tcPr>
            <w:tcW w:w="3181" w:type="dxa"/>
            <w:noWrap w:val="0"/>
            <w:vAlign w:val="center"/>
          </w:tcPr>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梯级、踏板与</w:t>
            </w:r>
          </w:p>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围裙板间隙</w:t>
            </w: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kern w:val="0"/>
                <w:sz w:val="32"/>
                <w:szCs w:val="32"/>
              </w:rPr>
              <w:t>4.1梯级</w:t>
            </w:r>
            <w:r>
              <w:rPr>
                <w:rFonts w:hint="eastAsia" w:ascii="仿宋_GB2312" w:hAnsi="仿宋_GB2312" w:eastAsia="仿宋_GB2312" w:cs="仿宋_GB2312"/>
                <w:bCs/>
                <w:color w:val="000000"/>
                <w:sz w:val="32"/>
                <w:szCs w:val="32"/>
              </w:rPr>
              <w:t>、踏板与围裙板间隙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noWrap w:val="0"/>
            <w:vAlign w:val="center"/>
          </w:tcPr>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5</w:t>
            </w:r>
          </w:p>
        </w:tc>
        <w:tc>
          <w:tcPr>
            <w:tcW w:w="3181" w:type="dxa"/>
            <w:noWrap w:val="0"/>
            <w:vAlign w:val="center"/>
          </w:tcPr>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sz w:val="32"/>
                <w:szCs w:val="32"/>
              </w:rPr>
              <w:t>防夹</w:t>
            </w:r>
            <w:r>
              <w:rPr>
                <w:rFonts w:hint="eastAsia" w:ascii="仿宋_GB2312" w:hAnsi="仿宋_GB2312" w:eastAsia="仿宋_GB2312" w:cs="仿宋_GB2312"/>
                <w:bCs/>
                <w:color w:val="000000"/>
                <w:kern w:val="0"/>
                <w:sz w:val="32"/>
                <w:szCs w:val="32"/>
              </w:rPr>
              <w:t>装置</w:t>
            </w: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5.1围裙板防夹装置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restart"/>
            <w:noWrap w:val="0"/>
            <w:vAlign w:val="center"/>
          </w:tcPr>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6</w:t>
            </w:r>
          </w:p>
        </w:tc>
        <w:tc>
          <w:tcPr>
            <w:tcW w:w="3181"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梳齿与梳齿板</w:t>
            </w: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6.1有无缺损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6.3啮合深度与间隙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7</w:t>
            </w:r>
          </w:p>
        </w:tc>
        <w:tc>
          <w:tcPr>
            <w:tcW w:w="3181" w:type="dxa"/>
            <w:vMerge w:val="restart"/>
            <w:noWrap w:val="0"/>
            <w:vAlign w:val="center"/>
          </w:tcPr>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防护挡板</w:t>
            </w: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7.1防护挡板的设置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7.2防护挡板的固定与尺寸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8</w:t>
            </w:r>
          </w:p>
        </w:tc>
        <w:tc>
          <w:tcPr>
            <w:tcW w:w="3181" w:type="dxa"/>
            <w:vMerge w:val="restart"/>
            <w:noWrap w:val="0"/>
            <w:vAlign w:val="center"/>
          </w:tcPr>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出入口防护</w:t>
            </w: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8.1出入口防护的设置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bCs/>
                <w:color w:val="000000"/>
                <w:kern w:val="0"/>
                <w:sz w:val="32"/>
                <w:szCs w:val="32"/>
              </w:rPr>
            </w:pPr>
          </w:p>
        </w:tc>
        <w:tc>
          <w:tcPr>
            <w:tcW w:w="4333" w:type="dxa"/>
            <w:noWrap w:val="0"/>
            <w:vAlign w:val="center"/>
          </w:tcPr>
          <w:p>
            <w:pPr>
              <w:snapToGrid w:val="0"/>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8.2出入口防护的尺寸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9</w:t>
            </w:r>
          </w:p>
        </w:tc>
        <w:tc>
          <w:tcPr>
            <w:tcW w:w="3181" w:type="dxa"/>
            <w:vMerge w:val="restart"/>
            <w:noWrap w:val="0"/>
            <w:vAlign w:val="center"/>
          </w:tcPr>
          <w:p>
            <w:pPr>
              <w:snapToGrid w:val="0"/>
              <w:jc w:val="center"/>
              <w:rPr>
                <w:rFonts w:hint="eastAsia"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sz w:val="32"/>
                <w:szCs w:val="32"/>
              </w:rPr>
              <w:t>扶手防爬、阻挡、滑行设置</w:t>
            </w: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9.1防爬</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4333" w:type="dxa"/>
            <w:noWrap w:val="0"/>
            <w:vAlign w:val="center"/>
          </w:tcPr>
          <w:p>
            <w:pPr>
              <w:snapToGrid w:val="0"/>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9.2阻挡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4333" w:type="dxa"/>
            <w:noWrap w:val="0"/>
            <w:vAlign w:val="center"/>
          </w:tcPr>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9.3</w:t>
            </w:r>
            <w:r>
              <w:rPr>
                <w:rFonts w:hint="eastAsia" w:ascii="仿宋_GB2312" w:hAnsi="仿宋_GB2312" w:eastAsia="仿宋_GB2312" w:cs="仿宋_GB2312"/>
                <w:bCs/>
                <w:color w:val="000000"/>
                <w:sz w:val="32"/>
                <w:szCs w:val="32"/>
              </w:rPr>
              <w:t>防滑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restart"/>
            <w:noWrap w:val="0"/>
            <w:vAlign w:val="center"/>
          </w:tcPr>
          <w:p>
            <w:pPr>
              <w:snapToGrid w:val="0"/>
              <w:jc w:val="cente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10</w:t>
            </w:r>
          </w:p>
          <w:p>
            <w:pPr>
              <w:snapToGrid w:val="0"/>
              <w:jc w:val="center"/>
              <w:rPr>
                <w:rFonts w:hint="eastAsia" w:ascii="仿宋_GB2312" w:hAnsi="仿宋_GB2312" w:eastAsia="仿宋_GB2312" w:cs="仿宋_GB2312"/>
                <w:bCs/>
                <w:color w:val="000000"/>
                <w:sz w:val="32"/>
                <w:szCs w:val="32"/>
              </w:rPr>
            </w:pPr>
          </w:p>
        </w:tc>
        <w:tc>
          <w:tcPr>
            <w:tcW w:w="3181" w:type="dxa"/>
            <w:vMerge w:val="restart"/>
            <w:noWrap w:val="0"/>
            <w:vAlign w:val="center"/>
          </w:tcPr>
          <w:p>
            <w:pPr>
              <w:snapToGrid w:val="0"/>
              <w:jc w:val="left"/>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监控和安全装置</w:t>
            </w:r>
          </w:p>
          <w:p>
            <w:pPr>
              <w:snapToGrid w:val="0"/>
              <w:rPr>
                <w:rFonts w:hint="eastAsia" w:ascii="仿宋_GB2312" w:hAnsi="仿宋_GB2312" w:eastAsia="仿宋_GB2312" w:cs="仿宋_GB2312"/>
                <w:bCs/>
                <w:color w:val="000000"/>
                <w:sz w:val="32"/>
                <w:szCs w:val="32"/>
              </w:rPr>
            </w:pPr>
          </w:p>
        </w:tc>
        <w:tc>
          <w:tcPr>
            <w:tcW w:w="4333" w:type="dxa"/>
            <w:noWrap w:val="0"/>
            <w:vAlign w:val="center"/>
          </w:tcPr>
          <w:p>
            <w:pP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10.1扶手带入口保护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rPr>
                <w:rFonts w:hint="eastAsia" w:ascii="仿宋_GB2312" w:hAnsi="仿宋_GB2312" w:eastAsia="仿宋_GB2312" w:cs="仿宋_GB2312"/>
                <w:bCs/>
                <w:color w:val="000000"/>
                <w:sz w:val="32"/>
                <w:szCs w:val="32"/>
              </w:rPr>
            </w:pPr>
          </w:p>
        </w:tc>
        <w:tc>
          <w:tcPr>
            <w:tcW w:w="4333" w:type="dxa"/>
            <w:noWrap w:val="0"/>
            <w:vAlign w:val="center"/>
          </w:tcPr>
          <w:p>
            <w:pP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10.2检修盖板保护装置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rPr>
                <w:rFonts w:hint="eastAsia" w:ascii="仿宋_GB2312" w:hAnsi="仿宋_GB2312" w:eastAsia="仿宋_GB2312" w:cs="仿宋_GB2312"/>
                <w:strike/>
                <w:snapToGrid w:val="0"/>
                <w:color w:val="000000"/>
                <w:kern w:val="0"/>
                <w:sz w:val="32"/>
                <w:szCs w:val="32"/>
              </w:rPr>
            </w:pPr>
          </w:p>
        </w:tc>
        <w:tc>
          <w:tcPr>
            <w:tcW w:w="4333" w:type="dxa"/>
            <w:noWrap w:val="0"/>
            <w:vAlign w:val="center"/>
          </w:tcPr>
          <w:p>
            <w:pP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10.3</w:t>
            </w:r>
            <w:r>
              <w:rPr>
                <w:rFonts w:hint="eastAsia" w:ascii="仿宋_GB2312" w:hAnsi="仿宋_GB2312" w:eastAsia="仿宋_GB2312" w:cs="仿宋_GB2312"/>
                <w:bCs/>
                <w:color w:val="000000"/>
                <w:kern w:val="0"/>
                <w:sz w:val="32"/>
                <w:szCs w:val="32"/>
              </w:rPr>
              <w:t>非操纵逆转保护</w:t>
            </w:r>
            <w:r>
              <w:rPr>
                <w:rFonts w:hint="eastAsia" w:ascii="仿宋_GB2312" w:hAnsi="仿宋_GB2312" w:eastAsia="仿宋_GB2312" w:cs="仿宋_GB2312"/>
                <w:bCs/>
                <w:color w:val="000000"/>
                <w:sz w:val="32"/>
                <w:szCs w:val="32"/>
              </w:rPr>
              <w:t>设置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46"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rPr>
                <w:rFonts w:hint="eastAsia" w:ascii="仿宋_GB2312" w:hAnsi="仿宋_GB2312" w:eastAsia="仿宋_GB2312" w:cs="仿宋_GB2312"/>
                <w:strike/>
                <w:snapToGrid w:val="0"/>
                <w:color w:val="000000"/>
                <w:kern w:val="0"/>
                <w:sz w:val="32"/>
                <w:szCs w:val="32"/>
              </w:rPr>
            </w:pPr>
          </w:p>
        </w:tc>
        <w:tc>
          <w:tcPr>
            <w:tcW w:w="4333" w:type="dxa"/>
            <w:noWrap w:val="0"/>
            <w:vAlign w:val="center"/>
          </w:tcPr>
          <w:p>
            <w:pPr>
              <w:snapToGrid w:val="0"/>
              <w:jc w:val="left"/>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10.4超速保护的设置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rPr>
                <w:rFonts w:hint="eastAsia" w:ascii="仿宋_GB2312" w:hAnsi="仿宋_GB2312" w:eastAsia="仿宋_GB2312" w:cs="仿宋_GB2312"/>
                <w:strike/>
                <w:snapToGrid w:val="0"/>
                <w:color w:val="000000"/>
                <w:kern w:val="0"/>
                <w:sz w:val="32"/>
                <w:szCs w:val="32"/>
              </w:rPr>
            </w:pPr>
          </w:p>
        </w:tc>
        <w:tc>
          <w:tcPr>
            <w:tcW w:w="4333" w:type="dxa"/>
            <w:noWrap w:val="0"/>
            <w:vAlign w:val="center"/>
          </w:tcPr>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10.5梯级、踏板或者胶带的驱动元件的保护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870" w:type="dxa"/>
            <w:vMerge w:val="continue"/>
            <w:noWrap w:val="0"/>
            <w:vAlign w:val="center"/>
          </w:tcPr>
          <w:p>
            <w:pPr>
              <w:snapToGrid w:val="0"/>
              <w:jc w:val="center"/>
              <w:rPr>
                <w:rFonts w:hint="eastAsia" w:ascii="仿宋_GB2312" w:hAnsi="仿宋_GB2312" w:eastAsia="仿宋_GB2312" w:cs="仿宋_GB2312"/>
                <w:bCs/>
                <w:color w:val="000000"/>
                <w:sz w:val="32"/>
                <w:szCs w:val="32"/>
              </w:rPr>
            </w:pPr>
          </w:p>
        </w:tc>
        <w:tc>
          <w:tcPr>
            <w:tcW w:w="3181" w:type="dxa"/>
            <w:vMerge w:val="continue"/>
            <w:noWrap w:val="0"/>
            <w:vAlign w:val="center"/>
          </w:tcPr>
          <w:p>
            <w:pPr>
              <w:snapToGrid w:val="0"/>
              <w:rPr>
                <w:rFonts w:hint="eastAsia" w:ascii="仿宋_GB2312" w:hAnsi="仿宋_GB2312" w:eastAsia="仿宋_GB2312" w:cs="仿宋_GB2312"/>
                <w:strike/>
                <w:snapToGrid w:val="0"/>
                <w:color w:val="000000"/>
                <w:kern w:val="0"/>
                <w:sz w:val="32"/>
                <w:szCs w:val="32"/>
              </w:rPr>
            </w:pPr>
          </w:p>
        </w:tc>
        <w:tc>
          <w:tcPr>
            <w:tcW w:w="4333" w:type="dxa"/>
            <w:noWrap w:val="0"/>
            <w:vAlign w:val="center"/>
          </w:tcPr>
          <w:p>
            <w:pP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10.6驱动装置与转向装置之间距离缩短保护</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11</w:t>
            </w:r>
          </w:p>
        </w:tc>
        <w:tc>
          <w:tcPr>
            <w:tcW w:w="3181" w:type="dxa"/>
            <w:noWrap w:val="0"/>
            <w:vAlign w:val="center"/>
          </w:tcPr>
          <w:p>
            <w:pP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空载制停距离</w:t>
            </w:r>
          </w:p>
        </w:tc>
        <w:tc>
          <w:tcPr>
            <w:tcW w:w="4333" w:type="dxa"/>
            <w:noWrap w:val="0"/>
            <w:vAlign w:val="center"/>
          </w:tcPr>
          <w:p>
            <w:pP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11.1空载制停距离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noWrap w:val="0"/>
            <w:vAlign w:val="center"/>
          </w:tcPr>
          <w:p>
            <w:pPr>
              <w:snapToGrid w:val="0"/>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12</w:t>
            </w:r>
          </w:p>
        </w:tc>
        <w:tc>
          <w:tcPr>
            <w:tcW w:w="3181" w:type="dxa"/>
            <w:noWrap w:val="0"/>
            <w:vAlign w:val="center"/>
          </w:tcPr>
          <w:p>
            <w:pPr>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snapToGrid w:val="0"/>
                <w:color w:val="000000"/>
                <w:kern w:val="0"/>
                <w:sz w:val="32"/>
                <w:szCs w:val="32"/>
              </w:rPr>
              <w:t>标志</w:t>
            </w:r>
          </w:p>
        </w:tc>
        <w:tc>
          <w:tcPr>
            <w:tcW w:w="4333" w:type="dxa"/>
            <w:noWrap w:val="0"/>
            <w:vAlign w:val="center"/>
          </w:tcPr>
          <w:p>
            <w:pPr>
              <w:rPr>
                <w:rFonts w:hint="eastAsia" w:ascii="仿宋_GB2312" w:hAnsi="仿宋_GB2312" w:eastAsia="仿宋_GB2312" w:cs="仿宋_GB2312"/>
                <w:bCs/>
                <w:color w:val="000000"/>
                <w:sz w:val="32"/>
                <w:szCs w:val="32"/>
              </w:rPr>
            </w:pPr>
            <w:r>
              <w:rPr>
                <w:rFonts w:hint="eastAsia" w:ascii="仿宋_GB2312" w:hAnsi="仿宋_GB2312" w:eastAsia="仿宋_GB2312" w:cs="仿宋_GB2312"/>
                <w:bCs/>
                <w:color w:val="000000"/>
                <w:sz w:val="32"/>
                <w:szCs w:val="32"/>
              </w:rPr>
              <w:t>12.1使用须知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70" w:type="dxa"/>
            <w:noWrap w:val="0"/>
            <w:vAlign w:val="center"/>
          </w:tcPr>
          <w:p>
            <w:pPr>
              <w:jc w:val="center"/>
              <w:rPr>
                <w:rFonts w:hint="eastAsia" w:ascii="仿宋_GB2312" w:hAnsi="仿宋_GB2312" w:eastAsia="仿宋_GB2312" w:cs="仿宋_GB2312"/>
                <w:snapToGrid w:val="0"/>
                <w:color w:val="000000"/>
                <w:kern w:val="0"/>
                <w:sz w:val="32"/>
                <w:szCs w:val="32"/>
                <w:highlight w:val="cyan"/>
              </w:rPr>
            </w:pPr>
          </w:p>
        </w:tc>
        <w:tc>
          <w:tcPr>
            <w:tcW w:w="3181" w:type="dxa"/>
            <w:noWrap w:val="0"/>
            <w:vAlign w:val="center"/>
          </w:tcPr>
          <w:p>
            <w:pPr>
              <w:jc w:val="center"/>
              <w:rPr>
                <w:rFonts w:hint="eastAsia" w:ascii="仿宋_GB2312" w:hAnsi="仿宋_GB2312" w:eastAsia="仿宋_GB2312" w:cs="仿宋_GB2312"/>
                <w:snapToGrid w:val="0"/>
                <w:color w:val="000000"/>
                <w:kern w:val="0"/>
                <w:sz w:val="32"/>
                <w:szCs w:val="32"/>
              </w:rPr>
            </w:pPr>
            <w:r>
              <w:rPr>
                <w:rFonts w:hint="eastAsia" w:ascii="仿宋_GB2312" w:hAnsi="仿宋_GB2312" w:eastAsia="仿宋_GB2312" w:cs="仿宋_GB2312"/>
                <w:color w:val="000000"/>
                <w:sz w:val="32"/>
                <w:szCs w:val="32"/>
              </w:rPr>
              <w:t>停止使用情形</w:t>
            </w:r>
          </w:p>
        </w:tc>
        <w:tc>
          <w:tcPr>
            <w:tcW w:w="4333" w:type="dxa"/>
            <w:noWrap w:val="0"/>
            <w:vAlign w:val="center"/>
          </w:tcPr>
          <w:p>
            <w:pPr>
              <w:jc w:val="left"/>
              <w:rPr>
                <w:rFonts w:hint="eastAsia" w:ascii="仿宋_GB2312" w:hAnsi="仿宋_GB2312" w:eastAsia="仿宋_GB2312" w:cs="仿宋_GB2312"/>
                <w:bCs/>
                <w:color w:val="000000"/>
                <w:sz w:val="32"/>
                <w:szCs w:val="32"/>
              </w:rPr>
            </w:pPr>
            <w:r>
              <w:rPr>
                <w:rFonts w:hint="eastAsia" w:ascii="仿宋_GB2312" w:hAnsi="仿宋_GB2312" w:eastAsia="仿宋_GB2312" w:cs="仿宋_GB2312"/>
                <w:color w:val="000000"/>
                <w:sz w:val="32"/>
                <w:szCs w:val="32"/>
              </w:rPr>
              <w:t>A使用非法生产电梯；B无维护保养单位；C使用超期未检电梯;D使用经检验检测判为不合格且限期未整改电梯；E使用复检不合格电梯；F短接电气安全回路；G缺少安全附件、安全装置；H安全附件、安全装置失灵而继续使用；I存在明显故障、异常情况的特种设备继续使用有可能造成人员伤亡。</w:t>
            </w:r>
          </w:p>
        </w:tc>
      </w:tr>
    </w:tbl>
    <w:p>
      <w:pPr>
        <w:spacing w:line="440" w:lineRule="exact"/>
        <w:rPr>
          <w:rFonts w:hint="eastAsia" w:ascii="仿宋_GB2312" w:hAnsi="仿宋_GB2312" w:eastAsia="仿宋_GB2312" w:cs="仿宋_GB2312"/>
          <w:color w:val="000000"/>
          <w:sz w:val="32"/>
          <w:szCs w:val="32"/>
        </w:rPr>
      </w:pPr>
      <w:r>
        <w:rPr>
          <w:rFonts w:hint="eastAsia" w:ascii="仿宋_GB2312" w:hAnsi="仿宋_GB2312" w:eastAsia="仿宋_GB2312" w:cs="仿宋_GB2312"/>
          <w:bCs/>
          <w:color w:val="000000"/>
          <w:sz w:val="32"/>
          <w:szCs w:val="32"/>
        </w:rPr>
        <w:t>备注：以上数据可根据实际抽查情况作出适当调整。</w:t>
      </w:r>
    </w:p>
    <w:p>
      <w:pPr>
        <w:spacing w:line="560" w:lineRule="exact"/>
        <w:ind w:firstLine="640" w:firstLineChars="200"/>
        <w:jc w:val="left"/>
        <w:rPr>
          <w:rFonts w:hint="eastAsia" w:ascii="黑体" w:hAnsi="黑体" w:eastAsia="黑体" w:cs="黑体"/>
          <w:bCs/>
          <w:color w:val="000000"/>
          <w:sz w:val="32"/>
          <w:szCs w:val="32"/>
        </w:rPr>
      </w:pPr>
      <w:r>
        <w:rPr>
          <w:rFonts w:hint="eastAsia" w:ascii="黑体" w:hAnsi="黑体" w:eastAsia="黑体" w:cs="黑体"/>
          <w:bCs/>
          <w:color w:val="000000"/>
          <w:sz w:val="32"/>
          <w:szCs w:val="32"/>
        </w:rPr>
        <w:t>四、有关要求</w:t>
      </w:r>
    </w:p>
    <w:p>
      <w:pPr>
        <w:spacing w:line="560" w:lineRule="exact"/>
        <w:ind w:firstLine="643" w:firstLineChars="200"/>
        <w:jc w:val="left"/>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（一）不得向企业收取任何费用。</w:t>
      </w:r>
      <w:r>
        <w:rPr>
          <w:rFonts w:hint="eastAsia" w:ascii="仿宋_GB2312" w:hAnsi="仿宋_GB2312" w:eastAsia="仿宋_GB2312" w:cs="仿宋_GB2312"/>
          <w:color w:val="000000"/>
          <w:sz w:val="32"/>
          <w:szCs w:val="32"/>
        </w:rPr>
        <w:t>监督抽查检验经费由博罗县财政列支，由博罗县市场监督管理局统一支付，电梯监督抽查检验承检单位不得向企业收取任何费用。</w:t>
      </w:r>
    </w:p>
    <w:p>
      <w:pPr>
        <w:spacing w:line="560" w:lineRule="exact"/>
        <w:ind w:firstLine="643" w:firstLineChars="200"/>
        <w:jc w:val="left"/>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（二）严格遵守纪律。</w:t>
      </w:r>
      <w:r>
        <w:rPr>
          <w:rFonts w:hint="eastAsia" w:ascii="仿宋_GB2312" w:hAnsi="仿宋_GB2312" w:eastAsia="仿宋_GB2312" w:cs="仿宋_GB2312"/>
          <w:color w:val="000000"/>
          <w:sz w:val="32"/>
          <w:szCs w:val="32"/>
        </w:rPr>
        <w:t>承检单位在抽查过程中应严格遵守工作纪律，不得泄露监督抽查内容，不得自行对外发布信息，不得向被抽查单位出具检验报告和检验记录，不得将抽查信息预先通知有关维保单位、使用单位，在检验过程中不得将检验情况与被抽查单位联系。</w:t>
      </w:r>
    </w:p>
    <w:p>
      <w:pPr>
        <w:spacing w:line="560" w:lineRule="exact"/>
        <w:ind w:firstLine="643" w:firstLineChars="200"/>
        <w:jc w:val="left"/>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（三）严格开展抽查检验。</w:t>
      </w:r>
      <w:r>
        <w:rPr>
          <w:rFonts w:hint="eastAsia" w:ascii="仿宋_GB2312" w:hAnsi="仿宋_GB2312" w:eastAsia="仿宋_GB2312" w:cs="仿宋_GB2312"/>
          <w:color w:val="000000"/>
          <w:sz w:val="32"/>
          <w:szCs w:val="32"/>
        </w:rPr>
        <w:t>抽查检验人员须持工作证或身份证以及《博罗县在用电梯安全监督抽查检验介绍信》（附件1）到电梯使用场所进行抽查检验，抽查检验人员不得少于2人。对拒绝抽查的，要注明原因，并及时报告我局特种设备安全监察股。</w:t>
      </w:r>
    </w:p>
    <w:p>
      <w:pPr>
        <w:spacing w:line="560" w:lineRule="exact"/>
        <w:ind w:firstLine="643" w:firstLineChars="200"/>
        <w:jc w:val="left"/>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（四）及时反映并处理发现问题。</w:t>
      </w:r>
      <w:r>
        <w:rPr>
          <w:rFonts w:hint="eastAsia" w:ascii="仿宋_GB2312" w:hAnsi="仿宋_GB2312" w:eastAsia="仿宋_GB2312" w:cs="仿宋_GB2312"/>
          <w:color w:val="000000"/>
          <w:sz w:val="32"/>
          <w:szCs w:val="32"/>
        </w:rPr>
        <w:t>对不符合项目，承检单位应现场出具《监督抽查不符合项目通知单》（附件2）给相关维保单位、使用单位。责令相关责任单位立即整改，并由承检单位负责进行整改结果的确认。发现存在严重事故隐患的建议停用特种设备或有涉及违法违规行为的相关企业，承检机构必须以书面形式报告我局特种设备安全监察股, 我局特种设备安全监察股在收悉后应督促相关单位落实整改，杜绝安全隐患。</w:t>
      </w:r>
    </w:p>
    <w:p>
      <w:pPr>
        <w:spacing w:line="560" w:lineRule="exact"/>
        <w:ind w:firstLine="643" w:firstLineChars="200"/>
        <w:jc w:val="left"/>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（五）抽查执法要求。</w:t>
      </w:r>
      <w:r>
        <w:rPr>
          <w:rFonts w:hint="eastAsia" w:ascii="仿宋_GB2312" w:hAnsi="仿宋_GB2312" w:eastAsia="仿宋_GB2312" w:cs="仿宋_GB2312"/>
          <w:color w:val="000000"/>
          <w:sz w:val="32"/>
          <w:szCs w:val="32"/>
        </w:rPr>
        <w:t>需立案查处的，承检单位应向我局说明安全隐患严重程度，提供相应的图片、视频等见证材料，并及时联系我局特种设备安全监察股。承检单位需填写《博罗县市场监督管理局在用电梯监督抽查检验结果移送单》（附件3）交给前往调查的执法人员。</w:t>
      </w:r>
    </w:p>
    <w:p>
      <w:pPr>
        <w:spacing w:line="560" w:lineRule="exact"/>
        <w:ind w:firstLine="643" w:firstLineChars="200"/>
        <w:jc w:val="left"/>
        <w:rPr>
          <w:rFonts w:hint="eastAsia" w:ascii="仿宋_GB2312" w:hAnsi="仿宋_GB2312" w:eastAsia="仿宋_GB2312" w:cs="仿宋_GB2312"/>
          <w:color w:val="000000"/>
          <w:sz w:val="32"/>
          <w:szCs w:val="32"/>
        </w:rPr>
      </w:pPr>
      <w:r>
        <w:rPr>
          <w:rFonts w:hint="eastAsia" w:ascii="楷体_GB2312" w:hAnsi="楷体_GB2312" w:eastAsia="楷体_GB2312" w:cs="楷体_GB2312"/>
          <w:b/>
          <w:bCs/>
          <w:color w:val="000000"/>
          <w:sz w:val="32"/>
          <w:szCs w:val="32"/>
        </w:rPr>
        <w:t>（六）汇总整理和报送要求。</w:t>
      </w:r>
      <w:r>
        <w:rPr>
          <w:rFonts w:hint="eastAsia" w:ascii="仿宋_GB2312" w:hAnsi="仿宋_GB2312" w:eastAsia="仿宋_GB2312" w:cs="仿宋_GB2312"/>
          <w:color w:val="000000"/>
          <w:sz w:val="32"/>
          <w:szCs w:val="32"/>
        </w:rPr>
        <w:t>承检单位要及时整理数据，形成总的工作情况报告，按照规定时间向我局提交质量分析报告以及需要移送查处的特种设备相关监督抽查检验原始记录和见证材料等。</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在执行中遇到问题，请随时向博罗县市场监督管理局特种设备安全监察股反映。联系电话：0752-6206162。</w:t>
      </w:r>
    </w:p>
    <w:p>
      <w:pPr>
        <w:spacing w:line="560" w:lineRule="exact"/>
        <w:ind w:firstLine="640" w:firstLineChars="200"/>
        <w:jc w:val="left"/>
        <w:rPr>
          <w:rFonts w:hint="eastAsia" w:ascii="仿宋_GB2312" w:hAnsi="仿宋_GB2312" w:eastAsia="仿宋_GB2312" w:cs="仿宋_GB2312"/>
          <w:color w:val="000000"/>
          <w:sz w:val="32"/>
          <w:szCs w:val="32"/>
        </w:rPr>
      </w:pP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附件：1.博罗县在用电梯安全监督抽查检验介绍信</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2.监督抽查不符合项目通知单</w:t>
      </w:r>
    </w:p>
    <w:p>
      <w:pPr>
        <w:spacing w:line="560" w:lineRule="exact"/>
        <w:ind w:firstLine="640" w:firstLineChars="200"/>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3.博罗县市场监督管理局在用电梯监督抽查检验结果移送单</w:t>
      </w:r>
    </w:p>
    <w:p>
      <w:pPr>
        <w:spacing w:line="560" w:lineRule="exact"/>
        <w:ind w:firstLine="640" w:firstLineChars="200"/>
        <w:jc w:val="left"/>
        <w:rPr>
          <w:rFonts w:hint="eastAsia" w:ascii="仿宋_GB2312" w:hAnsi="仿宋_GB2312" w:eastAsia="仿宋_GB2312" w:cs="仿宋_GB2312"/>
          <w:color w:val="000000"/>
          <w:sz w:val="32"/>
          <w:szCs w:val="32"/>
        </w:rPr>
      </w:pPr>
      <w:r>
        <w:rPr>
          <w:sz w:val="32"/>
          <w:szCs w:val="32"/>
        </w:rPr>
        <w:drawing>
          <wp:anchor distT="0" distB="0" distL="114300" distR="114300" simplePos="0" relativeHeight="251658240" behindDoc="1" locked="0" layoutInCell="1" allowOverlap="1">
            <wp:simplePos x="0" y="0"/>
            <wp:positionH relativeFrom="page">
              <wp:posOffset>4226560</wp:posOffset>
            </wp:positionH>
            <wp:positionV relativeFrom="page">
              <wp:posOffset>6067425</wp:posOffset>
            </wp:positionV>
            <wp:extent cx="1438275" cy="1438275"/>
            <wp:effectExtent l="0" t="0" r="9525" b="9525"/>
            <wp:wrapNone/>
            <wp:docPr id="2" name="Picture 6" descr="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6" descr="temp"/>
                    <pic:cNvPicPr>
                      <a:picLocks noChangeAspect="1"/>
                    </pic:cNvPicPr>
                  </pic:nvPicPr>
                  <pic:blipFill>
                    <a:blip r:embed="rId4"/>
                    <a:stretch>
                      <a:fillRect/>
                    </a:stretch>
                  </pic:blipFill>
                  <pic:spPr>
                    <a:xfrm>
                      <a:off x="0" y="0"/>
                      <a:ext cx="1438275" cy="1438275"/>
                    </a:xfrm>
                    <a:prstGeom prst="rect">
                      <a:avLst/>
                    </a:prstGeom>
                    <a:noFill/>
                    <a:ln>
                      <a:noFill/>
                    </a:ln>
                  </pic:spPr>
                </pic:pic>
              </a:graphicData>
            </a:graphic>
          </wp:anchor>
        </w:drawing>
      </w:r>
    </w:p>
    <w:p>
      <w:pPr>
        <w:spacing w:line="560" w:lineRule="exact"/>
        <w:jc w:val="left"/>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spacing w:line="560" w:lineRule="exact"/>
        <w:jc w:val="left"/>
        <w:rPr>
          <w:rFonts w:hint="eastAsia" w:ascii="仿宋_GB2312" w:hAnsi="仿宋_GB2312" w:eastAsia="仿宋_GB2312" w:cs="仿宋_GB2312"/>
          <w:color w:val="000000"/>
          <w:sz w:val="32"/>
          <w:szCs w:val="32"/>
        </w:rPr>
      </w:pPr>
    </w:p>
    <w:p>
      <w:pPr>
        <w:spacing w:line="560" w:lineRule="exact"/>
        <w:ind w:firstLine="640" w:firstLineChars="200"/>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博罗县市场监督管理局</w:t>
      </w:r>
    </w:p>
    <w:p>
      <w:pPr>
        <w:spacing w:line="560" w:lineRule="exact"/>
        <w:jc w:val="center"/>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2022</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12</w:t>
      </w:r>
      <w:r>
        <w:rPr>
          <w:rFonts w:hint="eastAsia" w:ascii="仿宋_GB2312" w:hAnsi="仿宋_GB2312" w:eastAsia="仿宋_GB2312" w:cs="仿宋_GB2312"/>
          <w:color w:val="000000"/>
          <w:sz w:val="32"/>
          <w:szCs w:val="32"/>
        </w:rPr>
        <w:t>日</w:t>
      </w:r>
    </w:p>
    <w:p>
      <w:pPr>
        <w:spacing w:line="560" w:lineRule="exact"/>
        <w:rPr>
          <w:rFonts w:hint="eastAsia" w:ascii="仿宋_GB2312" w:hAnsi="仿宋_GB2312" w:eastAsia="仿宋_GB2312" w:cs="仿宋_GB2312"/>
          <w:color w:val="000000"/>
          <w:sz w:val="32"/>
          <w:szCs w:val="32"/>
        </w:rPr>
      </w:pPr>
    </w:p>
    <w:p>
      <w:pPr>
        <w:rPr>
          <w:rFonts w:hint="eastAsia" w:ascii="仿宋_GB2312" w:eastAsia="仿宋_GB2312"/>
          <w:sz w:val="30"/>
          <w:szCs w:val="30"/>
        </w:rPr>
      </w:pPr>
    </w:p>
    <w:p>
      <w:pPr>
        <w:rPr>
          <w:rFonts w:hint="eastAsia" w:ascii="仿宋_GB2312" w:eastAsia="仿宋_GB2312"/>
          <w:sz w:val="30"/>
          <w:szCs w:val="30"/>
        </w:rPr>
      </w:pP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lang w:eastAsia="zh-CN"/>
        </w:rPr>
      </w:pPr>
    </w:p>
    <w:p>
      <w:pPr>
        <w:rPr>
          <w:rFonts w:hint="eastAsia" w:ascii="仿宋_GB2312" w:eastAsia="仿宋_GB2312"/>
          <w:sz w:val="30"/>
          <w:szCs w:val="30"/>
        </w:rPr>
      </w:pPr>
      <w:r>
        <w:rPr>
          <w:rFonts w:hint="eastAsia" w:ascii="仿宋_GB2312" w:eastAsia="仿宋_GB2312"/>
          <w:sz w:val="30"/>
          <w:szCs w:val="30"/>
        </w:rPr>
        <w:tab/>
      </w: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p>
    <w:p>
      <w:pPr>
        <w:rPr>
          <w:rFonts w:hint="eastAsia" w:ascii="仿宋_GB2312" w:eastAsia="仿宋_GB2312"/>
          <w:sz w:val="30"/>
          <w:szCs w:val="30"/>
        </w:rPr>
      </w:pP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r>
        <w:rPr>
          <w:rFonts w:hint="eastAsia" w:ascii="仿宋_GB2312" w:eastAsia="仿宋_GB2312"/>
          <w:sz w:val="30"/>
          <w:szCs w:val="30"/>
        </w:rPr>
        <w:tab/>
      </w:r>
    </w:p>
    <w:p>
      <w:pPr>
        <w:keepNext w:val="0"/>
        <w:keepLines w:val="0"/>
        <w:pageBreakBefore w:val="0"/>
        <w:widowControl w:val="0"/>
        <w:pBdr>
          <w:bottom w:val="none" w:color="auto" w:sz="0" w:space="31"/>
        </w:pBdr>
        <w:tabs>
          <w:tab w:val="left" w:pos="924"/>
        </w:tabs>
        <w:kinsoku/>
        <w:wordWrap/>
        <w:overflowPunct/>
        <w:topLinePunct w:val="0"/>
        <w:autoSpaceDE/>
        <w:autoSpaceDN/>
        <w:bidi w:val="0"/>
        <w:adjustRightInd/>
        <w:snapToGrid/>
        <w:spacing w:line="560" w:lineRule="exact"/>
        <w:ind w:right="0" w:rightChars="0"/>
        <w:jc w:val="both"/>
        <w:textAlignment w:val="auto"/>
        <w:outlineLvl w:val="9"/>
        <w:rPr>
          <w:rFonts w:hint="eastAsia" w:eastAsia="黑体"/>
          <w:color w:val="000000"/>
          <w:sz w:val="32"/>
          <w:szCs w:val="32"/>
          <w:lang w:val="en-US" w:eastAsia="zh-CN"/>
        </w:rPr>
      </w:pPr>
      <w:r>
        <w:rPr>
          <w:rFonts w:hint="eastAsia" w:eastAsia="黑体"/>
          <w:color w:val="000000"/>
          <w:sz w:val="32"/>
          <w:szCs w:val="32"/>
        </w:rPr>
        <w:t>公开方式：</w:t>
      </w:r>
      <w:r>
        <w:rPr>
          <w:rFonts w:hint="eastAsia" w:eastAsia="黑体"/>
          <w:color w:val="000000"/>
          <w:sz w:val="32"/>
          <w:szCs w:val="32"/>
          <w:lang w:eastAsia="zh-CN"/>
        </w:rPr>
        <w:t>主动</w:t>
      </w:r>
      <w:bookmarkStart w:id="2" w:name="_GoBack"/>
      <w:bookmarkEnd w:id="2"/>
      <w:r>
        <w:rPr>
          <w:rFonts w:hint="eastAsia" w:eastAsia="黑体"/>
          <w:color w:val="000000"/>
          <w:sz w:val="32"/>
          <w:szCs w:val="32"/>
        </w:rPr>
        <w:t>公开</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9116" w:type="dxa"/>
            <w:tcBorders>
              <w:top w:val="single" w:color="auto" w:sz="12" w:space="0"/>
              <w:left w:val="nil"/>
              <w:bottom w:val="single" w:color="auto" w:sz="12" w:space="0"/>
              <w:right w:val="nil"/>
            </w:tcBorders>
            <w:noWrap w:val="0"/>
            <w:vAlign w:val="center"/>
          </w:tcPr>
          <w:p>
            <w:pPr>
              <w:spacing w:line="520" w:lineRule="exact"/>
              <w:ind w:firstLine="280" w:firstLineChars="100"/>
              <w:rPr>
                <w:rFonts w:hint="eastAsia" w:ascii="仿宋_GB2312" w:eastAsia="仿宋_GB2312"/>
                <w:color w:val="000000"/>
                <w:sz w:val="28"/>
                <w:szCs w:val="28"/>
              </w:rPr>
            </w:pPr>
            <w:r>
              <w:rPr>
                <w:rFonts w:hint="eastAsia" w:ascii="仿宋_GB2312" w:eastAsia="仿宋_GB2312"/>
                <w:color w:val="000000"/>
                <w:sz w:val="28"/>
                <w:szCs w:val="28"/>
              </w:rPr>
              <w:t xml:space="preserve">博罗县市场监督管理局办公室           </w:t>
            </w:r>
            <w:r>
              <w:rPr>
                <w:rFonts w:hint="eastAsia" w:ascii="仿宋_GB2312" w:eastAsia="仿宋_GB2312"/>
                <w:color w:val="000000"/>
                <w:sz w:val="28"/>
                <w:szCs w:val="28"/>
                <w:lang w:val="en-US" w:eastAsia="zh-CN"/>
              </w:rPr>
              <w:t xml:space="preserve">    </w:t>
            </w:r>
            <w:r>
              <w:rPr>
                <w:rFonts w:hint="eastAsia" w:ascii="仿宋_GB2312" w:eastAsia="仿宋_GB2312"/>
                <w:color w:val="000000"/>
                <w:sz w:val="28"/>
                <w:szCs w:val="28"/>
              </w:rPr>
              <w:t>20</w:t>
            </w:r>
            <w:r>
              <w:rPr>
                <w:rFonts w:hint="eastAsia" w:ascii="仿宋_GB2312" w:eastAsia="仿宋_GB2312"/>
                <w:color w:val="000000"/>
                <w:sz w:val="28"/>
                <w:szCs w:val="28"/>
                <w:lang w:val="en-US" w:eastAsia="zh-CN"/>
              </w:rPr>
              <w:t>22</w:t>
            </w:r>
            <w:r>
              <w:rPr>
                <w:rFonts w:hint="eastAsia" w:ascii="仿宋_GB2312" w:eastAsia="仿宋_GB2312"/>
                <w:color w:val="000000"/>
                <w:sz w:val="28"/>
                <w:szCs w:val="28"/>
              </w:rPr>
              <w:t>年</w:t>
            </w:r>
            <w:r>
              <w:rPr>
                <w:rFonts w:hint="eastAsia" w:ascii="仿宋_GB2312" w:eastAsia="仿宋_GB2312"/>
                <w:color w:val="000000"/>
                <w:sz w:val="28"/>
                <w:szCs w:val="28"/>
                <w:lang w:val="en-US" w:eastAsia="zh-CN"/>
              </w:rPr>
              <w:t>4</w:t>
            </w:r>
            <w:r>
              <w:rPr>
                <w:rFonts w:hint="eastAsia" w:ascii="仿宋_GB2312" w:eastAsia="仿宋_GB2312"/>
                <w:color w:val="000000"/>
                <w:sz w:val="28"/>
                <w:szCs w:val="28"/>
              </w:rPr>
              <w:t>月</w:t>
            </w:r>
            <w:r>
              <w:rPr>
                <w:rFonts w:hint="eastAsia" w:ascii="仿宋_GB2312" w:eastAsia="仿宋_GB2312"/>
                <w:color w:val="000000"/>
                <w:sz w:val="28"/>
                <w:szCs w:val="28"/>
                <w:lang w:val="en-US" w:eastAsia="zh-CN"/>
              </w:rPr>
              <w:t>20</w:t>
            </w:r>
            <w:r>
              <w:rPr>
                <w:rFonts w:hint="eastAsia" w:ascii="仿宋_GB2312" w:eastAsia="仿宋_GB2312"/>
                <w:color w:val="000000"/>
                <w:sz w:val="28"/>
                <w:szCs w:val="28"/>
              </w:rPr>
              <w:t>日印发</w:t>
            </w:r>
          </w:p>
        </w:tc>
      </w:tr>
    </w:tbl>
    <w:p>
      <w:pPr>
        <w:rPr>
          <w:rFonts w:hint="default" w:ascii="Times New Roman" w:hAnsi="Times New Roman" w:eastAsia="仿宋_GB2312" w:cs="Times New Roman"/>
          <w:sz w:val="30"/>
          <w:szCs w:val="30"/>
          <w:lang w:val="en-US" w:eastAsia="zh-CN"/>
        </w:rPr>
      </w:pPr>
    </w:p>
    <w:p/>
    <w:sectPr>
      <w:pgSz w:w="11906" w:h="16838"/>
      <w:pgMar w:top="1440" w:right="1800" w:bottom="1440"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大标宋简体">
    <w:panose1 w:val="02010601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A1554E"/>
    <w:multiLevelType w:val="singleLevel"/>
    <w:tmpl w:val="5DA1554E"/>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0A7D70"/>
    <w:rsid w:val="06F5504B"/>
    <w:rsid w:val="0F0A7D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博罗县</Company>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2022-04-21T02:52:00Z</dcterms:created>
  <dc:creator>詹宝瑟</dc:creator>
  <cp:lastModifiedBy>黄晓珂</cp:lastModifiedBy>
  <dcterms:modified xsi:type="dcterms:W3CDTF">2023-11-03T02:24:32Z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